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6AD6A" w14:textId="4B2A7EB1" w:rsidR="00C761CB" w:rsidRPr="00C67A93" w:rsidRDefault="00C761CB" w:rsidP="00C761CB">
      <w:pPr>
        <w:shd w:val="clear" w:color="auto" w:fill="FFFFFF"/>
        <w:spacing w:after="0"/>
        <w:jc w:val="both"/>
        <w:rPr>
          <w:rFonts w:ascii="Arial" w:hAnsi="Arial" w:cs="Arial"/>
        </w:rPr>
      </w:pPr>
      <w:bookmarkStart w:id="0" w:name="_TOC_250006"/>
    </w:p>
    <w:p w14:paraId="0867BB30" w14:textId="77777777" w:rsidR="00C761CB" w:rsidRPr="00C67A93" w:rsidRDefault="00C761CB" w:rsidP="00C761CB">
      <w:pPr>
        <w:shd w:val="clear" w:color="auto" w:fill="FFFFFF"/>
        <w:spacing w:after="0"/>
        <w:jc w:val="both"/>
        <w:rPr>
          <w:rFonts w:ascii="Arial" w:hAnsi="Arial" w:cs="Arial"/>
          <w:b/>
        </w:rPr>
      </w:pPr>
    </w:p>
    <w:p w14:paraId="0E84E7B3" w14:textId="1CFEBE29" w:rsidR="00C761CB" w:rsidRPr="00C67A93" w:rsidRDefault="00C761CB" w:rsidP="00C761CB">
      <w:pPr>
        <w:shd w:val="clear" w:color="auto" w:fill="FFFFFF"/>
        <w:spacing w:after="0"/>
        <w:jc w:val="both"/>
        <w:rPr>
          <w:rFonts w:ascii="Arial" w:hAnsi="Arial" w:cs="Arial"/>
          <w:b/>
        </w:rPr>
      </w:pPr>
    </w:p>
    <w:p w14:paraId="7B9FBFD2" w14:textId="77777777" w:rsidR="00F76605" w:rsidRPr="00C67A93" w:rsidRDefault="00F76605" w:rsidP="00C761CB">
      <w:pPr>
        <w:shd w:val="clear" w:color="auto" w:fill="FFFFFF"/>
        <w:spacing w:after="0"/>
        <w:jc w:val="both"/>
        <w:rPr>
          <w:rFonts w:ascii="Arial" w:hAnsi="Arial" w:cs="Arial"/>
          <w:b/>
        </w:rPr>
        <w:sectPr w:rsidR="00F76605" w:rsidRPr="00C67A93" w:rsidSect="00B07AC1">
          <w:footerReference w:type="default" r:id="rId11"/>
          <w:footerReference w:type="first" r:id="rId12"/>
          <w:pgSz w:w="11906" w:h="16838"/>
          <w:pgMar w:top="1440" w:right="1418" w:bottom="1440" w:left="1418" w:header="720" w:footer="720" w:gutter="0"/>
          <w:cols w:space="720"/>
          <w:titlePg/>
          <w:docGrid w:linePitch="299"/>
        </w:sectPr>
      </w:pPr>
    </w:p>
    <w:p w14:paraId="6715ADCC" w14:textId="16CA04A1" w:rsidR="00891B3A" w:rsidRPr="00AC0617" w:rsidRDefault="00020417" w:rsidP="00891B3A">
      <w:pPr>
        <w:shd w:val="clear" w:color="auto" w:fill="FFFFFF"/>
        <w:spacing w:after="0"/>
        <w:jc w:val="both"/>
        <w:rPr>
          <w:rFonts w:ascii="Arial" w:hAnsi="Arial" w:cs="Arial"/>
          <w:sz w:val="20"/>
          <w:szCs w:val="20"/>
        </w:rPr>
      </w:pPr>
      <w:r w:rsidRPr="00020417">
        <w:rPr>
          <w:rFonts w:ascii="Arial" w:hAnsi="Arial" w:cs="Arial"/>
          <w:b/>
          <w:noProof/>
          <w:sz w:val="20"/>
          <w:szCs w:val="20"/>
        </w:rPr>
        <w:drawing>
          <wp:anchor distT="0" distB="0" distL="114300" distR="114300" simplePos="0" relativeHeight="251729408" behindDoc="0" locked="0" layoutInCell="1" allowOverlap="1" wp14:anchorId="3179A54C" wp14:editId="7EFC59DE">
            <wp:simplePos x="0" y="0"/>
            <wp:positionH relativeFrom="column">
              <wp:posOffset>1921510</wp:posOffset>
            </wp:positionH>
            <wp:positionV relativeFrom="paragraph">
              <wp:posOffset>170815</wp:posOffset>
            </wp:positionV>
            <wp:extent cx="2286000" cy="2286000"/>
            <wp:effectExtent l="0" t="0" r="0" b="0"/>
            <wp:wrapSquare wrapText="bothSides"/>
            <wp:docPr id="1026" name="Picture 2">
              <a:extLst xmlns:a="http://schemas.openxmlformats.org/drawingml/2006/main">
                <a:ext uri="{FF2B5EF4-FFF2-40B4-BE49-F238E27FC236}">
                  <a16:creationId xmlns:a16="http://schemas.microsoft.com/office/drawing/2014/main" id="{C6B9008A-84F0-43D8-A5D1-E2FA696C77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C6B9008A-84F0-43D8-A5D1-E2FA696C77F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14:sizeRelH relativeFrom="page">
              <wp14:pctWidth>0</wp14:pctWidth>
            </wp14:sizeRelH>
            <wp14:sizeRelV relativeFrom="page">
              <wp14:pctHeight>0</wp14:pctHeight>
            </wp14:sizeRelV>
          </wp:anchor>
        </w:drawing>
      </w:r>
      <w:r w:rsidR="00891B3A" w:rsidRPr="00AC0617">
        <w:rPr>
          <w:rFonts w:ascii="Arial" w:hAnsi="Arial" w:cs="Arial"/>
          <w:b/>
          <w:sz w:val="20"/>
          <w:szCs w:val="20"/>
        </w:rPr>
        <w:t xml:space="preserve">  </w:t>
      </w:r>
    </w:p>
    <w:p w14:paraId="45B9671E" w14:textId="77777777" w:rsidR="00891B3A" w:rsidRPr="00AC0617" w:rsidRDefault="00891B3A" w:rsidP="00891B3A">
      <w:pPr>
        <w:shd w:val="clear" w:color="auto" w:fill="FFFFFF"/>
        <w:spacing w:after="0"/>
        <w:jc w:val="both"/>
        <w:rPr>
          <w:rFonts w:ascii="Arial" w:hAnsi="Arial" w:cs="Arial"/>
          <w:b/>
          <w:sz w:val="20"/>
          <w:szCs w:val="20"/>
        </w:rPr>
      </w:pPr>
    </w:p>
    <w:p w14:paraId="74B5B4F9" w14:textId="77777777" w:rsidR="00891B3A" w:rsidRPr="00AC0617" w:rsidRDefault="00891B3A" w:rsidP="00891B3A">
      <w:pPr>
        <w:shd w:val="clear" w:color="auto" w:fill="FFFFFF"/>
        <w:spacing w:after="0"/>
        <w:jc w:val="both"/>
        <w:rPr>
          <w:rFonts w:ascii="Arial" w:hAnsi="Arial" w:cs="Arial"/>
          <w:b/>
          <w:sz w:val="20"/>
          <w:szCs w:val="20"/>
        </w:rPr>
      </w:pPr>
    </w:p>
    <w:p w14:paraId="79ECB4CE" w14:textId="77777777" w:rsidR="00891B3A" w:rsidRDefault="00891B3A" w:rsidP="00891B3A">
      <w:pPr>
        <w:shd w:val="clear" w:color="auto" w:fill="FFFFFF"/>
        <w:spacing w:after="0"/>
        <w:jc w:val="both"/>
        <w:rPr>
          <w:rFonts w:ascii="Arial" w:hAnsi="Arial" w:cs="Arial"/>
          <w:b/>
          <w:sz w:val="20"/>
          <w:szCs w:val="20"/>
        </w:rPr>
      </w:pPr>
    </w:p>
    <w:p w14:paraId="08E148E3" w14:textId="77777777" w:rsidR="00891B3A" w:rsidRPr="00AC0617" w:rsidRDefault="00891B3A" w:rsidP="00891B3A">
      <w:pPr>
        <w:shd w:val="clear" w:color="auto" w:fill="FFFFFF"/>
        <w:spacing w:after="0"/>
        <w:jc w:val="both"/>
        <w:rPr>
          <w:rFonts w:ascii="Arial" w:hAnsi="Arial" w:cs="Arial"/>
          <w:b/>
          <w:sz w:val="20"/>
          <w:szCs w:val="20"/>
        </w:rPr>
      </w:pPr>
    </w:p>
    <w:p w14:paraId="45B5DE4B" w14:textId="77777777" w:rsidR="00891B3A" w:rsidRPr="00AC0617" w:rsidRDefault="00891B3A" w:rsidP="00891B3A">
      <w:pPr>
        <w:shd w:val="clear" w:color="auto" w:fill="FFFFFF"/>
        <w:spacing w:after="0"/>
        <w:jc w:val="both"/>
        <w:rPr>
          <w:rFonts w:ascii="Arial" w:hAnsi="Arial" w:cs="Arial"/>
          <w:b/>
          <w:sz w:val="20"/>
          <w:szCs w:val="20"/>
        </w:rPr>
      </w:pPr>
    </w:p>
    <w:p w14:paraId="6D1DB511" w14:textId="77777777" w:rsidR="00891B3A" w:rsidRPr="00AC0617" w:rsidRDefault="00891B3A" w:rsidP="00891B3A">
      <w:pPr>
        <w:shd w:val="clear" w:color="auto" w:fill="FFFFFF"/>
        <w:spacing w:after="0"/>
        <w:jc w:val="both"/>
        <w:rPr>
          <w:rFonts w:ascii="Arial" w:hAnsi="Arial" w:cs="Arial"/>
          <w:b/>
          <w:sz w:val="20"/>
          <w:szCs w:val="20"/>
        </w:rPr>
      </w:pPr>
    </w:p>
    <w:p w14:paraId="27B83481" w14:textId="77777777" w:rsidR="00891B3A" w:rsidRPr="00AC0617" w:rsidRDefault="00891B3A" w:rsidP="00891B3A">
      <w:pPr>
        <w:shd w:val="clear" w:color="auto" w:fill="FFFFFF"/>
        <w:spacing w:after="0"/>
        <w:jc w:val="both"/>
        <w:rPr>
          <w:rFonts w:ascii="Arial" w:hAnsi="Arial" w:cs="Arial"/>
          <w:b/>
          <w:sz w:val="20"/>
          <w:szCs w:val="20"/>
        </w:rPr>
      </w:pPr>
    </w:p>
    <w:p w14:paraId="60C2FEEB" w14:textId="77777777" w:rsidR="00891B3A" w:rsidRPr="00AC0617" w:rsidRDefault="00891B3A" w:rsidP="00891B3A">
      <w:pPr>
        <w:pStyle w:val="BodyA"/>
        <w:spacing w:line="276" w:lineRule="auto"/>
        <w:jc w:val="both"/>
        <w:rPr>
          <w:rFonts w:ascii="Arial" w:hAnsi="Arial" w:cs="Arial"/>
          <w:sz w:val="20"/>
          <w:szCs w:val="20"/>
          <w:lang w:val="en-US"/>
        </w:rPr>
      </w:pPr>
    </w:p>
    <w:p w14:paraId="33BA7735" w14:textId="77777777" w:rsidR="00891B3A" w:rsidRDefault="00891B3A" w:rsidP="00891B3A">
      <w:pPr>
        <w:pStyle w:val="BodyA"/>
        <w:spacing w:line="276" w:lineRule="auto"/>
        <w:jc w:val="both"/>
        <w:rPr>
          <w:rFonts w:ascii="Arial" w:hAnsi="Arial" w:cs="Arial"/>
          <w:sz w:val="20"/>
          <w:szCs w:val="20"/>
          <w:lang w:val="en-US"/>
        </w:rPr>
      </w:pPr>
    </w:p>
    <w:p w14:paraId="137BED12" w14:textId="77777777" w:rsidR="00891B3A" w:rsidRDefault="00891B3A" w:rsidP="00891B3A">
      <w:pPr>
        <w:pStyle w:val="BodyA"/>
        <w:spacing w:line="276" w:lineRule="auto"/>
        <w:jc w:val="both"/>
        <w:rPr>
          <w:rFonts w:ascii="Arial" w:hAnsi="Arial" w:cs="Arial"/>
          <w:sz w:val="20"/>
          <w:szCs w:val="20"/>
          <w:lang w:val="en-US"/>
        </w:rPr>
      </w:pPr>
    </w:p>
    <w:p w14:paraId="14428397" w14:textId="77777777" w:rsidR="00891B3A" w:rsidRDefault="00891B3A" w:rsidP="00891B3A">
      <w:pPr>
        <w:pStyle w:val="BodyA"/>
        <w:spacing w:line="276" w:lineRule="auto"/>
        <w:jc w:val="both"/>
        <w:rPr>
          <w:rFonts w:ascii="Arial" w:hAnsi="Arial" w:cs="Arial"/>
          <w:sz w:val="20"/>
          <w:szCs w:val="20"/>
          <w:lang w:val="en-US"/>
        </w:rPr>
      </w:pPr>
    </w:p>
    <w:p w14:paraId="56BEE63C" w14:textId="77777777" w:rsidR="00891B3A" w:rsidRDefault="00891B3A" w:rsidP="00891B3A">
      <w:pPr>
        <w:pStyle w:val="BodyA"/>
        <w:spacing w:line="276" w:lineRule="auto"/>
        <w:jc w:val="both"/>
        <w:rPr>
          <w:rFonts w:ascii="Arial" w:hAnsi="Arial" w:cs="Arial"/>
          <w:sz w:val="20"/>
          <w:szCs w:val="20"/>
          <w:lang w:val="en-US"/>
        </w:rPr>
      </w:pPr>
    </w:p>
    <w:p w14:paraId="74937658" w14:textId="77777777" w:rsidR="00891B3A" w:rsidRDefault="00891B3A" w:rsidP="00891B3A">
      <w:pPr>
        <w:pStyle w:val="BodyA"/>
        <w:spacing w:line="276" w:lineRule="auto"/>
        <w:jc w:val="both"/>
        <w:rPr>
          <w:rFonts w:ascii="Arial" w:hAnsi="Arial" w:cs="Arial"/>
          <w:sz w:val="20"/>
          <w:szCs w:val="20"/>
          <w:lang w:val="en-US"/>
        </w:rPr>
      </w:pPr>
    </w:p>
    <w:p w14:paraId="582FF30C" w14:textId="77777777" w:rsidR="00891B3A" w:rsidRDefault="00891B3A" w:rsidP="00891B3A">
      <w:pPr>
        <w:pStyle w:val="BodyA"/>
        <w:spacing w:line="276" w:lineRule="auto"/>
        <w:jc w:val="both"/>
        <w:rPr>
          <w:rFonts w:ascii="Arial" w:hAnsi="Arial" w:cs="Arial"/>
          <w:sz w:val="20"/>
          <w:szCs w:val="20"/>
          <w:lang w:val="en-US"/>
        </w:rPr>
      </w:pPr>
    </w:p>
    <w:p w14:paraId="428BEE8C" w14:textId="77777777" w:rsidR="00891B3A" w:rsidRDefault="00891B3A" w:rsidP="00891B3A">
      <w:pPr>
        <w:pStyle w:val="BodyA"/>
        <w:spacing w:line="276" w:lineRule="auto"/>
        <w:jc w:val="both"/>
        <w:rPr>
          <w:rFonts w:ascii="Arial" w:hAnsi="Arial" w:cs="Arial"/>
          <w:sz w:val="20"/>
          <w:szCs w:val="20"/>
          <w:lang w:val="en-US"/>
        </w:rPr>
      </w:pPr>
    </w:p>
    <w:p w14:paraId="0D4B4CE0" w14:textId="77777777" w:rsidR="00891B3A" w:rsidRPr="00AC0617" w:rsidRDefault="00891B3A" w:rsidP="00891B3A">
      <w:pPr>
        <w:pStyle w:val="BodyA"/>
        <w:spacing w:line="276" w:lineRule="auto"/>
        <w:jc w:val="both"/>
        <w:rPr>
          <w:rFonts w:ascii="Arial" w:hAnsi="Arial" w:cs="Arial"/>
          <w:sz w:val="20"/>
          <w:szCs w:val="20"/>
          <w:lang w:val="en-US"/>
        </w:rPr>
      </w:pPr>
    </w:p>
    <w:p w14:paraId="1CD0E2F4" w14:textId="0A83FB62" w:rsidR="00891B3A" w:rsidRPr="00AC0617" w:rsidRDefault="00B8691B" w:rsidP="00891B3A">
      <w:pPr>
        <w:spacing w:after="0"/>
        <w:jc w:val="both"/>
        <w:rPr>
          <w:rFonts w:ascii="Arial" w:hAnsi="Arial" w:cs="Arial"/>
          <w:b/>
          <w:bCs/>
        </w:rPr>
      </w:pPr>
      <w:r>
        <w:rPr>
          <w:rFonts w:ascii="Arial" w:hAnsi="Arial" w:cs="Arial"/>
          <w:b/>
          <w:bCs/>
        </w:rPr>
        <w:t>2</w:t>
      </w:r>
      <w:r w:rsidR="00891B3A" w:rsidRPr="00AC0617">
        <w:rPr>
          <w:rFonts w:ascii="Arial" w:hAnsi="Arial" w:cs="Arial"/>
          <w:b/>
          <w:bCs/>
        </w:rPr>
        <w:t xml:space="preserve"> August 2021 </w:t>
      </w:r>
    </w:p>
    <w:p w14:paraId="149F5940" w14:textId="77777777" w:rsidR="00891B3A" w:rsidRPr="00AC0617" w:rsidRDefault="00891B3A" w:rsidP="00891B3A">
      <w:pPr>
        <w:pStyle w:val="BodyA"/>
        <w:spacing w:line="276" w:lineRule="auto"/>
        <w:jc w:val="both"/>
        <w:rPr>
          <w:rFonts w:ascii="Arial" w:hAnsi="Arial" w:cs="Arial"/>
          <w:sz w:val="22"/>
          <w:szCs w:val="22"/>
        </w:rPr>
      </w:pPr>
    </w:p>
    <w:p w14:paraId="402F9EFA" w14:textId="77777777" w:rsidR="00891B3A" w:rsidRPr="00AC0617" w:rsidRDefault="00891B3A" w:rsidP="00891B3A">
      <w:pPr>
        <w:spacing w:after="0"/>
        <w:jc w:val="both"/>
        <w:rPr>
          <w:rFonts w:ascii="Arial" w:hAnsi="Arial" w:cs="Arial"/>
          <w:b/>
          <w:bCs/>
        </w:rPr>
      </w:pPr>
      <w:r w:rsidRPr="00AC0617">
        <w:rPr>
          <w:rFonts w:ascii="Arial" w:hAnsi="Arial" w:cs="Arial"/>
          <w:b/>
          <w:bCs/>
        </w:rPr>
        <w:t>LMS CAPITAL PLC</w:t>
      </w:r>
    </w:p>
    <w:p w14:paraId="7DF2B588" w14:textId="77777777" w:rsidR="00891B3A" w:rsidRPr="00AC0617" w:rsidRDefault="00891B3A" w:rsidP="00891B3A">
      <w:pPr>
        <w:spacing w:after="0"/>
        <w:jc w:val="both"/>
        <w:rPr>
          <w:rFonts w:ascii="Arial" w:hAnsi="Arial" w:cs="Arial"/>
          <w:b/>
          <w:bCs/>
        </w:rPr>
      </w:pPr>
      <w:r w:rsidRPr="00AC0617">
        <w:rPr>
          <w:rFonts w:ascii="Arial" w:hAnsi="Arial" w:cs="Arial"/>
          <w:b/>
          <w:bCs/>
        </w:rPr>
        <w:t>Half year results for the six months ended 30 June 2021</w:t>
      </w:r>
    </w:p>
    <w:p w14:paraId="0A5F9012" w14:textId="60FEE176" w:rsidR="00891B3A" w:rsidRPr="00AC0617" w:rsidRDefault="00891B3A" w:rsidP="00891B3A">
      <w:pPr>
        <w:spacing w:after="0"/>
        <w:jc w:val="both"/>
        <w:rPr>
          <w:rFonts w:ascii="Arial" w:hAnsi="Arial" w:cs="Arial"/>
          <w:bCs/>
        </w:rPr>
      </w:pPr>
    </w:p>
    <w:p w14:paraId="0F26C3CE" w14:textId="236F706E" w:rsidR="00891B3A" w:rsidRDefault="00891B3A" w:rsidP="00891B3A">
      <w:pPr>
        <w:spacing w:after="0"/>
        <w:jc w:val="both"/>
        <w:rPr>
          <w:rFonts w:ascii="Arial" w:hAnsi="Arial" w:cs="Arial"/>
          <w:b/>
          <w:bCs/>
        </w:rPr>
      </w:pPr>
      <w:r w:rsidRPr="00AC0617">
        <w:rPr>
          <w:rFonts w:ascii="Arial" w:hAnsi="Arial" w:cs="Arial"/>
          <w:b/>
          <w:bCs/>
        </w:rPr>
        <w:t>Financial</w:t>
      </w:r>
      <w:r w:rsidR="00D12B53">
        <w:rPr>
          <w:rFonts w:ascii="Arial" w:hAnsi="Arial" w:cs="Arial"/>
          <w:b/>
          <w:bCs/>
        </w:rPr>
        <w:t xml:space="preserve"> Update</w:t>
      </w:r>
    </w:p>
    <w:p w14:paraId="5D327154" w14:textId="77777777" w:rsidR="00891B3A" w:rsidRPr="00AC0617" w:rsidRDefault="00891B3A" w:rsidP="00891B3A">
      <w:pPr>
        <w:spacing w:after="0"/>
        <w:jc w:val="both"/>
        <w:rPr>
          <w:rFonts w:ascii="Arial" w:hAnsi="Arial" w:cs="Arial"/>
          <w:b/>
          <w:bCs/>
        </w:rPr>
      </w:pPr>
    </w:p>
    <w:p w14:paraId="733285E5" w14:textId="643C43E1" w:rsidR="00891B3A" w:rsidRPr="00AC0617" w:rsidRDefault="00891B3A" w:rsidP="00891B3A">
      <w:pPr>
        <w:pStyle w:val="ListParagraph"/>
        <w:widowControl/>
        <w:numPr>
          <w:ilvl w:val="0"/>
          <w:numId w:val="22"/>
        </w:numPr>
        <w:suppressAutoHyphens w:val="0"/>
        <w:autoSpaceDN/>
        <w:spacing w:after="0"/>
        <w:contextualSpacing/>
        <w:jc w:val="both"/>
        <w:textAlignment w:val="auto"/>
        <w:rPr>
          <w:rFonts w:ascii="Arial" w:eastAsia="Times New Roman" w:hAnsi="Arial" w:cs="Arial"/>
        </w:rPr>
      </w:pPr>
      <w:r w:rsidRPr="00AC0617">
        <w:rPr>
          <w:rFonts w:ascii="Arial" w:eastAsia="Times New Roman" w:hAnsi="Arial" w:cs="Arial"/>
        </w:rPr>
        <w:t>Net Asset Value (“NAV”) at 30 June 2021 of £</w:t>
      </w:r>
      <w:r w:rsidRPr="00EB7C63">
        <w:rPr>
          <w:rFonts w:ascii="Arial" w:eastAsia="Times New Roman" w:hAnsi="Arial" w:cs="Arial"/>
        </w:rPr>
        <w:t>47.</w:t>
      </w:r>
      <w:r w:rsidR="00416165" w:rsidRPr="00EB7C63">
        <w:rPr>
          <w:rFonts w:ascii="Arial" w:eastAsia="Times New Roman" w:hAnsi="Arial" w:cs="Arial"/>
        </w:rPr>
        <w:t>6</w:t>
      </w:r>
      <w:r w:rsidRPr="00AC0617">
        <w:rPr>
          <w:rFonts w:ascii="Arial" w:eastAsia="Times New Roman" w:hAnsi="Arial" w:cs="Arial"/>
        </w:rPr>
        <w:t xml:space="preserve"> million, 5</w:t>
      </w:r>
      <w:r w:rsidR="003517B4">
        <w:rPr>
          <w:rFonts w:ascii="Arial" w:eastAsia="Times New Roman" w:hAnsi="Arial" w:cs="Arial"/>
        </w:rPr>
        <w:t>9.0</w:t>
      </w:r>
      <w:r w:rsidRPr="00AC0617">
        <w:rPr>
          <w:rFonts w:ascii="Arial" w:eastAsia="Times New Roman" w:hAnsi="Arial" w:cs="Arial"/>
        </w:rPr>
        <w:t xml:space="preserve">p per share, </w:t>
      </w:r>
      <w:r w:rsidRPr="00AC0617">
        <w:rPr>
          <w:rFonts w:ascii="Arial" w:hAnsi="Arial" w:cs="Arial"/>
        </w:rPr>
        <w:t>compared to £47.9 million (59.4p per share) at 31 December 2020;</w:t>
      </w:r>
    </w:p>
    <w:p w14:paraId="74478EFC" w14:textId="7F308CCB" w:rsidR="00891B3A" w:rsidRPr="00AC0617" w:rsidRDefault="00891B3A" w:rsidP="00891B3A">
      <w:pPr>
        <w:pStyle w:val="ListParagraph"/>
        <w:widowControl/>
        <w:numPr>
          <w:ilvl w:val="0"/>
          <w:numId w:val="22"/>
        </w:numPr>
        <w:suppressAutoHyphens w:val="0"/>
        <w:autoSpaceDN/>
        <w:spacing w:after="0"/>
        <w:contextualSpacing/>
        <w:jc w:val="both"/>
        <w:textAlignment w:val="auto"/>
        <w:rPr>
          <w:rFonts w:ascii="Arial" w:hAnsi="Arial" w:cs="Arial"/>
        </w:rPr>
      </w:pPr>
      <w:proofErr w:type="spellStart"/>
      <w:r w:rsidRPr="00AC0617">
        <w:rPr>
          <w:rFonts w:ascii="Arial" w:hAnsi="Arial" w:cs="Arial"/>
        </w:rPr>
        <w:t>Realised</w:t>
      </w:r>
      <w:proofErr w:type="spellEnd"/>
      <w:r w:rsidRPr="00AC0617">
        <w:rPr>
          <w:rFonts w:ascii="Arial" w:hAnsi="Arial" w:cs="Arial"/>
        </w:rPr>
        <w:t xml:space="preserve"> and </w:t>
      </w:r>
      <w:proofErr w:type="spellStart"/>
      <w:r w:rsidRPr="00AC0617">
        <w:rPr>
          <w:rFonts w:ascii="Arial" w:hAnsi="Arial" w:cs="Arial"/>
        </w:rPr>
        <w:t>unrealised</w:t>
      </w:r>
      <w:proofErr w:type="spellEnd"/>
      <w:r w:rsidRPr="00AC0617">
        <w:rPr>
          <w:rFonts w:ascii="Arial" w:hAnsi="Arial" w:cs="Arial"/>
        </w:rPr>
        <w:t xml:space="preserve"> portfolio gains, excluding</w:t>
      </w:r>
      <w:r w:rsidR="006A7B2D">
        <w:rPr>
          <w:rFonts w:ascii="Arial" w:hAnsi="Arial" w:cs="Arial"/>
        </w:rPr>
        <w:t xml:space="preserve"> </w:t>
      </w:r>
      <w:r w:rsidR="006A7B2D" w:rsidRPr="00AC0617">
        <w:rPr>
          <w:rFonts w:ascii="Arial" w:hAnsi="Arial" w:cs="Arial"/>
        </w:rPr>
        <w:t>£</w:t>
      </w:r>
      <w:r w:rsidR="006A7B2D">
        <w:rPr>
          <w:rFonts w:ascii="Arial" w:hAnsi="Arial" w:cs="Arial"/>
        </w:rPr>
        <w:t>0.2 million of</w:t>
      </w:r>
      <w:r w:rsidRPr="00AC0617">
        <w:rPr>
          <w:rFonts w:ascii="Arial" w:hAnsi="Arial" w:cs="Arial"/>
        </w:rPr>
        <w:t xml:space="preserve"> </w:t>
      </w:r>
      <w:r w:rsidR="006A7B2D" w:rsidRPr="00AC0617">
        <w:rPr>
          <w:rFonts w:ascii="Arial" w:hAnsi="Arial" w:cs="Arial"/>
        </w:rPr>
        <w:t>foreign</w:t>
      </w:r>
      <w:r w:rsidR="006A7B2D">
        <w:rPr>
          <w:rFonts w:ascii="Arial" w:hAnsi="Arial" w:cs="Arial"/>
        </w:rPr>
        <w:t xml:space="preserve"> exchange losses</w:t>
      </w:r>
      <w:r w:rsidR="00E644B1">
        <w:rPr>
          <w:rFonts w:ascii="Arial" w:hAnsi="Arial" w:cs="Arial"/>
        </w:rPr>
        <w:t>,</w:t>
      </w:r>
      <w:r w:rsidRPr="00AC0617">
        <w:rPr>
          <w:rFonts w:ascii="Arial" w:hAnsi="Arial" w:cs="Arial"/>
        </w:rPr>
        <w:t xml:space="preserve"> were £1.</w:t>
      </w:r>
      <w:r w:rsidR="006A7B2D">
        <w:rPr>
          <w:rFonts w:ascii="Arial" w:hAnsi="Arial" w:cs="Arial"/>
        </w:rPr>
        <w:t>4</w:t>
      </w:r>
      <w:r w:rsidRPr="00AC0617">
        <w:rPr>
          <w:rFonts w:ascii="Arial" w:hAnsi="Arial" w:cs="Arial"/>
        </w:rPr>
        <w:t xml:space="preserve"> million; </w:t>
      </w:r>
    </w:p>
    <w:p w14:paraId="78454FDB" w14:textId="6AC8AA80" w:rsidR="00891B3A" w:rsidRPr="00AC0617" w:rsidRDefault="00891B3A" w:rsidP="00891B3A">
      <w:pPr>
        <w:pStyle w:val="ListParagraph"/>
        <w:widowControl/>
        <w:numPr>
          <w:ilvl w:val="0"/>
          <w:numId w:val="22"/>
        </w:numPr>
        <w:suppressAutoHyphens w:val="0"/>
        <w:autoSpaceDN/>
        <w:spacing w:after="0"/>
        <w:contextualSpacing/>
        <w:jc w:val="both"/>
        <w:textAlignment w:val="auto"/>
        <w:rPr>
          <w:rFonts w:ascii="Arial" w:hAnsi="Arial" w:cs="Arial"/>
        </w:rPr>
      </w:pPr>
      <w:r w:rsidRPr="00AC0617">
        <w:rPr>
          <w:rFonts w:ascii="Arial" w:hAnsi="Arial" w:cs="Arial"/>
        </w:rPr>
        <w:t>Running costs were £0.</w:t>
      </w:r>
      <w:r w:rsidR="006A7B2D">
        <w:rPr>
          <w:rFonts w:ascii="Arial" w:hAnsi="Arial" w:cs="Arial"/>
        </w:rPr>
        <w:t>9</w:t>
      </w:r>
      <w:r w:rsidRPr="00AC0617">
        <w:rPr>
          <w:rFonts w:ascii="Arial" w:hAnsi="Arial" w:cs="Arial"/>
        </w:rPr>
        <w:t xml:space="preserve"> million and investment related costs were £0.</w:t>
      </w:r>
      <w:r w:rsidR="006D51D4">
        <w:rPr>
          <w:rFonts w:ascii="Arial" w:hAnsi="Arial" w:cs="Arial"/>
        </w:rPr>
        <w:t>1</w:t>
      </w:r>
      <w:r w:rsidRPr="00AC0617">
        <w:rPr>
          <w:rFonts w:ascii="Arial" w:hAnsi="Arial" w:cs="Arial"/>
        </w:rPr>
        <w:t xml:space="preserve"> million</w:t>
      </w:r>
      <w:r w:rsidR="00B742A3">
        <w:rPr>
          <w:rFonts w:ascii="Arial" w:hAnsi="Arial" w:cs="Arial"/>
        </w:rPr>
        <w:t>;</w:t>
      </w:r>
    </w:p>
    <w:p w14:paraId="16157D92" w14:textId="759B385F" w:rsidR="00891B3A" w:rsidRPr="00AC0617" w:rsidRDefault="00891B3A" w:rsidP="00891B3A">
      <w:pPr>
        <w:pStyle w:val="ListParagraph"/>
        <w:widowControl/>
        <w:numPr>
          <w:ilvl w:val="0"/>
          <w:numId w:val="22"/>
        </w:numPr>
        <w:suppressAutoHyphens w:val="0"/>
        <w:autoSpaceDN/>
        <w:spacing w:after="0"/>
        <w:contextualSpacing/>
        <w:jc w:val="both"/>
        <w:textAlignment w:val="auto"/>
        <w:rPr>
          <w:rFonts w:ascii="Arial" w:hAnsi="Arial" w:cs="Arial"/>
        </w:rPr>
      </w:pPr>
      <w:r w:rsidRPr="00AC0617">
        <w:rPr>
          <w:rFonts w:ascii="Arial" w:hAnsi="Arial" w:cs="Arial"/>
        </w:rPr>
        <w:t>Cash proceeds of £2.</w:t>
      </w:r>
      <w:r w:rsidR="006D51D4">
        <w:rPr>
          <w:rFonts w:ascii="Arial" w:hAnsi="Arial" w:cs="Arial"/>
        </w:rPr>
        <w:t>4</w:t>
      </w:r>
      <w:r w:rsidRPr="00AC0617">
        <w:rPr>
          <w:rFonts w:ascii="Arial" w:hAnsi="Arial" w:cs="Arial"/>
        </w:rPr>
        <w:t xml:space="preserve"> million from </w:t>
      </w:r>
      <w:proofErr w:type="spellStart"/>
      <w:r w:rsidRPr="00AC0617">
        <w:rPr>
          <w:rFonts w:ascii="Arial" w:hAnsi="Arial" w:cs="Arial"/>
        </w:rPr>
        <w:t>realisations</w:t>
      </w:r>
      <w:proofErr w:type="spellEnd"/>
      <w:r w:rsidRPr="00AC0617">
        <w:rPr>
          <w:rFonts w:ascii="Arial" w:hAnsi="Arial" w:cs="Arial"/>
        </w:rPr>
        <w:t xml:space="preserve"> during the half year;</w:t>
      </w:r>
      <w:r w:rsidR="004C69E4">
        <w:rPr>
          <w:rFonts w:ascii="Arial" w:hAnsi="Arial" w:cs="Arial"/>
        </w:rPr>
        <w:t xml:space="preserve"> </w:t>
      </w:r>
    </w:p>
    <w:p w14:paraId="517F0B00" w14:textId="6CE92C76" w:rsidR="00891B3A" w:rsidRPr="00AC0617" w:rsidRDefault="00891B3A" w:rsidP="00891B3A">
      <w:pPr>
        <w:pStyle w:val="ListParagraph"/>
        <w:widowControl/>
        <w:numPr>
          <w:ilvl w:val="0"/>
          <w:numId w:val="22"/>
        </w:numPr>
        <w:suppressAutoHyphens w:val="0"/>
        <w:autoSpaceDN/>
        <w:spacing w:after="0"/>
        <w:contextualSpacing/>
        <w:jc w:val="both"/>
        <w:textAlignment w:val="auto"/>
        <w:rPr>
          <w:rFonts w:ascii="Arial" w:hAnsi="Arial" w:cs="Arial"/>
        </w:rPr>
      </w:pPr>
      <w:r w:rsidRPr="00AC0617">
        <w:rPr>
          <w:rFonts w:ascii="Arial" w:hAnsi="Arial" w:cs="Arial"/>
        </w:rPr>
        <w:t>Final dividend payment in June 2021 of 0.6 pence per share for the year ended 31</w:t>
      </w:r>
      <w:r w:rsidR="00D90816" w:rsidRPr="00D90816">
        <w:rPr>
          <w:rFonts w:ascii="Arial" w:hAnsi="Arial" w:cs="Arial"/>
          <w:color w:val="FFFFFF" w:themeColor="background1"/>
        </w:rPr>
        <w:t>x</w:t>
      </w:r>
      <w:r w:rsidRPr="00AC0617">
        <w:rPr>
          <w:rFonts w:ascii="Arial" w:hAnsi="Arial" w:cs="Arial"/>
        </w:rPr>
        <w:t>December 2020; and</w:t>
      </w:r>
    </w:p>
    <w:p w14:paraId="11D5EB59" w14:textId="77777777" w:rsidR="00891B3A" w:rsidRPr="00AC0617" w:rsidRDefault="00891B3A" w:rsidP="00891B3A">
      <w:pPr>
        <w:pStyle w:val="ListParagraph"/>
        <w:widowControl/>
        <w:numPr>
          <w:ilvl w:val="0"/>
          <w:numId w:val="22"/>
        </w:numPr>
        <w:suppressAutoHyphens w:val="0"/>
        <w:autoSpaceDN/>
        <w:spacing w:after="0"/>
        <w:contextualSpacing/>
        <w:jc w:val="both"/>
        <w:textAlignment w:val="auto"/>
        <w:rPr>
          <w:rFonts w:ascii="Arial" w:hAnsi="Arial" w:cs="Arial"/>
        </w:rPr>
      </w:pPr>
      <w:r w:rsidRPr="00AC0617">
        <w:rPr>
          <w:rFonts w:ascii="Arial" w:hAnsi="Arial" w:cs="Arial"/>
        </w:rPr>
        <w:t xml:space="preserve">Cash at 30 June 2021 was £21.4 </w:t>
      </w:r>
      <w:r w:rsidRPr="00AC0617">
        <w:rPr>
          <w:rFonts w:ascii="Arial" w:eastAsia="Times New Roman" w:hAnsi="Arial" w:cs="Arial"/>
        </w:rPr>
        <w:t xml:space="preserve">million (31 December 2020: £20.6 million), including £5.9 million held in subsidiaries and representing </w:t>
      </w:r>
      <w:r w:rsidRPr="00AC0617">
        <w:rPr>
          <w:rFonts w:ascii="Arial" w:hAnsi="Arial" w:cs="Arial"/>
        </w:rPr>
        <w:t>approximately 26.5p per share.</w:t>
      </w:r>
    </w:p>
    <w:p w14:paraId="56B281D5" w14:textId="4675DBDE" w:rsidR="00891B3A" w:rsidRDefault="00891B3A" w:rsidP="00891B3A">
      <w:pPr>
        <w:spacing w:after="0"/>
        <w:jc w:val="both"/>
        <w:rPr>
          <w:rFonts w:ascii="Arial" w:hAnsi="Arial" w:cs="Arial"/>
          <w:b/>
          <w:bCs/>
        </w:rPr>
      </w:pPr>
    </w:p>
    <w:p w14:paraId="3280B49B" w14:textId="77777777" w:rsidR="001444D1" w:rsidRPr="00AC0617" w:rsidRDefault="001444D1" w:rsidP="00891B3A">
      <w:pPr>
        <w:spacing w:after="0"/>
        <w:jc w:val="both"/>
        <w:rPr>
          <w:rFonts w:ascii="Arial" w:hAnsi="Arial" w:cs="Arial"/>
          <w:b/>
          <w:bCs/>
        </w:rPr>
      </w:pPr>
    </w:p>
    <w:p w14:paraId="4DB8A35E" w14:textId="0C8FCFC4" w:rsidR="00891B3A" w:rsidRPr="001444D1" w:rsidRDefault="00891B3A" w:rsidP="001444D1">
      <w:pPr>
        <w:widowControl/>
        <w:suppressAutoHyphens w:val="0"/>
        <w:autoSpaceDN/>
        <w:spacing w:after="0"/>
        <w:contextualSpacing/>
        <w:jc w:val="both"/>
        <w:textAlignment w:val="auto"/>
        <w:rPr>
          <w:rFonts w:ascii="Arial" w:hAnsi="Arial" w:cs="Arial"/>
        </w:rPr>
      </w:pPr>
      <w:r w:rsidRPr="001444D1">
        <w:rPr>
          <w:rFonts w:ascii="Arial" w:hAnsi="Arial" w:cs="Arial"/>
        </w:rPr>
        <w:t xml:space="preserve">. </w:t>
      </w:r>
    </w:p>
    <w:p w14:paraId="3F6025F0" w14:textId="77777777" w:rsidR="00891B3A" w:rsidRDefault="00891B3A" w:rsidP="00891B3A">
      <w:pPr>
        <w:widowControl/>
        <w:suppressAutoHyphens w:val="0"/>
        <w:autoSpaceDN/>
        <w:spacing w:after="160" w:line="259" w:lineRule="auto"/>
        <w:textAlignment w:val="auto"/>
        <w:rPr>
          <w:rFonts w:ascii="Arial" w:hAnsi="Arial" w:cs="Arial"/>
        </w:rPr>
      </w:pPr>
      <w:r>
        <w:rPr>
          <w:rFonts w:ascii="Arial" w:hAnsi="Arial" w:cs="Arial"/>
        </w:rPr>
        <w:br w:type="page"/>
      </w:r>
    </w:p>
    <w:p w14:paraId="7AE2CD72" w14:textId="3F060739" w:rsidR="001444D1" w:rsidRDefault="00D12B53" w:rsidP="001444D1">
      <w:pPr>
        <w:spacing w:after="0"/>
        <w:jc w:val="both"/>
        <w:rPr>
          <w:rFonts w:ascii="Arial" w:hAnsi="Arial" w:cs="Arial"/>
          <w:b/>
          <w:bCs/>
        </w:rPr>
      </w:pPr>
      <w:r>
        <w:rPr>
          <w:rFonts w:ascii="Arial" w:hAnsi="Arial" w:cs="Arial"/>
          <w:b/>
          <w:bCs/>
        </w:rPr>
        <w:lastRenderedPageBreak/>
        <w:t xml:space="preserve">Interim </w:t>
      </w:r>
      <w:r w:rsidR="001444D1" w:rsidRPr="00AC0617">
        <w:rPr>
          <w:rFonts w:ascii="Arial" w:hAnsi="Arial" w:cs="Arial"/>
          <w:b/>
          <w:bCs/>
        </w:rPr>
        <w:t>Dividend</w:t>
      </w:r>
    </w:p>
    <w:p w14:paraId="69F08147" w14:textId="77777777" w:rsidR="001444D1" w:rsidRPr="00AC0617" w:rsidRDefault="001444D1" w:rsidP="001444D1">
      <w:pPr>
        <w:spacing w:after="0"/>
        <w:jc w:val="both"/>
        <w:rPr>
          <w:rFonts w:ascii="Arial" w:hAnsi="Arial" w:cs="Arial"/>
          <w:b/>
          <w:bCs/>
        </w:rPr>
      </w:pPr>
    </w:p>
    <w:p w14:paraId="669C4B64" w14:textId="0D747552" w:rsidR="00891B3A" w:rsidRDefault="001444D1" w:rsidP="00C04D31">
      <w:pPr>
        <w:pStyle w:val="ListParagraph"/>
        <w:numPr>
          <w:ilvl w:val="0"/>
          <w:numId w:val="35"/>
        </w:numPr>
        <w:suppressAutoHyphens w:val="0"/>
        <w:autoSpaceDN/>
        <w:contextualSpacing/>
        <w:jc w:val="both"/>
        <w:textAlignment w:val="auto"/>
        <w:rPr>
          <w:rFonts w:ascii="Arial" w:hAnsi="Arial" w:cs="Arial"/>
        </w:rPr>
      </w:pPr>
      <w:r w:rsidRPr="00AC0617">
        <w:rPr>
          <w:rFonts w:ascii="Arial" w:hAnsi="Arial" w:cs="Arial"/>
        </w:rPr>
        <w:t>Under the Company’s progressive annual dividend policy, the Board targets a dividend in respect of each financial year of approximately 1.5% of that year’s closing net asset value</w:t>
      </w:r>
      <w:r w:rsidR="00AD6602">
        <w:rPr>
          <w:rFonts w:ascii="Arial" w:hAnsi="Arial" w:cs="Arial"/>
        </w:rPr>
        <w:t>.</w:t>
      </w:r>
    </w:p>
    <w:p w14:paraId="4EAB1D31" w14:textId="77777777" w:rsidR="003B28E2" w:rsidRPr="00AC0617" w:rsidRDefault="003B28E2" w:rsidP="003B28E2">
      <w:pPr>
        <w:pStyle w:val="ListParagraph"/>
        <w:suppressAutoHyphens w:val="0"/>
        <w:autoSpaceDN/>
        <w:contextualSpacing/>
        <w:jc w:val="both"/>
        <w:textAlignment w:val="auto"/>
        <w:rPr>
          <w:rFonts w:ascii="Arial" w:hAnsi="Arial" w:cs="Arial"/>
        </w:rPr>
      </w:pPr>
    </w:p>
    <w:p w14:paraId="01DE43B5" w14:textId="5B1A7FEF" w:rsidR="00891B3A" w:rsidRDefault="00891B3A" w:rsidP="00B240F7">
      <w:pPr>
        <w:pStyle w:val="ListParagraph"/>
        <w:widowControl/>
        <w:numPr>
          <w:ilvl w:val="0"/>
          <w:numId w:val="24"/>
        </w:numPr>
        <w:suppressAutoHyphens w:val="0"/>
        <w:autoSpaceDN/>
        <w:spacing w:after="0"/>
        <w:contextualSpacing/>
        <w:jc w:val="both"/>
        <w:textAlignment w:val="auto"/>
        <w:rPr>
          <w:rFonts w:ascii="Arial" w:hAnsi="Arial" w:cs="Arial"/>
        </w:rPr>
      </w:pPr>
      <w:r w:rsidRPr="006316E0">
        <w:rPr>
          <w:rFonts w:ascii="Arial" w:hAnsi="Arial" w:cs="Arial"/>
        </w:rPr>
        <w:t xml:space="preserve">The Board has approved an interim dividend in respect of the Company’s financial year to 31 December 2021 of 0.3 pence per share. The dividend will be paid on </w:t>
      </w:r>
      <w:r w:rsidR="006A7B2D" w:rsidRPr="006316E0">
        <w:rPr>
          <w:rFonts w:ascii="Arial" w:hAnsi="Arial" w:cs="Arial"/>
        </w:rPr>
        <w:t>15</w:t>
      </w:r>
      <w:r w:rsidR="00924B6E" w:rsidRPr="006316E0">
        <w:rPr>
          <w:rFonts w:ascii="Arial" w:hAnsi="Arial" w:cs="Arial"/>
          <w:color w:val="FFFFFF" w:themeColor="background1"/>
        </w:rPr>
        <w:t>x</w:t>
      </w:r>
      <w:r w:rsidRPr="006316E0">
        <w:rPr>
          <w:rFonts w:ascii="Arial" w:hAnsi="Arial" w:cs="Arial"/>
        </w:rPr>
        <w:t xml:space="preserve">September 2021 to shareholders on the share register at close of business on </w:t>
      </w:r>
      <w:r w:rsidR="006A7B2D" w:rsidRPr="006316E0">
        <w:rPr>
          <w:rFonts w:ascii="Arial" w:hAnsi="Arial" w:cs="Arial"/>
        </w:rPr>
        <w:t>13</w:t>
      </w:r>
      <w:r w:rsidR="00924B6E" w:rsidRPr="006316E0">
        <w:rPr>
          <w:rFonts w:ascii="Arial" w:hAnsi="Arial" w:cs="Arial"/>
          <w:color w:val="FFFFFF" w:themeColor="background1"/>
        </w:rPr>
        <w:t>x</w:t>
      </w:r>
      <w:r w:rsidRPr="006316E0">
        <w:rPr>
          <w:rFonts w:ascii="Arial" w:hAnsi="Arial" w:cs="Arial"/>
        </w:rPr>
        <w:t xml:space="preserve">August 2021 (with an ex-dividend date of </w:t>
      </w:r>
      <w:r w:rsidR="006A7B2D" w:rsidRPr="006316E0">
        <w:rPr>
          <w:rFonts w:ascii="Arial" w:hAnsi="Arial" w:cs="Arial"/>
        </w:rPr>
        <w:t>12</w:t>
      </w:r>
      <w:r w:rsidRPr="006316E0">
        <w:rPr>
          <w:rFonts w:ascii="Arial" w:hAnsi="Arial" w:cs="Arial"/>
        </w:rPr>
        <w:t xml:space="preserve"> August 2021</w:t>
      </w:r>
      <w:r w:rsidR="006316E0">
        <w:rPr>
          <w:rFonts w:ascii="Arial" w:hAnsi="Arial" w:cs="Arial"/>
        </w:rPr>
        <w:t>).</w:t>
      </w:r>
    </w:p>
    <w:p w14:paraId="22AACAAB" w14:textId="77777777" w:rsidR="006316E0" w:rsidRPr="006316E0" w:rsidRDefault="006316E0" w:rsidP="006316E0">
      <w:pPr>
        <w:pStyle w:val="ListParagraph"/>
        <w:widowControl/>
        <w:suppressAutoHyphens w:val="0"/>
        <w:autoSpaceDN/>
        <w:spacing w:after="0"/>
        <w:contextualSpacing/>
        <w:jc w:val="both"/>
        <w:textAlignment w:val="auto"/>
        <w:rPr>
          <w:rFonts w:ascii="Arial" w:hAnsi="Arial" w:cs="Arial"/>
        </w:rPr>
      </w:pPr>
    </w:p>
    <w:p w14:paraId="0156ABDB" w14:textId="77777777" w:rsidR="006316E0" w:rsidRDefault="00891B3A" w:rsidP="006316E0">
      <w:pPr>
        <w:spacing w:after="0"/>
        <w:jc w:val="both"/>
        <w:rPr>
          <w:rFonts w:ascii="Arial" w:hAnsi="Arial" w:cs="Arial"/>
        </w:rPr>
      </w:pPr>
      <w:r w:rsidRPr="006316E0">
        <w:rPr>
          <w:rFonts w:ascii="Arial" w:hAnsi="Arial" w:cs="Arial"/>
        </w:rPr>
        <w:t>Robert Rayne, Chairman, commented:</w:t>
      </w:r>
      <w:r w:rsidR="00D90816" w:rsidRPr="006316E0">
        <w:rPr>
          <w:rFonts w:ascii="Arial" w:hAnsi="Arial" w:cs="Arial"/>
        </w:rPr>
        <w:t xml:space="preserve"> </w:t>
      </w:r>
    </w:p>
    <w:p w14:paraId="5C1F0DBE" w14:textId="77777777" w:rsidR="006316E0" w:rsidRDefault="006316E0" w:rsidP="006316E0">
      <w:pPr>
        <w:spacing w:after="0"/>
        <w:jc w:val="both"/>
        <w:rPr>
          <w:rFonts w:ascii="Arial" w:hAnsi="Arial" w:cs="Arial"/>
        </w:rPr>
      </w:pPr>
    </w:p>
    <w:p w14:paraId="6D603089" w14:textId="6F6CEDA3" w:rsidR="00891B3A" w:rsidRPr="006316E0" w:rsidRDefault="00891B3A" w:rsidP="006316E0">
      <w:pPr>
        <w:spacing w:after="0"/>
        <w:jc w:val="both"/>
        <w:rPr>
          <w:rFonts w:ascii="Arial" w:hAnsi="Arial" w:cs="Arial"/>
        </w:rPr>
      </w:pPr>
      <w:r w:rsidRPr="006316E0">
        <w:rPr>
          <w:rFonts w:ascii="Arial" w:hAnsi="Arial" w:cs="Arial"/>
        </w:rPr>
        <w:t>“</w:t>
      </w:r>
      <w:r w:rsidR="007472DD" w:rsidRPr="002F6068">
        <w:rPr>
          <w:rFonts w:ascii="Arial" w:hAnsi="Arial" w:cs="Arial"/>
        </w:rPr>
        <w:t xml:space="preserve">The first six months of 2021 </w:t>
      </w:r>
      <w:r w:rsidR="007472DD">
        <w:rPr>
          <w:rFonts w:ascii="Arial" w:hAnsi="Arial" w:cs="Arial"/>
        </w:rPr>
        <w:t xml:space="preserve">have </w:t>
      </w:r>
      <w:r w:rsidR="007472DD" w:rsidRPr="002F6068">
        <w:rPr>
          <w:rFonts w:ascii="Arial" w:hAnsi="Arial" w:cs="Arial"/>
        </w:rPr>
        <w:t>show</w:t>
      </w:r>
      <w:r w:rsidR="007472DD">
        <w:rPr>
          <w:rFonts w:ascii="Arial" w:hAnsi="Arial" w:cs="Arial"/>
        </w:rPr>
        <w:t>n further</w:t>
      </w:r>
      <w:r w:rsidR="007472DD" w:rsidRPr="002F6068">
        <w:rPr>
          <w:rFonts w:ascii="Arial" w:hAnsi="Arial" w:cs="Arial"/>
        </w:rPr>
        <w:t xml:space="preserve"> progress including</w:t>
      </w:r>
      <w:r w:rsidR="007472DD">
        <w:rPr>
          <w:rFonts w:ascii="Arial" w:hAnsi="Arial" w:cs="Arial"/>
        </w:rPr>
        <w:t xml:space="preserve"> profitable </w:t>
      </w:r>
      <w:proofErr w:type="spellStart"/>
      <w:r w:rsidR="007472DD" w:rsidRPr="002F6068">
        <w:rPr>
          <w:rFonts w:ascii="Arial" w:hAnsi="Arial" w:cs="Arial"/>
        </w:rPr>
        <w:t>realisations</w:t>
      </w:r>
      <w:proofErr w:type="spellEnd"/>
      <w:r w:rsidR="007472DD" w:rsidRPr="002F6068">
        <w:rPr>
          <w:rFonts w:ascii="Arial" w:hAnsi="Arial" w:cs="Arial"/>
        </w:rPr>
        <w:t xml:space="preserve"> from </w:t>
      </w:r>
      <w:r w:rsidR="007472DD">
        <w:rPr>
          <w:rFonts w:ascii="Arial" w:hAnsi="Arial" w:cs="Arial"/>
        </w:rPr>
        <w:t>our</w:t>
      </w:r>
      <w:r w:rsidR="007472DD" w:rsidRPr="002F6068">
        <w:rPr>
          <w:rFonts w:ascii="Arial" w:hAnsi="Arial" w:cs="Arial"/>
        </w:rPr>
        <w:t xml:space="preserve"> existing portfolio and continuing to execute </w:t>
      </w:r>
      <w:r w:rsidR="007472DD">
        <w:rPr>
          <w:rFonts w:ascii="Arial" w:hAnsi="Arial" w:cs="Arial"/>
        </w:rPr>
        <w:t>our</w:t>
      </w:r>
      <w:r w:rsidR="007472DD" w:rsidRPr="002F6068">
        <w:rPr>
          <w:rFonts w:ascii="Arial" w:hAnsi="Arial" w:cs="Arial"/>
        </w:rPr>
        <w:t xml:space="preserve"> annual dividend policy</w:t>
      </w:r>
      <w:r w:rsidR="007472DD">
        <w:rPr>
          <w:rFonts w:ascii="Arial" w:hAnsi="Arial" w:cs="Arial"/>
        </w:rPr>
        <w:t xml:space="preserve">. The continued regulatory delay to Dacian, the Romanian oil and gas company in which we have committed to invest, </w:t>
      </w:r>
      <w:r w:rsidR="007472DD" w:rsidRPr="008D4734">
        <w:rPr>
          <w:rFonts w:ascii="Arial" w:hAnsi="Arial" w:cs="Arial"/>
        </w:rPr>
        <w:t>is frustrating and we are working hard to conclude the deal. We continue to look actively for the right opportunities to develop our deal pipeline and deploy capital in our chosen areas.”</w:t>
      </w:r>
    </w:p>
    <w:p w14:paraId="1E32FBCC" w14:textId="77777777" w:rsidR="00891B3A" w:rsidRPr="00AC0617" w:rsidRDefault="00891B3A" w:rsidP="00891B3A">
      <w:pPr>
        <w:spacing w:after="0"/>
        <w:jc w:val="both"/>
        <w:rPr>
          <w:rFonts w:ascii="Arial" w:hAnsi="Arial" w:cs="Arial"/>
        </w:rPr>
      </w:pPr>
    </w:p>
    <w:p w14:paraId="24F276AF" w14:textId="77777777" w:rsidR="00891B3A" w:rsidRPr="00AC0617" w:rsidRDefault="00891B3A" w:rsidP="00891B3A">
      <w:pPr>
        <w:spacing w:after="0"/>
        <w:jc w:val="both"/>
        <w:rPr>
          <w:rFonts w:ascii="Arial" w:hAnsi="Arial" w:cs="Arial"/>
        </w:rPr>
      </w:pPr>
    </w:p>
    <w:p w14:paraId="04BFEC8C" w14:textId="4F9D24A6" w:rsidR="00891B3A" w:rsidRPr="00AC0617" w:rsidRDefault="00EB6938" w:rsidP="00891B3A">
      <w:pPr>
        <w:spacing w:after="0"/>
        <w:jc w:val="both"/>
        <w:rPr>
          <w:rFonts w:ascii="Arial" w:hAnsi="Arial" w:cs="Arial"/>
          <w:b/>
          <w:bCs/>
        </w:rPr>
      </w:pPr>
      <w:r>
        <w:rPr>
          <w:rFonts w:ascii="Arial" w:hAnsi="Arial" w:cs="Arial"/>
          <w:b/>
          <w:bCs/>
        </w:rPr>
        <w:t>2</w:t>
      </w:r>
      <w:r w:rsidR="00891B3A" w:rsidRPr="00AC0617">
        <w:rPr>
          <w:rFonts w:ascii="Arial" w:hAnsi="Arial" w:cs="Arial"/>
          <w:b/>
          <w:bCs/>
        </w:rPr>
        <w:t xml:space="preserve"> August 2021</w:t>
      </w:r>
    </w:p>
    <w:p w14:paraId="51E26996" w14:textId="77777777" w:rsidR="00891B3A" w:rsidRDefault="00891B3A" w:rsidP="00891B3A">
      <w:pPr>
        <w:spacing w:after="0"/>
        <w:jc w:val="both"/>
        <w:rPr>
          <w:rFonts w:ascii="Arial" w:hAnsi="Arial" w:cs="Arial"/>
        </w:rPr>
      </w:pPr>
    </w:p>
    <w:p w14:paraId="75F97834" w14:textId="77777777" w:rsidR="00891B3A" w:rsidRDefault="00891B3A" w:rsidP="00891B3A">
      <w:pPr>
        <w:spacing w:after="0"/>
        <w:jc w:val="both"/>
        <w:rPr>
          <w:rFonts w:ascii="Arial" w:hAnsi="Arial" w:cs="Arial"/>
        </w:rPr>
      </w:pPr>
    </w:p>
    <w:p w14:paraId="7E85657D" w14:textId="77777777" w:rsidR="00891B3A" w:rsidRPr="00AC0617" w:rsidRDefault="00891B3A" w:rsidP="00891B3A">
      <w:pPr>
        <w:spacing w:after="0"/>
        <w:jc w:val="both"/>
        <w:rPr>
          <w:rFonts w:ascii="Arial" w:hAnsi="Arial" w:cs="Arial"/>
        </w:rPr>
      </w:pPr>
    </w:p>
    <w:p w14:paraId="5E935D53" w14:textId="77777777" w:rsidR="00891B3A" w:rsidRPr="00AC0617" w:rsidRDefault="00891B3A" w:rsidP="00891B3A">
      <w:pPr>
        <w:spacing w:after="0"/>
        <w:jc w:val="both"/>
        <w:rPr>
          <w:rFonts w:ascii="Arial" w:hAnsi="Arial" w:cs="Arial"/>
          <w:b/>
        </w:rPr>
      </w:pPr>
      <w:r w:rsidRPr="00AC0617">
        <w:rPr>
          <w:rFonts w:ascii="Arial" w:hAnsi="Arial" w:cs="Arial"/>
          <w:b/>
        </w:rPr>
        <w:t>Enquiries:</w:t>
      </w:r>
    </w:p>
    <w:p w14:paraId="56702F2A" w14:textId="77777777" w:rsidR="00891B3A" w:rsidRPr="00AC0617" w:rsidRDefault="00891B3A" w:rsidP="00891B3A">
      <w:pPr>
        <w:spacing w:after="0"/>
        <w:jc w:val="both"/>
        <w:rPr>
          <w:rFonts w:ascii="Arial" w:hAnsi="Arial" w:cs="Arial"/>
          <w:b/>
        </w:rPr>
      </w:pPr>
      <w:r w:rsidRPr="00AC0617">
        <w:rPr>
          <w:rFonts w:ascii="Arial" w:hAnsi="Arial" w:cs="Arial"/>
          <w:b/>
        </w:rPr>
        <w:t xml:space="preserve">LMS Capital PLC </w:t>
      </w:r>
    </w:p>
    <w:p w14:paraId="28CE3B52" w14:textId="77777777" w:rsidR="00891B3A" w:rsidRPr="00AC0617" w:rsidRDefault="00891B3A" w:rsidP="00891B3A">
      <w:pPr>
        <w:spacing w:after="0"/>
        <w:jc w:val="both"/>
        <w:rPr>
          <w:rFonts w:ascii="Arial" w:hAnsi="Arial" w:cs="Arial"/>
          <w:b/>
        </w:rPr>
      </w:pPr>
      <w:r w:rsidRPr="00AC0617">
        <w:rPr>
          <w:rFonts w:ascii="Arial" w:hAnsi="Arial" w:cs="Arial"/>
          <w:b/>
        </w:rPr>
        <w:t>0207 935 3555</w:t>
      </w:r>
    </w:p>
    <w:p w14:paraId="7CA3D6CC" w14:textId="77777777" w:rsidR="00891B3A" w:rsidRPr="00AC0617" w:rsidRDefault="00891B3A" w:rsidP="00891B3A">
      <w:pPr>
        <w:spacing w:after="0"/>
        <w:jc w:val="both"/>
        <w:rPr>
          <w:rFonts w:ascii="Arial" w:hAnsi="Arial" w:cs="Arial"/>
          <w:b/>
        </w:rPr>
      </w:pPr>
      <w:r w:rsidRPr="00AC0617">
        <w:rPr>
          <w:rFonts w:ascii="Arial" w:hAnsi="Arial" w:cs="Arial"/>
          <w:b/>
        </w:rPr>
        <w:t>Robert Rayne, Chairman</w:t>
      </w:r>
    </w:p>
    <w:p w14:paraId="347454CF" w14:textId="77777777" w:rsidR="00891B3A" w:rsidRDefault="00891B3A" w:rsidP="00891B3A">
      <w:pPr>
        <w:spacing w:after="0"/>
        <w:jc w:val="both"/>
        <w:rPr>
          <w:rFonts w:ascii="Arial" w:hAnsi="Arial" w:cs="Arial"/>
          <w:b/>
        </w:rPr>
      </w:pPr>
      <w:r w:rsidRPr="00AC0617">
        <w:rPr>
          <w:rFonts w:ascii="Arial" w:hAnsi="Arial" w:cs="Arial"/>
          <w:b/>
        </w:rPr>
        <w:t xml:space="preserve">Nick </w:t>
      </w:r>
      <w:proofErr w:type="spellStart"/>
      <w:r w:rsidRPr="00AC0617">
        <w:rPr>
          <w:rFonts w:ascii="Arial" w:hAnsi="Arial" w:cs="Arial"/>
          <w:b/>
        </w:rPr>
        <w:t>Friedlos</w:t>
      </w:r>
      <w:proofErr w:type="spellEnd"/>
      <w:r w:rsidRPr="00AC0617">
        <w:rPr>
          <w:rFonts w:ascii="Arial" w:hAnsi="Arial" w:cs="Arial"/>
          <w:b/>
        </w:rPr>
        <w:t>, Managing Director</w:t>
      </w:r>
    </w:p>
    <w:p w14:paraId="6DE6570C" w14:textId="77777777" w:rsidR="00891B3A" w:rsidRDefault="00891B3A" w:rsidP="00891B3A">
      <w:pPr>
        <w:spacing w:after="0"/>
        <w:jc w:val="both"/>
        <w:rPr>
          <w:rFonts w:ascii="Arial" w:hAnsi="Arial" w:cs="Arial"/>
          <w:b/>
        </w:rPr>
      </w:pPr>
    </w:p>
    <w:p w14:paraId="38A65CFF" w14:textId="77777777" w:rsidR="00891B3A" w:rsidRDefault="00891B3A" w:rsidP="00891B3A">
      <w:pPr>
        <w:spacing w:after="0"/>
        <w:jc w:val="both"/>
        <w:rPr>
          <w:rFonts w:ascii="Arial" w:hAnsi="Arial" w:cs="Arial"/>
          <w:b/>
        </w:rPr>
      </w:pPr>
    </w:p>
    <w:p w14:paraId="614A835E" w14:textId="77777777" w:rsidR="00891B3A" w:rsidRDefault="00891B3A" w:rsidP="00891B3A">
      <w:pPr>
        <w:spacing w:after="0"/>
        <w:jc w:val="both"/>
        <w:rPr>
          <w:rFonts w:ascii="Arial" w:hAnsi="Arial" w:cs="Arial"/>
          <w:b/>
        </w:rPr>
      </w:pPr>
    </w:p>
    <w:p w14:paraId="029E9A19" w14:textId="77777777" w:rsidR="00891B3A" w:rsidRDefault="00891B3A" w:rsidP="00891B3A">
      <w:pPr>
        <w:spacing w:after="0"/>
        <w:jc w:val="both"/>
        <w:rPr>
          <w:rFonts w:ascii="Arial" w:hAnsi="Arial" w:cs="Arial"/>
          <w:b/>
        </w:rPr>
      </w:pPr>
    </w:p>
    <w:p w14:paraId="198A689B" w14:textId="77777777" w:rsidR="00891B3A" w:rsidRDefault="00891B3A" w:rsidP="00891B3A">
      <w:pPr>
        <w:spacing w:after="0"/>
        <w:jc w:val="both"/>
        <w:rPr>
          <w:rFonts w:ascii="Arial" w:hAnsi="Arial" w:cs="Arial"/>
          <w:b/>
        </w:rPr>
      </w:pPr>
    </w:p>
    <w:p w14:paraId="6DDBCCA3" w14:textId="77777777" w:rsidR="00891B3A" w:rsidRDefault="00891B3A" w:rsidP="00891B3A">
      <w:pPr>
        <w:spacing w:after="0"/>
        <w:jc w:val="both"/>
        <w:rPr>
          <w:rFonts w:ascii="Arial" w:hAnsi="Arial" w:cs="Arial"/>
          <w:b/>
        </w:rPr>
      </w:pPr>
    </w:p>
    <w:p w14:paraId="24468141" w14:textId="77777777" w:rsidR="00891B3A" w:rsidRDefault="00891B3A" w:rsidP="00891B3A">
      <w:pPr>
        <w:spacing w:after="0"/>
        <w:jc w:val="both"/>
        <w:rPr>
          <w:rFonts w:ascii="Arial" w:hAnsi="Arial" w:cs="Arial"/>
          <w:b/>
        </w:rPr>
      </w:pPr>
    </w:p>
    <w:p w14:paraId="3FD94DCA" w14:textId="77777777" w:rsidR="00891B3A" w:rsidRDefault="00891B3A" w:rsidP="00891B3A">
      <w:pPr>
        <w:spacing w:after="0"/>
        <w:jc w:val="both"/>
        <w:rPr>
          <w:rFonts w:ascii="Arial" w:hAnsi="Arial" w:cs="Arial"/>
          <w:b/>
        </w:rPr>
      </w:pPr>
    </w:p>
    <w:p w14:paraId="0E8A1A8C" w14:textId="77777777" w:rsidR="00891B3A" w:rsidRDefault="00891B3A" w:rsidP="00891B3A">
      <w:pPr>
        <w:spacing w:after="0"/>
        <w:jc w:val="both"/>
        <w:rPr>
          <w:rFonts w:ascii="Arial" w:hAnsi="Arial" w:cs="Arial"/>
          <w:b/>
        </w:rPr>
      </w:pPr>
    </w:p>
    <w:p w14:paraId="6329305E" w14:textId="77777777" w:rsidR="00891B3A" w:rsidRDefault="00891B3A" w:rsidP="00891B3A">
      <w:pPr>
        <w:spacing w:after="0"/>
        <w:jc w:val="both"/>
        <w:rPr>
          <w:rFonts w:ascii="Arial" w:hAnsi="Arial" w:cs="Arial"/>
          <w:b/>
        </w:rPr>
      </w:pPr>
    </w:p>
    <w:p w14:paraId="3E31793D" w14:textId="77777777" w:rsidR="00891B3A" w:rsidRDefault="00891B3A" w:rsidP="00891B3A">
      <w:pPr>
        <w:spacing w:after="0"/>
        <w:jc w:val="both"/>
        <w:rPr>
          <w:rFonts w:ascii="Arial" w:hAnsi="Arial" w:cs="Arial"/>
          <w:b/>
        </w:rPr>
      </w:pPr>
    </w:p>
    <w:p w14:paraId="0B04F301" w14:textId="77777777" w:rsidR="00891B3A" w:rsidRDefault="00891B3A" w:rsidP="00891B3A">
      <w:pPr>
        <w:spacing w:after="0"/>
        <w:jc w:val="both"/>
        <w:rPr>
          <w:rFonts w:ascii="Arial" w:hAnsi="Arial" w:cs="Arial"/>
          <w:b/>
        </w:rPr>
      </w:pPr>
    </w:p>
    <w:p w14:paraId="57EB18AC" w14:textId="77777777" w:rsidR="00891B3A" w:rsidRDefault="00891B3A" w:rsidP="00891B3A">
      <w:pPr>
        <w:spacing w:after="0"/>
        <w:jc w:val="both"/>
        <w:rPr>
          <w:rFonts w:ascii="Arial" w:hAnsi="Arial" w:cs="Arial"/>
          <w:b/>
        </w:rPr>
      </w:pPr>
    </w:p>
    <w:p w14:paraId="711E57DF" w14:textId="77777777" w:rsidR="00891B3A" w:rsidRDefault="00891B3A" w:rsidP="00891B3A">
      <w:pPr>
        <w:spacing w:after="0"/>
        <w:jc w:val="both"/>
        <w:rPr>
          <w:rFonts w:ascii="Arial" w:hAnsi="Arial" w:cs="Arial"/>
          <w:b/>
        </w:rPr>
      </w:pPr>
    </w:p>
    <w:p w14:paraId="341DFA9A" w14:textId="77777777" w:rsidR="00891B3A" w:rsidRDefault="00891B3A" w:rsidP="00891B3A">
      <w:pPr>
        <w:spacing w:after="0"/>
        <w:jc w:val="both"/>
        <w:rPr>
          <w:rFonts w:ascii="Arial" w:hAnsi="Arial" w:cs="Arial"/>
          <w:b/>
        </w:rPr>
      </w:pPr>
    </w:p>
    <w:p w14:paraId="7D23B1B2" w14:textId="77777777" w:rsidR="00891B3A" w:rsidRDefault="00891B3A" w:rsidP="00891B3A">
      <w:pPr>
        <w:spacing w:after="0"/>
        <w:jc w:val="both"/>
        <w:rPr>
          <w:rFonts w:ascii="Arial" w:hAnsi="Arial" w:cs="Arial"/>
          <w:b/>
        </w:rPr>
      </w:pPr>
    </w:p>
    <w:p w14:paraId="5D64EC01" w14:textId="6F9EC493" w:rsidR="00891B3A" w:rsidRDefault="00891B3A" w:rsidP="00891B3A">
      <w:pPr>
        <w:spacing w:after="0"/>
        <w:jc w:val="both"/>
        <w:rPr>
          <w:rFonts w:ascii="Arial" w:hAnsi="Arial" w:cs="Arial"/>
          <w:b/>
        </w:rPr>
      </w:pPr>
    </w:p>
    <w:p w14:paraId="2CEED5F9" w14:textId="77777777" w:rsidR="00891B3A" w:rsidRPr="00AC0617" w:rsidRDefault="00891B3A" w:rsidP="00891B3A">
      <w:pPr>
        <w:spacing w:after="0"/>
        <w:jc w:val="both"/>
        <w:rPr>
          <w:rFonts w:ascii="Arial" w:hAnsi="Arial" w:cs="Arial"/>
          <w:b/>
          <w:bCs/>
          <w:sz w:val="36"/>
          <w:szCs w:val="36"/>
        </w:rPr>
      </w:pPr>
      <w:r w:rsidRPr="00AC0617">
        <w:rPr>
          <w:rFonts w:ascii="Arial" w:hAnsi="Arial" w:cs="Arial"/>
          <w:b/>
          <w:bCs/>
          <w:sz w:val="36"/>
          <w:szCs w:val="36"/>
        </w:rPr>
        <w:lastRenderedPageBreak/>
        <w:t>Statement from the Chairman and Managing Director</w:t>
      </w:r>
    </w:p>
    <w:p w14:paraId="61936EE6" w14:textId="77777777" w:rsidR="00891B3A" w:rsidRPr="00AC0617" w:rsidRDefault="00891B3A" w:rsidP="00891B3A">
      <w:pPr>
        <w:spacing w:after="0"/>
        <w:jc w:val="both"/>
        <w:rPr>
          <w:rFonts w:ascii="Arial" w:hAnsi="Arial" w:cs="Arial"/>
        </w:rPr>
      </w:pPr>
    </w:p>
    <w:p w14:paraId="7012454B" w14:textId="77777777" w:rsidR="00891B3A" w:rsidRPr="00AC0617" w:rsidRDefault="00891B3A" w:rsidP="00891B3A">
      <w:pPr>
        <w:spacing w:after="0"/>
        <w:jc w:val="both"/>
        <w:rPr>
          <w:rFonts w:ascii="Arial" w:hAnsi="Arial" w:cs="Arial"/>
        </w:rPr>
      </w:pPr>
      <w:r w:rsidRPr="00AC0617">
        <w:rPr>
          <w:rFonts w:ascii="Arial" w:hAnsi="Arial" w:cs="Arial"/>
        </w:rPr>
        <w:t>We are pleased to present the financial results of the Company for the first six months of the year and to provide an update on the business.</w:t>
      </w:r>
    </w:p>
    <w:p w14:paraId="07F942FD" w14:textId="77777777" w:rsidR="00891B3A" w:rsidRPr="00AC0617" w:rsidRDefault="00891B3A" w:rsidP="00891B3A">
      <w:pPr>
        <w:spacing w:after="0"/>
        <w:jc w:val="both"/>
        <w:rPr>
          <w:rFonts w:ascii="Arial" w:hAnsi="Arial" w:cs="Arial"/>
          <w:b/>
          <w:bCs/>
        </w:rPr>
      </w:pPr>
    </w:p>
    <w:p w14:paraId="063B82A4" w14:textId="77777777" w:rsidR="00891B3A" w:rsidRPr="00AC0617" w:rsidRDefault="00891B3A" w:rsidP="00891B3A">
      <w:pPr>
        <w:spacing w:after="0"/>
        <w:jc w:val="both"/>
        <w:rPr>
          <w:rFonts w:ascii="Arial" w:hAnsi="Arial" w:cs="Arial"/>
        </w:rPr>
      </w:pPr>
    </w:p>
    <w:p w14:paraId="340F809B" w14:textId="75F750AB" w:rsidR="00891B3A" w:rsidRPr="00AC0617" w:rsidRDefault="00891B3A" w:rsidP="00891B3A">
      <w:pPr>
        <w:pStyle w:val="ListParagraph"/>
        <w:widowControl/>
        <w:numPr>
          <w:ilvl w:val="0"/>
          <w:numId w:val="12"/>
        </w:numPr>
        <w:suppressAutoHyphens w:val="0"/>
        <w:autoSpaceDN/>
        <w:spacing w:after="0"/>
        <w:contextualSpacing/>
        <w:jc w:val="both"/>
        <w:textAlignment w:val="auto"/>
        <w:rPr>
          <w:rFonts w:ascii="Arial" w:hAnsi="Arial" w:cs="Arial"/>
        </w:rPr>
      </w:pPr>
      <w:r w:rsidRPr="00AC0617">
        <w:rPr>
          <w:rFonts w:ascii="Arial" w:hAnsi="Arial" w:cs="Arial"/>
        </w:rPr>
        <w:t>Our portfolio valuations have i</w:t>
      </w:r>
      <w:r w:rsidR="0033276F">
        <w:rPr>
          <w:rFonts w:ascii="Arial" w:hAnsi="Arial" w:cs="Arial"/>
        </w:rPr>
        <w:t>ncreased</w:t>
      </w:r>
      <w:r w:rsidRPr="00AC0617">
        <w:rPr>
          <w:rFonts w:ascii="Arial" w:hAnsi="Arial" w:cs="Arial"/>
        </w:rPr>
        <w:t xml:space="preserve"> during the half year. Overall portfolio valuations for the current investments are </w:t>
      </w:r>
      <w:r w:rsidRPr="006D7375">
        <w:rPr>
          <w:rFonts w:ascii="Arial" w:hAnsi="Arial" w:cs="Arial"/>
        </w:rPr>
        <w:t xml:space="preserve">approximately </w:t>
      </w:r>
      <w:r w:rsidR="006D7375" w:rsidRPr="006D7375">
        <w:rPr>
          <w:rFonts w:ascii="Arial" w:hAnsi="Arial" w:cs="Arial"/>
        </w:rPr>
        <w:t xml:space="preserve">7% </w:t>
      </w:r>
      <w:r w:rsidRPr="006D7375">
        <w:rPr>
          <w:rFonts w:ascii="Arial" w:hAnsi="Arial" w:cs="Arial"/>
        </w:rPr>
        <w:t xml:space="preserve">higher than the level reported at </w:t>
      </w:r>
      <w:r w:rsidR="0033276F">
        <w:rPr>
          <w:rFonts w:ascii="Arial" w:hAnsi="Arial" w:cs="Arial"/>
        </w:rPr>
        <w:t xml:space="preserve">both </w:t>
      </w:r>
      <w:r w:rsidRPr="006D7375">
        <w:rPr>
          <w:rFonts w:ascii="Arial" w:hAnsi="Arial" w:cs="Arial"/>
        </w:rPr>
        <w:t>31</w:t>
      </w:r>
      <w:r w:rsidR="008764D1" w:rsidRPr="006D7375">
        <w:rPr>
          <w:rFonts w:ascii="Arial" w:hAnsi="Arial" w:cs="Arial"/>
          <w:color w:val="FFFFFF" w:themeColor="background1"/>
        </w:rPr>
        <w:t>x</w:t>
      </w:r>
      <w:r w:rsidRPr="006D7375">
        <w:rPr>
          <w:rFonts w:ascii="Arial" w:hAnsi="Arial" w:cs="Arial"/>
        </w:rPr>
        <w:t>December 2020 and the 31 March 2021 NAV estimates;</w:t>
      </w:r>
    </w:p>
    <w:p w14:paraId="51C59408" w14:textId="2BDE955A" w:rsidR="00891B3A" w:rsidRPr="00AC0617" w:rsidRDefault="00891B3A" w:rsidP="00891B3A">
      <w:pPr>
        <w:pStyle w:val="ListParagraph"/>
        <w:widowControl/>
        <w:numPr>
          <w:ilvl w:val="0"/>
          <w:numId w:val="12"/>
        </w:numPr>
        <w:suppressAutoHyphens w:val="0"/>
        <w:autoSpaceDN/>
        <w:spacing w:after="0"/>
        <w:contextualSpacing/>
        <w:jc w:val="both"/>
        <w:textAlignment w:val="auto"/>
        <w:rPr>
          <w:rFonts w:ascii="Arial" w:hAnsi="Arial" w:cs="Arial"/>
        </w:rPr>
      </w:pPr>
      <w:r w:rsidRPr="00AC0617">
        <w:rPr>
          <w:rFonts w:ascii="Arial" w:hAnsi="Arial" w:cs="Arial"/>
        </w:rPr>
        <w:t>We received £2.</w:t>
      </w:r>
      <w:r w:rsidR="00666886">
        <w:rPr>
          <w:rFonts w:ascii="Arial" w:hAnsi="Arial" w:cs="Arial"/>
        </w:rPr>
        <w:t>4</w:t>
      </w:r>
      <w:r w:rsidRPr="00AC0617">
        <w:rPr>
          <w:rFonts w:ascii="Arial" w:hAnsi="Arial" w:cs="Arial"/>
        </w:rPr>
        <w:t xml:space="preserve"> million of cash proceeds from </w:t>
      </w:r>
      <w:proofErr w:type="spellStart"/>
      <w:r w:rsidRPr="00AC0617">
        <w:rPr>
          <w:rFonts w:ascii="Arial" w:hAnsi="Arial" w:cs="Arial"/>
        </w:rPr>
        <w:t>realisations</w:t>
      </w:r>
      <w:proofErr w:type="spellEnd"/>
      <w:r w:rsidRPr="00AC0617">
        <w:rPr>
          <w:rFonts w:ascii="Arial" w:hAnsi="Arial" w:cs="Arial"/>
        </w:rPr>
        <w:t>, including a £1.5 million distribution from San Francisco Equity Partners (“SFEP”) related to ICU Eyewear, £0.</w:t>
      </w:r>
      <w:r w:rsidR="00666886">
        <w:rPr>
          <w:rFonts w:ascii="Arial" w:hAnsi="Arial" w:cs="Arial"/>
        </w:rPr>
        <w:t>8</w:t>
      </w:r>
      <w:r w:rsidR="008764D1" w:rsidRPr="008764D1">
        <w:rPr>
          <w:rFonts w:ascii="Arial" w:hAnsi="Arial" w:cs="Arial"/>
          <w:color w:val="FFFFFF" w:themeColor="background1"/>
        </w:rPr>
        <w:t>X</w:t>
      </w:r>
      <w:r w:rsidRPr="00AC0617">
        <w:rPr>
          <w:rFonts w:ascii="Arial" w:hAnsi="Arial" w:cs="Arial"/>
        </w:rPr>
        <w:t>million from the redemption of the Northbridge convertible debt and £0.</w:t>
      </w:r>
      <w:r w:rsidR="00666886">
        <w:rPr>
          <w:rFonts w:ascii="Arial" w:hAnsi="Arial" w:cs="Arial"/>
        </w:rPr>
        <w:t>1</w:t>
      </w:r>
      <w:r w:rsidR="008764D1">
        <w:rPr>
          <w:rFonts w:ascii="Arial" w:hAnsi="Arial" w:cs="Arial"/>
          <w:color w:val="FFFFFF" w:themeColor="background1"/>
        </w:rPr>
        <w:t>x</w:t>
      </w:r>
      <w:r w:rsidRPr="00AC0617">
        <w:rPr>
          <w:rFonts w:ascii="Arial" w:hAnsi="Arial" w:cs="Arial"/>
        </w:rPr>
        <w:t>million of other fund distributions</w:t>
      </w:r>
      <w:r w:rsidR="00D449A7">
        <w:rPr>
          <w:rFonts w:ascii="Arial" w:hAnsi="Arial" w:cs="Arial"/>
        </w:rPr>
        <w:t>;</w:t>
      </w:r>
    </w:p>
    <w:p w14:paraId="23CCC9AB" w14:textId="0D3659A9" w:rsidR="00891B3A" w:rsidRPr="00AC0617" w:rsidRDefault="00891B3A" w:rsidP="00891B3A">
      <w:pPr>
        <w:pStyle w:val="ListParagraph"/>
        <w:widowControl/>
        <w:numPr>
          <w:ilvl w:val="0"/>
          <w:numId w:val="12"/>
        </w:numPr>
        <w:suppressAutoHyphens w:val="0"/>
        <w:autoSpaceDN/>
        <w:spacing w:after="0"/>
        <w:contextualSpacing/>
        <w:jc w:val="both"/>
        <w:textAlignment w:val="auto"/>
        <w:rPr>
          <w:rFonts w:ascii="Arial" w:hAnsi="Arial" w:cs="Arial"/>
        </w:rPr>
      </w:pPr>
      <w:r w:rsidRPr="00AC0617">
        <w:rPr>
          <w:rFonts w:ascii="Arial" w:hAnsi="Arial" w:cs="Arial"/>
        </w:rPr>
        <w:t>Our cash balances increased to £21.4 million at 30 June 2021, compared to £20.6</w:t>
      </w:r>
      <w:r w:rsidR="008764D1">
        <w:rPr>
          <w:rFonts w:ascii="Arial" w:hAnsi="Arial" w:cs="Arial"/>
          <w:color w:val="FFFFFF" w:themeColor="background1"/>
        </w:rPr>
        <w:t>x</w:t>
      </w:r>
      <w:r w:rsidRPr="00AC0617">
        <w:rPr>
          <w:rFonts w:ascii="Arial" w:hAnsi="Arial" w:cs="Arial"/>
        </w:rPr>
        <w:t>million at 31 December 2020;</w:t>
      </w:r>
    </w:p>
    <w:p w14:paraId="02615D52" w14:textId="49C53C46" w:rsidR="00891B3A" w:rsidRPr="00AC0617" w:rsidRDefault="00891B3A" w:rsidP="00891B3A">
      <w:pPr>
        <w:pStyle w:val="ListParagraph"/>
        <w:widowControl/>
        <w:numPr>
          <w:ilvl w:val="0"/>
          <w:numId w:val="12"/>
        </w:numPr>
        <w:suppressAutoHyphens w:val="0"/>
        <w:autoSpaceDN/>
        <w:spacing w:after="0"/>
        <w:contextualSpacing/>
        <w:jc w:val="both"/>
        <w:textAlignment w:val="auto"/>
        <w:rPr>
          <w:rFonts w:ascii="Arial" w:hAnsi="Arial" w:cs="Arial"/>
        </w:rPr>
      </w:pPr>
      <w:r w:rsidRPr="00AC0617">
        <w:rPr>
          <w:rFonts w:ascii="Arial" w:hAnsi="Arial" w:cs="Arial"/>
        </w:rPr>
        <w:t>We paid a final dividend of 0.6 pence per share for the year ended 31 December 2020, and the Board has approved an interim dividend of 0.3 pence per share for the 2021 year</w:t>
      </w:r>
      <w:r w:rsidR="00D449A7">
        <w:rPr>
          <w:rFonts w:ascii="Arial" w:hAnsi="Arial" w:cs="Arial"/>
        </w:rPr>
        <w:t>; and</w:t>
      </w:r>
    </w:p>
    <w:p w14:paraId="560BF63A" w14:textId="2EA6261E" w:rsidR="006E2345" w:rsidRDefault="00891B3A" w:rsidP="006E2345">
      <w:pPr>
        <w:pStyle w:val="ListParagraph"/>
        <w:widowControl/>
        <w:numPr>
          <w:ilvl w:val="0"/>
          <w:numId w:val="12"/>
        </w:numPr>
        <w:suppressAutoHyphens w:val="0"/>
        <w:autoSpaceDN/>
        <w:contextualSpacing/>
        <w:jc w:val="both"/>
        <w:textAlignment w:val="auto"/>
        <w:rPr>
          <w:rFonts w:ascii="Arial" w:hAnsi="Arial" w:cs="Arial"/>
        </w:rPr>
      </w:pPr>
      <w:r w:rsidRPr="00AC0617">
        <w:rPr>
          <w:rFonts w:ascii="Arial" w:hAnsi="Arial" w:cs="Arial"/>
        </w:rPr>
        <w:t>We continue to focus the investment strategy on our chosen sectors: energy</w:t>
      </w:r>
      <w:r w:rsidR="00B742A3">
        <w:rPr>
          <w:rFonts w:ascii="Arial" w:hAnsi="Arial" w:cs="Arial"/>
        </w:rPr>
        <w:t xml:space="preserve">, </w:t>
      </w:r>
      <w:r w:rsidR="00127CA9">
        <w:rPr>
          <w:rFonts w:ascii="Arial" w:hAnsi="Arial" w:cs="Arial"/>
        </w:rPr>
        <w:t>real estate</w:t>
      </w:r>
      <w:r w:rsidRPr="00AC0617">
        <w:rPr>
          <w:rFonts w:ascii="Arial" w:hAnsi="Arial" w:cs="Arial"/>
        </w:rPr>
        <w:t xml:space="preserve"> and late-stage private equity.</w:t>
      </w:r>
    </w:p>
    <w:p w14:paraId="065DE0C3" w14:textId="77777777" w:rsidR="001B3821" w:rsidRPr="006E2345" w:rsidRDefault="001B3821" w:rsidP="00943F4C">
      <w:pPr>
        <w:pStyle w:val="ListParagraph"/>
        <w:widowControl/>
        <w:suppressAutoHyphens w:val="0"/>
        <w:autoSpaceDN/>
        <w:contextualSpacing/>
        <w:jc w:val="both"/>
        <w:textAlignment w:val="auto"/>
        <w:rPr>
          <w:rFonts w:ascii="Arial" w:hAnsi="Arial" w:cs="Arial"/>
        </w:rPr>
      </w:pPr>
    </w:p>
    <w:p w14:paraId="4D27211E" w14:textId="0D123D17" w:rsidR="00891B3A" w:rsidRPr="00B742A3" w:rsidRDefault="00B742A3" w:rsidP="00891B3A">
      <w:pPr>
        <w:pStyle w:val="ListParagraph"/>
        <w:widowControl/>
        <w:suppressAutoHyphens w:val="0"/>
        <w:autoSpaceDN/>
        <w:spacing w:after="0"/>
        <w:contextualSpacing/>
        <w:jc w:val="both"/>
        <w:textAlignment w:val="auto"/>
        <w:rPr>
          <w:rFonts w:ascii="Arial" w:hAnsi="Arial" w:cs="Arial"/>
          <w:b/>
          <w:bCs/>
        </w:rPr>
      </w:pPr>
      <w:r w:rsidRPr="00B742A3">
        <w:rPr>
          <w:rFonts w:ascii="Arial" w:hAnsi="Arial" w:cs="Arial"/>
          <w:b/>
          <w:bCs/>
        </w:rPr>
        <w:t>Energy</w:t>
      </w:r>
    </w:p>
    <w:p w14:paraId="712E5270" w14:textId="77777777" w:rsidR="00891B3A" w:rsidRPr="00943F4C" w:rsidRDefault="00891B3A" w:rsidP="00891B3A">
      <w:pPr>
        <w:pStyle w:val="ListParagraph"/>
        <w:widowControl/>
        <w:numPr>
          <w:ilvl w:val="1"/>
          <w:numId w:val="12"/>
        </w:numPr>
        <w:suppressAutoHyphens w:val="0"/>
        <w:autoSpaceDN/>
        <w:spacing w:after="0"/>
        <w:contextualSpacing/>
        <w:jc w:val="both"/>
        <w:textAlignment w:val="auto"/>
        <w:rPr>
          <w:rFonts w:ascii="Arial" w:hAnsi="Arial" w:cs="Arial"/>
          <w:i/>
          <w:iCs/>
        </w:rPr>
      </w:pPr>
      <w:r w:rsidRPr="00943F4C">
        <w:rPr>
          <w:rFonts w:ascii="Arial" w:hAnsi="Arial" w:cs="Arial"/>
          <w:i/>
          <w:iCs/>
        </w:rPr>
        <w:t>Dacian</w:t>
      </w:r>
    </w:p>
    <w:p w14:paraId="191D8B06" w14:textId="37111AD3" w:rsidR="00891B3A" w:rsidRPr="00AC0617" w:rsidRDefault="00891B3A" w:rsidP="00891B3A">
      <w:pPr>
        <w:pStyle w:val="ListParagraph"/>
        <w:widowControl/>
        <w:numPr>
          <w:ilvl w:val="2"/>
          <w:numId w:val="12"/>
        </w:numPr>
        <w:suppressAutoHyphens w:val="0"/>
        <w:autoSpaceDN/>
        <w:spacing w:after="0"/>
        <w:contextualSpacing/>
        <w:jc w:val="both"/>
        <w:textAlignment w:val="auto"/>
        <w:rPr>
          <w:rFonts w:ascii="Arial" w:hAnsi="Arial" w:cs="Arial"/>
        </w:rPr>
      </w:pPr>
      <w:r w:rsidRPr="00AC0617">
        <w:rPr>
          <w:rFonts w:ascii="Arial" w:hAnsi="Arial" w:cs="Arial"/>
        </w:rPr>
        <w:t>The management team at Dacian, the Romanian oil and gas production business in which LMS has committed to invest, continue to await final regulatory approval in Romania for that company’s first acquisition</w:t>
      </w:r>
      <w:r w:rsidR="00700952">
        <w:rPr>
          <w:rFonts w:ascii="Arial" w:hAnsi="Arial" w:cs="Arial"/>
        </w:rPr>
        <w:t>.</w:t>
      </w:r>
    </w:p>
    <w:p w14:paraId="1D6B343B" w14:textId="0D27D50E" w:rsidR="00891B3A" w:rsidRDefault="00891B3A" w:rsidP="00891B3A">
      <w:pPr>
        <w:pStyle w:val="ListParagraph"/>
        <w:widowControl/>
        <w:numPr>
          <w:ilvl w:val="2"/>
          <w:numId w:val="12"/>
        </w:numPr>
        <w:suppressAutoHyphens w:val="0"/>
        <w:autoSpaceDN/>
        <w:spacing w:after="0"/>
        <w:contextualSpacing/>
        <w:jc w:val="both"/>
        <w:textAlignment w:val="auto"/>
        <w:rPr>
          <w:rFonts w:ascii="Arial" w:hAnsi="Arial" w:cs="Arial"/>
        </w:rPr>
      </w:pPr>
      <w:r w:rsidRPr="00AC0617">
        <w:rPr>
          <w:rFonts w:ascii="Arial" w:hAnsi="Arial" w:cs="Arial"/>
        </w:rPr>
        <w:t>The approval process has taken substantially longer than anticipated. LMS remains in close contact with the management team in Romania and at this stage continues to believe that the merits of the investment outweigh the delay.</w:t>
      </w:r>
    </w:p>
    <w:p w14:paraId="1278B7D7" w14:textId="4185DF6F" w:rsidR="00B742A3" w:rsidRPr="00B742A3" w:rsidRDefault="00127CA9" w:rsidP="00B742A3">
      <w:pPr>
        <w:widowControl/>
        <w:suppressAutoHyphens w:val="0"/>
        <w:autoSpaceDN/>
        <w:spacing w:after="0"/>
        <w:ind w:left="720"/>
        <w:contextualSpacing/>
        <w:jc w:val="both"/>
        <w:textAlignment w:val="auto"/>
        <w:rPr>
          <w:rFonts w:ascii="Arial" w:hAnsi="Arial" w:cs="Arial"/>
          <w:b/>
          <w:bCs/>
        </w:rPr>
      </w:pPr>
      <w:r>
        <w:rPr>
          <w:rFonts w:ascii="Arial" w:hAnsi="Arial" w:cs="Arial"/>
          <w:b/>
          <w:bCs/>
        </w:rPr>
        <w:t>Real Estate</w:t>
      </w:r>
    </w:p>
    <w:p w14:paraId="32AF288C" w14:textId="1962F269" w:rsidR="00891B3A" w:rsidRPr="00943F4C" w:rsidRDefault="00891B3A" w:rsidP="00943F4C">
      <w:pPr>
        <w:pStyle w:val="ListParagraph"/>
        <w:widowControl/>
        <w:numPr>
          <w:ilvl w:val="1"/>
          <w:numId w:val="12"/>
        </w:numPr>
        <w:suppressAutoHyphens w:val="0"/>
        <w:autoSpaceDN/>
        <w:spacing w:after="0"/>
        <w:contextualSpacing/>
        <w:jc w:val="both"/>
        <w:textAlignment w:val="auto"/>
        <w:rPr>
          <w:rFonts w:ascii="Arial" w:hAnsi="Arial" w:cs="Arial"/>
        </w:rPr>
      </w:pPr>
      <w:r w:rsidRPr="00943F4C">
        <w:rPr>
          <w:rFonts w:ascii="Arial" w:hAnsi="Arial" w:cs="Arial"/>
        </w:rPr>
        <w:t xml:space="preserve">The Company is working with two </w:t>
      </w:r>
      <w:r w:rsidR="000E511C" w:rsidRPr="00943F4C">
        <w:rPr>
          <w:rFonts w:ascii="Arial" w:hAnsi="Arial" w:cs="Arial"/>
        </w:rPr>
        <w:t xml:space="preserve">experienced </w:t>
      </w:r>
      <w:r w:rsidRPr="00943F4C">
        <w:rPr>
          <w:rFonts w:ascii="Arial" w:hAnsi="Arial" w:cs="Arial"/>
        </w:rPr>
        <w:t>teams – in each case unencumbered by existing assets and well positioned to take advantage of market opportunities which play to the</w:t>
      </w:r>
      <w:r w:rsidR="00EB53BA" w:rsidRPr="00943F4C">
        <w:rPr>
          <w:rFonts w:ascii="Arial" w:hAnsi="Arial" w:cs="Arial"/>
        </w:rPr>
        <w:t xml:space="preserve">ir </w:t>
      </w:r>
      <w:r w:rsidRPr="00943F4C">
        <w:rPr>
          <w:rFonts w:ascii="Arial" w:hAnsi="Arial" w:cs="Arial"/>
        </w:rPr>
        <w:t>respective strength</w:t>
      </w:r>
      <w:r w:rsidR="00EB53BA" w:rsidRPr="00943F4C">
        <w:rPr>
          <w:rFonts w:ascii="Arial" w:hAnsi="Arial" w:cs="Arial"/>
        </w:rPr>
        <w:t>s</w:t>
      </w:r>
      <w:r w:rsidRPr="00943F4C">
        <w:rPr>
          <w:rFonts w:ascii="Arial" w:hAnsi="Arial" w:cs="Arial"/>
        </w:rPr>
        <w:t xml:space="preserve"> and have the potential to deliver attractive risk adjusted returns to LMS.</w:t>
      </w:r>
    </w:p>
    <w:p w14:paraId="04B34181" w14:textId="77777777" w:rsidR="00891B3A" w:rsidRPr="00AC0617" w:rsidRDefault="00891B3A" w:rsidP="00891B3A">
      <w:pPr>
        <w:spacing w:after="0"/>
        <w:ind w:left="1800"/>
        <w:jc w:val="both"/>
        <w:rPr>
          <w:rFonts w:ascii="Arial" w:hAnsi="Arial" w:cs="Arial"/>
          <w:b/>
          <w:bCs/>
          <w:i/>
          <w:iCs/>
        </w:rPr>
      </w:pPr>
    </w:p>
    <w:p w14:paraId="6BE49FA4" w14:textId="77777777" w:rsidR="00891B3A" w:rsidRPr="00943F4C" w:rsidRDefault="00891B3A" w:rsidP="00943F4C">
      <w:pPr>
        <w:pStyle w:val="ListParagraph"/>
        <w:numPr>
          <w:ilvl w:val="0"/>
          <w:numId w:val="37"/>
        </w:numPr>
        <w:spacing w:after="0"/>
        <w:ind w:left="1440"/>
        <w:jc w:val="both"/>
        <w:rPr>
          <w:rFonts w:ascii="Arial" w:hAnsi="Arial" w:cs="Arial"/>
          <w:i/>
          <w:iCs/>
        </w:rPr>
      </w:pPr>
      <w:bookmarkStart w:id="1" w:name="_Hlk77873204"/>
      <w:r w:rsidRPr="00943F4C">
        <w:rPr>
          <w:rFonts w:ascii="Arial" w:hAnsi="Arial" w:cs="Arial"/>
          <w:i/>
          <w:iCs/>
        </w:rPr>
        <w:t>Development</w:t>
      </w:r>
    </w:p>
    <w:bookmarkEnd w:id="1"/>
    <w:p w14:paraId="3CCD561B" w14:textId="34482938" w:rsidR="00891B3A" w:rsidRDefault="00891B3A" w:rsidP="00943F4C">
      <w:pPr>
        <w:pStyle w:val="ListParagraph"/>
        <w:numPr>
          <w:ilvl w:val="2"/>
          <w:numId w:val="12"/>
        </w:numPr>
        <w:spacing w:after="0"/>
        <w:ind w:left="2250" w:hanging="450"/>
        <w:jc w:val="both"/>
        <w:rPr>
          <w:rFonts w:ascii="Arial" w:hAnsi="Arial" w:cs="Arial"/>
        </w:rPr>
      </w:pPr>
      <w:proofErr w:type="spellStart"/>
      <w:r w:rsidRPr="00AC0617">
        <w:rPr>
          <w:rFonts w:ascii="Arial" w:hAnsi="Arial" w:cs="Arial"/>
        </w:rPr>
        <w:t>Cavera</w:t>
      </w:r>
      <w:proofErr w:type="spellEnd"/>
      <w:r w:rsidRPr="00AC0617">
        <w:rPr>
          <w:rFonts w:ascii="Arial" w:hAnsi="Arial" w:cs="Arial"/>
        </w:rPr>
        <w:t xml:space="preserve"> </w:t>
      </w:r>
      <w:r w:rsidR="00CE3D6C">
        <w:rPr>
          <w:rFonts w:ascii="Arial" w:hAnsi="Arial" w:cs="Arial"/>
        </w:rPr>
        <w:t>was established as a</w:t>
      </w:r>
      <w:r w:rsidRPr="00AC0617">
        <w:rPr>
          <w:rFonts w:ascii="Arial" w:hAnsi="Arial" w:cs="Arial"/>
        </w:rPr>
        <w:t xml:space="preserve"> wholly</w:t>
      </w:r>
      <w:r w:rsidR="00281A5D">
        <w:rPr>
          <w:rFonts w:ascii="Arial" w:hAnsi="Arial" w:cs="Arial"/>
        </w:rPr>
        <w:t>-</w:t>
      </w:r>
      <w:r w:rsidRPr="00AC0617">
        <w:rPr>
          <w:rFonts w:ascii="Arial" w:hAnsi="Arial" w:cs="Arial"/>
        </w:rPr>
        <w:t xml:space="preserve">owned subsidiary of LMS to work with a successful real estate development team. The team were founders of </w:t>
      </w:r>
      <w:proofErr w:type="spellStart"/>
      <w:r w:rsidRPr="00AC0617">
        <w:rPr>
          <w:rFonts w:ascii="Arial" w:hAnsi="Arial" w:cs="Arial"/>
        </w:rPr>
        <w:t>Voreda</w:t>
      </w:r>
      <w:proofErr w:type="spellEnd"/>
      <w:r w:rsidRPr="00AC0617">
        <w:rPr>
          <w:rFonts w:ascii="Arial" w:hAnsi="Arial" w:cs="Arial"/>
        </w:rPr>
        <w:t xml:space="preserve">, a </w:t>
      </w:r>
      <w:r w:rsidR="00CE3D6C">
        <w:rPr>
          <w:rFonts w:ascii="Arial" w:hAnsi="Arial" w:cs="Arial"/>
        </w:rPr>
        <w:t xml:space="preserve">development </w:t>
      </w:r>
      <w:r w:rsidRPr="00AC0617">
        <w:rPr>
          <w:rFonts w:ascii="Arial" w:hAnsi="Arial" w:cs="Arial"/>
        </w:rPr>
        <w:t xml:space="preserve">management business that obtained planning consent and developed over 90,000 square </w:t>
      </w:r>
      <w:proofErr w:type="spellStart"/>
      <w:r w:rsidRPr="00AC0617">
        <w:rPr>
          <w:rFonts w:ascii="Arial" w:hAnsi="Arial" w:cs="Arial"/>
        </w:rPr>
        <w:t>metres</w:t>
      </w:r>
      <w:proofErr w:type="spellEnd"/>
      <w:r w:rsidRPr="00AC0617">
        <w:rPr>
          <w:rFonts w:ascii="Arial" w:hAnsi="Arial" w:cs="Arial"/>
        </w:rPr>
        <w:t xml:space="preserve"> of space in West London for its partners</w:t>
      </w:r>
      <w:r w:rsidR="00AD3FD4">
        <w:rPr>
          <w:rFonts w:ascii="Arial" w:hAnsi="Arial" w:cs="Arial"/>
        </w:rPr>
        <w:t>,</w:t>
      </w:r>
      <w:r w:rsidRPr="00AC0617">
        <w:rPr>
          <w:rFonts w:ascii="Arial" w:hAnsi="Arial" w:cs="Arial"/>
        </w:rPr>
        <w:t xml:space="preserve"> including student and key worker accommodation, residential and commercial space and specialist buildings</w:t>
      </w:r>
      <w:r w:rsidR="00CE3D6C">
        <w:rPr>
          <w:rFonts w:ascii="Arial" w:hAnsi="Arial" w:cs="Arial"/>
        </w:rPr>
        <w:t>.</w:t>
      </w:r>
    </w:p>
    <w:p w14:paraId="29D3AE24" w14:textId="35253CE4" w:rsidR="00891B3A" w:rsidRPr="00943F4C" w:rsidRDefault="00891B3A" w:rsidP="00943F4C">
      <w:pPr>
        <w:pStyle w:val="ListParagraph"/>
        <w:numPr>
          <w:ilvl w:val="2"/>
          <w:numId w:val="12"/>
        </w:numPr>
        <w:spacing w:after="0"/>
        <w:jc w:val="both"/>
        <w:rPr>
          <w:rFonts w:ascii="Arial" w:hAnsi="Arial" w:cs="Arial"/>
        </w:rPr>
      </w:pPr>
      <w:r w:rsidRPr="00AC0617">
        <w:rPr>
          <w:rFonts w:ascii="Arial" w:hAnsi="Arial" w:cs="Arial"/>
        </w:rPr>
        <w:t xml:space="preserve">The </w:t>
      </w:r>
      <w:proofErr w:type="spellStart"/>
      <w:r w:rsidRPr="00AC0617">
        <w:rPr>
          <w:rFonts w:ascii="Arial" w:hAnsi="Arial" w:cs="Arial"/>
        </w:rPr>
        <w:t>Cavera</w:t>
      </w:r>
      <w:proofErr w:type="spellEnd"/>
      <w:r w:rsidRPr="00AC0617">
        <w:rPr>
          <w:rFonts w:ascii="Arial" w:hAnsi="Arial" w:cs="Arial"/>
        </w:rPr>
        <w:t xml:space="preserve"> team is actively seeking opportunities where the risks can be appropriately allocated and managed and which can be structured as investment opportunities for LMS and its co-investment partners. </w:t>
      </w:r>
    </w:p>
    <w:p w14:paraId="38CC609D" w14:textId="77777777" w:rsidR="00891B3A" w:rsidRPr="00943F4C" w:rsidRDefault="00891B3A" w:rsidP="00943F4C">
      <w:pPr>
        <w:pStyle w:val="ListParagraph"/>
        <w:numPr>
          <w:ilvl w:val="0"/>
          <w:numId w:val="37"/>
        </w:numPr>
        <w:spacing w:after="0"/>
        <w:ind w:left="1440"/>
        <w:jc w:val="both"/>
        <w:rPr>
          <w:rFonts w:ascii="Arial" w:hAnsi="Arial" w:cs="Arial"/>
          <w:i/>
          <w:iCs/>
        </w:rPr>
      </w:pPr>
      <w:r w:rsidRPr="00943F4C">
        <w:rPr>
          <w:rFonts w:ascii="Arial" w:hAnsi="Arial" w:cs="Arial"/>
          <w:i/>
          <w:iCs/>
        </w:rPr>
        <w:lastRenderedPageBreak/>
        <w:t>Investment</w:t>
      </w:r>
    </w:p>
    <w:p w14:paraId="13A33018" w14:textId="765158D9" w:rsidR="00891B3A" w:rsidRPr="00AC0617" w:rsidRDefault="00891B3A" w:rsidP="00CE3D6C">
      <w:pPr>
        <w:pStyle w:val="ListParagraph"/>
        <w:numPr>
          <w:ilvl w:val="2"/>
          <w:numId w:val="12"/>
        </w:numPr>
        <w:spacing w:after="0"/>
        <w:jc w:val="both"/>
        <w:rPr>
          <w:rFonts w:ascii="Arial" w:hAnsi="Arial" w:cs="Arial"/>
        </w:rPr>
      </w:pPr>
      <w:r w:rsidRPr="00AC0617">
        <w:rPr>
          <w:rFonts w:ascii="Arial" w:hAnsi="Arial" w:cs="Arial"/>
        </w:rPr>
        <w:t xml:space="preserve">LMS, in conjunction with an established team, is working to build a niche strategy based on regenerating income producing mixed use assets in regional UK town and city </w:t>
      </w:r>
      <w:proofErr w:type="spellStart"/>
      <w:r w:rsidRPr="00AC0617">
        <w:rPr>
          <w:rFonts w:ascii="Arial" w:hAnsi="Arial" w:cs="Arial"/>
        </w:rPr>
        <w:t>centres</w:t>
      </w:r>
      <w:proofErr w:type="spellEnd"/>
      <w:r w:rsidRPr="00AC0617">
        <w:rPr>
          <w:rFonts w:ascii="Arial" w:hAnsi="Arial" w:cs="Arial"/>
        </w:rPr>
        <w:t xml:space="preserve">. The team has </w:t>
      </w:r>
      <w:r w:rsidR="00F04DA7" w:rsidRPr="00F04DA7">
        <w:rPr>
          <w:rFonts w:ascii="Arial" w:hAnsi="Arial" w:cs="Arial"/>
        </w:rPr>
        <w:t xml:space="preserve">a </w:t>
      </w:r>
      <w:proofErr w:type="spellStart"/>
      <w:r w:rsidR="00F04DA7" w:rsidRPr="00F04DA7">
        <w:rPr>
          <w:rFonts w:ascii="Arial" w:hAnsi="Arial" w:cs="Arial"/>
        </w:rPr>
        <w:t>succesful</w:t>
      </w:r>
      <w:proofErr w:type="spellEnd"/>
      <w:r w:rsidR="00F04DA7" w:rsidRPr="00F04DA7">
        <w:rPr>
          <w:rFonts w:ascii="Arial" w:hAnsi="Arial" w:cs="Arial"/>
        </w:rPr>
        <w:t xml:space="preserve"> track </w:t>
      </w:r>
      <w:r w:rsidR="00F04DA7" w:rsidRPr="0090166B">
        <w:rPr>
          <w:rFonts w:ascii="Arial" w:hAnsi="Arial" w:cs="Arial"/>
        </w:rPr>
        <w:t>record</w:t>
      </w:r>
      <w:r w:rsidR="00F04DA7" w:rsidRPr="00F04DA7">
        <w:rPr>
          <w:rFonts w:ascii="Arial" w:hAnsi="Arial" w:cs="Arial"/>
        </w:rPr>
        <w:t xml:space="preserve"> targeting returns of 12% to 15% per annum</w:t>
      </w:r>
      <w:r w:rsidR="00F04DA7">
        <w:rPr>
          <w:rFonts w:ascii="Arial" w:hAnsi="Arial" w:cs="Arial"/>
        </w:rPr>
        <w:t>,</w:t>
      </w:r>
      <w:r w:rsidR="00F04DA7" w:rsidRPr="00F04DA7" w:rsidDel="00F04DA7">
        <w:rPr>
          <w:rFonts w:ascii="Arial" w:hAnsi="Arial" w:cs="Arial"/>
        </w:rPr>
        <w:t xml:space="preserve"> </w:t>
      </w:r>
      <w:r w:rsidRPr="00AC0617">
        <w:rPr>
          <w:rFonts w:ascii="Arial" w:hAnsi="Arial" w:cs="Arial"/>
        </w:rPr>
        <w:t>net of all costs, including an annual income distribution of 5% per annum</w:t>
      </w:r>
      <w:r w:rsidR="009A250A">
        <w:rPr>
          <w:rFonts w:ascii="Arial" w:hAnsi="Arial" w:cs="Arial"/>
        </w:rPr>
        <w:t>.</w:t>
      </w:r>
    </w:p>
    <w:p w14:paraId="7678C003" w14:textId="71278C01" w:rsidR="00891B3A" w:rsidRPr="00AC0617" w:rsidRDefault="00891B3A" w:rsidP="00891B3A">
      <w:pPr>
        <w:pStyle w:val="ListParagraph"/>
        <w:numPr>
          <w:ilvl w:val="2"/>
          <w:numId w:val="12"/>
        </w:numPr>
        <w:spacing w:after="0"/>
        <w:jc w:val="both"/>
        <w:rPr>
          <w:rFonts w:ascii="Arial" w:hAnsi="Arial" w:cs="Arial"/>
        </w:rPr>
      </w:pPr>
      <w:r w:rsidRPr="00AC0617">
        <w:rPr>
          <w:rFonts w:ascii="Arial" w:hAnsi="Arial" w:cs="Arial"/>
        </w:rPr>
        <w:t>Covid</w:t>
      </w:r>
      <w:r w:rsidR="006A7B2D">
        <w:rPr>
          <w:rFonts w:ascii="Arial" w:hAnsi="Arial" w:cs="Arial"/>
        </w:rPr>
        <w:t>-</w:t>
      </w:r>
      <w:r w:rsidRPr="00AC0617">
        <w:rPr>
          <w:rFonts w:ascii="Arial" w:hAnsi="Arial" w:cs="Arial"/>
        </w:rPr>
        <w:t xml:space="preserve">19 has had a significant impact on how we view our business model and in particular our selection criteria. We therefore proceed with caution but still see the opportunity to create value in this niche. </w:t>
      </w:r>
    </w:p>
    <w:p w14:paraId="116B353E" w14:textId="77777777" w:rsidR="00891B3A" w:rsidRPr="00AC0617" w:rsidRDefault="00891B3A" w:rsidP="00B742A3">
      <w:pPr>
        <w:pStyle w:val="ListParagraph"/>
        <w:spacing w:after="0"/>
        <w:ind w:left="1080"/>
        <w:jc w:val="both"/>
        <w:rPr>
          <w:rFonts w:ascii="Arial" w:hAnsi="Arial" w:cs="Arial"/>
        </w:rPr>
      </w:pPr>
    </w:p>
    <w:p w14:paraId="58E652A1" w14:textId="77777777" w:rsidR="00891B3A" w:rsidRPr="00B742A3" w:rsidRDefault="00891B3A" w:rsidP="00B742A3">
      <w:pPr>
        <w:spacing w:after="0"/>
        <w:ind w:left="720"/>
        <w:jc w:val="both"/>
        <w:rPr>
          <w:rFonts w:ascii="Arial" w:hAnsi="Arial" w:cs="Arial"/>
          <w:b/>
          <w:bCs/>
        </w:rPr>
      </w:pPr>
      <w:r w:rsidRPr="00B742A3">
        <w:rPr>
          <w:rFonts w:ascii="Arial" w:hAnsi="Arial" w:cs="Arial"/>
          <w:b/>
          <w:bCs/>
        </w:rPr>
        <w:t>Late-stage private equity</w:t>
      </w:r>
    </w:p>
    <w:p w14:paraId="16FCD2CB" w14:textId="7E4B6ACB" w:rsidR="00891B3A" w:rsidRPr="00AC0617" w:rsidRDefault="00891B3A" w:rsidP="00891B3A">
      <w:pPr>
        <w:pStyle w:val="ListParagraph"/>
        <w:numPr>
          <w:ilvl w:val="2"/>
          <w:numId w:val="12"/>
        </w:numPr>
        <w:spacing w:after="0"/>
        <w:jc w:val="both"/>
        <w:rPr>
          <w:rFonts w:ascii="Arial" w:hAnsi="Arial" w:cs="Arial"/>
        </w:rPr>
      </w:pPr>
      <w:r w:rsidRPr="00AC0617">
        <w:rPr>
          <w:rFonts w:ascii="Arial" w:hAnsi="Arial" w:cs="Arial"/>
        </w:rPr>
        <w:t xml:space="preserve">Late-stage private equity is a </w:t>
      </w:r>
      <w:r w:rsidR="0000753C">
        <w:rPr>
          <w:rFonts w:ascii="Arial" w:hAnsi="Arial" w:cs="Arial"/>
        </w:rPr>
        <w:t>broadly defined</w:t>
      </w:r>
      <w:r w:rsidRPr="00AC0617">
        <w:rPr>
          <w:rFonts w:ascii="Arial" w:hAnsi="Arial" w:cs="Arial"/>
        </w:rPr>
        <w:t xml:space="preserve"> sector and we have been shown a wide range of opportunities over the last </w:t>
      </w:r>
      <w:r w:rsidR="00263C56">
        <w:rPr>
          <w:rFonts w:ascii="Arial" w:hAnsi="Arial" w:cs="Arial"/>
        </w:rPr>
        <w:t>18</w:t>
      </w:r>
      <w:r w:rsidRPr="00AC0617">
        <w:rPr>
          <w:rFonts w:ascii="Arial" w:hAnsi="Arial" w:cs="Arial"/>
        </w:rPr>
        <w:t xml:space="preserve"> months since our return to </w:t>
      </w:r>
      <w:r w:rsidR="006739B8">
        <w:rPr>
          <w:rFonts w:ascii="Arial" w:hAnsi="Arial" w:cs="Arial"/>
        </w:rPr>
        <w:t xml:space="preserve">internal </w:t>
      </w:r>
      <w:r w:rsidRPr="00AC0617">
        <w:rPr>
          <w:rFonts w:ascii="Arial" w:hAnsi="Arial" w:cs="Arial"/>
        </w:rPr>
        <w:t>management</w:t>
      </w:r>
      <w:r w:rsidR="00263C56">
        <w:rPr>
          <w:rFonts w:ascii="Arial" w:hAnsi="Arial" w:cs="Arial"/>
        </w:rPr>
        <w:t>.</w:t>
      </w:r>
    </w:p>
    <w:p w14:paraId="7C2F6339" w14:textId="563D8D06" w:rsidR="00891B3A" w:rsidRPr="00AC0617" w:rsidRDefault="00891B3A" w:rsidP="00891B3A">
      <w:pPr>
        <w:pStyle w:val="ListParagraph"/>
        <w:numPr>
          <w:ilvl w:val="2"/>
          <w:numId w:val="12"/>
        </w:numPr>
        <w:spacing w:after="0"/>
        <w:jc w:val="both"/>
        <w:rPr>
          <w:rFonts w:ascii="Arial" w:hAnsi="Arial" w:cs="Arial"/>
        </w:rPr>
      </w:pPr>
      <w:r w:rsidRPr="00AC0617">
        <w:rPr>
          <w:rFonts w:ascii="Arial" w:hAnsi="Arial" w:cs="Arial"/>
        </w:rPr>
        <w:t xml:space="preserve">In reviewing these we have sought to identify themes where we not only have the necessary expertise but also </w:t>
      </w:r>
      <w:r w:rsidR="00604AA1">
        <w:rPr>
          <w:rFonts w:ascii="Arial" w:hAnsi="Arial" w:cs="Arial"/>
        </w:rPr>
        <w:t xml:space="preserve">have some competitive advantages and </w:t>
      </w:r>
      <w:r w:rsidRPr="00AC0617">
        <w:rPr>
          <w:rFonts w:ascii="Arial" w:hAnsi="Arial" w:cs="Arial"/>
        </w:rPr>
        <w:t>can differentiate ourselves from the wider market. We are increasingly focused on opportunities which have some cross over with our energy and real estate activities and where new technology and innovation is creating the opportunity to improve returns in established business segments</w:t>
      </w:r>
      <w:r w:rsidR="00263C56">
        <w:rPr>
          <w:rFonts w:ascii="Arial" w:hAnsi="Arial" w:cs="Arial"/>
        </w:rPr>
        <w:t>.</w:t>
      </w:r>
    </w:p>
    <w:p w14:paraId="40FE8BBA" w14:textId="7CBCAB8C" w:rsidR="00891B3A" w:rsidRPr="00AC0617" w:rsidRDefault="00891B3A" w:rsidP="00891B3A">
      <w:pPr>
        <w:pStyle w:val="ListParagraph"/>
        <w:numPr>
          <w:ilvl w:val="2"/>
          <w:numId w:val="12"/>
        </w:numPr>
        <w:spacing w:after="0"/>
        <w:jc w:val="both"/>
        <w:rPr>
          <w:rFonts w:ascii="Arial" w:hAnsi="Arial" w:cs="Arial"/>
        </w:rPr>
      </w:pPr>
      <w:r w:rsidRPr="00AC0617">
        <w:rPr>
          <w:rFonts w:ascii="Arial" w:hAnsi="Arial" w:cs="Arial"/>
        </w:rPr>
        <w:t>We are building our pipeline and have broadened the network</w:t>
      </w:r>
      <w:r w:rsidR="0082740F">
        <w:rPr>
          <w:rFonts w:ascii="Arial" w:hAnsi="Arial" w:cs="Arial"/>
        </w:rPr>
        <w:t xml:space="preserve"> of people</w:t>
      </w:r>
      <w:r w:rsidRPr="00AC0617">
        <w:rPr>
          <w:rFonts w:ascii="Arial" w:hAnsi="Arial" w:cs="Arial"/>
        </w:rPr>
        <w:t xml:space="preserve"> with whom we work. We hope to deploy capital during the second half of the year.  </w:t>
      </w:r>
    </w:p>
    <w:p w14:paraId="00432887" w14:textId="77777777" w:rsidR="00891B3A" w:rsidRPr="00AC0617" w:rsidRDefault="00891B3A" w:rsidP="00891B3A">
      <w:pPr>
        <w:spacing w:after="0"/>
        <w:jc w:val="both"/>
        <w:rPr>
          <w:rFonts w:ascii="Arial" w:hAnsi="Arial" w:cs="Arial"/>
        </w:rPr>
      </w:pPr>
    </w:p>
    <w:p w14:paraId="2B76813C" w14:textId="5D99931E" w:rsidR="00891B3A" w:rsidRDefault="00891B3A" w:rsidP="00891B3A">
      <w:pPr>
        <w:spacing w:after="0"/>
        <w:jc w:val="both"/>
        <w:rPr>
          <w:rFonts w:ascii="Arial" w:hAnsi="Arial" w:cs="Arial"/>
          <w:b/>
          <w:bCs/>
        </w:rPr>
      </w:pPr>
      <w:r w:rsidRPr="00AC0617">
        <w:rPr>
          <w:rFonts w:ascii="Arial" w:hAnsi="Arial" w:cs="Arial"/>
          <w:b/>
          <w:bCs/>
        </w:rPr>
        <w:t xml:space="preserve">UNAUDITED RESULTS FOR THE SIX MONTHS ENDED 30 JUNE </w:t>
      </w:r>
      <w:r w:rsidR="008764D1">
        <w:rPr>
          <w:rFonts w:ascii="Arial" w:hAnsi="Arial" w:cs="Arial"/>
          <w:b/>
          <w:bCs/>
        </w:rPr>
        <w:t>2021</w:t>
      </w:r>
    </w:p>
    <w:p w14:paraId="7C48AB7E" w14:textId="77777777" w:rsidR="00891B3A" w:rsidRPr="00AC0617" w:rsidRDefault="00891B3A" w:rsidP="00891B3A">
      <w:pPr>
        <w:spacing w:after="0"/>
        <w:jc w:val="both"/>
        <w:rPr>
          <w:rFonts w:ascii="Arial" w:hAnsi="Arial" w:cs="Arial"/>
          <w:b/>
          <w:bCs/>
        </w:rPr>
      </w:pPr>
    </w:p>
    <w:p w14:paraId="0AE8010E" w14:textId="3C59A6FA" w:rsidR="00891B3A" w:rsidRPr="00AC0617" w:rsidRDefault="0070614C" w:rsidP="00891B3A">
      <w:pPr>
        <w:spacing w:after="0"/>
        <w:jc w:val="both"/>
        <w:rPr>
          <w:rFonts w:ascii="Arial" w:hAnsi="Arial" w:cs="Arial"/>
        </w:rPr>
      </w:pPr>
      <w:r>
        <w:rPr>
          <w:rFonts w:ascii="Arial" w:hAnsi="Arial" w:cs="Arial"/>
        </w:rPr>
        <w:t>N</w:t>
      </w:r>
      <w:r w:rsidR="00891B3A" w:rsidRPr="00AC0617">
        <w:rPr>
          <w:rFonts w:ascii="Arial" w:hAnsi="Arial" w:cs="Arial"/>
        </w:rPr>
        <w:t>et asset value (“NAV”) at 30 June 2021 was £47.</w:t>
      </w:r>
      <w:r w:rsidR="0032755E">
        <w:rPr>
          <w:rFonts w:ascii="Arial" w:hAnsi="Arial" w:cs="Arial"/>
        </w:rPr>
        <w:t>6</w:t>
      </w:r>
      <w:r w:rsidR="00891B3A" w:rsidRPr="00AC0617">
        <w:rPr>
          <w:rFonts w:ascii="Arial" w:hAnsi="Arial" w:cs="Arial"/>
        </w:rPr>
        <w:t xml:space="preserve"> million (5</w:t>
      </w:r>
      <w:r w:rsidR="0032755E">
        <w:rPr>
          <w:rFonts w:ascii="Arial" w:hAnsi="Arial" w:cs="Arial"/>
        </w:rPr>
        <w:t>9</w:t>
      </w:r>
      <w:r w:rsidR="00891B3A" w:rsidRPr="00AC0617">
        <w:rPr>
          <w:rFonts w:ascii="Arial" w:hAnsi="Arial" w:cs="Arial"/>
        </w:rPr>
        <w:t>.</w:t>
      </w:r>
      <w:r w:rsidR="0032755E">
        <w:rPr>
          <w:rFonts w:ascii="Arial" w:hAnsi="Arial" w:cs="Arial"/>
        </w:rPr>
        <w:t>0</w:t>
      </w:r>
      <w:r w:rsidR="00891B3A" w:rsidRPr="00AC0617">
        <w:rPr>
          <w:rFonts w:ascii="Arial" w:hAnsi="Arial" w:cs="Arial"/>
        </w:rPr>
        <w:t>p per share). Before taking account of the final dividend for 2020 this represents a small increase in NAV compared to the prior year end; including the dividend this is a reduction of £0.</w:t>
      </w:r>
      <w:r w:rsidR="00804F28">
        <w:rPr>
          <w:rFonts w:ascii="Arial" w:hAnsi="Arial" w:cs="Arial"/>
        </w:rPr>
        <w:t>3</w:t>
      </w:r>
      <w:r w:rsidR="00891B3A" w:rsidRPr="00AC0617">
        <w:rPr>
          <w:rFonts w:ascii="Arial" w:hAnsi="Arial" w:cs="Arial"/>
        </w:rPr>
        <w:t xml:space="preserve"> million compared to the 31</w:t>
      </w:r>
      <w:r w:rsidR="00D90816" w:rsidRPr="00D90816">
        <w:rPr>
          <w:rFonts w:ascii="Arial" w:hAnsi="Arial" w:cs="Arial"/>
          <w:color w:val="FFFFFF" w:themeColor="background1"/>
        </w:rPr>
        <w:t>x</w:t>
      </w:r>
      <w:r w:rsidR="00891B3A" w:rsidRPr="00AC0617">
        <w:rPr>
          <w:rFonts w:ascii="Arial" w:hAnsi="Arial" w:cs="Arial"/>
        </w:rPr>
        <w:t xml:space="preserve">December 2020 reported NAV of £47.9 million. </w:t>
      </w:r>
    </w:p>
    <w:p w14:paraId="017D285E" w14:textId="77777777" w:rsidR="00891B3A" w:rsidRPr="00AC0617" w:rsidRDefault="00891B3A" w:rsidP="00891B3A">
      <w:pPr>
        <w:spacing w:after="0"/>
        <w:jc w:val="both"/>
        <w:rPr>
          <w:rFonts w:ascii="Arial" w:hAnsi="Arial" w:cs="Arial"/>
        </w:rPr>
      </w:pPr>
    </w:p>
    <w:p w14:paraId="5E7BAAF4" w14:textId="11F9FF63" w:rsidR="006A7B2D" w:rsidRPr="006A7B2D" w:rsidRDefault="006A7B2D" w:rsidP="006A7B2D">
      <w:pPr>
        <w:spacing w:after="0"/>
        <w:jc w:val="both"/>
        <w:rPr>
          <w:rFonts w:ascii="Arial" w:hAnsi="Arial" w:cs="Arial"/>
        </w:rPr>
      </w:pPr>
      <w:r w:rsidRPr="006A7B2D">
        <w:rPr>
          <w:rFonts w:ascii="Arial" w:hAnsi="Arial" w:cs="Arial"/>
        </w:rPr>
        <w:t xml:space="preserve">Overall portfolio </w:t>
      </w:r>
      <w:proofErr w:type="spellStart"/>
      <w:r w:rsidRPr="006A7B2D">
        <w:rPr>
          <w:rFonts w:ascii="Arial" w:hAnsi="Arial" w:cs="Arial"/>
        </w:rPr>
        <w:t>realised</w:t>
      </w:r>
      <w:proofErr w:type="spellEnd"/>
      <w:r w:rsidRPr="006A7B2D">
        <w:rPr>
          <w:rFonts w:ascii="Arial" w:hAnsi="Arial" w:cs="Arial"/>
        </w:rPr>
        <w:t xml:space="preserve"> and </w:t>
      </w:r>
      <w:proofErr w:type="spellStart"/>
      <w:r w:rsidRPr="006A7B2D">
        <w:rPr>
          <w:rFonts w:ascii="Arial" w:hAnsi="Arial" w:cs="Arial"/>
        </w:rPr>
        <w:t>unrealised</w:t>
      </w:r>
      <w:proofErr w:type="spellEnd"/>
      <w:r w:rsidRPr="006A7B2D">
        <w:rPr>
          <w:rFonts w:ascii="Arial" w:hAnsi="Arial" w:cs="Arial"/>
        </w:rPr>
        <w:t xml:space="preserve"> gains were £1.2 million, including </w:t>
      </w:r>
      <w:proofErr w:type="spellStart"/>
      <w:r w:rsidRPr="006A7B2D">
        <w:rPr>
          <w:rFonts w:ascii="Arial" w:hAnsi="Arial" w:cs="Arial"/>
        </w:rPr>
        <w:t>unrealised</w:t>
      </w:r>
      <w:proofErr w:type="spellEnd"/>
      <w:r w:rsidRPr="006A7B2D">
        <w:rPr>
          <w:rFonts w:ascii="Arial" w:hAnsi="Arial" w:cs="Arial"/>
        </w:rPr>
        <w:t xml:space="preserve"> exchange losses of £0.2 million primarily from the weakening of the US Dollar </w:t>
      </w:r>
      <w:r w:rsidR="0032202D">
        <w:rPr>
          <w:rFonts w:ascii="Arial" w:hAnsi="Arial" w:cs="Arial"/>
        </w:rPr>
        <w:t>against</w:t>
      </w:r>
      <w:r w:rsidRPr="006A7B2D">
        <w:rPr>
          <w:rFonts w:ascii="Arial" w:hAnsi="Arial" w:cs="Arial"/>
        </w:rPr>
        <w:t xml:space="preserve">  sterling during the first six months of 2021.</w:t>
      </w:r>
    </w:p>
    <w:p w14:paraId="495A3C70" w14:textId="77777777" w:rsidR="006A7B2D" w:rsidRPr="006A7B2D" w:rsidRDefault="006A7B2D" w:rsidP="006A7B2D">
      <w:pPr>
        <w:spacing w:after="0"/>
        <w:jc w:val="both"/>
        <w:rPr>
          <w:rFonts w:ascii="Arial" w:hAnsi="Arial" w:cs="Arial"/>
        </w:rPr>
      </w:pPr>
    </w:p>
    <w:p w14:paraId="25CD80D0" w14:textId="50B2DFF1" w:rsidR="006A7B2D" w:rsidRDefault="006A7B2D" w:rsidP="006A7B2D">
      <w:pPr>
        <w:spacing w:after="0"/>
        <w:jc w:val="both"/>
        <w:rPr>
          <w:rFonts w:ascii="Arial" w:hAnsi="Arial" w:cs="Arial"/>
        </w:rPr>
      </w:pPr>
      <w:proofErr w:type="spellStart"/>
      <w:r w:rsidRPr="006A7B2D">
        <w:rPr>
          <w:rFonts w:ascii="Arial" w:hAnsi="Arial" w:cs="Arial"/>
        </w:rPr>
        <w:t>Realised</w:t>
      </w:r>
      <w:proofErr w:type="spellEnd"/>
      <w:r w:rsidRPr="006A7B2D">
        <w:rPr>
          <w:rFonts w:ascii="Arial" w:hAnsi="Arial" w:cs="Arial"/>
        </w:rPr>
        <w:t xml:space="preserve"> and </w:t>
      </w:r>
      <w:proofErr w:type="spellStart"/>
      <w:r w:rsidRPr="006A7B2D">
        <w:rPr>
          <w:rFonts w:ascii="Arial" w:hAnsi="Arial" w:cs="Arial"/>
        </w:rPr>
        <w:t>unreali</w:t>
      </w:r>
      <w:r w:rsidR="00B742A3">
        <w:rPr>
          <w:rFonts w:ascii="Arial" w:hAnsi="Arial" w:cs="Arial"/>
        </w:rPr>
        <w:t>s</w:t>
      </w:r>
      <w:r w:rsidRPr="006A7B2D">
        <w:rPr>
          <w:rFonts w:ascii="Arial" w:hAnsi="Arial" w:cs="Arial"/>
        </w:rPr>
        <w:t>ed</w:t>
      </w:r>
      <w:proofErr w:type="spellEnd"/>
      <w:r w:rsidRPr="006A7B2D">
        <w:rPr>
          <w:rFonts w:ascii="Arial" w:hAnsi="Arial" w:cs="Arial"/>
        </w:rPr>
        <w:t xml:space="preserve"> portfolio changes, excluding </w:t>
      </w:r>
      <w:proofErr w:type="spellStart"/>
      <w:r w:rsidRPr="006A7B2D">
        <w:rPr>
          <w:rFonts w:ascii="Arial" w:hAnsi="Arial" w:cs="Arial"/>
        </w:rPr>
        <w:t>unrealised</w:t>
      </w:r>
      <w:proofErr w:type="spellEnd"/>
      <w:r w:rsidRPr="006A7B2D">
        <w:rPr>
          <w:rFonts w:ascii="Arial" w:hAnsi="Arial" w:cs="Arial"/>
        </w:rPr>
        <w:t xml:space="preserve"> foreign exchange losses, were £1.4 million, the principal items of which were:</w:t>
      </w:r>
    </w:p>
    <w:p w14:paraId="7945FE0F" w14:textId="77777777" w:rsidR="00F04DA7" w:rsidRPr="006A7B2D" w:rsidRDefault="00F04DA7" w:rsidP="006A7B2D">
      <w:pPr>
        <w:spacing w:after="0"/>
        <w:jc w:val="both"/>
        <w:rPr>
          <w:rFonts w:ascii="Arial" w:hAnsi="Arial" w:cs="Arial"/>
        </w:rPr>
      </w:pPr>
    </w:p>
    <w:p w14:paraId="44E68392" w14:textId="77777777" w:rsidR="00891B3A" w:rsidRPr="00AC0617" w:rsidRDefault="00891B3A" w:rsidP="00891B3A">
      <w:pPr>
        <w:pStyle w:val="ListParagraph"/>
        <w:widowControl/>
        <w:numPr>
          <w:ilvl w:val="0"/>
          <w:numId w:val="13"/>
        </w:numPr>
        <w:suppressAutoHyphens w:val="0"/>
        <w:autoSpaceDN/>
        <w:spacing w:after="0"/>
        <w:contextualSpacing/>
        <w:jc w:val="both"/>
        <w:textAlignment w:val="auto"/>
        <w:rPr>
          <w:rFonts w:ascii="Arial" w:hAnsi="Arial" w:cs="Arial"/>
        </w:rPr>
      </w:pPr>
      <w:r w:rsidRPr="00AC0617">
        <w:rPr>
          <w:rFonts w:ascii="Arial" w:hAnsi="Arial" w:cs="Arial"/>
        </w:rPr>
        <w:t>Quoted shares</w:t>
      </w:r>
    </w:p>
    <w:p w14:paraId="29E4FC61" w14:textId="00FE9FB4" w:rsidR="00F04DA7" w:rsidRDefault="00891B3A" w:rsidP="00943F4C">
      <w:pPr>
        <w:pStyle w:val="ListParagraph"/>
        <w:widowControl/>
        <w:suppressAutoHyphens w:val="0"/>
        <w:autoSpaceDN/>
        <w:spacing w:after="0"/>
        <w:ind w:left="1440"/>
        <w:contextualSpacing/>
        <w:jc w:val="both"/>
        <w:textAlignment w:val="auto"/>
        <w:rPr>
          <w:rFonts w:ascii="Arial" w:hAnsi="Arial" w:cs="Arial"/>
        </w:rPr>
      </w:pPr>
      <w:r w:rsidRPr="00755BD6">
        <w:rPr>
          <w:rFonts w:ascii="Arial" w:hAnsi="Arial" w:cs="Arial"/>
        </w:rPr>
        <w:t>Overall,</w:t>
      </w:r>
      <w:r w:rsidRPr="00AC0617">
        <w:rPr>
          <w:rFonts w:ascii="Arial" w:hAnsi="Arial" w:cs="Arial"/>
        </w:rPr>
        <w:t xml:space="preserve"> our quoted portfolio showed net </w:t>
      </w:r>
      <w:proofErr w:type="spellStart"/>
      <w:r w:rsidRPr="00AC0617">
        <w:rPr>
          <w:rFonts w:ascii="Arial" w:hAnsi="Arial" w:cs="Arial"/>
        </w:rPr>
        <w:t>unrealised</w:t>
      </w:r>
      <w:proofErr w:type="spellEnd"/>
      <w:r w:rsidRPr="00AC0617">
        <w:rPr>
          <w:rFonts w:ascii="Arial" w:hAnsi="Arial" w:cs="Arial"/>
        </w:rPr>
        <w:t xml:space="preserve"> gains of £0.1 million during the first half of 2021.</w:t>
      </w:r>
    </w:p>
    <w:p w14:paraId="57CCEF0D" w14:textId="77777777" w:rsidR="00466A94" w:rsidRPr="00943F4C" w:rsidRDefault="00466A94">
      <w:pPr>
        <w:pStyle w:val="ListParagraph"/>
        <w:widowControl/>
        <w:suppressAutoHyphens w:val="0"/>
        <w:autoSpaceDN/>
        <w:spacing w:after="0"/>
        <w:ind w:left="1440"/>
        <w:contextualSpacing/>
        <w:jc w:val="both"/>
        <w:textAlignment w:val="auto"/>
        <w:rPr>
          <w:rFonts w:ascii="Arial" w:hAnsi="Arial" w:cs="Arial"/>
        </w:rPr>
      </w:pPr>
    </w:p>
    <w:p w14:paraId="04BABCBE" w14:textId="77777777" w:rsidR="006A7B2D" w:rsidRPr="00AC0617" w:rsidRDefault="006A7B2D" w:rsidP="006A7B2D">
      <w:pPr>
        <w:pStyle w:val="ListParagraph"/>
        <w:widowControl/>
        <w:numPr>
          <w:ilvl w:val="0"/>
          <w:numId w:val="13"/>
        </w:numPr>
        <w:suppressAutoHyphens w:val="0"/>
        <w:autoSpaceDN/>
        <w:spacing w:after="0"/>
        <w:contextualSpacing/>
        <w:jc w:val="both"/>
        <w:textAlignment w:val="auto"/>
        <w:rPr>
          <w:rFonts w:ascii="Arial" w:hAnsi="Arial" w:cs="Arial"/>
        </w:rPr>
      </w:pPr>
      <w:r w:rsidRPr="00AC0617">
        <w:rPr>
          <w:rFonts w:ascii="Arial" w:hAnsi="Arial" w:cs="Arial"/>
        </w:rPr>
        <w:t>Unquoted investments</w:t>
      </w:r>
    </w:p>
    <w:p w14:paraId="0AE7798D" w14:textId="77777777" w:rsidR="006A7B2D" w:rsidRPr="00AC0617" w:rsidRDefault="006A7B2D" w:rsidP="006A7B2D">
      <w:pPr>
        <w:pStyle w:val="ListParagraph"/>
        <w:widowControl/>
        <w:numPr>
          <w:ilvl w:val="1"/>
          <w:numId w:val="13"/>
        </w:numPr>
        <w:suppressAutoHyphens w:val="0"/>
        <w:autoSpaceDN/>
        <w:spacing w:after="0"/>
        <w:contextualSpacing/>
        <w:jc w:val="both"/>
        <w:textAlignment w:val="auto"/>
        <w:rPr>
          <w:rFonts w:ascii="Arial" w:hAnsi="Arial" w:cs="Arial"/>
        </w:rPr>
      </w:pPr>
      <w:r w:rsidRPr="00AC0617">
        <w:rPr>
          <w:rFonts w:ascii="Arial" w:hAnsi="Arial" w:cs="Arial"/>
        </w:rPr>
        <w:t xml:space="preserve">Our unquoted portfolio recorded </w:t>
      </w:r>
      <w:proofErr w:type="spellStart"/>
      <w:r w:rsidRPr="00AC0617">
        <w:rPr>
          <w:rFonts w:ascii="Arial" w:hAnsi="Arial" w:cs="Arial"/>
        </w:rPr>
        <w:t>realised</w:t>
      </w:r>
      <w:proofErr w:type="spellEnd"/>
      <w:r w:rsidRPr="00AC0617">
        <w:rPr>
          <w:rFonts w:ascii="Arial" w:hAnsi="Arial" w:cs="Arial"/>
        </w:rPr>
        <w:t xml:space="preserve"> and </w:t>
      </w:r>
      <w:proofErr w:type="spellStart"/>
      <w:r w:rsidRPr="00AC0617">
        <w:rPr>
          <w:rFonts w:ascii="Arial" w:hAnsi="Arial" w:cs="Arial"/>
        </w:rPr>
        <w:t>unrealised</w:t>
      </w:r>
      <w:proofErr w:type="spellEnd"/>
      <w:r w:rsidRPr="00AC0617">
        <w:rPr>
          <w:rFonts w:ascii="Arial" w:hAnsi="Arial" w:cs="Arial"/>
        </w:rPr>
        <w:t xml:space="preserve"> net losses of £0.</w:t>
      </w:r>
      <w:r>
        <w:rPr>
          <w:rFonts w:ascii="Arial" w:hAnsi="Arial" w:cs="Arial"/>
        </w:rPr>
        <w:t>7</w:t>
      </w:r>
      <w:r w:rsidRPr="000F400B">
        <w:rPr>
          <w:rFonts w:ascii="Arial" w:hAnsi="Arial" w:cs="Arial"/>
          <w:color w:val="FFFFFF" w:themeColor="background1"/>
        </w:rPr>
        <w:t>x</w:t>
      </w:r>
      <w:r w:rsidRPr="00AC0617">
        <w:rPr>
          <w:rFonts w:ascii="Arial" w:hAnsi="Arial" w:cs="Arial"/>
        </w:rPr>
        <w:t xml:space="preserve">million; </w:t>
      </w:r>
    </w:p>
    <w:p w14:paraId="6D2ED65C" w14:textId="4102E299" w:rsidR="006A7B2D" w:rsidRDefault="006A7B2D" w:rsidP="006A7B2D">
      <w:pPr>
        <w:pStyle w:val="ListParagraph"/>
        <w:widowControl/>
        <w:numPr>
          <w:ilvl w:val="1"/>
          <w:numId w:val="13"/>
        </w:numPr>
        <w:suppressAutoHyphens w:val="0"/>
        <w:autoSpaceDN/>
        <w:spacing w:after="0"/>
        <w:contextualSpacing/>
        <w:jc w:val="both"/>
        <w:textAlignment w:val="auto"/>
        <w:rPr>
          <w:rFonts w:ascii="Arial" w:hAnsi="Arial" w:cs="Arial"/>
        </w:rPr>
      </w:pPr>
      <w:r w:rsidRPr="00AC0617">
        <w:rPr>
          <w:rFonts w:ascii="Arial" w:hAnsi="Arial" w:cs="Arial"/>
        </w:rPr>
        <w:lastRenderedPageBreak/>
        <w:t>The principal reduction</w:t>
      </w:r>
      <w:r w:rsidR="00AD01E3">
        <w:rPr>
          <w:rFonts w:ascii="Arial" w:hAnsi="Arial" w:cs="Arial"/>
        </w:rPr>
        <w:t>s</w:t>
      </w:r>
      <w:r w:rsidRPr="00AC0617">
        <w:rPr>
          <w:rFonts w:ascii="Arial" w:hAnsi="Arial" w:cs="Arial"/>
        </w:rPr>
        <w:t xml:space="preserve"> </w:t>
      </w:r>
      <w:r w:rsidR="00B742A3">
        <w:rPr>
          <w:rFonts w:ascii="Arial" w:hAnsi="Arial" w:cs="Arial"/>
        </w:rPr>
        <w:t>w</w:t>
      </w:r>
      <w:r w:rsidR="00AD01E3">
        <w:rPr>
          <w:rFonts w:ascii="Arial" w:hAnsi="Arial" w:cs="Arial"/>
        </w:rPr>
        <w:t>ere in relation to</w:t>
      </w:r>
      <w:r w:rsidRPr="00AC0617">
        <w:rPr>
          <w:rFonts w:ascii="Arial" w:hAnsi="Arial" w:cs="Arial"/>
        </w:rPr>
        <w:t xml:space="preserve"> </w:t>
      </w:r>
      <w:proofErr w:type="spellStart"/>
      <w:r w:rsidRPr="00AC0617">
        <w:rPr>
          <w:rFonts w:ascii="Arial" w:hAnsi="Arial" w:cs="Arial"/>
        </w:rPr>
        <w:t>Medhost</w:t>
      </w:r>
      <w:proofErr w:type="spellEnd"/>
      <w:r w:rsidRPr="00AC0617">
        <w:rPr>
          <w:rFonts w:ascii="Arial" w:hAnsi="Arial" w:cs="Arial"/>
        </w:rPr>
        <w:t xml:space="preserve"> where we continue to follow the valuation of Primus, the fund manager who had reduced the valuation by </w:t>
      </w:r>
      <w:r w:rsidRPr="006703A0">
        <w:rPr>
          <w:rFonts w:ascii="Arial" w:hAnsi="Arial" w:cs="Arial"/>
        </w:rPr>
        <w:t xml:space="preserve">approximately </w:t>
      </w:r>
      <w:r w:rsidRPr="00A12944">
        <w:rPr>
          <w:rFonts w:ascii="Arial" w:hAnsi="Arial" w:cs="Arial"/>
        </w:rPr>
        <w:t>7</w:t>
      </w:r>
      <w:r w:rsidRPr="006703A0">
        <w:rPr>
          <w:rFonts w:ascii="Arial" w:hAnsi="Arial" w:cs="Arial"/>
        </w:rPr>
        <w:t>%</w:t>
      </w:r>
      <w:r w:rsidRPr="00AC0617">
        <w:rPr>
          <w:rFonts w:ascii="Arial" w:hAnsi="Arial" w:cs="Arial"/>
        </w:rPr>
        <w:t xml:space="preserve"> reflecting movement in public market </w:t>
      </w:r>
      <w:proofErr w:type="spellStart"/>
      <w:r w:rsidRPr="00AC0617">
        <w:rPr>
          <w:rFonts w:ascii="Arial" w:hAnsi="Arial" w:cs="Arial"/>
        </w:rPr>
        <w:t>comparables</w:t>
      </w:r>
      <w:proofErr w:type="spellEnd"/>
      <w:r w:rsidRPr="00AC0617">
        <w:rPr>
          <w:rFonts w:ascii="Arial" w:hAnsi="Arial" w:cs="Arial"/>
        </w:rPr>
        <w:t>; and</w:t>
      </w:r>
    </w:p>
    <w:p w14:paraId="38E273D8" w14:textId="0D3079AB" w:rsidR="006A7B2D" w:rsidRDefault="006A7B2D" w:rsidP="006A7B2D">
      <w:pPr>
        <w:pStyle w:val="ListParagraph"/>
        <w:widowControl/>
        <w:numPr>
          <w:ilvl w:val="1"/>
          <w:numId w:val="13"/>
        </w:numPr>
        <w:suppressAutoHyphens w:val="0"/>
        <w:autoSpaceDN/>
        <w:spacing w:after="0"/>
        <w:contextualSpacing/>
        <w:jc w:val="both"/>
        <w:textAlignment w:val="auto"/>
        <w:rPr>
          <w:rFonts w:ascii="Arial" w:hAnsi="Arial" w:cs="Arial"/>
        </w:rPr>
      </w:pPr>
      <w:r>
        <w:rPr>
          <w:rFonts w:ascii="Arial" w:hAnsi="Arial" w:cs="Arial"/>
        </w:rPr>
        <w:t xml:space="preserve">ICU, where the company decided to discontinue the sale of personal protective equipment (“PPE”), resulting in a decline in the valuation. </w:t>
      </w:r>
    </w:p>
    <w:p w14:paraId="17B83E1C" w14:textId="77777777" w:rsidR="00F04DA7" w:rsidRPr="00AC0617" w:rsidRDefault="00F04DA7" w:rsidP="00943F4C">
      <w:pPr>
        <w:pStyle w:val="ListParagraph"/>
        <w:widowControl/>
        <w:suppressAutoHyphens w:val="0"/>
        <w:autoSpaceDN/>
        <w:spacing w:after="0"/>
        <w:ind w:left="1440"/>
        <w:contextualSpacing/>
        <w:jc w:val="both"/>
        <w:textAlignment w:val="auto"/>
        <w:rPr>
          <w:rFonts w:ascii="Arial" w:hAnsi="Arial" w:cs="Arial"/>
        </w:rPr>
      </w:pPr>
    </w:p>
    <w:p w14:paraId="6282F903" w14:textId="77777777" w:rsidR="006A7B2D" w:rsidRPr="00AC0617" w:rsidRDefault="006A7B2D" w:rsidP="006A7B2D">
      <w:pPr>
        <w:pStyle w:val="ListParagraph"/>
        <w:widowControl/>
        <w:numPr>
          <w:ilvl w:val="0"/>
          <w:numId w:val="13"/>
        </w:numPr>
        <w:suppressAutoHyphens w:val="0"/>
        <w:autoSpaceDN/>
        <w:spacing w:after="0"/>
        <w:contextualSpacing/>
        <w:jc w:val="both"/>
        <w:textAlignment w:val="auto"/>
        <w:rPr>
          <w:rFonts w:ascii="Arial" w:hAnsi="Arial" w:cs="Arial"/>
        </w:rPr>
      </w:pPr>
      <w:r w:rsidRPr="00AC0617">
        <w:rPr>
          <w:rFonts w:ascii="Arial" w:hAnsi="Arial" w:cs="Arial"/>
        </w:rPr>
        <w:t>Fund investments</w:t>
      </w:r>
    </w:p>
    <w:p w14:paraId="5597D63C" w14:textId="77777777" w:rsidR="006A7B2D" w:rsidRPr="00AC0617" w:rsidRDefault="006A7B2D" w:rsidP="006A7B2D">
      <w:pPr>
        <w:pStyle w:val="ListParagraph"/>
        <w:widowControl/>
        <w:numPr>
          <w:ilvl w:val="1"/>
          <w:numId w:val="13"/>
        </w:numPr>
        <w:suppressAutoHyphens w:val="0"/>
        <w:autoSpaceDN/>
        <w:spacing w:after="0"/>
        <w:contextualSpacing/>
        <w:jc w:val="both"/>
        <w:textAlignment w:val="auto"/>
        <w:rPr>
          <w:rFonts w:ascii="Arial" w:hAnsi="Arial" w:cs="Arial"/>
        </w:rPr>
      </w:pPr>
      <w:r w:rsidRPr="00AC0617">
        <w:rPr>
          <w:rFonts w:ascii="Arial" w:hAnsi="Arial" w:cs="Arial"/>
        </w:rPr>
        <w:t xml:space="preserve">Our fund investments showed </w:t>
      </w:r>
      <w:proofErr w:type="spellStart"/>
      <w:r w:rsidRPr="00AC0617">
        <w:rPr>
          <w:rFonts w:ascii="Arial" w:hAnsi="Arial" w:cs="Arial"/>
        </w:rPr>
        <w:t>unrealised</w:t>
      </w:r>
      <w:proofErr w:type="spellEnd"/>
      <w:r w:rsidRPr="00AC0617">
        <w:rPr>
          <w:rFonts w:ascii="Arial" w:hAnsi="Arial" w:cs="Arial"/>
        </w:rPr>
        <w:t xml:space="preserve"> gains of £</w:t>
      </w:r>
      <w:r>
        <w:rPr>
          <w:rFonts w:ascii="Arial" w:hAnsi="Arial" w:cs="Arial"/>
        </w:rPr>
        <w:t>2.0</w:t>
      </w:r>
      <w:r w:rsidRPr="00AC0617">
        <w:rPr>
          <w:rFonts w:ascii="Arial" w:hAnsi="Arial" w:cs="Arial"/>
        </w:rPr>
        <w:t xml:space="preserve"> million for the half year;</w:t>
      </w:r>
    </w:p>
    <w:p w14:paraId="3D029616" w14:textId="77777777" w:rsidR="006A7B2D" w:rsidRPr="00AC0617" w:rsidRDefault="006A7B2D" w:rsidP="006A7B2D">
      <w:pPr>
        <w:pStyle w:val="ListParagraph"/>
        <w:widowControl/>
        <w:numPr>
          <w:ilvl w:val="1"/>
          <w:numId w:val="13"/>
        </w:numPr>
        <w:suppressAutoHyphens w:val="0"/>
        <w:autoSpaceDN/>
        <w:spacing w:after="0"/>
        <w:contextualSpacing/>
        <w:jc w:val="both"/>
        <w:textAlignment w:val="auto"/>
        <w:rPr>
          <w:rFonts w:ascii="Arial" w:hAnsi="Arial" w:cs="Arial"/>
        </w:rPr>
      </w:pPr>
      <w:r w:rsidRPr="00AC0617">
        <w:rPr>
          <w:rFonts w:ascii="Arial" w:hAnsi="Arial" w:cs="Arial"/>
        </w:rPr>
        <w:t xml:space="preserve">Our investment in Brockton has increased in value by £0.8 million, reflecting the unwind of the discount in our discounted cash flow valuation; </w:t>
      </w:r>
    </w:p>
    <w:p w14:paraId="0161BFF5" w14:textId="77777777" w:rsidR="00891B3A" w:rsidRPr="00AC0617" w:rsidRDefault="00891B3A" w:rsidP="00891B3A">
      <w:pPr>
        <w:pStyle w:val="ListParagraph"/>
        <w:widowControl/>
        <w:numPr>
          <w:ilvl w:val="1"/>
          <w:numId w:val="13"/>
        </w:numPr>
        <w:suppressAutoHyphens w:val="0"/>
        <w:autoSpaceDN/>
        <w:spacing w:after="0"/>
        <w:contextualSpacing/>
        <w:jc w:val="both"/>
        <w:textAlignment w:val="auto"/>
        <w:rPr>
          <w:rFonts w:ascii="Arial" w:hAnsi="Arial" w:cs="Arial"/>
        </w:rPr>
      </w:pPr>
      <w:r w:rsidRPr="00AC0617">
        <w:rPr>
          <w:rFonts w:ascii="Arial" w:hAnsi="Arial" w:cs="Arial"/>
        </w:rPr>
        <w:t>Our investment in Weber also increased by £0.6 million due to performance of the U.S. microcap equities held in the fund;</w:t>
      </w:r>
    </w:p>
    <w:p w14:paraId="1E0DD619" w14:textId="77777777" w:rsidR="00891B3A" w:rsidRPr="00AC0617" w:rsidRDefault="00891B3A" w:rsidP="00891B3A">
      <w:pPr>
        <w:pStyle w:val="ListParagraph"/>
        <w:widowControl/>
        <w:numPr>
          <w:ilvl w:val="1"/>
          <w:numId w:val="13"/>
        </w:numPr>
        <w:suppressAutoHyphens w:val="0"/>
        <w:autoSpaceDN/>
        <w:spacing w:after="0"/>
        <w:contextualSpacing/>
        <w:jc w:val="both"/>
        <w:textAlignment w:val="auto"/>
        <w:rPr>
          <w:rFonts w:ascii="Arial" w:hAnsi="Arial" w:cs="Arial"/>
        </w:rPr>
      </w:pPr>
      <w:r w:rsidRPr="00AC0617">
        <w:rPr>
          <w:rFonts w:ascii="Arial" w:hAnsi="Arial" w:cs="Arial"/>
        </w:rPr>
        <w:t>The Opus Capital Ventures fund increased by £0.4 million due to the two main technology investments in the fund; and</w:t>
      </w:r>
    </w:p>
    <w:p w14:paraId="13DB4A7D" w14:textId="4BA1F81E" w:rsidR="00891B3A" w:rsidRPr="00AC0617" w:rsidRDefault="00891B3A" w:rsidP="00891B3A">
      <w:pPr>
        <w:pStyle w:val="ListParagraph"/>
        <w:widowControl/>
        <w:numPr>
          <w:ilvl w:val="1"/>
          <w:numId w:val="13"/>
        </w:numPr>
        <w:suppressAutoHyphens w:val="0"/>
        <w:autoSpaceDN/>
        <w:spacing w:after="0"/>
        <w:contextualSpacing/>
        <w:jc w:val="both"/>
        <w:textAlignment w:val="auto"/>
        <w:rPr>
          <w:rFonts w:ascii="Arial" w:hAnsi="Arial" w:cs="Arial"/>
        </w:rPr>
      </w:pPr>
      <w:r w:rsidRPr="00AC0617">
        <w:rPr>
          <w:rFonts w:ascii="Arial" w:hAnsi="Arial" w:cs="Arial"/>
        </w:rPr>
        <w:t>Other fund interests have increased in value by £0.</w:t>
      </w:r>
      <w:r w:rsidR="00DC4E9A">
        <w:rPr>
          <w:rFonts w:ascii="Arial" w:hAnsi="Arial" w:cs="Arial"/>
        </w:rPr>
        <w:t>2</w:t>
      </w:r>
      <w:r w:rsidRPr="00AC0617">
        <w:rPr>
          <w:rFonts w:ascii="Arial" w:hAnsi="Arial" w:cs="Arial"/>
        </w:rPr>
        <w:t xml:space="preserve"> million</w:t>
      </w:r>
      <w:r w:rsidR="006A7B2D">
        <w:rPr>
          <w:rFonts w:ascii="Arial" w:hAnsi="Arial" w:cs="Arial"/>
        </w:rPr>
        <w:t>.</w:t>
      </w:r>
    </w:p>
    <w:p w14:paraId="5EC54E60" w14:textId="77777777" w:rsidR="00891B3A" w:rsidRPr="00AC0617" w:rsidRDefault="00891B3A" w:rsidP="00891B3A">
      <w:pPr>
        <w:spacing w:after="0"/>
        <w:jc w:val="both"/>
        <w:rPr>
          <w:rFonts w:ascii="Arial" w:hAnsi="Arial" w:cs="Arial"/>
        </w:rPr>
      </w:pPr>
    </w:p>
    <w:p w14:paraId="3ED39617" w14:textId="435D13B0" w:rsidR="006A7B2D" w:rsidRPr="00AC0617" w:rsidRDefault="006A7B2D" w:rsidP="006A7B2D">
      <w:pPr>
        <w:spacing w:after="0"/>
        <w:jc w:val="both"/>
        <w:rPr>
          <w:rFonts w:ascii="Arial" w:hAnsi="Arial" w:cs="Arial"/>
        </w:rPr>
      </w:pPr>
      <w:r w:rsidRPr="00AC0617">
        <w:rPr>
          <w:rFonts w:ascii="Arial" w:hAnsi="Arial" w:cs="Arial"/>
        </w:rPr>
        <w:t>Non-portfolio reductions in NAV were £1.</w:t>
      </w:r>
      <w:r w:rsidR="004A5389">
        <w:rPr>
          <w:rFonts w:ascii="Arial" w:hAnsi="Arial" w:cs="Arial"/>
        </w:rPr>
        <w:t>5</w:t>
      </w:r>
      <w:r w:rsidRPr="00AC0617">
        <w:rPr>
          <w:rFonts w:ascii="Arial" w:hAnsi="Arial" w:cs="Arial"/>
        </w:rPr>
        <w:t xml:space="preserve"> million and include overhead costs of £1.</w:t>
      </w:r>
      <w:r>
        <w:rPr>
          <w:rFonts w:ascii="Arial" w:hAnsi="Arial" w:cs="Arial"/>
        </w:rPr>
        <w:t>0</w:t>
      </w:r>
      <w:r w:rsidRPr="00AC0617">
        <w:rPr>
          <w:rFonts w:ascii="Arial" w:hAnsi="Arial" w:cs="Arial"/>
        </w:rPr>
        <w:t xml:space="preserve"> million</w:t>
      </w:r>
      <w:r>
        <w:rPr>
          <w:rFonts w:ascii="Arial" w:hAnsi="Arial" w:cs="Arial"/>
        </w:rPr>
        <w:t xml:space="preserve"> (£0.9 million of running costs and £0.1 of investment related costs)</w:t>
      </w:r>
      <w:r w:rsidR="004A5389">
        <w:rPr>
          <w:rFonts w:ascii="Arial" w:hAnsi="Arial" w:cs="Arial"/>
        </w:rPr>
        <w:t xml:space="preserve"> </w:t>
      </w:r>
      <w:r w:rsidRPr="00AC0617">
        <w:rPr>
          <w:rFonts w:ascii="Arial" w:hAnsi="Arial" w:cs="Arial"/>
        </w:rPr>
        <w:t xml:space="preserve"> and £0.</w:t>
      </w:r>
      <w:r>
        <w:rPr>
          <w:rFonts w:ascii="Arial" w:hAnsi="Arial" w:cs="Arial"/>
        </w:rPr>
        <w:t>5</w:t>
      </w:r>
      <w:r w:rsidRPr="00AC0617">
        <w:rPr>
          <w:rFonts w:ascii="Arial" w:hAnsi="Arial" w:cs="Arial"/>
        </w:rPr>
        <w:t xml:space="preserve"> million for the final 2020 dividend.</w:t>
      </w:r>
    </w:p>
    <w:p w14:paraId="459ECACE" w14:textId="77777777" w:rsidR="00891B3A" w:rsidRPr="00AC0617" w:rsidRDefault="00891B3A" w:rsidP="00891B3A">
      <w:pPr>
        <w:spacing w:after="0"/>
        <w:jc w:val="both"/>
        <w:rPr>
          <w:rFonts w:ascii="Arial" w:hAnsi="Arial" w:cs="Arial"/>
          <w:highlight w:val="yellow"/>
        </w:rPr>
      </w:pPr>
    </w:p>
    <w:p w14:paraId="77D7192C" w14:textId="77777777" w:rsidR="00891B3A" w:rsidRPr="00AC0617" w:rsidRDefault="00891B3A" w:rsidP="00891B3A">
      <w:pPr>
        <w:spacing w:after="0"/>
        <w:jc w:val="both"/>
        <w:rPr>
          <w:rFonts w:ascii="Arial" w:hAnsi="Arial" w:cs="Arial"/>
          <w:b/>
          <w:bCs/>
        </w:rPr>
      </w:pPr>
      <w:r w:rsidRPr="00AC0617">
        <w:rPr>
          <w:rFonts w:ascii="Arial" w:hAnsi="Arial" w:cs="Arial"/>
          <w:b/>
          <w:bCs/>
        </w:rPr>
        <w:t>Liquidity</w:t>
      </w:r>
    </w:p>
    <w:p w14:paraId="11EDB31C" w14:textId="351C1232" w:rsidR="00891B3A" w:rsidRPr="00AC0617" w:rsidRDefault="00891B3A" w:rsidP="00891B3A">
      <w:pPr>
        <w:spacing w:after="0"/>
        <w:jc w:val="both"/>
        <w:rPr>
          <w:rFonts w:ascii="Arial" w:hAnsi="Arial" w:cs="Arial"/>
        </w:rPr>
      </w:pPr>
      <w:r w:rsidRPr="00AC0617">
        <w:rPr>
          <w:rFonts w:ascii="Arial" w:hAnsi="Arial" w:cs="Arial"/>
        </w:rPr>
        <w:t xml:space="preserve">The Company </w:t>
      </w:r>
      <w:r w:rsidR="008319E3">
        <w:rPr>
          <w:rFonts w:ascii="Arial" w:hAnsi="Arial" w:cs="Arial"/>
        </w:rPr>
        <w:t>and its subsidiaries have</w:t>
      </w:r>
      <w:r w:rsidRPr="00AC0617">
        <w:rPr>
          <w:rFonts w:ascii="Arial" w:hAnsi="Arial" w:cs="Arial"/>
        </w:rPr>
        <w:t xml:space="preserve"> </w:t>
      </w:r>
      <w:r w:rsidR="008319E3">
        <w:rPr>
          <w:rFonts w:ascii="Arial" w:hAnsi="Arial" w:cs="Arial"/>
        </w:rPr>
        <w:t xml:space="preserve">cash of </w:t>
      </w:r>
      <w:r w:rsidRPr="00AC0617">
        <w:rPr>
          <w:rFonts w:ascii="Arial" w:hAnsi="Arial" w:cs="Arial"/>
        </w:rPr>
        <w:t xml:space="preserve"> £</w:t>
      </w:r>
      <w:r w:rsidR="002A3C65">
        <w:rPr>
          <w:rFonts w:ascii="Arial" w:hAnsi="Arial" w:cs="Arial"/>
        </w:rPr>
        <w:t>21</w:t>
      </w:r>
      <w:r w:rsidRPr="00AC0617">
        <w:rPr>
          <w:rFonts w:ascii="Arial" w:hAnsi="Arial" w:cs="Arial"/>
        </w:rPr>
        <w:t>.</w:t>
      </w:r>
      <w:r w:rsidR="00232187">
        <w:rPr>
          <w:rFonts w:ascii="Arial" w:hAnsi="Arial" w:cs="Arial"/>
        </w:rPr>
        <w:t>4</w:t>
      </w:r>
      <w:r w:rsidRPr="00AC0617">
        <w:rPr>
          <w:rFonts w:ascii="Arial" w:hAnsi="Arial" w:cs="Arial"/>
        </w:rPr>
        <w:t xml:space="preserve"> million</w:t>
      </w:r>
      <w:r w:rsidR="008319E3">
        <w:rPr>
          <w:rFonts w:ascii="Arial" w:hAnsi="Arial" w:cs="Arial"/>
        </w:rPr>
        <w:t xml:space="preserve"> available </w:t>
      </w:r>
      <w:r w:rsidRPr="00AC0617">
        <w:rPr>
          <w:rFonts w:ascii="Arial" w:hAnsi="Arial" w:cs="Arial"/>
        </w:rPr>
        <w:t xml:space="preserve">to cover its </w:t>
      </w:r>
      <w:r w:rsidR="008319E3">
        <w:rPr>
          <w:rFonts w:ascii="Arial" w:hAnsi="Arial" w:cs="Arial"/>
        </w:rPr>
        <w:t xml:space="preserve">running </w:t>
      </w:r>
      <w:r w:rsidRPr="00AC0617">
        <w:rPr>
          <w:rFonts w:ascii="Arial" w:hAnsi="Arial" w:cs="Arial"/>
        </w:rPr>
        <w:t>costs</w:t>
      </w:r>
      <w:r w:rsidR="008319E3">
        <w:rPr>
          <w:rFonts w:ascii="Arial" w:hAnsi="Arial" w:cs="Arial"/>
        </w:rPr>
        <w:t>, fund commitments</w:t>
      </w:r>
      <w:r w:rsidRPr="00AC0617">
        <w:rPr>
          <w:rFonts w:ascii="Arial" w:hAnsi="Arial" w:cs="Arial"/>
        </w:rPr>
        <w:t xml:space="preserve"> and </w:t>
      </w:r>
      <w:r w:rsidR="008319E3">
        <w:rPr>
          <w:rFonts w:ascii="Arial" w:hAnsi="Arial" w:cs="Arial"/>
        </w:rPr>
        <w:t xml:space="preserve">to </w:t>
      </w:r>
      <w:r w:rsidRPr="00AC0617">
        <w:rPr>
          <w:rFonts w:ascii="Arial" w:hAnsi="Arial" w:cs="Arial"/>
        </w:rPr>
        <w:t>make new investments. The Company, with its current cash balances, has more than sufficient liquidity to meet its planned investments and operating costs. In addition, the Company has deposited $9.1 million (£6.6 million) pending the final approval and completion of the Dacian transaction. Were that transaction not to complete, these funds would be returned to the Company.</w:t>
      </w:r>
    </w:p>
    <w:p w14:paraId="66FCF20A" w14:textId="0C86EB67" w:rsidR="00891B3A" w:rsidRDefault="00891B3A" w:rsidP="00891B3A">
      <w:pPr>
        <w:spacing w:after="0"/>
        <w:jc w:val="both"/>
        <w:rPr>
          <w:rFonts w:ascii="Arial" w:hAnsi="Arial" w:cs="Arial"/>
        </w:rPr>
      </w:pPr>
    </w:p>
    <w:p w14:paraId="65B638D2" w14:textId="77777777" w:rsidR="00B50157" w:rsidRPr="00AC0617" w:rsidRDefault="00B50157" w:rsidP="00B50157">
      <w:pPr>
        <w:spacing w:after="0"/>
        <w:jc w:val="both"/>
        <w:rPr>
          <w:rFonts w:ascii="Arial" w:hAnsi="Arial" w:cs="Arial"/>
        </w:rPr>
      </w:pPr>
      <w:r w:rsidRPr="00AC0617">
        <w:rPr>
          <w:rFonts w:ascii="Arial" w:hAnsi="Arial" w:cs="Arial"/>
        </w:rPr>
        <w:t xml:space="preserve">The Company is considered to be a going concern and the accounts have been prepared on a going concern basis. The Directors believe that the Company is well placed to manage its business risks successfully despite the </w:t>
      </w:r>
      <w:r w:rsidRPr="00943F4C">
        <w:rPr>
          <w:rFonts w:ascii="Arial" w:hAnsi="Arial" w:cs="Arial"/>
        </w:rPr>
        <w:t>current uncertain</w:t>
      </w:r>
      <w:r w:rsidRPr="00AC0617">
        <w:rPr>
          <w:rFonts w:ascii="Arial" w:hAnsi="Arial" w:cs="Arial"/>
        </w:rPr>
        <w:t xml:space="preserve"> economic outlook and have prepared liquidity forecasts for a three-year period from 1 July 2021. </w:t>
      </w:r>
    </w:p>
    <w:p w14:paraId="2F01736F" w14:textId="77777777" w:rsidR="00B50157" w:rsidRPr="00AC0617" w:rsidRDefault="00B50157" w:rsidP="00891B3A">
      <w:pPr>
        <w:spacing w:after="0"/>
        <w:jc w:val="both"/>
        <w:rPr>
          <w:rFonts w:ascii="Arial" w:hAnsi="Arial" w:cs="Arial"/>
        </w:rPr>
      </w:pPr>
    </w:p>
    <w:p w14:paraId="3EC8B157" w14:textId="77777777" w:rsidR="00891B3A" w:rsidRPr="00AC0617" w:rsidRDefault="00891B3A" w:rsidP="00891B3A">
      <w:pPr>
        <w:spacing w:after="0"/>
        <w:jc w:val="both"/>
        <w:rPr>
          <w:rFonts w:ascii="Arial" w:hAnsi="Arial" w:cs="Arial"/>
        </w:rPr>
      </w:pPr>
    </w:p>
    <w:p w14:paraId="34481971" w14:textId="77777777" w:rsidR="00891B3A" w:rsidRDefault="00891B3A" w:rsidP="00891B3A">
      <w:pPr>
        <w:spacing w:after="0"/>
        <w:jc w:val="both"/>
        <w:rPr>
          <w:rFonts w:ascii="Arial" w:hAnsi="Arial" w:cs="Arial"/>
          <w:b/>
          <w:bCs/>
        </w:rPr>
      </w:pPr>
      <w:r w:rsidRPr="00AC0617">
        <w:rPr>
          <w:rFonts w:ascii="Arial" w:hAnsi="Arial" w:cs="Arial"/>
          <w:b/>
          <w:bCs/>
        </w:rPr>
        <w:t>DIVIDEND</w:t>
      </w:r>
    </w:p>
    <w:p w14:paraId="4D04DECA" w14:textId="77777777" w:rsidR="00891B3A" w:rsidRPr="00AC0617" w:rsidRDefault="00891B3A" w:rsidP="00891B3A">
      <w:pPr>
        <w:spacing w:after="0"/>
        <w:jc w:val="both"/>
        <w:rPr>
          <w:rFonts w:ascii="Arial" w:hAnsi="Arial" w:cs="Arial"/>
          <w:b/>
          <w:bCs/>
        </w:rPr>
      </w:pPr>
    </w:p>
    <w:p w14:paraId="4EE3C3F3" w14:textId="3EBEF50C" w:rsidR="00891B3A" w:rsidRPr="00AC0617" w:rsidRDefault="00891B3A" w:rsidP="00891B3A">
      <w:pPr>
        <w:spacing w:after="0"/>
        <w:jc w:val="both"/>
        <w:rPr>
          <w:rFonts w:ascii="Arial" w:hAnsi="Arial" w:cs="Arial"/>
        </w:rPr>
      </w:pPr>
      <w:r w:rsidRPr="00AC0617">
        <w:rPr>
          <w:rFonts w:ascii="Arial" w:hAnsi="Arial" w:cs="Arial"/>
        </w:rPr>
        <w:t xml:space="preserve">The Company has adopted a progressive dividend policy where the target for each financial year is 1.5% of the year end NAV to be paid approximately one third as an interim dividend in September and the balance as a final dividend in the second quarter following the year end. The Board has approved the interim dividend for the 2021 year of 0.3 pence per share to be paid on </w:t>
      </w:r>
      <w:r w:rsidR="006A7B2D">
        <w:rPr>
          <w:rFonts w:ascii="Arial" w:hAnsi="Arial" w:cs="Arial"/>
        </w:rPr>
        <w:t>15</w:t>
      </w:r>
      <w:r w:rsidRPr="00AC0617">
        <w:rPr>
          <w:rFonts w:ascii="Arial" w:hAnsi="Arial" w:cs="Arial"/>
        </w:rPr>
        <w:t xml:space="preserve"> September 2021.</w:t>
      </w:r>
    </w:p>
    <w:p w14:paraId="12E10F95" w14:textId="77777777" w:rsidR="00891B3A" w:rsidRPr="00AC0617" w:rsidRDefault="00891B3A" w:rsidP="00891B3A">
      <w:pPr>
        <w:spacing w:after="0"/>
        <w:jc w:val="both"/>
        <w:rPr>
          <w:rFonts w:ascii="Arial" w:hAnsi="Arial" w:cs="Arial"/>
        </w:rPr>
      </w:pPr>
    </w:p>
    <w:p w14:paraId="5F1F737C" w14:textId="583CCABE" w:rsidR="00891B3A" w:rsidRDefault="00891B3A" w:rsidP="00891B3A">
      <w:pPr>
        <w:spacing w:after="0"/>
        <w:jc w:val="both"/>
        <w:rPr>
          <w:rFonts w:ascii="Arial" w:hAnsi="Arial" w:cs="Arial"/>
        </w:rPr>
      </w:pPr>
      <w:r w:rsidRPr="00AC0617">
        <w:rPr>
          <w:rFonts w:ascii="Arial" w:hAnsi="Arial" w:cs="Arial"/>
        </w:rPr>
        <w:t>In setting the dividend policy</w:t>
      </w:r>
      <w:r w:rsidR="008764D1">
        <w:rPr>
          <w:rFonts w:ascii="Arial" w:hAnsi="Arial" w:cs="Arial"/>
        </w:rPr>
        <w:t>,</w:t>
      </w:r>
      <w:r w:rsidRPr="00AC0617">
        <w:rPr>
          <w:rFonts w:ascii="Arial" w:hAnsi="Arial" w:cs="Arial"/>
        </w:rPr>
        <w:t xml:space="preserve"> the Board has taken into account the general market conditions, the likely liquidity from the existing unquoted investments and the ability to generate income from new investments. </w:t>
      </w:r>
    </w:p>
    <w:p w14:paraId="42C9414F" w14:textId="3DDB4568" w:rsidR="00F04DA7" w:rsidRDefault="00F04DA7" w:rsidP="00891B3A">
      <w:pPr>
        <w:spacing w:after="0"/>
        <w:jc w:val="both"/>
        <w:rPr>
          <w:rFonts w:ascii="Arial" w:hAnsi="Arial" w:cs="Arial"/>
        </w:rPr>
      </w:pPr>
    </w:p>
    <w:p w14:paraId="20027FE0" w14:textId="1AF066BB" w:rsidR="00F04DA7" w:rsidRDefault="00F04DA7" w:rsidP="00891B3A">
      <w:pPr>
        <w:spacing w:after="0"/>
        <w:jc w:val="both"/>
        <w:rPr>
          <w:rFonts w:ascii="Arial" w:hAnsi="Arial" w:cs="Arial"/>
        </w:rPr>
      </w:pPr>
    </w:p>
    <w:p w14:paraId="13A1C9CF" w14:textId="77777777" w:rsidR="00F04DA7" w:rsidRPr="00AC0617" w:rsidRDefault="00F04DA7" w:rsidP="00891B3A">
      <w:pPr>
        <w:spacing w:after="0"/>
        <w:jc w:val="both"/>
        <w:rPr>
          <w:rFonts w:ascii="Arial" w:hAnsi="Arial" w:cs="Arial"/>
        </w:rPr>
      </w:pPr>
    </w:p>
    <w:p w14:paraId="1357A2B6" w14:textId="77777777" w:rsidR="00891B3A" w:rsidRPr="00AC0617" w:rsidRDefault="00891B3A" w:rsidP="00891B3A">
      <w:pPr>
        <w:spacing w:after="0"/>
        <w:jc w:val="both"/>
        <w:rPr>
          <w:rFonts w:ascii="Arial" w:hAnsi="Arial" w:cs="Arial"/>
          <w:b/>
          <w:bCs/>
        </w:rPr>
      </w:pPr>
      <w:r w:rsidRPr="00AC0617">
        <w:rPr>
          <w:rFonts w:ascii="Arial" w:hAnsi="Arial" w:cs="Arial"/>
          <w:b/>
          <w:bCs/>
        </w:rPr>
        <w:lastRenderedPageBreak/>
        <w:t>CONCLUSION AND OUTLOOK</w:t>
      </w:r>
    </w:p>
    <w:p w14:paraId="2409E56E" w14:textId="77777777" w:rsidR="00891B3A" w:rsidRPr="00AC0617" w:rsidRDefault="00891B3A" w:rsidP="00891B3A">
      <w:pPr>
        <w:spacing w:after="0"/>
        <w:jc w:val="both"/>
        <w:rPr>
          <w:rFonts w:ascii="Arial" w:hAnsi="Arial" w:cs="Arial"/>
        </w:rPr>
      </w:pPr>
    </w:p>
    <w:p w14:paraId="2AB3611D" w14:textId="41EB5EBA" w:rsidR="00891B3A" w:rsidRPr="00AC0617" w:rsidRDefault="00891B3A" w:rsidP="00891B3A">
      <w:pPr>
        <w:spacing w:after="0"/>
        <w:jc w:val="both"/>
        <w:rPr>
          <w:rFonts w:ascii="Arial" w:hAnsi="Arial" w:cs="Arial"/>
        </w:rPr>
      </w:pPr>
      <w:r w:rsidRPr="00AC0617">
        <w:rPr>
          <w:rFonts w:ascii="Arial" w:hAnsi="Arial" w:cs="Arial"/>
        </w:rPr>
        <w:t xml:space="preserve">The Board’s objective </w:t>
      </w:r>
      <w:r w:rsidR="00CE3B11">
        <w:rPr>
          <w:rFonts w:ascii="Arial" w:hAnsi="Arial" w:cs="Arial"/>
        </w:rPr>
        <w:t>is</w:t>
      </w:r>
      <w:r w:rsidRPr="00AC0617">
        <w:rPr>
          <w:rFonts w:ascii="Arial" w:hAnsi="Arial" w:cs="Arial"/>
        </w:rPr>
        <w:t xml:space="preserve"> to broaden the Company’s shareholder base and develop the Company into an attractive investment for family offices, high net worth investors, institutions and others attracted by the returns it achieves and the character of its investments. In order to achieve this, </w:t>
      </w:r>
      <w:r w:rsidR="00026130">
        <w:rPr>
          <w:rFonts w:ascii="Arial" w:hAnsi="Arial" w:cs="Arial"/>
        </w:rPr>
        <w:t>we</w:t>
      </w:r>
      <w:r w:rsidRPr="00AC0617">
        <w:rPr>
          <w:rFonts w:ascii="Arial" w:hAnsi="Arial" w:cs="Arial"/>
        </w:rPr>
        <w:t xml:space="preserve"> will:</w:t>
      </w:r>
    </w:p>
    <w:p w14:paraId="3EA15932" w14:textId="77777777" w:rsidR="00891B3A" w:rsidRPr="00AC0617" w:rsidRDefault="00891B3A" w:rsidP="00891B3A">
      <w:pPr>
        <w:spacing w:after="0"/>
        <w:jc w:val="both"/>
        <w:rPr>
          <w:rFonts w:ascii="Arial" w:hAnsi="Arial" w:cs="Arial"/>
        </w:rPr>
      </w:pPr>
    </w:p>
    <w:p w14:paraId="4EE7ADD4" w14:textId="77777777" w:rsidR="00891B3A" w:rsidRPr="00AC0617" w:rsidRDefault="00891B3A" w:rsidP="00891B3A">
      <w:pPr>
        <w:pStyle w:val="ListParagraph"/>
        <w:widowControl/>
        <w:numPr>
          <w:ilvl w:val="0"/>
          <w:numId w:val="14"/>
        </w:numPr>
        <w:suppressAutoHyphens w:val="0"/>
        <w:autoSpaceDN/>
        <w:spacing w:after="0"/>
        <w:contextualSpacing/>
        <w:jc w:val="both"/>
        <w:textAlignment w:val="auto"/>
        <w:rPr>
          <w:rFonts w:ascii="Arial" w:hAnsi="Arial" w:cs="Arial"/>
        </w:rPr>
      </w:pPr>
      <w:r w:rsidRPr="00AC0617">
        <w:rPr>
          <w:rFonts w:ascii="Arial" w:hAnsi="Arial" w:cs="Arial"/>
        </w:rPr>
        <w:t>Further develop our deal pipeline and deploy capital in our chosen sectors;</w:t>
      </w:r>
    </w:p>
    <w:p w14:paraId="29046F9D" w14:textId="77777777" w:rsidR="00891B3A" w:rsidRPr="00AC0617" w:rsidRDefault="00891B3A" w:rsidP="00891B3A">
      <w:pPr>
        <w:pStyle w:val="ListParagraph"/>
        <w:widowControl/>
        <w:numPr>
          <w:ilvl w:val="0"/>
          <w:numId w:val="14"/>
        </w:numPr>
        <w:suppressAutoHyphens w:val="0"/>
        <w:autoSpaceDN/>
        <w:spacing w:after="0"/>
        <w:contextualSpacing/>
        <w:jc w:val="both"/>
        <w:textAlignment w:val="auto"/>
        <w:rPr>
          <w:rFonts w:ascii="Arial" w:hAnsi="Arial" w:cs="Arial"/>
        </w:rPr>
      </w:pPr>
      <w:r w:rsidRPr="00AC0617">
        <w:rPr>
          <w:rFonts w:ascii="Arial" w:hAnsi="Arial" w:cs="Arial"/>
        </w:rPr>
        <w:t xml:space="preserve">Expand our co-investment </w:t>
      </w:r>
      <w:proofErr w:type="spellStart"/>
      <w:r w:rsidRPr="00AC0617">
        <w:rPr>
          <w:rFonts w:ascii="Arial" w:hAnsi="Arial" w:cs="Arial"/>
        </w:rPr>
        <w:t>programme</w:t>
      </w:r>
      <w:proofErr w:type="spellEnd"/>
      <w:r w:rsidRPr="00AC0617">
        <w:rPr>
          <w:rFonts w:ascii="Arial" w:hAnsi="Arial" w:cs="Arial"/>
        </w:rPr>
        <w:t>; and</w:t>
      </w:r>
    </w:p>
    <w:p w14:paraId="2A3AAC75" w14:textId="77777777" w:rsidR="00891B3A" w:rsidRPr="00AC0617" w:rsidRDefault="00891B3A" w:rsidP="00891B3A">
      <w:pPr>
        <w:pStyle w:val="ListParagraph"/>
        <w:widowControl/>
        <w:numPr>
          <w:ilvl w:val="0"/>
          <w:numId w:val="14"/>
        </w:numPr>
        <w:suppressAutoHyphens w:val="0"/>
        <w:autoSpaceDN/>
        <w:spacing w:after="0"/>
        <w:contextualSpacing/>
        <w:jc w:val="both"/>
        <w:textAlignment w:val="auto"/>
        <w:rPr>
          <w:rFonts w:ascii="Arial" w:hAnsi="Arial" w:cs="Arial"/>
        </w:rPr>
      </w:pPr>
      <w:r w:rsidRPr="00AC0617">
        <w:rPr>
          <w:rFonts w:ascii="Arial" w:hAnsi="Arial" w:cs="Arial"/>
        </w:rPr>
        <w:t>Identify routes to expand the capital base of the Company.</w:t>
      </w:r>
    </w:p>
    <w:p w14:paraId="27F6D6DA" w14:textId="77777777" w:rsidR="00891B3A" w:rsidRPr="00AC0617" w:rsidRDefault="00891B3A" w:rsidP="00891B3A">
      <w:pPr>
        <w:pStyle w:val="ListParagraph"/>
        <w:widowControl/>
        <w:suppressAutoHyphens w:val="0"/>
        <w:autoSpaceDN/>
        <w:spacing w:after="0"/>
        <w:ind w:left="832"/>
        <w:contextualSpacing/>
        <w:jc w:val="both"/>
        <w:textAlignment w:val="auto"/>
        <w:rPr>
          <w:rFonts w:ascii="Arial" w:hAnsi="Arial" w:cs="Arial"/>
        </w:rPr>
      </w:pPr>
    </w:p>
    <w:p w14:paraId="439D3493" w14:textId="7D9DD331" w:rsidR="00891B3A" w:rsidRPr="00AC0617" w:rsidRDefault="00891B3A" w:rsidP="00891B3A">
      <w:pPr>
        <w:spacing w:after="0"/>
        <w:jc w:val="both"/>
        <w:rPr>
          <w:rFonts w:ascii="Arial" w:hAnsi="Arial" w:cs="Arial"/>
        </w:rPr>
      </w:pPr>
      <w:r w:rsidRPr="00AC0617">
        <w:rPr>
          <w:rFonts w:ascii="Arial" w:hAnsi="Arial" w:cs="Arial"/>
        </w:rPr>
        <w:t xml:space="preserve">Notwithstanding the impact of the Coronavirus </w:t>
      </w:r>
      <w:r w:rsidRPr="00755BD6">
        <w:rPr>
          <w:rFonts w:ascii="Arial" w:hAnsi="Arial" w:cs="Arial"/>
        </w:rPr>
        <w:t>pandemic,</w:t>
      </w:r>
      <w:r w:rsidRPr="00AC0617">
        <w:rPr>
          <w:rFonts w:ascii="Arial" w:hAnsi="Arial" w:cs="Arial"/>
        </w:rPr>
        <w:t xml:space="preserve"> and whilst remaining cautious about the macro environment, we are mindful of the need to build our pipeline of opportunities and deploy capital.</w:t>
      </w:r>
    </w:p>
    <w:p w14:paraId="00F6BAE8" w14:textId="77777777" w:rsidR="00891B3A" w:rsidRPr="00AC0617" w:rsidRDefault="00891B3A" w:rsidP="00891B3A">
      <w:pPr>
        <w:spacing w:after="0"/>
        <w:jc w:val="both"/>
        <w:rPr>
          <w:rFonts w:ascii="Arial" w:hAnsi="Arial" w:cs="Arial"/>
        </w:rPr>
      </w:pPr>
    </w:p>
    <w:p w14:paraId="146CFF0C" w14:textId="2ABC05E6" w:rsidR="00891B3A" w:rsidRPr="00AC0617" w:rsidRDefault="00891B3A" w:rsidP="00891B3A">
      <w:pPr>
        <w:spacing w:after="0"/>
        <w:jc w:val="both"/>
        <w:rPr>
          <w:rFonts w:ascii="Arial" w:hAnsi="Arial" w:cs="Arial"/>
        </w:rPr>
      </w:pPr>
      <w:r w:rsidRPr="00AC0617">
        <w:rPr>
          <w:rFonts w:ascii="Arial" w:hAnsi="Arial" w:cs="Arial"/>
        </w:rPr>
        <w:t xml:space="preserve">We would like to express our appreciation to all those with whom we work, </w:t>
      </w:r>
      <w:r w:rsidR="005C76C3">
        <w:rPr>
          <w:rFonts w:ascii="Arial" w:hAnsi="Arial" w:cs="Arial"/>
        </w:rPr>
        <w:t xml:space="preserve">including </w:t>
      </w:r>
      <w:r w:rsidRPr="00AC0617">
        <w:rPr>
          <w:rFonts w:ascii="Arial" w:hAnsi="Arial" w:cs="Arial"/>
        </w:rPr>
        <w:t>our staff, service providers, advis</w:t>
      </w:r>
      <w:r w:rsidR="002D42A2">
        <w:rPr>
          <w:rFonts w:ascii="Arial" w:hAnsi="Arial" w:cs="Arial"/>
        </w:rPr>
        <w:t>ory</w:t>
      </w:r>
      <w:r w:rsidRPr="00AC0617">
        <w:rPr>
          <w:rFonts w:ascii="Arial" w:hAnsi="Arial" w:cs="Arial"/>
        </w:rPr>
        <w:t xml:space="preserve"> firms, management teams and our Board colleagues for their support and efforts in these challenging times.</w:t>
      </w:r>
    </w:p>
    <w:p w14:paraId="34811BA5" w14:textId="77777777" w:rsidR="00891B3A" w:rsidRPr="00AC0617" w:rsidRDefault="00891B3A" w:rsidP="00891B3A">
      <w:pPr>
        <w:spacing w:after="0"/>
        <w:jc w:val="both"/>
        <w:rPr>
          <w:rFonts w:ascii="Arial" w:hAnsi="Arial" w:cs="Arial"/>
        </w:rPr>
      </w:pPr>
    </w:p>
    <w:p w14:paraId="580E5554" w14:textId="77777777" w:rsidR="00891B3A" w:rsidRPr="00AC0617" w:rsidRDefault="00891B3A" w:rsidP="00891B3A">
      <w:pPr>
        <w:spacing w:after="0"/>
        <w:jc w:val="both"/>
        <w:rPr>
          <w:rFonts w:ascii="Arial" w:hAnsi="Arial" w:cs="Arial"/>
        </w:rPr>
      </w:pPr>
      <w:r w:rsidRPr="00AC0617">
        <w:rPr>
          <w:rFonts w:ascii="Arial" w:hAnsi="Arial" w:cs="Arial"/>
        </w:rPr>
        <w:t>We look forward to reporting to you further on our progress.</w:t>
      </w:r>
    </w:p>
    <w:p w14:paraId="38EC6B8B" w14:textId="090AF0A3" w:rsidR="00891B3A" w:rsidRDefault="00891B3A" w:rsidP="00891B3A">
      <w:pPr>
        <w:widowControl/>
        <w:spacing w:after="0"/>
        <w:jc w:val="both"/>
        <w:rPr>
          <w:rFonts w:ascii="Arial" w:eastAsia="Times New Roman" w:hAnsi="Arial" w:cs="Arial"/>
        </w:rPr>
      </w:pPr>
    </w:p>
    <w:p w14:paraId="03BE420C" w14:textId="7BAEEA71" w:rsidR="00891B3A" w:rsidRDefault="00891B3A" w:rsidP="00891B3A">
      <w:pPr>
        <w:widowControl/>
        <w:spacing w:after="0"/>
        <w:jc w:val="both"/>
        <w:rPr>
          <w:rFonts w:ascii="Arial" w:eastAsia="Times New Roman" w:hAnsi="Arial" w:cs="Arial"/>
        </w:rPr>
      </w:pPr>
    </w:p>
    <w:p w14:paraId="0064D948" w14:textId="37F045BF" w:rsidR="00D90816" w:rsidRDefault="00D90816" w:rsidP="00891B3A">
      <w:pPr>
        <w:widowControl/>
        <w:spacing w:after="0"/>
        <w:jc w:val="both"/>
        <w:rPr>
          <w:rFonts w:ascii="Arial" w:eastAsia="Times New Roman" w:hAnsi="Arial" w:cs="Arial"/>
        </w:rPr>
      </w:pPr>
    </w:p>
    <w:p w14:paraId="17B078C6" w14:textId="77777777" w:rsidR="00D90816" w:rsidRPr="00AC0617" w:rsidRDefault="00D90816" w:rsidP="00891B3A">
      <w:pPr>
        <w:widowControl/>
        <w:spacing w:after="0"/>
        <w:jc w:val="both"/>
        <w:rPr>
          <w:rFonts w:ascii="Arial" w:eastAsia="Times New Roman" w:hAnsi="Arial" w:cs="Arial"/>
        </w:rPr>
      </w:pPr>
    </w:p>
    <w:p w14:paraId="60E68491" w14:textId="77777777"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rPr>
        <w:t xml:space="preserve">Robert Rayne </w:t>
      </w:r>
    </w:p>
    <w:p w14:paraId="06789D0D" w14:textId="77777777"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rPr>
        <w:t xml:space="preserve">Chairman </w:t>
      </w:r>
    </w:p>
    <w:p w14:paraId="5C2D9E30" w14:textId="34F87142" w:rsidR="00891B3A" w:rsidRDefault="00891B3A" w:rsidP="00891B3A">
      <w:pPr>
        <w:widowControl/>
        <w:spacing w:after="0"/>
        <w:jc w:val="both"/>
        <w:rPr>
          <w:rFonts w:ascii="Arial" w:eastAsia="Times New Roman" w:hAnsi="Arial" w:cs="Arial"/>
        </w:rPr>
      </w:pPr>
    </w:p>
    <w:p w14:paraId="3A1DB739" w14:textId="6815F142" w:rsidR="00891B3A" w:rsidRDefault="00891B3A" w:rsidP="00891B3A">
      <w:pPr>
        <w:widowControl/>
        <w:spacing w:after="0"/>
        <w:jc w:val="both"/>
        <w:rPr>
          <w:rFonts w:ascii="Arial" w:eastAsia="Times New Roman" w:hAnsi="Arial" w:cs="Arial"/>
        </w:rPr>
      </w:pPr>
    </w:p>
    <w:p w14:paraId="2CD56D0F" w14:textId="12C5AA80" w:rsidR="00D90816" w:rsidRDefault="00D90816" w:rsidP="00891B3A">
      <w:pPr>
        <w:widowControl/>
        <w:spacing w:after="0"/>
        <w:jc w:val="both"/>
        <w:rPr>
          <w:rFonts w:ascii="Arial" w:eastAsia="Times New Roman" w:hAnsi="Arial" w:cs="Arial"/>
        </w:rPr>
      </w:pPr>
    </w:p>
    <w:p w14:paraId="442AA001" w14:textId="77777777" w:rsidR="00D90816" w:rsidRPr="00AC0617" w:rsidRDefault="00D90816" w:rsidP="00891B3A">
      <w:pPr>
        <w:widowControl/>
        <w:spacing w:after="0"/>
        <w:jc w:val="both"/>
        <w:rPr>
          <w:rFonts w:ascii="Arial" w:eastAsia="Times New Roman" w:hAnsi="Arial" w:cs="Arial"/>
        </w:rPr>
      </w:pPr>
    </w:p>
    <w:p w14:paraId="5D1A868E" w14:textId="1EBC7802"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rPr>
        <w:t>Ni</w:t>
      </w:r>
      <w:r w:rsidR="00807F3C">
        <w:rPr>
          <w:rFonts w:ascii="Arial" w:eastAsia="Times New Roman" w:hAnsi="Arial" w:cs="Arial"/>
        </w:rPr>
        <w:t>cholas</w:t>
      </w:r>
      <w:r w:rsidRPr="00AC0617">
        <w:rPr>
          <w:rFonts w:ascii="Arial" w:eastAsia="Times New Roman" w:hAnsi="Arial" w:cs="Arial"/>
        </w:rPr>
        <w:t xml:space="preserve"> </w:t>
      </w:r>
      <w:proofErr w:type="spellStart"/>
      <w:r w:rsidRPr="00AC0617">
        <w:rPr>
          <w:rFonts w:ascii="Arial" w:eastAsia="Times New Roman" w:hAnsi="Arial" w:cs="Arial"/>
        </w:rPr>
        <w:t>Friedlos</w:t>
      </w:r>
      <w:proofErr w:type="spellEnd"/>
      <w:r w:rsidRPr="00AC0617">
        <w:rPr>
          <w:rFonts w:ascii="Arial" w:eastAsia="Times New Roman" w:hAnsi="Arial" w:cs="Arial"/>
        </w:rPr>
        <w:t xml:space="preserve"> </w:t>
      </w:r>
    </w:p>
    <w:p w14:paraId="5DA8DDBC" w14:textId="77777777"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rPr>
        <w:t xml:space="preserve">Managing Director </w:t>
      </w:r>
    </w:p>
    <w:p w14:paraId="324F6192" w14:textId="77777777" w:rsidR="00891B3A" w:rsidRPr="00AC0617" w:rsidRDefault="00891B3A" w:rsidP="00891B3A">
      <w:pPr>
        <w:widowControl/>
        <w:spacing w:after="0"/>
        <w:jc w:val="both"/>
        <w:rPr>
          <w:rFonts w:ascii="Arial" w:eastAsia="Times New Roman" w:hAnsi="Arial" w:cs="Arial"/>
        </w:rPr>
      </w:pPr>
    </w:p>
    <w:p w14:paraId="2A5EE393" w14:textId="3266576F" w:rsidR="00891B3A" w:rsidRPr="00AC0617" w:rsidRDefault="00943775" w:rsidP="00891B3A">
      <w:pPr>
        <w:widowControl/>
        <w:spacing w:after="0"/>
        <w:jc w:val="both"/>
        <w:rPr>
          <w:rFonts w:ascii="Arial" w:eastAsia="Times New Roman" w:hAnsi="Arial" w:cs="Arial"/>
        </w:rPr>
      </w:pPr>
      <w:r>
        <w:rPr>
          <w:rFonts w:ascii="Arial" w:eastAsia="Times New Roman" w:hAnsi="Arial" w:cs="Arial"/>
        </w:rPr>
        <w:t>2</w:t>
      </w:r>
      <w:r w:rsidR="00891B3A" w:rsidRPr="00AC0617">
        <w:rPr>
          <w:rFonts w:ascii="Arial" w:eastAsia="Times New Roman" w:hAnsi="Arial" w:cs="Arial"/>
        </w:rPr>
        <w:t xml:space="preserve"> August 2021</w:t>
      </w:r>
    </w:p>
    <w:p w14:paraId="154D4776" w14:textId="77777777" w:rsidR="00891B3A" w:rsidRPr="00AC0617" w:rsidRDefault="00891B3A" w:rsidP="00891B3A">
      <w:pPr>
        <w:widowControl/>
        <w:spacing w:after="0"/>
        <w:jc w:val="both"/>
        <w:rPr>
          <w:rFonts w:ascii="Arial" w:eastAsia="Georgia" w:hAnsi="Arial" w:cs="Arial"/>
          <w:b/>
          <w:sz w:val="36"/>
          <w:szCs w:val="36"/>
          <w:lang w:val="en-GB"/>
        </w:rPr>
      </w:pPr>
    </w:p>
    <w:p w14:paraId="50BB312A" w14:textId="77777777" w:rsidR="00891B3A" w:rsidRPr="00AC0617" w:rsidRDefault="00891B3A" w:rsidP="00891B3A">
      <w:pPr>
        <w:widowControl/>
        <w:spacing w:after="0"/>
        <w:jc w:val="both"/>
        <w:rPr>
          <w:rFonts w:ascii="Arial" w:eastAsia="Georgia" w:hAnsi="Arial" w:cs="Arial"/>
          <w:b/>
          <w:sz w:val="36"/>
          <w:szCs w:val="36"/>
          <w:lang w:val="en-GB"/>
        </w:rPr>
      </w:pPr>
    </w:p>
    <w:p w14:paraId="3859F40C" w14:textId="77777777" w:rsidR="00891B3A" w:rsidRPr="00AC0617" w:rsidRDefault="00891B3A" w:rsidP="00891B3A">
      <w:pPr>
        <w:widowControl/>
        <w:spacing w:after="0"/>
        <w:jc w:val="both"/>
        <w:rPr>
          <w:rFonts w:ascii="Arial" w:eastAsia="Georgia" w:hAnsi="Arial" w:cs="Arial"/>
          <w:b/>
          <w:sz w:val="36"/>
          <w:szCs w:val="36"/>
          <w:lang w:val="en-GB"/>
        </w:rPr>
      </w:pPr>
    </w:p>
    <w:p w14:paraId="6DF43764" w14:textId="32492659" w:rsidR="00891B3A" w:rsidRDefault="00891B3A" w:rsidP="00891B3A">
      <w:pPr>
        <w:widowControl/>
        <w:spacing w:after="0"/>
        <w:jc w:val="both"/>
        <w:rPr>
          <w:rFonts w:ascii="Arial" w:eastAsia="Georgia" w:hAnsi="Arial" w:cs="Arial"/>
          <w:b/>
          <w:sz w:val="36"/>
          <w:szCs w:val="36"/>
          <w:lang w:val="en-GB"/>
        </w:rPr>
      </w:pPr>
    </w:p>
    <w:p w14:paraId="3B50F1F5" w14:textId="77777777" w:rsidR="00D90816" w:rsidRPr="00AC0617" w:rsidRDefault="00D90816" w:rsidP="00891B3A">
      <w:pPr>
        <w:widowControl/>
        <w:spacing w:after="0"/>
        <w:jc w:val="both"/>
        <w:rPr>
          <w:rFonts w:ascii="Arial" w:eastAsia="Georgia" w:hAnsi="Arial" w:cs="Arial"/>
          <w:b/>
          <w:sz w:val="36"/>
          <w:szCs w:val="36"/>
          <w:lang w:val="en-GB"/>
        </w:rPr>
      </w:pPr>
    </w:p>
    <w:p w14:paraId="4CFDD8A9" w14:textId="14DDF8AE" w:rsidR="00891B3A" w:rsidRDefault="00891B3A" w:rsidP="00891B3A">
      <w:pPr>
        <w:widowControl/>
        <w:spacing w:after="0"/>
        <w:jc w:val="both"/>
        <w:rPr>
          <w:rFonts w:ascii="Arial" w:eastAsia="Georgia" w:hAnsi="Arial" w:cs="Arial"/>
          <w:b/>
          <w:sz w:val="36"/>
          <w:szCs w:val="36"/>
          <w:lang w:val="en-GB"/>
        </w:rPr>
      </w:pPr>
    </w:p>
    <w:p w14:paraId="2299E8F4" w14:textId="77777777" w:rsidR="00DE7709" w:rsidRPr="00AC0617" w:rsidRDefault="00DE7709" w:rsidP="00891B3A">
      <w:pPr>
        <w:widowControl/>
        <w:spacing w:after="0"/>
        <w:jc w:val="both"/>
        <w:rPr>
          <w:rFonts w:ascii="Arial" w:eastAsia="Georgia" w:hAnsi="Arial" w:cs="Arial"/>
          <w:b/>
          <w:sz w:val="36"/>
          <w:szCs w:val="36"/>
          <w:lang w:val="en-GB"/>
        </w:rPr>
      </w:pPr>
    </w:p>
    <w:p w14:paraId="416DA36F" w14:textId="77777777" w:rsidR="00891B3A" w:rsidRPr="00AC0617" w:rsidRDefault="00891B3A" w:rsidP="00891B3A">
      <w:pPr>
        <w:widowControl/>
        <w:spacing w:after="0"/>
        <w:jc w:val="both"/>
        <w:rPr>
          <w:rFonts w:ascii="Arial" w:eastAsia="Georgia" w:hAnsi="Arial" w:cs="Arial"/>
          <w:b/>
          <w:sz w:val="36"/>
          <w:szCs w:val="36"/>
          <w:lang w:val="en-GB"/>
        </w:rPr>
      </w:pPr>
    </w:p>
    <w:p w14:paraId="2CBD52F0" w14:textId="77777777" w:rsidR="00891B3A" w:rsidRPr="00AC0617" w:rsidRDefault="00891B3A" w:rsidP="00891B3A">
      <w:pPr>
        <w:widowControl/>
        <w:spacing w:after="0"/>
        <w:jc w:val="both"/>
        <w:rPr>
          <w:rFonts w:ascii="Arial" w:eastAsia="Georgia" w:hAnsi="Arial" w:cs="Arial"/>
          <w:b/>
          <w:sz w:val="36"/>
          <w:szCs w:val="36"/>
          <w:lang w:val="en-GB"/>
        </w:rPr>
      </w:pPr>
      <w:r w:rsidRPr="00AC0617">
        <w:rPr>
          <w:rFonts w:ascii="Arial" w:hAnsi="Arial" w:cs="Arial"/>
          <w:b/>
          <w:noProof/>
          <w:sz w:val="36"/>
          <w:szCs w:val="36"/>
          <w:lang w:val="en-GB" w:eastAsia="en-GB"/>
        </w:rPr>
        <w:lastRenderedPageBreak/>
        <mc:AlternateContent>
          <mc:Choice Requires="wps">
            <w:drawing>
              <wp:anchor distT="0" distB="0" distL="114300" distR="114300" simplePos="0" relativeHeight="251727360" behindDoc="1" locked="0" layoutInCell="1" allowOverlap="1" wp14:anchorId="4D0A304A" wp14:editId="1AEB53E9">
                <wp:simplePos x="0" y="0"/>
                <wp:positionH relativeFrom="page">
                  <wp:posOffset>7286625</wp:posOffset>
                </wp:positionH>
                <wp:positionV relativeFrom="paragraph">
                  <wp:posOffset>-238125</wp:posOffset>
                </wp:positionV>
                <wp:extent cx="127000" cy="971550"/>
                <wp:effectExtent l="0" t="0" r="6350" b="0"/>
                <wp:wrapNone/>
                <wp:docPr id="37" name="Text Box 1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4C0BE" w14:textId="77777777" w:rsidR="00F94997" w:rsidRDefault="00F94997" w:rsidP="00891B3A">
                            <w:pPr>
                              <w:spacing w:after="0" w:line="176" w:lineRule="exact"/>
                              <w:ind w:left="20" w:right="-44"/>
                              <w:rPr>
                                <w:rFonts w:ascii="Georgia" w:eastAsia="Georgia" w:hAnsi="Georgia" w:cs="Georgia"/>
                                <w:sz w:val="16"/>
                                <w:szCs w:val="16"/>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A304A" id="_x0000_t202" coordsize="21600,21600" o:spt="202" path="m,l,21600r21600,l21600,xe">
                <v:stroke joinstyle="miter"/>
                <v:path gradientshapeok="t" o:connecttype="rect"/>
              </v:shapetype>
              <v:shape id="Text Box 1556" o:spid="_x0000_s1026" type="#_x0000_t202" style="position:absolute;left:0;text-align:left;margin-left:573.75pt;margin-top:-18.75pt;width:10pt;height:76.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" filled="f" stroked="f">
                <v:textbox style="layout-flow:vertical;mso-layout-flow-alt:bottom-to-top" inset="0,0,0,0">
                  <w:txbxContent>
                    <w:p w14:paraId="33B4C0BE" w14:textId="77777777" w:rsidR="00F94997" w:rsidRDefault="00F94997" w:rsidP="00891B3A">
                      <w:pPr>
                        <w:spacing w:after="0" w:line="176" w:lineRule="exact"/>
                        <w:ind w:left="20" w:right="-44"/>
                        <w:rPr>
                          <w:rFonts w:ascii="Georgia" w:eastAsia="Georgia" w:hAnsi="Georgia" w:cs="Georgia"/>
                          <w:sz w:val="16"/>
                          <w:szCs w:val="16"/>
                        </w:rPr>
                      </w:pPr>
                    </w:p>
                  </w:txbxContent>
                </v:textbox>
                <w10:wrap anchorx="page"/>
              </v:shape>
            </w:pict>
          </mc:Fallback>
        </mc:AlternateContent>
      </w:r>
      <w:r w:rsidRPr="00AC0617">
        <w:rPr>
          <w:rFonts w:ascii="Arial" w:eastAsia="Georgia" w:hAnsi="Arial" w:cs="Arial"/>
          <w:b/>
          <w:sz w:val="36"/>
          <w:szCs w:val="36"/>
          <w:lang w:val="en-GB"/>
        </w:rPr>
        <w:t>Portfolio Management</w:t>
      </w:r>
      <w:r w:rsidRPr="00AC0617">
        <w:rPr>
          <w:rFonts w:ascii="Arial" w:eastAsia="Georgia" w:hAnsi="Arial" w:cs="Arial"/>
          <w:b/>
          <w:spacing w:val="-9"/>
          <w:sz w:val="36"/>
          <w:szCs w:val="36"/>
          <w:lang w:val="en-GB"/>
        </w:rPr>
        <w:t xml:space="preserve"> </w:t>
      </w:r>
      <w:r w:rsidRPr="00AC0617">
        <w:rPr>
          <w:rFonts w:ascii="Arial" w:eastAsia="Georgia" w:hAnsi="Arial" w:cs="Arial"/>
          <w:b/>
          <w:sz w:val="36"/>
          <w:szCs w:val="36"/>
          <w:lang w:val="en-GB"/>
        </w:rPr>
        <w:t>Review</w:t>
      </w:r>
    </w:p>
    <w:p w14:paraId="76237E1A" w14:textId="77777777" w:rsidR="00891B3A" w:rsidRPr="00AC0617" w:rsidRDefault="00891B3A" w:rsidP="00891B3A">
      <w:pPr>
        <w:widowControl/>
        <w:spacing w:after="0"/>
        <w:jc w:val="both"/>
        <w:rPr>
          <w:rFonts w:ascii="Arial" w:eastAsia="NewBaskerville" w:hAnsi="Arial" w:cs="Arial"/>
          <w:lang w:val="en-GB"/>
        </w:rPr>
      </w:pPr>
    </w:p>
    <w:p w14:paraId="4AA99F22" w14:textId="77777777" w:rsidR="00891B3A" w:rsidRPr="00AC0617" w:rsidRDefault="00891B3A" w:rsidP="00891B3A">
      <w:pPr>
        <w:widowControl/>
        <w:spacing w:after="0"/>
        <w:jc w:val="both"/>
        <w:rPr>
          <w:rFonts w:ascii="Arial" w:eastAsia="Georgia" w:hAnsi="Arial" w:cs="Arial"/>
          <w:b/>
          <w:color w:val="000000"/>
          <w:lang w:val="en-GB"/>
        </w:rPr>
      </w:pPr>
      <w:r w:rsidRPr="00AC0617">
        <w:rPr>
          <w:rFonts w:ascii="Arial" w:eastAsia="Georgia" w:hAnsi="Arial" w:cs="Arial"/>
          <w:b/>
          <w:color w:val="000000"/>
          <w:lang w:val="en-GB"/>
        </w:rPr>
        <w:t>INTRODUCTION</w:t>
      </w:r>
    </w:p>
    <w:p w14:paraId="684AC692" w14:textId="05229BAB" w:rsidR="00891B3A" w:rsidRPr="00AC0617" w:rsidRDefault="00891B3A" w:rsidP="00891B3A">
      <w:pPr>
        <w:widowControl/>
        <w:suppressAutoHyphens w:val="0"/>
        <w:autoSpaceDN/>
        <w:spacing w:before="100" w:beforeAutospacing="1" w:after="100" w:afterAutospacing="1" w:line="240" w:lineRule="auto"/>
        <w:jc w:val="both"/>
        <w:textAlignment w:val="auto"/>
        <w:rPr>
          <w:rFonts w:ascii="Arial" w:eastAsia="Times New Roman" w:hAnsi="Arial" w:cs="Arial"/>
          <w:color w:val="000000" w:themeColor="text1"/>
        </w:rPr>
      </w:pPr>
      <w:r w:rsidRPr="00AC0617">
        <w:rPr>
          <w:rFonts w:ascii="Arial" w:eastAsia="Times New Roman" w:hAnsi="Arial" w:cs="Arial"/>
          <w:color w:val="000000" w:themeColor="text1"/>
        </w:rPr>
        <w:t xml:space="preserve">The Company and the Board are responsible for all aspects of the portfolio management following the Company’s return to </w:t>
      </w:r>
      <w:r w:rsidR="00131936">
        <w:rPr>
          <w:rFonts w:ascii="Arial" w:eastAsia="Times New Roman" w:hAnsi="Arial" w:cs="Arial"/>
          <w:color w:val="000000" w:themeColor="text1"/>
        </w:rPr>
        <w:t xml:space="preserve">internal </w:t>
      </w:r>
      <w:r w:rsidRPr="00AC0617">
        <w:rPr>
          <w:rFonts w:ascii="Arial" w:eastAsia="Times New Roman" w:hAnsi="Arial" w:cs="Arial"/>
          <w:color w:val="000000" w:themeColor="text1"/>
        </w:rPr>
        <w:t>management with effect from 30 January 2020</w:t>
      </w:r>
      <w:r w:rsidR="0074328C">
        <w:rPr>
          <w:rFonts w:ascii="Arial" w:eastAsia="Times New Roman" w:hAnsi="Arial" w:cs="Arial"/>
          <w:color w:val="000000" w:themeColor="text1"/>
        </w:rPr>
        <w:t>.</w:t>
      </w:r>
    </w:p>
    <w:p w14:paraId="17B0CC79" w14:textId="77777777"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b/>
          <w:bCs/>
        </w:rPr>
        <w:t>INVESTMENT APPROACH</w:t>
      </w:r>
    </w:p>
    <w:p w14:paraId="74A0F3FA" w14:textId="1BBAA7B2"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rPr>
        <w:t xml:space="preserve">The investment approach under internal management is now focused predominantly on three areas: </w:t>
      </w:r>
      <w:r w:rsidR="00131936">
        <w:rPr>
          <w:rFonts w:ascii="Arial" w:eastAsia="Times New Roman" w:hAnsi="Arial" w:cs="Arial"/>
        </w:rPr>
        <w:t>real estate</w:t>
      </w:r>
      <w:r w:rsidRPr="00AC0617">
        <w:rPr>
          <w:rFonts w:ascii="Arial" w:eastAsia="Times New Roman" w:hAnsi="Arial" w:cs="Arial"/>
        </w:rPr>
        <w:t>, energy and late stage private equity investments. The Company will focus on investment opportunities where it has a competitive advantage due to the Company’s long history, including sectors in which the team has deep knowledge and experience, a track record of successful investing and access to exceptional teams and opportunities.</w:t>
      </w:r>
    </w:p>
    <w:p w14:paraId="5DBCBC99" w14:textId="77777777" w:rsidR="00891B3A" w:rsidRPr="00AC0617" w:rsidRDefault="00891B3A" w:rsidP="00891B3A">
      <w:pPr>
        <w:widowControl/>
        <w:spacing w:after="0"/>
        <w:jc w:val="both"/>
        <w:rPr>
          <w:rFonts w:ascii="Arial" w:eastAsia="Times New Roman" w:hAnsi="Arial" w:cs="Arial"/>
        </w:rPr>
      </w:pPr>
    </w:p>
    <w:p w14:paraId="2C9C204F" w14:textId="62C01075"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rPr>
        <w:t xml:space="preserve">The Company will invest in and partner with management teams of profitable and cash generative businesses and investments to create value, targeting an annual return on equity of 12% </w:t>
      </w:r>
      <w:r w:rsidR="00693868">
        <w:rPr>
          <w:rFonts w:ascii="Arial" w:eastAsia="Times New Roman" w:hAnsi="Arial" w:cs="Arial"/>
        </w:rPr>
        <w:t xml:space="preserve">to </w:t>
      </w:r>
      <w:r w:rsidRPr="00AC0617">
        <w:rPr>
          <w:rFonts w:ascii="Arial" w:eastAsia="Times New Roman" w:hAnsi="Arial" w:cs="Arial"/>
        </w:rPr>
        <w:t xml:space="preserve">15%, including an annual distribution to shareholders. </w:t>
      </w:r>
    </w:p>
    <w:p w14:paraId="7C9051A9" w14:textId="77777777" w:rsidR="00891B3A" w:rsidRPr="00AC0617" w:rsidRDefault="00891B3A" w:rsidP="00891B3A">
      <w:pPr>
        <w:widowControl/>
        <w:spacing w:after="0"/>
        <w:jc w:val="both"/>
        <w:rPr>
          <w:rFonts w:ascii="Arial" w:eastAsia="Times New Roman" w:hAnsi="Arial" w:cs="Arial"/>
        </w:rPr>
      </w:pPr>
    </w:p>
    <w:p w14:paraId="4799ADDD" w14:textId="77777777" w:rsidR="00891B3A" w:rsidRPr="00AC0617" w:rsidRDefault="00891B3A" w:rsidP="00891B3A">
      <w:pPr>
        <w:widowControl/>
        <w:spacing w:after="0"/>
        <w:jc w:val="both"/>
        <w:rPr>
          <w:rFonts w:ascii="Arial" w:eastAsia="Times New Roman" w:hAnsi="Arial" w:cs="Arial"/>
        </w:rPr>
      </w:pPr>
      <w:r w:rsidRPr="00AC0617">
        <w:rPr>
          <w:rFonts w:ascii="Arial" w:eastAsia="Times New Roman" w:hAnsi="Arial" w:cs="Arial"/>
        </w:rPr>
        <w:t xml:space="preserve">The Company will also seek to </w:t>
      </w:r>
      <w:proofErr w:type="spellStart"/>
      <w:r w:rsidRPr="00AC0617">
        <w:rPr>
          <w:rFonts w:ascii="Arial" w:eastAsia="Times New Roman" w:hAnsi="Arial" w:cs="Arial"/>
        </w:rPr>
        <w:t>optimise</w:t>
      </w:r>
      <w:proofErr w:type="spellEnd"/>
      <w:r w:rsidRPr="00AC0617">
        <w:rPr>
          <w:rFonts w:ascii="Arial" w:eastAsia="Times New Roman" w:hAnsi="Arial" w:cs="Arial"/>
        </w:rPr>
        <w:t xml:space="preserve"> the value of existing holdings and, where growth prospects are clear, to preserve and support longer term value creation. </w:t>
      </w:r>
    </w:p>
    <w:p w14:paraId="6DAFDFA8" w14:textId="77777777" w:rsidR="00891B3A" w:rsidRPr="00AC0617" w:rsidRDefault="00891B3A" w:rsidP="00891B3A">
      <w:pPr>
        <w:widowControl/>
        <w:spacing w:after="0"/>
        <w:jc w:val="both"/>
        <w:rPr>
          <w:rFonts w:ascii="Arial" w:hAnsi="Arial" w:cs="Arial"/>
          <w:color w:val="000000"/>
          <w:lang w:val="en-GB"/>
        </w:rPr>
      </w:pPr>
    </w:p>
    <w:p w14:paraId="0F243136" w14:textId="77777777" w:rsidR="00891B3A" w:rsidRPr="00AC0617" w:rsidRDefault="00891B3A" w:rsidP="00891B3A">
      <w:pPr>
        <w:spacing w:after="0"/>
        <w:jc w:val="both"/>
        <w:rPr>
          <w:rFonts w:ascii="Arial" w:hAnsi="Arial" w:cs="Arial"/>
          <w:b/>
          <w:lang w:val="en-GB"/>
        </w:rPr>
      </w:pPr>
      <w:r w:rsidRPr="00AC0617">
        <w:rPr>
          <w:rFonts w:ascii="Arial" w:hAnsi="Arial" w:cs="Arial"/>
          <w:b/>
          <w:lang w:val="en-GB"/>
        </w:rPr>
        <w:t>MARKET BACKGROUND</w:t>
      </w:r>
    </w:p>
    <w:p w14:paraId="7A809DC9" w14:textId="59D59672" w:rsidR="00891B3A" w:rsidRPr="00AC0617" w:rsidRDefault="00891B3A" w:rsidP="00891B3A">
      <w:pPr>
        <w:spacing w:after="0"/>
        <w:jc w:val="both"/>
        <w:rPr>
          <w:rFonts w:ascii="Arial" w:hAnsi="Arial" w:cs="Arial"/>
        </w:rPr>
      </w:pPr>
      <w:r w:rsidRPr="00AC0617">
        <w:rPr>
          <w:rFonts w:ascii="Arial" w:hAnsi="Arial" w:cs="Arial"/>
        </w:rPr>
        <w:t xml:space="preserve">The first half of 2021 has seen the beginning of a global economic recovery as markets began to emerge from the impacts of the Coronavirus pandemic. In the UK, the successful rollout of the Coronavirus vaccine program has had a positive impact on markets and the economy but there remain some challenges from the completion of the UK exit from the European Union and the resulting Brexit trade negotiations. Both the UK Aim and Small-cap indices increased 8.2% and 18.9%, respectively.   The Bank of England continues to provide stimulus packages as inflation begins to rise, and the </w:t>
      </w:r>
      <w:r w:rsidR="00793691">
        <w:rPr>
          <w:rFonts w:ascii="Arial" w:hAnsi="Arial" w:cs="Arial"/>
        </w:rPr>
        <w:t xml:space="preserve"> </w:t>
      </w:r>
      <w:r w:rsidRPr="00AC0617">
        <w:rPr>
          <w:rFonts w:ascii="Arial" w:hAnsi="Arial" w:cs="Arial"/>
        </w:rPr>
        <w:t xml:space="preserve">UK </w:t>
      </w:r>
      <w:r w:rsidR="00793691">
        <w:rPr>
          <w:rFonts w:ascii="Arial" w:hAnsi="Arial" w:cs="Arial"/>
        </w:rPr>
        <w:t xml:space="preserve"> </w:t>
      </w:r>
      <w:r w:rsidRPr="00AC0617">
        <w:rPr>
          <w:rFonts w:ascii="Arial" w:hAnsi="Arial" w:cs="Arial"/>
        </w:rPr>
        <w:t xml:space="preserve">government </w:t>
      </w:r>
      <w:r w:rsidR="00793691">
        <w:rPr>
          <w:rFonts w:ascii="Arial" w:hAnsi="Arial" w:cs="Arial"/>
        </w:rPr>
        <w:t xml:space="preserve"> </w:t>
      </w:r>
      <w:r w:rsidRPr="00AC0617">
        <w:rPr>
          <w:rFonts w:ascii="Arial" w:hAnsi="Arial" w:cs="Arial"/>
        </w:rPr>
        <w:t>has</w:t>
      </w:r>
      <w:r w:rsidR="00793691">
        <w:rPr>
          <w:rFonts w:ascii="Arial" w:hAnsi="Arial" w:cs="Arial"/>
        </w:rPr>
        <w:t xml:space="preserve"> </w:t>
      </w:r>
      <w:r w:rsidRPr="00AC0617">
        <w:rPr>
          <w:rFonts w:ascii="Arial" w:hAnsi="Arial" w:cs="Arial"/>
        </w:rPr>
        <w:t xml:space="preserve"> supported </w:t>
      </w:r>
      <w:r w:rsidR="00793691">
        <w:rPr>
          <w:rFonts w:ascii="Arial" w:hAnsi="Arial" w:cs="Arial"/>
        </w:rPr>
        <w:t xml:space="preserve"> </w:t>
      </w:r>
      <w:r w:rsidRPr="00AC0617">
        <w:rPr>
          <w:rFonts w:ascii="Arial" w:hAnsi="Arial" w:cs="Arial"/>
        </w:rPr>
        <w:t>employment through state-funded furlough schemes. The US Dollar also weakened against sterling during the first half of 2021.</w:t>
      </w:r>
    </w:p>
    <w:p w14:paraId="33321890" w14:textId="77777777" w:rsidR="00891B3A" w:rsidRPr="00AC0617" w:rsidRDefault="00891B3A" w:rsidP="00891B3A">
      <w:pPr>
        <w:spacing w:after="0"/>
        <w:jc w:val="both"/>
        <w:rPr>
          <w:rFonts w:ascii="Arial" w:hAnsi="Arial" w:cs="Arial"/>
        </w:rPr>
      </w:pPr>
    </w:p>
    <w:p w14:paraId="23E51F8F" w14:textId="19F68660" w:rsidR="00891B3A" w:rsidRPr="00AC0617" w:rsidRDefault="00891B3A" w:rsidP="00891B3A">
      <w:pPr>
        <w:spacing w:after="0"/>
        <w:jc w:val="both"/>
        <w:rPr>
          <w:rFonts w:ascii="Arial" w:eastAsia="Times New Roman" w:hAnsi="Arial" w:cs="Arial"/>
          <w:lang w:val="en-GB" w:eastAsia="en-GB"/>
        </w:rPr>
      </w:pPr>
      <w:r w:rsidRPr="00AC0617">
        <w:rPr>
          <w:rFonts w:ascii="Arial" w:hAnsi="Arial" w:cs="Arial"/>
        </w:rPr>
        <w:t xml:space="preserve">The Board and Company continue to closely monitor its portfolio investments, including impact that the current market volatility has on the valuations.  </w:t>
      </w:r>
    </w:p>
    <w:p w14:paraId="27F88339" w14:textId="77777777" w:rsidR="00891B3A" w:rsidRDefault="00891B3A" w:rsidP="00891B3A">
      <w:pPr>
        <w:widowControl/>
        <w:spacing w:after="0"/>
        <w:jc w:val="both"/>
        <w:rPr>
          <w:rFonts w:ascii="Arial" w:hAnsi="Arial" w:cs="Arial"/>
          <w:b/>
          <w:lang w:val="en-GB"/>
        </w:rPr>
      </w:pPr>
    </w:p>
    <w:p w14:paraId="03CEE61F" w14:textId="77777777" w:rsidR="00891B3A" w:rsidRDefault="00891B3A" w:rsidP="00891B3A">
      <w:pPr>
        <w:widowControl/>
        <w:spacing w:after="0"/>
        <w:jc w:val="both"/>
        <w:rPr>
          <w:rFonts w:ascii="Arial" w:hAnsi="Arial" w:cs="Arial"/>
          <w:b/>
          <w:lang w:val="en-GB"/>
        </w:rPr>
      </w:pPr>
    </w:p>
    <w:p w14:paraId="335EE085" w14:textId="77777777" w:rsidR="00891B3A" w:rsidRDefault="00891B3A" w:rsidP="00891B3A">
      <w:pPr>
        <w:widowControl/>
        <w:spacing w:after="0"/>
        <w:jc w:val="both"/>
        <w:rPr>
          <w:rFonts w:ascii="Arial" w:hAnsi="Arial" w:cs="Arial"/>
          <w:b/>
          <w:lang w:val="en-GB"/>
        </w:rPr>
      </w:pPr>
    </w:p>
    <w:p w14:paraId="59D81D11" w14:textId="77777777" w:rsidR="00891B3A" w:rsidRDefault="00891B3A" w:rsidP="00891B3A">
      <w:pPr>
        <w:widowControl/>
        <w:spacing w:after="0"/>
        <w:jc w:val="both"/>
        <w:rPr>
          <w:rFonts w:ascii="Arial" w:hAnsi="Arial" w:cs="Arial"/>
          <w:b/>
          <w:lang w:val="en-GB"/>
        </w:rPr>
      </w:pPr>
    </w:p>
    <w:p w14:paraId="52DFEB58" w14:textId="77777777" w:rsidR="00891B3A" w:rsidRDefault="00891B3A" w:rsidP="00891B3A">
      <w:pPr>
        <w:widowControl/>
        <w:spacing w:after="0"/>
        <w:jc w:val="both"/>
        <w:rPr>
          <w:rFonts w:ascii="Arial" w:hAnsi="Arial" w:cs="Arial"/>
          <w:b/>
          <w:lang w:val="en-GB"/>
        </w:rPr>
      </w:pPr>
    </w:p>
    <w:p w14:paraId="73546476" w14:textId="77777777" w:rsidR="00891B3A" w:rsidRDefault="00891B3A" w:rsidP="00891B3A">
      <w:pPr>
        <w:widowControl/>
        <w:spacing w:after="0"/>
        <w:jc w:val="both"/>
        <w:rPr>
          <w:rFonts w:ascii="Arial" w:hAnsi="Arial" w:cs="Arial"/>
          <w:b/>
          <w:lang w:val="en-GB"/>
        </w:rPr>
      </w:pPr>
    </w:p>
    <w:p w14:paraId="079EE660" w14:textId="77777777" w:rsidR="00891B3A" w:rsidRDefault="00891B3A" w:rsidP="00891B3A">
      <w:pPr>
        <w:widowControl/>
        <w:spacing w:after="0"/>
        <w:jc w:val="both"/>
        <w:rPr>
          <w:rFonts w:ascii="Arial" w:hAnsi="Arial" w:cs="Arial"/>
          <w:b/>
          <w:lang w:val="en-GB"/>
        </w:rPr>
      </w:pPr>
    </w:p>
    <w:p w14:paraId="75F8ACBD" w14:textId="77777777" w:rsidR="00891B3A" w:rsidRDefault="00891B3A" w:rsidP="00891B3A">
      <w:pPr>
        <w:widowControl/>
        <w:spacing w:after="0"/>
        <w:jc w:val="both"/>
        <w:rPr>
          <w:rFonts w:ascii="Arial" w:hAnsi="Arial" w:cs="Arial"/>
          <w:b/>
          <w:lang w:val="en-GB"/>
        </w:rPr>
      </w:pPr>
    </w:p>
    <w:p w14:paraId="6007D3E2" w14:textId="77777777" w:rsidR="00891B3A" w:rsidRDefault="00891B3A" w:rsidP="00891B3A">
      <w:pPr>
        <w:widowControl/>
        <w:spacing w:after="0"/>
        <w:jc w:val="both"/>
        <w:rPr>
          <w:rFonts w:ascii="Arial" w:hAnsi="Arial" w:cs="Arial"/>
          <w:b/>
          <w:lang w:val="en-GB"/>
        </w:rPr>
      </w:pPr>
    </w:p>
    <w:p w14:paraId="27585D72" w14:textId="77777777" w:rsidR="00891B3A" w:rsidRDefault="00891B3A" w:rsidP="00891B3A">
      <w:pPr>
        <w:widowControl/>
        <w:spacing w:after="0"/>
        <w:jc w:val="both"/>
        <w:rPr>
          <w:rFonts w:ascii="Arial" w:hAnsi="Arial" w:cs="Arial"/>
          <w:b/>
          <w:lang w:val="en-GB"/>
        </w:rPr>
      </w:pPr>
    </w:p>
    <w:p w14:paraId="040597D0" w14:textId="77777777" w:rsidR="00891B3A" w:rsidRDefault="00891B3A" w:rsidP="00891B3A">
      <w:pPr>
        <w:widowControl/>
        <w:spacing w:after="0"/>
        <w:jc w:val="both"/>
        <w:rPr>
          <w:rFonts w:ascii="Arial" w:hAnsi="Arial" w:cs="Arial"/>
          <w:b/>
          <w:lang w:val="en-GB"/>
        </w:rPr>
      </w:pPr>
    </w:p>
    <w:p w14:paraId="659DBF48" w14:textId="77777777" w:rsidR="00891B3A" w:rsidRDefault="00891B3A" w:rsidP="00891B3A">
      <w:pPr>
        <w:widowControl/>
        <w:spacing w:after="0"/>
        <w:jc w:val="both"/>
        <w:rPr>
          <w:rFonts w:ascii="Arial" w:hAnsi="Arial" w:cs="Arial"/>
          <w:b/>
          <w:lang w:val="en-GB"/>
        </w:rPr>
      </w:pPr>
    </w:p>
    <w:p w14:paraId="6FC01A40" w14:textId="77777777" w:rsidR="00891B3A" w:rsidRPr="00AC0617" w:rsidRDefault="00891B3A" w:rsidP="00891B3A">
      <w:pPr>
        <w:widowControl/>
        <w:spacing w:after="0"/>
        <w:jc w:val="both"/>
        <w:rPr>
          <w:rFonts w:ascii="Arial" w:hAnsi="Arial" w:cs="Arial"/>
          <w:b/>
          <w:lang w:val="en-GB"/>
        </w:rPr>
      </w:pPr>
    </w:p>
    <w:p w14:paraId="37BBF513" w14:textId="77777777" w:rsidR="00891B3A" w:rsidRPr="00AC0617" w:rsidRDefault="00891B3A" w:rsidP="00016656">
      <w:pPr>
        <w:widowControl/>
        <w:spacing w:after="0"/>
        <w:jc w:val="both"/>
        <w:rPr>
          <w:rFonts w:ascii="Arial" w:hAnsi="Arial" w:cs="Arial"/>
          <w:b/>
          <w:lang w:val="en-GB"/>
        </w:rPr>
      </w:pPr>
      <w:r w:rsidRPr="00AC0617">
        <w:rPr>
          <w:rFonts w:ascii="Arial" w:hAnsi="Arial" w:cs="Arial"/>
          <w:b/>
          <w:lang w:val="en-GB"/>
        </w:rPr>
        <w:lastRenderedPageBreak/>
        <w:t>PERFORMANCE REVIEW</w:t>
      </w:r>
    </w:p>
    <w:p w14:paraId="40B59C10" w14:textId="1C2943B1" w:rsidR="00891B3A" w:rsidRPr="00AC0617" w:rsidRDefault="00891B3A" w:rsidP="00016656">
      <w:pPr>
        <w:widowControl/>
        <w:suppressAutoHyphens w:val="0"/>
        <w:autoSpaceDN/>
        <w:spacing w:before="100" w:beforeAutospacing="1" w:after="100" w:afterAutospacing="1"/>
        <w:jc w:val="both"/>
        <w:textAlignment w:val="auto"/>
        <w:rPr>
          <w:rFonts w:ascii="Arial" w:eastAsia="Times New Roman" w:hAnsi="Arial" w:cs="Arial"/>
          <w:color w:val="000000" w:themeColor="text1"/>
        </w:rPr>
      </w:pPr>
      <w:r w:rsidRPr="00AC0617">
        <w:rPr>
          <w:rFonts w:ascii="Arial" w:eastAsia="Times New Roman" w:hAnsi="Arial" w:cs="Arial"/>
          <w:color w:val="000000" w:themeColor="text1"/>
        </w:rPr>
        <w:t>Cash in the Group at 30 June 2021 was £21.4 million (31 December 2020: £20.6 million), including £15.</w:t>
      </w:r>
      <w:r w:rsidR="00AE28F1">
        <w:rPr>
          <w:rFonts w:ascii="Arial" w:eastAsia="Times New Roman" w:hAnsi="Arial" w:cs="Arial"/>
          <w:color w:val="000000" w:themeColor="text1"/>
        </w:rPr>
        <w:t>4</w:t>
      </w:r>
      <w:r w:rsidRPr="00AC0617">
        <w:rPr>
          <w:rFonts w:ascii="Arial" w:eastAsia="Times New Roman" w:hAnsi="Arial" w:cs="Arial"/>
          <w:color w:val="000000" w:themeColor="text1"/>
        </w:rPr>
        <w:t xml:space="preserve"> million held by the Company and £</w:t>
      </w:r>
      <w:r w:rsidR="00AE28F1">
        <w:rPr>
          <w:rFonts w:ascii="Arial" w:eastAsia="Times New Roman" w:hAnsi="Arial" w:cs="Arial"/>
          <w:color w:val="000000" w:themeColor="text1"/>
        </w:rPr>
        <w:t>6.0</w:t>
      </w:r>
      <w:r w:rsidRPr="00AC0617">
        <w:rPr>
          <w:rFonts w:ascii="Arial" w:eastAsia="Times New Roman" w:hAnsi="Arial" w:cs="Arial"/>
          <w:color w:val="000000" w:themeColor="text1"/>
        </w:rPr>
        <w:t xml:space="preserve"> million held by subsidiaries. Significant outflows </w:t>
      </w:r>
      <w:r w:rsidR="00E90F4C">
        <w:rPr>
          <w:rFonts w:ascii="Arial" w:eastAsia="Times New Roman" w:hAnsi="Arial" w:cs="Arial"/>
          <w:color w:val="000000" w:themeColor="text1"/>
        </w:rPr>
        <w:t>for the half year were</w:t>
      </w:r>
      <w:r w:rsidRPr="00AC0617">
        <w:rPr>
          <w:rFonts w:ascii="Arial" w:eastAsia="Times New Roman" w:hAnsi="Arial" w:cs="Arial"/>
          <w:color w:val="000000" w:themeColor="text1"/>
        </w:rPr>
        <w:t xml:space="preserve"> £0.5 million for the final dividend payment for the year ended 31 December 2020</w:t>
      </w:r>
      <w:r w:rsidR="00A55F21">
        <w:rPr>
          <w:rFonts w:ascii="Arial" w:eastAsia="Times New Roman" w:hAnsi="Arial" w:cs="Arial"/>
          <w:color w:val="000000" w:themeColor="text1"/>
        </w:rPr>
        <w:t xml:space="preserve"> </w:t>
      </w:r>
      <w:r w:rsidR="001B21E8">
        <w:rPr>
          <w:rFonts w:ascii="Arial" w:eastAsia="Times New Roman" w:hAnsi="Arial" w:cs="Arial"/>
          <w:color w:val="000000" w:themeColor="text1"/>
        </w:rPr>
        <w:t xml:space="preserve">and </w:t>
      </w:r>
      <w:r w:rsidR="00A55F21">
        <w:rPr>
          <w:rFonts w:ascii="Arial" w:eastAsia="Times New Roman" w:hAnsi="Arial" w:cs="Arial"/>
          <w:color w:val="000000" w:themeColor="text1"/>
        </w:rPr>
        <w:t>£1.</w:t>
      </w:r>
      <w:r w:rsidR="001A4F6D">
        <w:rPr>
          <w:rFonts w:ascii="Arial" w:eastAsia="Times New Roman" w:hAnsi="Arial" w:cs="Arial"/>
          <w:color w:val="000000" w:themeColor="text1"/>
        </w:rPr>
        <w:t>1 million</w:t>
      </w:r>
      <w:r w:rsidR="0006213D">
        <w:rPr>
          <w:rFonts w:ascii="Arial" w:eastAsia="Times New Roman" w:hAnsi="Arial" w:cs="Arial"/>
          <w:color w:val="000000" w:themeColor="text1"/>
        </w:rPr>
        <w:t xml:space="preserve"> of other net cash movements.</w:t>
      </w:r>
      <w:r w:rsidR="001A4F6D">
        <w:rPr>
          <w:rFonts w:ascii="Arial" w:eastAsia="Times New Roman" w:hAnsi="Arial" w:cs="Arial"/>
          <w:color w:val="000000" w:themeColor="text1"/>
        </w:rPr>
        <w:t xml:space="preserve"> </w:t>
      </w:r>
      <w:r w:rsidRPr="00AC0617">
        <w:rPr>
          <w:rFonts w:ascii="Arial" w:eastAsia="Times New Roman" w:hAnsi="Arial" w:cs="Arial"/>
          <w:color w:val="000000" w:themeColor="text1"/>
        </w:rPr>
        <w:t xml:space="preserve">Cash proceeds from </w:t>
      </w:r>
      <w:proofErr w:type="spellStart"/>
      <w:r w:rsidRPr="00AC0617">
        <w:rPr>
          <w:rFonts w:ascii="Arial" w:eastAsia="Times New Roman" w:hAnsi="Arial" w:cs="Arial"/>
          <w:color w:val="000000" w:themeColor="text1"/>
        </w:rPr>
        <w:t>realisations</w:t>
      </w:r>
      <w:proofErr w:type="spellEnd"/>
      <w:r w:rsidRPr="00AC0617">
        <w:rPr>
          <w:rFonts w:ascii="Arial" w:eastAsia="Times New Roman" w:hAnsi="Arial" w:cs="Arial"/>
          <w:color w:val="000000" w:themeColor="text1"/>
        </w:rPr>
        <w:t xml:space="preserve"> and distributions from funds have totaled £2.4 million. </w:t>
      </w:r>
    </w:p>
    <w:p w14:paraId="1230FA91" w14:textId="77777777" w:rsidR="00891B3A" w:rsidRPr="00AC0617"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t>The movement in Net Asset Value during the six months to 30 June 2021 was as follows:</w:t>
      </w:r>
    </w:p>
    <w:p w14:paraId="7C093D9A" w14:textId="77777777" w:rsidR="00891B3A" w:rsidRPr="00AC0617" w:rsidRDefault="00891B3A" w:rsidP="00891B3A">
      <w:pPr>
        <w:widowControl/>
        <w:spacing w:after="0"/>
        <w:jc w:val="both"/>
        <w:rPr>
          <w:rFonts w:ascii="Arial" w:eastAsia="Times New Roman" w:hAnsi="Arial" w:cs="Arial"/>
          <w:lang w:val="en-GB" w:eastAsia="en-GB"/>
        </w:rPr>
      </w:pPr>
    </w:p>
    <w:tbl>
      <w:tblPr>
        <w:tblW w:w="5000" w:type="pct"/>
        <w:tblLook w:val="04A0" w:firstRow="1" w:lastRow="0" w:firstColumn="1" w:lastColumn="0" w:noHBand="0" w:noVBand="1"/>
      </w:tblPr>
      <w:tblGrid>
        <w:gridCol w:w="6391"/>
        <w:gridCol w:w="2679"/>
      </w:tblGrid>
      <w:tr w:rsidR="00891B3A" w:rsidRPr="00755BD6" w14:paraId="7BB4C4FD" w14:textId="77777777" w:rsidTr="00891B3A">
        <w:trPr>
          <w:trHeight w:val="267"/>
        </w:trPr>
        <w:tc>
          <w:tcPr>
            <w:tcW w:w="3523" w:type="pct"/>
            <w:noWrap/>
            <w:vAlign w:val="bottom"/>
          </w:tcPr>
          <w:p w14:paraId="098D2E3E" w14:textId="77777777" w:rsidR="00891B3A" w:rsidRPr="00AC0617" w:rsidRDefault="00891B3A" w:rsidP="00891B3A">
            <w:pPr>
              <w:widowControl/>
              <w:spacing w:after="0"/>
              <w:jc w:val="both"/>
              <w:rPr>
                <w:rFonts w:ascii="Arial" w:eastAsia="Times New Roman" w:hAnsi="Arial" w:cs="Arial"/>
                <w:b/>
                <w:sz w:val="20"/>
                <w:szCs w:val="20"/>
                <w:lang w:val="en-GB" w:eastAsia="en-GB"/>
              </w:rPr>
            </w:pPr>
          </w:p>
        </w:tc>
        <w:tc>
          <w:tcPr>
            <w:tcW w:w="1477" w:type="pct"/>
            <w:vAlign w:val="bottom"/>
            <w:hideMark/>
          </w:tcPr>
          <w:p w14:paraId="0833A637" w14:textId="77777777" w:rsidR="00891B3A"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Six months ended</w:t>
            </w:r>
          </w:p>
          <w:p w14:paraId="407C4D78"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30 June 2021</w:t>
            </w:r>
          </w:p>
        </w:tc>
      </w:tr>
      <w:tr w:rsidR="00891B3A" w:rsidRPr="00755BD6" w14:paraId="3BE98238" w14:textId="77777777" w:rsidTr="00891B3A">
        <w:trPr>
          <w:trHeight w:val="267"/>
        </w:trPr>
        <w:tc>
          <w:tcPr>
            <w:tcW w:w="3523" w:type="pct"/>
            <w:noWrap/>
            <w:vAlign w:val="bottom"/>
          </w:tcPr>
          <w:p w14:paraId="60F61A4A" w14:textId="77777777" w:rsidR="00891B3A" w:rsidRPr="00AC0617" w:rsidRDefault="00891B3A" w:rsidP="00891B3A">
            <w:pPr>
              <w:widowControl/>
              <w:spacing w:after="0"/>
              <w:jc w:val="both"/>
              <w:rPr>
                <w:rFonts w:ascii="Arial" w:eastAsia="Times New Roman" w:hAnsi="Arial" w:cs="Arial"/>
                <w:b/>
                <w:sz w:val="20"/>
                <w:szCs w:val="20"/>
                <w:lang w:val="en-GB" w:eastAsia="en-GB"/>
              </w:rPr>
            </w:pPr>
          </w:p>
        </w:tc>
        <w:tc>
          <w:tcPr>
            <w:tcW w:w="1477" w:type="pct"/>
            <w:tcBorders>
              <w:bottom w:val="single" w:sz="4" w:space="0" w:color="auto"/>
            </w:tcBorders>
            <w:vAlign w:val="bottom"/>
            <w:hideMark/>
          </w:tcPr>
          <w:p w14:paraId="5C5B76CD"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£’000</w:t>
            </w:r>
          </w:p>
        </w:tc>
      </w:tr>
      <w:tr w:rsidR="00891B3A" w:rsidRPr="00755BD6" w14:paraId="47A9CDA0" w14:textId="77777777" w:rsidTr="00891B3A">
        <w:trPr>
          <w:trHeight w:val="267"/>
        </w:trPr>
        <w:tc>
          <w:tcPr>
            <w:tcW w:w="3523" w:type="pct"/>
            <w:noWrap/>
            <w:vAlign w:val="center"/>
          </w:tcPr>
          <w:p w14:paraId="08357FD4" w14:textId="77777777" w:rsidR="00891B3A" w:rsidRPr="00AC0617" w:rsidRDefault="00891B3A" w:rsidP="00891B3A">
            <w:pPr>
              <w:widowControl/>
              <w:spacing w:after="0"/>
              <w:jc w:val="both"/>
              <w:rPr>
                <w:rFonts w:ascii="Arial" w:eastAsia="Times New Roman" w:hAnsi="Arial" w:cs="Arial"/>
                <w:b/>
                <w:position w:val="-6"/>
                <w:sz w:val="20"/>
                <w:szCs w:val="20"/>
                <w:lang w:val="en-GB" w:eastAsia="en-GB"/>
              </w:rPr>
            </w:pPr>
          </w:p>
        </w:tc>
        <w:tc>
          <w:tcPr>
            <w:tcW w:w="1477" w:type="pct"/>
            <w:tcBorders>
              <w:top w:val="single" w:sz="4" w:space="0" w:color="auto"/>
            </w:tcBorders>
            <w:noWrap/>
            <w:vAlign w:val="bottom"/>
          </w:tcPr>
          <w:p w14:paraId="0775A78F" w14:textId="77777777" w:rsidR="00891B3A" w:rsidRPr="00AC0617" w:rsidRDefault="00891B3A" w:rsidP="00891B3A">
            <w:pPr>
              <w:widowControl/>
              <w:spacing w:after="0"/>
              <w:jc w:val="right"/>
              <w:rPr>
                <w:rFonts w:ascii="Arial" w:eastAsia="Times New Roman" w:hAnsi="Arial" w:cs="Arial"/>
                <w:b/>
                <w:sz w:val="20"/>
                <w:szCs w:val="20"/>
                <w:lang w:val="en-GB" w:eastAsia="en-GB"/>
              </w:rPr>
            </w:pPr>
          </w:p>
        </w:tc>
      </w:tr>
      <w:tr w:rsidR="00891B3A" w:rsidRPr="00755BD6" w14:paraId="32CF64F9" w14:textId="77777777" w:rsidTr="00891B3A">
        <w:trPr>
          <w:trHeight w:val="267"/>
        </w:trPr>
        <w:tc>
          <w:tcPr>
            <w:tcW w:w="3523" w:type="pct"/>
            <w:shd w:val="clear" w:color="auto" w:fill="auto"/>
            <w:noWrap/>
            <w:vAlign w:val="center"/>
            <w:hideMark/>
          </w:tcPr>
          <w:p w14:paraId="58424133" w14:textId="77777777" w:rsidR="00891B3A" w:rsidRPr="00AC0617" w:rsidRDefault="00891B3A" w:rsidP="00891B3A">
            <w:pPr>
              <w:widowControl/>
              <w:spacing w:after="0"/>
              <w:jc w:val="both"/>
              <w:rPr>
                <w:rFonts w:ascii="Arial" w:eastAsia="Times New Roman" w:hAnsi="Arial" w:cs="Arial"/>
                <w:position w:val="-6"/>
                <w:sz w:val="20"/>
                <w:szCs w:val="20"/>
                <w:lang w:val="en-GB" w:eastAsia="en-GB"/>
              </w:rPr>
            </w:pPr>
            <w:r w:rsidRPr="00AC0617">
              <w:rPr>
                <w:rFonts w:ascii="Arial" w:eastAsia="Times New Roman" w:hAnsi="Arial" w:cs="Arial"/>
                <w:position w:val="-6"/>
                <w:sz w:val="20"/>
                <w:szCs w:val="20"/>
                <w:lang w:val="en-GB" w:eastAsia="en-GB"/>
              </w:rPr>
              <w:t>Opening NAV</w:t>
            </w:r>
          </w:p>
        </w:tc>
        <w:tc>
          <w:tcPr>
            <w:tcW w:w="1477" w:type="pct"/>
            <w:vAlign w:val="bottom"/>
          </w:tcPr>
          <w:p w14:paraId="00CC25B6" w14:textId="77777777" w:rsidR="00891B3A" w:rsidRPr="00AC0617" w:rsidRDefault="00891B3A" w:rsidP="00891B3A">
            <w:pPr>
              <w:widowControl/>
              <w:spacing w:after="0"/>
              <w:jc w:val="right"/>
              <w:rPr>
                <w:rFonts w:ascii="Arial" w:hAnsi="Arial" w:cs="Arial"/>
                <w:b/>
                <w:sz w:val="20"/>
                <w:szCs w:val="20"/>
                <w:lang w:val="en-GB"/>
              </w:rPr>
            </w:pPr>
            <w:r w:rsidRPr="00AC0617">
              <w:rPr>
                <w:rFonts w:ascii="Arial" w:hAnsi="Arial" w:cs="Arial"/>
                <w:b/>
                <w:sz w:val="20"/>
                <w:szCs w:val="20"/>
                <w:lang w:val="en-GB"/>
              </w:rPr>
              <w:t>47,923</w:t>
            </w:r>
          </w:p>
        </w:tc>
      </w:tr>
      <w:tr w:rsidR="00891B3A" w:rsidRPr="00755BD6" w14:paraId="6526CD78" w14:textId="77777777" w:rsidTr="00891B3A">
        <w:trPr>
          <w:trHeight w:val="267"/>
        </w:trPr>
        <w:tc>
          <w:tcPr>
            <w:tcW w:w="3523" w:type="pct"/>
            <w:shd w:val="clear" w:color="auto" w:fill="auto"/>
            <w:noWrap/>
            <w:vAlign w:val="bottom"/>
            <w:hideMark/>
          </w:tcPr>
          <w:p w14:paraId="59618497"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Gain on investments</w:t>
            </w:r>
          </w:p>
        </w:tc>
        <w:tc>
          <w:tcPr>
            <w:tcW w:w="1477" w:type="pct"/>
            <w:vAlign w:val="bottom"/>
          </w:tcPr>
          <w:p w14:paraId="0D287BEC" w14:textId="45E0E3BB" w:rsidR="00891B3A" w:rsidRPr="00AC0617" w:rsidRDefault="00891B3A" w:rsidP="00891B3A">
            <w:pPr>
              <w:widowControl/>
              <w:spacing w:after="0"/>
              <w:jc w:val="right"/>
              <w:rPr>
                <w:rFonts w:ascii="Arial" w:hAnsi="Arial" w:cs="Arial"/>
                <w:b/>
                <w:sz w:val="20"/>
                <w:szCs w:val="20"/>
                <w:lang w:val="en-GB"/>
              </w:rPr>
            </w:pPr>
            <w:r w:rsidRPr="00AC0617">
              <w:rPr>
                <w:rFonts w:ascii="Arial" w:hAnsi="Arial" w:cs="Arial"/>
                <w:b/>
                <w:sz w:val="20"/>
                <w:szCs w:val="20"/>
                <w:lang w:val="en-GB"/>
              </w:rPr>
              <w:t>1,</w:t>
            </w:r>
            <w:r w:rsidR="006D51D4">
              <w:rPr>
                <w:rFonts w:ascii="Arial" w:hAnsi="Arial" w:cs="Arial"/>
                <w:b/>
                <w:sz w:val="20"/>
                <w:szCs w:val="20"/>
                <w:lang w:val="en-GB"/>
              </w:rPr>
              <w:t>215</w:t>
            </w:r>
          </w:p>
        </w:tc>
      </w:tr>
      <w:tr w:rsidR="00891B3A" w:rsidRPr="00755BD6" w14:paraId="525EA08B" w14:textId="77777777" w:rsidTr="00891B3A">
        <w:trPr>
          <w:trHeight w:val="267"/>
        </w:trPr>
        <w:tc>
          <w:tcPr>
            <w:tcW w:w="3523" w:type="pct"/>
            <w:shd w:val="clear" w:color="auto" w:fill="auto"/>
            <w:noWrap/>
            <w:vAlign w:val="bottom"/>
          </w:tcPr>
          <w:p w14:paraId="1CA57267"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Final dividend to shareholders for year to 31 December 2020</w:t>
            </w:r>
          </w:p>
        </w:tc>
        <w:tc>
          <w:tcPr>
            <w:tcW w:w="1477" w:type="pct"/>
            <w:tcBorders>
              <w:top w:val="nil"/>
              <w:left w:val="nil"/>
              <w:right w:val="nil"/>
            </w:tcBorders>
            <w:vAlign w:val="bottom"/>
          </w:tcPr>
          <w:p w14:paraId="12228BEC"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(484)</w:t>
            </w:r>
          </w:p>
        </w:tc>
      </w:tr>
      <w:tr w:rsidR="00891B3A" w:rsidRPr="00755BD6" w14:paraId="062E88DD" w14:textId="77777777" w:rsidTr="00891B3A">
        <w:trPr>
          <w:trHeight w:val="267"/>
        </w:trPr>
        <w:tc>
          <w:tcPr>
            <w:tcW w:w="3523" w:type="pct"/>
            <w:shd w:val="clear" w:color="auto" w:fill="auto"/>
            <w:noWrap/>
            <w:vAlign w:val="bottom"/>
            <w:hideMark/>
          </w:tcPr>
          <w:p w14:paraId="1341DD19"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Overheads, tax and other net movements</w:t>
            </w:r>
          </w:p>
        </w:tc>
        <w:tc>
          <w:tcPr>
            <w:tcW w:w="1477" w:type="pct"/>
            <w:tcBorders>
              <w:top w:val="nil"/>
              <w:left w:val="nil"/>
              <w:right w:val="nil"/>
            </w:tcBorders>
            <w:vAlign w:val="bottom"/>
          </w:tcPr>
          <w:p w14:paraId="60CBD16F" w14:textId="1748D300" w:rsidR="00891B3A" w:rsidRPr="00AC0617" w:rsidRDefault="00891B3A" w:rsidP="00891B3A">
            <w:pPr>
              <w:widowControl/>
              <w:spacing w:after="0"/>
              <w:jc w:val="right"/>
              <w:rPr>
                <w:rFonts w:ascii="Arial" w:hAnsi="Arial" w:cs="Arial"/>
                <w:b/>
                <w:sz w:val="20"/>
                <w:szCs w:val="20"/>
                <w:lang w:val="en-GB"/>
              </w:rPr>
            </w:pPr>
            <w:r w:rsidRPr="00AC0617">
              <w:rPr>
                <w:rFonts w:ascii="Arial" w:hAnsi="Arial" w:cs="Arial"/>
                <w:b/>
                <w:sz w:val="20"/>
                <w:szCs w:val="20"/>
                <w:lang w:val="en-GB"/>
              </w:rPr>
              <w:t>(1,</w:t>
            </w:r>
            <w:r w:rsidR="00921493">
              <w:rPr>
                <w:rFonts w:ascii="Arial" w:hAnsi="Arial" w:cs="Arial"/>
                <w:b/>
                <w:sz w:val="20"/>
                <w:szCs w:val="20"/>
                <w:lang w:val="en-GB"/>
              </w:rPr>
              <w:t>062</w:t>
            </w:r>
            <w:r w:rsidR="00FF160A">
              <w:rPr>
                <w:rFonts w:ascii="Arial" w:hAnsi="Arial" w:cs="Arial"/>
                <w:b/>
                <w:sz w:val="20"/>
                <w:szCs w:val="20"/>
                <w:lang w:val="en-GB"/>
              </w:rPr>
              <w:t>)</w:t>
            </w:r>
          </w:p>
        </w:tc>
      </w:tr>
      <w:tr w:rsidR="00891B3A" w:rsidRPr="00755BD6" w14:paraId="4FF49F31" w14:textId="77777777" w:rsidTr="00891B3A">
        <w:trPr>
          <w:trHeight w:val="267"/>
        </w:trPr>
        <w:tc>
          <w:tcPr>
            <w:tcW w:w="3523" w:type="pct"/>
            <w:shd w:val="clear" w:color="auto" w:fill="auto"/>
            <w:noWrap/>
            <w:vAlign w:val="bottom"/>
            <w:hideMark/>
          </w:tcPr>
          <w:p w14:paraId="42452B3A"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Closing NAV</w:t>
            </w:r>
          </w:p>
        </w:tc>
        <w:tc>
          <w:tcPr>
            <w:tcW w:w="1477" w:type="pct"/>
            <w:tcBorders>
              <w:top w:val="single" w:sz="4" w:space="0" w:color="auto"/>
              <w:left w:val="nil"/>
              <w:bottom w:val="single" w:sz="4" w:space="0" w:color="auto"/>
              <w:right w:val="nil"/>
            </w:tcBorders>
            <w:vAlign w:val="bottom"/>
            <w:hideMark/>
          </w:tcPr>
          <w:p w14:paraId="72981899" w14:textId="67C9642D"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47,</w:t>
            </w:r>
            <w:r w:rsidR="00F10903">
              <w:rPr>
                <w:rFonts w:ascii="Arial" w:eastAsia="Times New Roman" w:hAnsi="Arial" w:cs="Arial"/>
                <w:b/>
                <w:sz w:val="20"/>
                <w:szCs w:val="20"/>
                <w:lang w:val="en-GB" w:eastAsia="en-GB"/>
              </w:rPr>
              <w:t>59</w:t>
            </w:r>
            <w:r w:rsidR="00AD72E2">
              <w:rPr>
                <w:rFonts w:ascii="Arial" w:eastAsia="Times New Roman" w:hAnsi="Arial" w:cs="Arial"/>
                <w:b/>
                <w:sz w:val="20"/>
                <w:szCs w:val="20"/>
                <w:lang w:val="en-GB" w:eastAsia="en-GB"/>
              </w:rPr>
              <w:t>2</w:t>
            </w:r>
          </w:p>
        </w:tc>
      </w:tr>
      <w:tr w:rsidR="00891B3A" w:rsidRPr="00755BD6" w14:paraId="642F58B9" w14:textId="77777777" w:rsidTr="00891B3A">
        <w:trPr>
          <w:trHeight w:val="129"/>
        </w:trPr>
        <w:tc>
          <w:tcPr>
            <w:tcW w:w="3523" w:type="pct"/>
            <w:shd w:val="clear" w:color="auto" w:fill="auto"/>
            <w:noWrap/>
            <w:vAlign w:val="bottom"/>
          </w:tcPr>
          <w:p w14:paraId="768BED25" w14:textId="77777777" w:rsidR="00891B3A" w:rsidRPr="00AC0617" w:rsidRDefault="00891B3A" w:rsidP="00891B3A">
            <w:pPr>
              <w:widowControl/>
              <w:spacing w:after="0"/>
              <w:jc w:val="both"/>
              <w:rPr>
                <w:rFonts w:ascii="Arial" w:eastAsia="Times New Roman" w:hAnsi="Arial" w:cs="Arial"/>
                <w:sz w:val="20"/>
                <w:szCs w:val="20"/>
                <w:lang w:val="en-GB" w:eastAsia="en-GB"/>
              </w:rPr>
            </w:pPr>
          </w:p>
        </w:tc>
        <w:tc>
          <w:tcPr>
            <w:tcW w:w="1477" w:type="pct"/>
            <w:tcBorders>
              <w:top w:val="single" w:sz="4" w:space="0" w:color="auto"/>
              <w:left w:val="nil"/>
              <w:right w:val="nil"/>
            </w:tcBorders>
            <w:vAlign w:val="bottom"/>
          </w:tcPr>
          <w:p w14:paraId="7115962E" w14:textId="77777777" w:rsidR="00891B3A" w:rsidRPr="00AC0617" w:rsidRDefault="00891B3A" w:rsidP="00891B3A">
            <w:pPr>
              <w:widowControl/>
              <w:spacing w:after="0"/>
              <w:jc w:val="both"/>
              <w:rPr>
                <w:rFonts w:ascii="Arial" w:eastAsia="Times New Roman" w:hAnsi="Arial" w:cs="Arial"/>
                <w:b/>
                <w:sz w:val="20"/>
                <w:szCs w:val="20"/>
                <w:lang w:val="en-GB" w:eastAsia="en-GB"/>
              </w:rPr>
            </w:pPr>
          </w:p>
        </w:tc>
      </w:tr>
    </w:tbl>
    <w:p w14:paraId="076B8E59" w14:textId="77777777" w:rsidR="00891B3A" w:rsidRPr="00AC0617" w:rsidRDefault="00891B3A" w:rsidP="00891B3A">
      <w:pPr>
        <w:widowControl/>
        <w:spacing w:after="0"/>
        <w:contextualSpacing/>
        <w:jc w:val="both"/>
        <w:rPr>
          <w:rFonts w:ascii="Arial" w:hAnsi="Arial" w:cs="Arial"/>
          <w:lang w:val="en-GB"/>
        </w:rPr>
      </w:pPr>
      <w:r w:rsidRPr="00AC0617">
        <w:rPr>
          <w:rFonts w:ascii="Arial" w:hAnsi="Arial" w:cs="Arial"/>
          <w:lang w:val="en-GB"/>
        </w:rPr>
        <w:t>Cash realisations from the portfolio were as follows:</w:t>
      </w:r>
    </w:p>
    <w:tbl>
      <w:tblPr>
        <w:tblW w:w="5000" w:type="pct"/>
        <w:tblLayout w:type="fixed"/>
        <w:tblLook w:val="0000" w:firstRow="0" w:lastRow="0" w:firstColumn="0" w:lastColumn="0" w:noHBand="0" w:noVBand="0"/>
      </w:tblPr>
      <w:tblGrid>
        <w:gridCol w:w="6320"/>
        <w:gridCol w:w="1204"/>
        <w:gridCol w:w="343"/>
        <w:gridCol w:w="1203"/>
      </w:tblGrid>
      <w:tr w:rsidR="00891B3A" w:rsidRPr="00755BD6" w14:paraId="3BEA1BC2" w14:textId="77777777" w:rsidTr="00891B3A">
        <w:trPr>
          <w:trHeight w:val="267"/>
        </w:trPr>
        <w:tc>
          <w:tcPr>
            <w:tcW w:w="3484" w:type="pct"/>
            <w:tcBorders>
              <w:top w:val="nil"/>
              <w:left w:val="nil"/>
              <w:right w:val="nil"/>
            </w:tcBorders>
            <w:shd w:val="clear" w:color="auto" w:fill="auto"/>
            <w:noWrap/>
            <w:vAlign w:val="bottom"/>
          </w:tcPr>
          <w:p w14:paraId="44409757" w14:textId="77777777" w:rsidR="00891B3A" w:rsidRPr="00AC0617" w:rsidRDefault="00891B3A" w:rsidP="00891B3A">
            <w:pPr>
              <w:widowControl/>
              <w:spacing w:after="0"/>
              <w:jc w:val="both"/>
              <w:rPr>
                <w:rFonts w:ascii="Arial" w:eastAsia="Times New Roman" w:hAnsi="Arial" w:cs="Arial"/>
                <w:b/>
                <w:sz w:val="20"/>
                <w:szCs w:val="20"/>
                <w:lang w:val="en-GB" w:eastAsia="en-GB"/>
              </w:rPr>
            </w:pPr>
          </w:p>
        </w:tc>
        <w:tc>
          <w:tcPr>
            <w:tcW w:w="1516" w:type="pct"/>
            <w:gridSpan w:val="3"/>
            <w:tcBorders>
              <w:left w:val="nil"/>
              <w:bottom w:val="single" w:sz="4" w:space="0" w:color="auto"/>
              <w:right w:val="nil"/>
            </w:tcBorders>
            <w:shd w:val="clear" w:color="auto" w:fill="auto"/>
            <w:vAlign w:val="bottom"/>
          </w:tcPr>
          <w:p w14:paraId="7CFAC87B" w14:textId="77777777" w:rsidR="00891B3A" w:rsidRPr="00AC0617" w:rsidRDefault="00891B3A" w:rsidP="00891B3A">
            <w:pPr>
              <w:widowControl/>
              <w:spacing w:after="0"/>
              <w:jc w:val="both"/>
              <w:rPr>
                <w:rFonts w:ascii="Arial" w:eastAsia="Times New Roman" w:hAnsi="Arial" w:cs="Arial"/>
                <w:b/>
                <w:sz w:val="20"/>
                <w:szCs w:val="20"/>
                <w:lang w:val="en-GB" w:eastAsia="en-GB"/>
              </w:rPr>
            </w:pPr>
            <w:r w:rsidRPr="00AC0617">
              <w:rPr>
                <w:rFonts w:ascii="Arial" w:hAnsi="Arial" w:cs="Arial"/>
                <w:b/>
                <w:sz w:val="20"/>
                <w:szCs w:val="20"/>
                <w:lang w:val="en-GB"/>
              </w:rPr>
              <w:t>Six months ended 30 June</w:t>
            </w:r>
          </w:p>
        </w:tc>
      </w:tr>
      <w:tr w:rsidR="00891B3A" w:rsidRPr="00755BD6" w14:paraId="5122D613" w14:textId="77777777" w:rsidTr="00891B3A">
        <w:trPr>
          <w:trHeight w:val="267"/>
        </w:trPr>
        <w:tc>
          <w:tcPr>
            <w:tcW w:w="3484" w:type="pct"/>
            <w:tcBorders>
              <w:top w:val="nil"/>
              <w:left w:val="nil"/>
              <w:right w:val="nil"/>
            </w:tcBorders>
            <w:shd w:val="clear" w:color="auto" w:fill="auto"/>
            <w:noWrap/>
            <w:vAlign w:val="bottom"/>
          </w:tcPr>
          <w:p w14:paraId="1F37ABBC" w14:textId="77777777" w:rsidR="00891B3A" w:rsidRPr="00AC0617" w:rsidRDefault="00891B3A" w:rsidP="00891B3A">
            <w:pPr>
              <w:widowControl/>
              <w:spacing w:after="0"/>
              <w:jc w:val="both"/>
              <w:rPr>
                <w:rFonts w:ascii="Arial" w:eastAsia="Times New Roman" w:hAnsi="Arial" w:cs="Arial"/>
                <w:b/>
                <w:sz w:val="20"/>
                <w:szCs w:val="20"/>
                <w:lang w:val="en-GB" w:eastAsia="en-GB"/>
              </w:rPr>
            </w:pPr>
          </w:p>
        </w:tc>
        <w:tc>
          <w:tcPr>
            <w:tcW w:w="664" w:type="pct"/>
            <w:tcBorders>
              <w:top w:val="single" w:sz="4" w:space="0" w:color="auto"/>
              <w:left w:val="nil"/>
              <w:right w:val="nil"/>
            </w:tcBorders>
            <w:shd w:val="clear" w:color="auto" w:fill="auto"/>
            <w:vAlign w:val="bottom"/>
          </w:tcPr>
          <w:p w14:paraId="35C3FF00"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2021</w:t>
            </w:r>
          </w:p>
        </w:tc>
        <w:tc>
          <w:tcPr>
            <w:tcW w:w="189" w:type="pct"/>
            <w:tcBorders>
              <w:top w:val="single" w:sz="4" w:space="0" w:color="auto"/>
              <w:left w:val="nil"/>
              <w:right w:val="nil"/>
            </w:tcBorders>
          </w:tcPr>
          <w:p w14:paraId="3B1A6337"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top w:val="single" w:sz="4" w:space="0" w:color="auto"/>
              <w:left w:val="nil"/>
              <w:right w:val="nil"/>
            </w:tcBorders>
            <w:vAlign w:val="bottom"/>
          </w:tcPr>
          <w:p w14:paraId="7E5D0201" w14:textId="77777777" w:rsidR="00891B3A" w:rsidRPr="00AC0617" w:rsidRDefault="00891B3A" w:rsidP="00891B3A">
            <w:pPr>
              <w:widowControl/>
              <w:spacing w:after="0"/>
              <w:jc w:val="right"/>
              <w:rPr>
                <w:rFonts w:ascii="Arial" w:hAnsi="Arial" w:cs="Arial"/>
                <w:b/>
                <w:sz w:val="20"/>
                <w:szCs w:val="20"/>
                <w:lang w:val="en-GB"/>
              </w:rPr>
            </w:pPr>
            <w:r w:rsidRPr="00AC0617">
              <w:rPr>
                <w:rFonts w:ascii="Arial" w:eastAsia="Times New Roman" w:hAnsi="Arial" w:cs="Arial"/>
                <w:b/>
                <w:sz w:val="20"/>
                <w:szCs w:val="20"/>
                <w:lang w:val="en-GB" w:eastAsia="en-GB"/>
              </w:rPr>
              <w:t>2020</w:t>
            </w:r>
          </w:p>
        </w:tc>
      </w:tr>
      <w:tr w:rsidR="00891B3A" w:rsidRPr="00755BD6" w14:paraId="79D297B5" w14:textId="77777777" w:rsidTr="00891B3A">
        <w:trPr>
          <w:trHeight w:val="267"/>
        </w:trPr>
        <w:tc>
          <w:tcPr>
            <w:tcW w:w="3484" w:type="pct"/>
            <w:tcBorders>
              <w:top w:val="nil"/>
              <w:left w:val="nil"/>
              <w:bottom w:val="single" w:sz="4" w:space="0" w:color="auto"/>
              <w:right w:val="nil"/>
            </w:tcBorders>
            <w:shd w:val="clear" w:color="auto" w:fill="auto"/>
            <w:noWrap/>
            <w:vAlign w:val="bottom"/>
          </w:tcPr>
          <w:p w14:paraId="407B7E87" w14:textId="77777777" w:rsidR="00891B3A" w:rsidRPr="00AC0617" w:rsidRDefault="00891B3A" w:rsidP="00891B3A">
            <w:pPr>
              <w:widowControl/>
              <w:spacing w:after="0"/>
              <w:jc w:val="both"/>
              <w:rPr>
                <w:rFonts w:ascii="Arial" w:eastAsia="Times New Roman" w:hAnsi="Arial" w:cs="Arial"/>
                <w:b/>
                <w:sz w:val="20"/>
                <w:szCs w:val="20"/>
                <w:lang w:val="en-GB" w:eastAsia="en-GB"/>
              </w:rPr>
            </w:pPr>
          </w:p>
        </w:tc>
        <w:tc>
          <w:tcPr>
            <w:tcW w:w="664" w:type="pct"/>
            <w:tcBorders>
              <w:top w:val="nil"/>
              <w:left w:val="nil"/>
              <w:bottom w:val="single" w:sz="4" w:space="0" w:color="auto"/>
              <w:right w:val="nil"/>
            </w:tcBorders>
            <w:shd w:val="clear" w:color="auto" w:fill="auto"/>
            <w:vAlign w:val="bottom"/>
          </w:tcPr>
          <w:p w14:paraId="5CB1E2E6"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£’000</w:t>
            </w:r>
          </w:p>
        </w:tc>
        <w:tc>
          <w:tcPr>
            <w:tcW w:w="189" w:type="pct"/>
            <w:tcBorders>
              <w:top w:val="nil"/>
              <w:left w:val="nil"/>
              <w:bottom w:val="single" w:sz="4" w:space="0" w:color="auto"/>
              <w:right w:val="nil"/>
            </w:tcBorders>
          </w:tcPr>
          <w:p w14:paraId="2F5A73F0"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top w:val="nil"/>
              <w:left w:val="nil"/>
              <w:bottom w:val="single" w:sz="4" w:space="0" w:color="auto"/>
              <w:right w:val="nil"/>
            </w:tcBorders>
            <w:vAlign w:val="bottom"/>
          </w:tcPr>
          <w:p w14:paraId="3C1E849F" w14:textId="77777777" w:rsidR="00891B3A" w:rsidRPr="00AC0617" w:rsidRDefault="00891B3A" w:rsidP="00891B3A">
            <w:pPr>
              <w:widowControl/>
              <w:spacing w:after="0"/>
              <w:jc w:val="right"/>
              <w:rPr>
                <w:rFonts w:ascii="Arial" w:hAnsi="Arial" w:cs="Arial"/>
                <w:b/>
                <w:sz w:val="20"/>
                <w:szCs w:val="20"/>
                <w:lang w:val="en-GB"/>
              </w:rPr>
            </w:pPr>
            <w:r w:rsidRPr="00AC0617">
              <w:rPr>
                <w:rFonts w:ascii="Arial" w:hAnsi="Arial" w:cs="Arial"/>
                <w:b/>
                <w:sz w:val="20"/>
                <w:szCs w:val="20"/>
                <w:lang w:val="en-GB"/>
              </w:rPr>
              <w:t>£’000</w:t>
            </w:r>
          </w:p>
        </w:tc>
      </w:tr>
      <w:tr w:rsidR="00891B3A" w:rsidRPr="00755BD6" w14:paraId="7692C967" w14:textId="77777777" w:rsidTr="00891B3A">
        <w:trPr>
          <w:trHeight w:val="267"/>
        </w:trPr>
        <w:tc>
          <w:tcPr>
            <w:tcW w:w="3484" w:type="pct"/>
            <w:tcBorders>
              <w:top w:val="nil"/>
              <w:left w:val="nil"/>
              <w:right w:val="nil"/>
            </w:tcBorders>
            <w:shd w:val="clear" w:color="auto" w:fill="auto"/>
            <w:noWrap/>
            <w:vAlign w:val="center"/>
          </w:tcPr>
          <w:p w14:paraId="1F12F3B1" w14:textId="77777777" w:rsidR="00891B3A" w:rsidRPr="00AC0617" w:rsidRDefault="00891B3A" w:rsidP="00891B3A">
            <w:pPr>
              <w:widowControl/>
              <w:spacing w:after="0"/>
              <w:jc w:val="both"/>
              <w:rPr>
                <w:rFonts w:ascii="Arial" w:eastAsia="Times New Roman" w:hAnsi="Arial" w:cs="Arial"/>
                <w:b/>
                <w:position w:val="-6"/>
                <w:sz w:val="20"/>
                <w:szCs w:val="20"/>
                <w:lang w:val="en-GB" w:eastAsia="en-GB"/>
              </w:rPr>
            </w:pPr>
            <w:r w:rsidRPr="00AC0617">
              <w:rPr>
                <w:rFonts w:ascii="Arial" w:hAnsi="Arial" w:cs="Arial"/>
                <w:sz w:val="20"/>
                <w:szCs w:val="20"/>
                <w:lang w:val="en-GB"/>
              </w:rPr>
              <w:t xml:space="preserve">Proceeds from the sale of investments </w:t>
            </w:r>
          </w:p>
        </w:tc>
        <w:tc>
          <w:tcPr>
            <w:tcW w:w="664" w:type="pct"/>
            <w:tcBorders>
              <w:top w:val="nil"/>
              <w:left w:val="nil"/>
              <w:bottom w:val="nil"/>
              <w:right w:val="nil"/>
            </w:tcBorders>
            <w:shd w:val="clear" w:color="auto" w:fill="auto"/>
            <w:noWrap/>
            <w:vAlign w:val="bottom"/>
          </w:tcPr>
          <w:p w14:paraId="351B875F"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750</w:t>
            </w:r>
          </w:p>
        </w:tc>
        <w:tc>
          <w:tcPr>
            <w:tcW w:w="189" w:type="pct"/>
            <w:tcBorders>
              <w:top w:val="nil"/>
              <w:left w:val="nil"/>
              <w:right w:val="nil"/>
            </w:tcBorders>
          </w:tcPr>
          <w:p w14:paraId="7C251895"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top w:val="nil"/>
              <w:left w:val="nil"/>
              <w:bottom w:val="nil"/>
              <w:right w:val="nil"/>
            </w:tcBorders>
            <w:vAlign w:val="bottom"/>
          </w:tcPr>
          <w:p w14:paraId="362CFA80" w14:textId="77777777" w:rsidR="00891B3A" w:rsidRPr="00AC0617" w:rsidRDefault="00891B3A" w:rsidP="00891B3A">
            <w:pPr>
              <w:widowControl/>
              <w:spacing w:after="0"/>
              <w:jc w:val="right"/>
              <w:rPr>
                <w:rFonts w:ascii="Arial" w:hAnsi="Arial" w:cs="Arial"/>
                <w:sz w:val="20"/>
                <w:szCs w:val="20"/>
                <w:lang w:val="en-GB"/>
              </w:rPr>
            </w:pPr>
            <w:r w:rsidRPr="00AC0617">
              <w:rPr>
                <w:rFonts w:ascii="Arial" w:hAnsi="Arial" w:cs="Arial"/>
                <w:sz w:val="20"/>
                <w:szCs w:val="20"/>
                <w:lang w:val="en-GB"/>
              </w:rPr>
              <w:t>7,897</w:t>
            </w:r>
          </w:p>
        </w:tc>
      </w:tr>
      <w:tr w:rsidR="00891B3A" w:rsidRPr="00755BD6" w14:paraId="7DC95495" w14:textId="77777777" w:rsidTr="00891B3A">
        <w:trPr>
          <w:trHeight w:val="267"/>
        </w:trPr>
        <w:tc>
          <w:tcPr>
            <w:tcW w:w="3484" w:type="pct"/>
            <w:tcBorders>
              <w:top w:val="nil"/>
              <w:left w:val="nil"/>
              <w:right w:val="nil"/>
            </w:tcBorders>
            <w:shd w:val="clear" w:color="auto" w:fill="auto"/>
            <w:noWrap/>
            <w:vAlign w:val="center"/>
          </w:tcPr>
          <w:p w14:paraId="78456A80" w14:textId="77777777" w:rsidR="00891B3A" w:rsidRPr="00AC0617" w:rsidRDefault="00891B3A" w:rsidP="00891B3A">
            <w:pPr>
              <w:widowControl/>
              <w:spacing w:after="0"/>
              <w:jc w:val="both"/>
              <w:rPr>
                <w:rFonts w:ascii="Arial" w:hAnsi="Arial" w:cs="Arial"/>
                <w:sz w:val="20"/>
                <w:szCs w:val="20"/>
                <w:lang w:val="en-GB"/>
              </w:rPr>
            </w:pPr>
            <w:r w:rsidRPr="00AC0617">
              <w:rPr>
                <w:rFonts w:ascii="Arial" w:hAnsi="Arial" w:cs="Arial"/>
                <w:sz w:val="20"/>
                <w:szCs w:val="20"/>
                <w:lang w:val="en-GB"/>
              </w:rPr>
              <w:t>Distributions from funds and loan repayments</w:t>
            </w:r>
          </w:p>
        </w:tc>
        <w:tc>
          <w:tcPr>
            <w:tcW w:w="664" w:type="pct"/>
            <w:tcBorders>
              <w:top w:val="nil"/>
              <w:left w:val="nil"/>
              <w:bottom w:val="nil"/>
              <w:right w:val="nil"/>
            </w:tcBorders>
            <w:shd w:val="clear" w:color="auto" w:fill="auto"/>
            <w:noWrap/>
            <w:vAlign w:val="bottom"/>
          </w:tcPr>
          <w:p w14:paraId="1A13BAE5" w14:textId="680874FF"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1,68</w:t>
            </w:r>
            <w:r w:rsidR="00662E9C">
              <w:rPr>
                <w:rFonts w:ascii="Arial" w:eastAsia="Times New Roman" w:hAnsi="Arial" w:cs="Arial"/>
                <w:b/>
                <w:sz w:val="20"/>
                <w:szCs w:val="20"/>
                <w:lang w:val="en-GB" w:eastAsia="en-GB"/>
              </w:rPr>
              <w:t>7</w:t>
            </w:r>
          </w:p>
        </w:tc>
        <w:tc>
          <w:tcPr>
            <w:tcW w:w="189" w:type="pct"/>
            <w:tcBorders>
              <w:top w:val="nil"/>
              <w:left w:val="nil"/>
              <w:right w:val="nil"/>
            </w:tcBorders>
          </w:tcPr>
          <w:p w14:paraId="01F5A98E"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top w:val="nil"/>
              <w:left w:val="nil"/>
              <w:bottom w:val="nil"/>
              <w:right w:val="nil"/>
            </w:tcBorders>
            <w:vAlign w:val="bottom"/>
          </w:tcPr>
          <w:p w14:paraId="48764F34" w14:textId="77777777" w:rsidR="00891B3A" w:rsidRPr="00AC0617" w:rsidRDefault="00891B3A" w:rsidP="00891B3A">
            <w:pPr>
              <w:widowControl/>
              <w:spacing w:after="0"/>
              <w:jc w:val="right"/>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256</w:t>
            </w:r>
          </w:p>
        </w:tc>
      </w:tr>
      <w:tr w:rsidR="00891B3A" w:rsidRPr="00755BD6" w14:paraId="5EB11D8A" w14:textId="77777777" w:rsidTr="00891B3A">
        <w:trPr>
          <w:trHeight w:val="267"/>
        </w:trPr>
        <w:tc>
          <w:tcPr>
            <w:tcW w:w="3484" w:type="pct"/>
            <w:tcBorders>
              <w:top w:val="single" w:sz="4" w:space="0" w:color="auto"/>
              <w:left w:val="nil"/>
              <w:right w:val="nil"/>
            </w:tcBorders>
            <w:shd w:val="clear" w:color="auto" w:fill="auto"/>
            <w:noWrap/>
            <w:vAlign w:val="bottom"/>
          </w:tcPr>
          <w:p w14:paraId="2FBECF0B"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Total – gross</w:t>
            </w:r>
          </w:p>
        </w:tc>
        <w:tc>
          <w:tcPr>
            <w:tcW w:w="664" w:type="pct"/>
            <w:tcBorders>
              <w:top w:val="single" w:sz="4" w:space="0" w:color="auto"/>
              <w:left w:val="nil"/>
              <w:right w:val="nil"/>
            </w:tcBorders>
            <w:shd w:val="clear" w:color="auto" w:fill="auto"/>
            <w:vAlign w:val="bottom"/>
          </w:tcPr>
          <w:p w14:paraId="461996A9" w14:textId="0A10B576"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2,43</w:t>
            </w:r>
            <w:r w:rsidR="00662E9C">
              <w:rPr>
                <w:rFonts w:ascii="Arial" w:eastAsia="Times New Roman" w:hAnsi="Arial" w:cs="Arial"/>
                <w:b/>
                <w:sz w:val="20"/>
                <w:szCs w:val="20"/>
                <w:lang w:val="en-GB" w:eastAsia="en-GB"/>
              </w:rPr>
              <w:t>7</w:t>
            </w:r>
          </w:p>
        </w:tc>
        <w:tc>
          <w:tcPr>
            <w:tcW w:w="189" w:type="pct"/>
            <w:tcBorders>
              <w:top w:val="single" w:sz="4" w:space="0" w:color="auto"/>
              <w:left w:val="nil"/>
              <w:right w:val="nil"/>
            </w:tcBorders>
          </w:tcPr>
          <w:p w14:paraId="5EB5BE0A"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top w:val="single" w:sz="4" w:space="0" w:color="auto"/>
              <w:left w:val="nil"/>
              <w:right w:val="nil"/>
            </w:tcBorders>
            <w:vAlign w:val="bottom"/>
          </w:tcPr>
          <w:p w14:paraId="7D486E01" w14:textId="77777777" w:rsidR="00891B3A" w:rsidRPr="00AC0617" w:rsidRDefault="00891B3A" w:rsidP="00891B3A">
            <w:pPr>
              <w:widowControl/>
              <w:spacing w:after="0"/>
              <w:jc w:val="right"/>
              <w:rPr>
                <w:rFonts w:ascii="Arial" w:hAnsi="Arial" w:cs="Arial"/>
                <w:sz w:val="20"/>
                <w:szCs w:val="20"/>
                <w:lang w:val="en-GB"/>
              </w:rPr>
            </w:pPr>
            <w:r w:rsidRPr="00AC0617">
              <w:rPr>
                <w:rFonts w:ascii="Arial" w:hAnsi="Arial" w:cs="Arial"/>
                <w:sz w:val="20"/>
                <w:szCs w:val="20"/>
                <w:lang w:val="en-GB"/>
              </w:rPr>
              <w:t>8,153</w:t>
            </w:r>
          </w:p>
        </w:tc>
      </w:tr>
      <w:tr w:rsidR="00891B3A" w:rsidRPr="00755BD6" w14:paraId="010D4908" w14:textId="77777777" w:rsidTr="00891B3A">
        <w:trPr>
          <w:trHeight w:val="267"/>
        </w:trPr>
        <w:tc>
          <w:tcPr>
            <w:tcW w:w="3484" w:type="pct"/>
            <w:tcBorders>
              <w:left w:val="nil"/>
              <w:right w:val="nil"/>
            </w:tcBorders>
            <w:shd w:val="clear" w:color="auto" w:fill="auto"/>
            <w:noWrap/>
            <w:vAlign w:val="bottom"/>
          </w:tcPr>
          <w:p w14:paraId="4BC716AA"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New and follow-on investments</w:t>
            </w:r>
          </w:p>
        </w:tc>
        <w:tc>
          <w:tcPr>
            <w:tcW w:w="664" w:type="pct"/>
            <w:tcBorders>
              <w:left w:val="nil"/>
              <w:right w:val="nil"/>
            </w:tcBorders>
            <w:shd w:val="clear" w:color="auto" w:fill="auto"/>
            <w:vAlign w:val="bottom"/>
          </w:tcPr>
          <w:p w14:paraId="2FBD684D"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w:t>
            </w:r>
          </w:p>
        </w:tc>
        <w:tc>
          <w:tcPr>
            <w:tcW w:w="189" w:type="pct"/>
            <w:tcBorders>
              <w:left w:val="nil"/>
              <w:right w:val="nil"/>
            </w:tcBorders>
          </w:tcPr>
          <w:p w14:paraId="10572512"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left w:val="nil"/>
              <w:right w:val="nil"/>
            </w:tcBorders>
            <w:vAlign w:val="bottom"/>
          </w:tcPr>
          <w:p w14:paraId="7A35E7DF" w14:textId="77777777" w:rsidR="00891B3A" w:rsidRPr="00AC0617" w:rsidRDefault="00891B3A" w:rsidP="00891B3A">
            <w:pPr>
              <w:widowControl/>
              <w:spacing w:after="0"/>
              <w:jc w:val="right"/>
              <w:rPr>
                <w:rFonts w:ascii="Arial" w:hAnsi="Arial" w:cs="Arial"/>
                <w:sz w:val="20"/>
                <w:szCs w:val="20"/>
                <w:lang w:val="en-GB"/>
              </w:rPr>
            </w:pPr>
            <w:r w:rsidRPr="00AC0617">
              <w:rPr>
                <w:rFonts w:ascii="Arial" w:eastAsia="Times New Roman" w:hAnsi="Arial" w:cs="Arial"/>
                <w:sz w:val="20"/>
                <w:szCs w:val="20"/>
                <w:lang w:val="en-GB" w:eastAsia="en-GB"/>
              </w:rPr>
              <w:t>(225)</w:t>
            </w:r>
          </w:p>
        </w:tc>
      </w:tr>
      <w:tr w:rsidR="00891B3A" w:rsidRPr="00755BD6" w14:paraId="4915B4EC" w14:textId="77777777" w:rsidTr="00891B3A">
        <w:trPr>
          <w:trHeight w:val="267"/>
        </w:trPr>
        <w:tc>
          <w:tcPr>
            <w:tcW w:w="3484" w:type="pct"/>
            <w:tcBorders>
              <w:left w:val="nil"/>
              <w:bottom w:val="single" w:sz="4" w:space="0" w:color="auto"/>
              <w:right w:val="nil"/>
            </w:tcBorders>
            <w:shd w:val="clear" w:color="auto" w:fill="auto"/>
            <w:noWrap/>
            <w:vAlign w:val="bottom"/>
          </w:tcPr>
          <w:p w14:paraId="75B7647C"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Fund calls</w:t>
            </w:r>
          </w:p>
        </w:tc>
        <w:tc>
          <w:tcPr>
            <w:tcW w:w="664" w:type="pct"/>
            <w:tcBorders>
              <w:left w:val="nil"/>
              <w:bottom w:val="single" w:sz="4" w:space="0" w:color="auto"/>
              <w:right w:val="nil"/>
            </w:tcBorders>
            <w:shd w:val="clear" w:color="auto" w:fill="auto"/>
            <w:vAlign w:val="bottom"/>
          </w:tcPr>
          <w:p w14:paraId="1796EC2D" w14:textId="77777777"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(43)</w:t>
            </w:r>
          </w:p>
        </w:tc>
        <w:tc>
          <w:tcPr>
            <w:tcW w:w="189" w:type="pct"/>
            <w:tcBorders>
              <w:left w:val="nil"/>
              <w:bottom w:val="single" w:sz="4" w:space="0" w:color="auto"/>
              <w:right w:val="nil"/>
            </w:tcBorders>
          </w:tcPr>
          <w:p w14:paraId="13EF346C"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left w:val="nil"/>
              <w:bottom w:val="single" w:sz="4" w:space="0" w:color="auto"/>
              <w:right w:val="nil"/>
            </w:tcBorders>
            <w:vAlign w:val="bottom"/>
          </w:tcPr>
          <w:p w14:paraId="5ABABDF1" w14:textId="77777777" w:rsidR="00891B3A" w:rsidRPr="00AC0617" w:rsidRDefault="00891B3A" w:rsidP="00891B3A">
            <w:pPr>
              <w:widowControl/>
              <w:spacing w:after="0"/>
              <w:jc w:val="right"/>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(59)</w:t>
            </w:r>
          </w:p>
        </w:tc>
      </w:tr>
      <w:tr w:rsidR="00891B3A" w:rsidRPr="00755BD6" w14:paraId="4D967DF2" w14:textId="77777777" w:rsidTr="00891B3A">
        <w:trPr>
          <w:trHeight w:val="267"/>
        </w:trPr>
        <w:tc>
          <w:tcPr>
            <w:tcW w:w="3484" w:type="pct"/>
            <w:tcBorders>
              <w:top w:val="single" w:sz="4" w:space="0" w:color="auto"/>
              <w:left w:val="nil"/>
              <w:bottom w:val="single" w:sz="4" w:space="0" w:color="auto"/>
              <w:right w:val="nil"/>
            </w:tcBorders>
            <w:shd w:val="clear" w:color="auto" w:fill="auto"/>
            <w:noWrap/>
            <w:vAlign w:val="bottom"/>
          </w:tcPr>
          <w:p w14:paraId="60CA8A90" w14:textId="77777777" w:rsidR="00891B3A" w:rsidRPr="00AC0617" w:rsidRDefault="00891B3A" w:rsidP="00891B3A">
            <w:pPr>
              <w:widowControl/>
              <w:spacing w:after="0"/>
              <w:jc w:val="both"/>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Total – net</w:t>
            </w:r>
          </w:p>
        </w:tc>
        <w:tc>
          <w:tcPr>
            <w:tcW w:w="664" w:type="pct"/>
            <w:tcBorders>
              <w:top w:val="single" w:sz="4" w:space="0" w:color="auto"/>
              <w:left w:val="nil"/>
              <w:bottom w:val="single" w:sz="4" w:space="0" w:color="auto"/>
              <w:right w:val="nil"/>
            </w:tcBorders>
            <w:shd w:val="clear" w:color="auto" w:fill="auto"/>
            <w:vAlign w:val="bottom"/>
          </w:tcPr>
          <w:p w14:paraId="5532A56E" w14:textId="3ED93F5E" w:rsidR="00891B3A" w:rsidRPr="00AC0617" w:rsidRDefault="00891B3A" w:rsidP="00891B3A">
            <w:pPr>
              <w:widowControl/>
              <w:spacing w:after="0"/>
              <w:jc w:val="right"/>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2,39</w:t>
            </w:r>
            <w:r w:rsidR="00662E9C">
              <w:rPr>
                <w:rFonts w:ascii="Arial" w:eastAsia="Times New Roman" w:hAnsi="Arial" w:cs="Arial"/>
                <w:b/>
                <w:sz w:val="20"/>
                <w:szCs w:val="20"/>
                <w:lang w:val="en-GB" w:eastAsia="en-GB"/>
              </w:rPr>
              <w:t>4</w:t>
            </w:r>
          </w:p>
        </w:tc>
        <w:tc>
          <w:tcPr>
            <w:tcW w:w="189" w:type="pct"/>
            <w:tcBorders>
              <w:top w:val="single" w:sz="4" w:space="0" w:color="auto"/>
              <w:left w:val="nil"/>
              <w:bottom w:val="single" w:sz="4" w:space="0" w:color="auto"/>
              <w:right w:val="nil"/>
            </w:tcBorders>
          </w:tcPr>
          <w:p w14:paraId="1301551D" w14:textId="77777777" w:rsidR="00891B3A" w:rsidRPr="00AC0617" w:rsidRDefault="00891B3A" w:rsidP="00891B3A">
            <w:pPr>
              <w:widowControl/>
              <w:spacing w:after="0"/>
              <w:jc w:val="right"/>
              <w:rPr>
                <w:rFonts w:ascii="Arial" w:eastAsia="Times New Roman" w:hAnsi="Arial" w:cs="Arial"/>
                <w:sz w:val="20"/>
                <w:szCs w:val="20"/>
                <w:lang w:val="en-GB" w:eastAsia="en-GB"/>
              </w:rPr>
            </w:pPr>
          </w:p>
        </w:tc>
        <w:tc>
          <w:tcPr>
            <w:tcW w:w="663" w:type="pct"/>
            <w:tcBorders>
              <w:top w:val="single" w:sz="4" w:space="0" w:color="auto"/>
              <w:left w:val="nil"/>
              <w:bottom w:val="single" w:sz="4" w:space="0" w:color="auto"/>
              <w:right w:val="nil"/>
            </w:tcBorders>
            <w:vAlign w:val="bottom"/>
          </w:tcPr>
          <w:p w14:paraId="352AFF72" w14:textId="77777777" w:rsidR="00891B3A" w:rsidRPr="00AC0617" w:rsidRDefault="00891B3A" w:rsidP="00891B3A">
            <w:pPr>
              <w:widowControl/>
              <w:spacing w:after="0"/>
              <w:jc w:val="right"/>
              <w:rPr>
                <w:rFonts w:ascii="Arial" w:hAnsi="Arial" w:cs="Arial"/>
                <w:sz w:val="20"/>
                <w:szCs w:val="20"/>
                <w:lang w:val="en-GB"/>
              </w:rPr>
            </w:pPr>
            <w:r w:rsidRPr="00AC0617">
              <w:rPr>
                <w:rFonts w:ascii="Arial" w:eastAsia="Times New Roman" w:hAnsi="Arial" w:cs="Arial"/>
                <w:sz w:val="20"/>
                <w:szCs w:val="20"/>
                <w:lang w:val="en-GB" w:eastAsia="en-GB"/>
              </w:rPr>
              <w:t>(7,869)</w:t>
            </w:r>
          </w:p>
        </w:tc>
      </w:tr>
      <w:tr w:rsidR="00891B3A" w:rsidRPr="00755BD6" w14:paraId="0A16438A" w14:textId="77777777" w:rsidTr="00891B3A">
        <w:trPr>
          <w:trHeight w:val="267"/>
        </w:trPr>
        <w:tc>
          <w:tcPr>
            <w:tcW w:w="3484" w:type="pct"/>
            <w:tcBorders>
              <w:top w:val="single" w:sz="4" w:space="0" w:color="auto"/>
              <w:left w:val="nil"/>
              <w:right w:val="nil"/>
            </w:tcBorders>
            <w:shd w:val="clear" w:color="auto" w:fill="auto"/>
            <w:noWrap/>
            <w:vAlign w:val="bottom"/>
          </w:tcPr>
          <w:p w14:paraId="216A9C56" w14:textId="77777777" w:rsidR="00891B3A" w:rsidRPr="00AC0617" w:rsidRDefault="00891B3A" w:rsidP="00891B3A">
            <w:pPr>
              <w:widowControl/>
              <w:spacing w:after="0"/>
              <w:jc w:val="both"/>
              <w:rPr>
                <w:rFonts w:ascii="Arial" w:eastAsia="Times New Roman" w:hAnsi="Arial" w:cs="Arial"/>
                <w:sz w:val="20"/>
                <w:szCs w:val="20"/>
                <w:lang w:val="en-GB" w:eastAsia="en-GB"/>
              </w:rPr>
            </w:pPr>
          </w:p>
        </w:tc>
        <w:tc>
          <w:tcPr>
            <w:tcW w:w="664" w:type="pct"/>
            <w:tcBorders>
              <w:top w:val="single" w:sz="4" w:space="0" w:color="auto"/>
              <w:left w:val="nil"/>
              <w:right w:val="nil"/>
            </w:tcBorders>
            <w:shd w:val="clear" w:color="auto" w:fill="auto"/>
            <w:vAlign w:val="bottom"/>
          </w:tcPr>
          <w:p w14:paraId="11FC468B" w14:textId="77777777" w:rsidR="00891B3A" w:rsidRPr="00AC0617" w:rsidRDefault="00891B3A" w:rsidP="00891B3A">
            <w:pPr>
              <w:widowControl/>
              <w:spacing w:after="0"/>
              <w:jc w:val="both"/>
              <w:rPr>
                <w:rFonts w:ascii="Arial" w:eastAsia="Times New Roman" w:hAnsi="Arial" w:cs="Arial"/>
                <w:b/>
                <w:sz w:val="20"/>
                <w:szCs w:val="20"/>
                <w:lang w:val="en-GB" w:eastAsia="en-GB"/>
              </w:rPr>
            </w:pPr>
          </w:p>
        </w:tc>
        <w:tc>
          <w:tcPr>
            <w:tcW w:w="189" w:type="pct"/>
            <w:tcBorders>
              <w:top w:val="single" w:sz="4" w:space="0" w:color="auto"/>
              <w:left w:val="nil"/>
              <w:right w:val="nil"/>
            </w:tcBorders>
          </w:tcPr>
          <w:p w14:paraId="162AF7EC" w14:textId="77777777" w:rsidR="00891B3A" w:rsidRPr="00AC0617" w:rsidRDefault="00891B3A" w:rsidP="00891B3A">
            <w:pPr>
              <w:widowControl/>
              <w:spacing w:after="0"/>
              <w:jc w:val="both"/>
              <w:rPr>
                <w:rFonts w:ascii="Arial" w:eastAsia="Times New Roman" w:hAnsi="Arial" w:cs="Arial"/>
                <w:sz w:val="20"/>
                <w:szCs w:val="20"/>
                <w:lang w:val="en-GB" w:eastAsia="en-GB"/>
              </w:rPr>
            </w:pPr>
          </w:p>
        </w:tc>
        <w:tc>
          <w:tcPr>
            <w:tcW w:w="663" w:type="pct"/>
            <w:tcBorders>
              <w:top w:val="single" w:sz="4" w:space="0" w:color="auto"/>
              <w:left w:val="nil"/>
              <w:right w:val="nil"/>
            </w:tcBorders>
            <w:vAlign w:val="bottom"/>
          </w:tcPr>
          <w:p w14:paraId="0975DFC5" w14:textId="77777777" w:rsidR="00891B3A" w:rsidRPr="00AC0617" w:rsidRDefault="00891B3A" w:rsidP="00891B3A">
            <w:pPr>
              <w:widowControl/>
              <w:spacing w:after="0"/>
              <w:jc w:val="both"/>
              <w:rPr>
                <w:rFonts w:ascii="Arial" w:eastAsia="Times New Roman" w:hAnsi="Arial" w:cs="Arial"/>
                <w:sz w:val="20"/>
                <w:szCs w:val="20"/>
                <w:lang w:val="en-GB" w:eastAsia="en-GB"/>
              </w:rPr>
            </w:pPr>
          </w:p>
        </w:tc>
      </w:tr>
    </w:tbl>
    <w:p w14:paraId="1329B6BD" w14:textId="77777777" w:rsidR="00891B3A" w:rsidRDefault="00891B3A" w:rsidP="00891B3A">
      <w:pPr>
        <w:widowControl/>
        <w:spacing w:after="0"/>
        <w:jc w:val="both"/>
        <w:rPr>
          <w:rFonts w:ascii="Arial" w:hAnsi="Arial" w:cs="Arial"/>
          <w:lang w:val="en-GB"/>
        </w:rPr>
      </w:pPr>
    </w:p>
    <w:p w14:paraId="42542D94" w14:textId="66CE638C" w:rsidR="00891B3A" w:rsidRPr="00AC0617" w:rsidRDefault="00891B3A" w:rsidP="00891B3A">
      <w:pPr>
        <w:widowControl/>
        <w:spacing w:after="0"/>
        <w:jc w:val="both"/>
        <w:rPr>
          <w:rFonts w:ascii="Arial" w:hAnsi="Arial" w:cs="Arial"/>
          <w:lang w:val="en-GB"/>
        </w:rPr>
      </w:pPr>
      <w:r w:rsidRPr="00AC0617">
        <w:rPr>
          <w:rFonts w:ascii="Arial" w:hAnsi="Arial" w:cs="Arial"/>
          <w:lang w:val="en-GB"/>
        </w:rPr>
        <w:t>Net cash realisations of £2.</w:t>
      </w:r>
      <w:r w:rsidR="00D90816">
        <w:rPr>
          <w:rFonts w:ascii="Arial" w:hAnsi="Arial" w:cs="Arial"/>
          <w:lang w:val="en-GB"/>
        </w:rPr>
        <w:t>4</w:t>
      </w:r>
      <w:r w:rsidRPr="00AC0617">
        <w:rPr>
          <w:rFonts w:ascii="Arial" w:hAnsi="Arial" w:cs="Arial"/>
          <w:lang w:val="en-GB"/>
        </w:rPr>
        <w:t xml:space="preserve"> million in the six months ended 30 June 2021 include:</w:t>
      </w:r>
    </w:p>
    <w:p w14:paraId="32655418" w14:textId="77777777" w:rsidR="00891B3A" w:rsidRPr="00AC0617" w:rsidRDefault="00891B3A" w:rsidP="00891B3A">
      <w:pPr>
        <w:pStyle w:val="ListParagraph"/>
        <w:widowControl/>
        <w:numPr>
          <w:ilvl w:val="0"/>
          <w:numId w:val="15"/>
        </w:numPr>
        <w:suppressAutoHyphens w:val="0"/>
        <w:autoSpaceDN/>
        <w:spacing w:after="0"/>
        <w:contextualSpacing/>
        <w:jc w:val="both"/>
        <w:textAlignment w:val="auto"/>
        <w:rPr>
          <w:rFonts w:ascii="Arial" w:hAnsi="Arial" w:cs="Arial"/>
          <w:lang w:val="en-GB"/>
        </w:rPr>
      </w:pPr>
      <w:r w:rsidRPr="00AC0617">
        <w:rPr>
          <w:rFonts w:ascii="Arial" w:hAnsi="Arial" w:cs="Arial"/>
          <w:lang w:val="en-GB"/>
        </w:rPr>
        <w:t>Proceeds of £0.</w:t>
      </w:r>
      <w:r>
        <w:rPr>
          <w:rFonts w:ascii="Arial" w:hAnsi="Arial" w:cs="Arial"/>
          <w:lang w:val="en-GB"/>
        </w:rPr>
        <w:t>8</w:t>
      </w:r>
      <w:r w:rsidRPr="00AC0617">
        <w:rPr>
          <w:rFonts w:ascii="Arial" w:hAnsi="Arial" w:cs="Arial"/>
          <w:lang w:val="en-GB"/>
        </w:rPr>
        <w:t xml:space="preserve"> million from the repayment of Northbridge convertible instrument; </w:t>
      </w:r>
    </w:p>
    <w:p w14:paraId="7457E193" w14:textId="77777777" w:rsidR="00891B3A" w:rsidRPr="00AC0617" w:rsidRDefault="00891B3A" w:rsidP="00891B3A">
      <w:pPr>
        <w:pStyle w:val="ListParagraph"/>
        <w:widowControl/>
        <w:numPr>
          <w:ilvl w:val="0"/>
          <w:numId w:val="15"/>
        </w:numPr>
        <w:suppressAutoHyphens w:val="0"/>
        <w:autoSpaceDN/>
        <w:spacing w:after="0"/>
        <w:contextualSpacing/>
        <w:jc w:val="both"/>
        <w:textAlignment w:val="auto"/>
        <w:rPr>
          <w:rFonts w:ascii="Arial" w:hAnsi="Arial" w:cs="Arial"/>
          <w:lang w:val="en-GB"/>
        </w:rPr>
      </w:pPr>
      <w:r w:rsidRPr="00AC0617">
        <w:rPr>
          <w:rFonts w:ascii="Arial" w:hAnsi="Arial" w:cs="Arial"/>
          <w:u w:color="000000"/>
          <w:bdr w:val="none" w:sz="0" w:space="0" w:color="auto" w:frame="1"/>
          <w:lang w:val="en-GB"/>
        </w:rPr>
        <w:t>Fund distribution of £1.</w:t>
      </w:r>
      <w:r>
        <w:rPr>
          <w:rFonts w:ascii="Arial" w:hAnsi="Arial" w:cs="Arial"/>
          <w:u w:color="000000"/>
          <w:bdr w:val="none" w:sz="0" w:space="0" w:color="auto" w:frame="1"/>
          <w:lang w:val="en-GB"/>
        </w:rPr>
        <w:t>5</w:t>
      </w:r>
      <w:r w:rsidRPr="00AC0617">
        <w:rPr>
          <w:rFonts w:ascii="Arial" w:hAnsi="Arial" w:cs="Arial"/>
          <w:u w:color="000000"/>
          <w:bdr w:val="none" w:sz="0" w:space="0" w:color="auto" w:frame="1"/>
          <w:lang w:val="en-GB"/>
        </w:rPr>
        <w:t xml:space="preserve"> million from SFEP for ICU Eyewear; and </w:t>
      </w:r>
    </w:p>
    <w:p w14:paraId="6A75C1D4" w14:textId="7C112D3D" w:rsidR="00891B3A" w:rsidRPr="00AC0617" w:rsidRDefault="00891B3A" w:rsidP="00891B3A">
      <w:pPr>
        <w:pStyle w:val="ListParagraph"/>
        <w:widowControl/>
        <w:numPr>
          <w:ilvl w:val="0"/>
          <w:numId w:val="15"/>
        </w:numPr>
        <w:suppressAutoHyphens w:val="0"/>
        <w:autoSpaceDN/>
        <w:spacing w:after="0"/>
        <w:contextualSpacing/>
        <w:jc w:val="both"/>
        <w:textAlignment w:val="auto"/>
        <w:rPr>
          <w:rFonts w:ascii="Arial" w:hAnsi="Arial" w:cs="Arial"/>
          <w:lang w:val="en-GB"/>
        </w:rPr>
      </w:pPr>
      <w:r w:rsidRPr="00AC0617">
        <w:rPr>
          <w:rFonts w:ascii="Arial" w:hAnsi="Arial" w:cs="Arial"/>
          <w:u w:color="000000"/>
          <w:bdr w:val="none" w:sz="0" w:space="0" w:color="auto" w:frame="1"/>
          <w:lang w:val="en-GB"/>
        </w:rPr>
        <w:t>Other fund distributions of £0.</w:t>
      </w:r>
      <w:r w:rsidR="00D90816">
        <w:rPr>
          <w:rFonts w:ascii="Arial" w:hAnsi="Arial" w:cs="Arial"/>
          <w:u w:color="000000"/>
          <w:bdr w:val="none" w:sz="0" w:space="0" w:color="auto" w:frame="1"/>
          <w:lang w:val="en-GB"/>
        </w:rPr>
        <w:t>1</w:t>
      </w:r>
      <w:r w:rsidRPr="00AC0617">
        <w:rPr>
          <w:rFonts w:ascii="Arial" w:hAnsi="Arial" w:cs="Arial"/>
          <w:u w:color="000000"/>
          <w:bdr w:val="none" w:sz="0" w:space="0" w:color="auto" w:frame="1"/>
          <w:lang w:val="en-GB"/>
        </w:rPr>
        <w:t xml:space="preserve"> million.</w:t>
      </w:r>
    </w:p>
    <w:p w14:paraId="4299E4EA" w14:textId="77777777" w:rsidR="00891B3A" w:rsidRPr="00AC0617" w:rsidRDefault="00891B3A" w:rsidP="00891B3A">
      <w:pPr>
        <w:widowControl/>
        <w:spacing w:after="0"/>
        <w:jc w:val="both"/>
        <w:rPr>
          <w:rFonts w:ascii="Arial" w:hAnsi="Arial" w:cs="Arial"/>
          <w:lang w:val="en-GB"/>
        </w:rPr>
      </w:pPr>
    </w:p>
    <w:p w14:paraId="24EFCB5D" w14:textId="7616A9BA" w:rsidR="00891B3A" w:rsidRPr="00AC0617" w:rsidRDefault="00891B3A" w:rsidP="00891B3A">
      <w:pPr>
        <w:widowControl/>
        <w:spacing w:after="0"/>
        <w:jc w:val="both"/>
        <w:rPr>
          <w:rFonts w:ascii="Arial" w:hAnsi="Arial" w:cs="Arial"/>
          <w:lang w:val="en-GB"/>
        </w:rPr>
      </w:pPr>
      <w:r w:rsidRPr="00AC0617">
        <w:rPr>
          <w:rFonts w:ascii="Arial" w:hAnsi="Arial" w:cs="Arial"/>
          <w:lang w:val="en-GB"/>
        </w:rPr>
        <w:t xml:space="preserve">The fund calls are primarily in respect of SFEP </w:t>
      </w:r>
      <w:r w:rsidR="00284536">
        <w:rPr>
          <w:rFonts w:ascii="Arial" w:hAnsi="Arial" w:cs="Arial"/>
          <w:lang w:val="en-GB"/>
        </w:rPr>
        <w:t>fund administrative costs</w:t>
      </w:r>
      <w:r w:rsidRPr="00AC0617">
        <w:rPr>
          <w:rFonts w:ascii="Arial" w:hAnsi="Arial" w:cs="Arial"/>
          <w:lang w:val="en-GB"/>
        </w:rPr>
        <w:t>.</w:t>
      </w:r>
    </w:p>
    <w:p w14:paraId="1E5966E9" w14:textId="77777777" w:rsidR="00891B3A" w:rsidRDefault="00891B3A" w:rsidP="00891B3A">
      <w:pPr>
        <w:widowControl/>
        <w:spacing w:after="0"/>
        <w:jc w:val="both"/>
        <w:rPr>
          <w:rFonts w:ascii="Arial" w:hAnsi="Arial" w:cs="Arial"/>
          <w:lang w:val="en-GB"/>
        </w:rPr>
      </w:pPr>
    </w:p>
    <w:p w14:paraId="66CDADFE" w14:textId="77777777" w:rsidR="00891B3A" w:rsidRDefault="00891B3A" w:rsidP="00891B3A">
      <w:pPr>
        <w:widowControl/>
        <w:spacing w:after="0"/>
        <w:jc w:val="both"/>
        <w:rPr>
          <w:rFonts w:ascii="Arial" w:hAnsi="Arial" w:cs="Arial"/>
          <w:lang w:val="en-GB"/>
        </w:rPr>
      </w:pPr>
    </w:p>
    <w:p w14:paraId="7B98CFB2" w14:textId="77777777" w:rsidR="00891B3A" w:rsidRDefault="00891B3A" w:rsidP="00891B3A">
      <w:pPr>
        <w:widowControl/>
        <w:spacing w:after="0"/>
        <w:jc w:val="both"/>
        <w:rPr>
          <w:rFonts w:ascii="Arial" w:hAnsi="Arial" w:cs="Arial"/>
          <w:lang w:val="en-GB"/>
        </w:rPr>
      </w:pPr>
    </w:p>
    <w:p w14:paraId="3064EB7B" w14:textId="77777777" w:rsidR="00891B3A" w:rsidRDefault="00891B3A" w:rsidP="00891B3A">
      <w:pPr>
        <w:widowControl/>
        <w:spacing w:after="0"/>
        <w:jc w:val="both"/>
        <w:rPr>
          <w:rFonts w:ascii="Arial" w:hAnsi="Arial" w:cs="Arial"/>
          <w:lang w:val="en-GB"/>
        </w:rPr>
      </w:pPr>
    </w:p>
    <w:p w14:paraId="2AAAA56D" w14:textId="77777777" w:rsidR="00891B3A" w:rsidRDefault="00891B3A" w:rsidP="00891B3A">
      <w:pPr>
        <w:widowControl/>
        <w:spacing w:after="0"/>
        <w:jc w:val="both"/>
        <w:rPr>
          <w:rFonts w:ascii="Arial" w:hAnsi="Arial" w:cs="Arial"/>
          <w:lang w:val="en-GB"/>
        </w:rPr>
      </w:pPr>
    </w:p>
    <w:p w14:paraId="6F9914F8" w14:textId="6B6E4492" w:rsidR="00891B3A" w:rsidRDefault="00891B3A" w:rsidP="00891B3A">
      <w:pPr>
        <w:widowControl/>
        <w:spacing w:after="0"/>
        <w:jc w:val="both"/>
        <w:rPr>
          <w:rFonts w:ascii="Arial" w:hAnsi="Arial" w:cs="Arial"/>
          <w:lang w:val="en-GB"/>
        </w:rPr>
      </w:pPr>
    </w:p>
    <w:p w14:paraId="004992B3" w14:textId="218D81AB" w:rsidR="00016656" w:rsidRDefault="00016656" w:rsidP="00891B3A">
      <w:pPr>
        <w:widowControl/>
        <w:spacing w:after="0"/>
        <w:jc w:val="both"/>
        <w:rPr>
          <w:rFonts w:ascii="Arial" w:hAnsi="Arial" w:cs="Arial"/>
          <w:lang w:val="en-GB"/>
        </w:rPr>
      </w:pPr>
    </w:p>
    <w:p w14:paraId="4CB45025" w14:textId="3C736732" w:rsidR="00016656" w:rsidRDefault="00016656" w:rsidP="00891B3A">
      <w:pPr>
        <w:widowControl/>
        <w:spacing w:after="0"/>
        <w:jc w:val="both"/>
        <w:rPr>
          <w:rFonts w:ascii="Arial" w:hAnsi="Arial" w:cs="Arial"/>
          <w:lang w:val="en-GB"/>
        </w:rPr>
      </w:pPr>
    </w:p>
    <w:p w14:paraId="324AB524" w14:textId="77777777" w:rsidR="00016656" w:rsidRDefault="00016656" w:rsidP="00891B3A">
      <w:pPr>
        <w:widowControl/>
        <w:spacing w:after="0"/>
        <w:jc w:val="both"/>
        <w:rPr>
          <w:rFonts w:ascii="Arial" w:hAnsi="Arial" w:cs="Arial"/>
          <w:lang w:val="en-GB"/>
        </w:rPr>
      </w:pPr>
    </w:p>
    <w:p w14:paraId="5EC66E25" w14:textId="77777777" w:rsidR="00891B3A" w:rsidRDefault="00891B3A" w:rsidP="00891B3A">
      <w:pPr>
        <w:widowControl/>
        <w:spacing w:after="0"/>
        <w:jc w:val="both"/>
        <w:rPr>
          <w:rFonts w:ascii="Arial" w:hAnsi="Arial" w:cs="Arial"/>
          <w:lang w:val="en-GB"/>
        </w:rPr>
      </w:pPr>
    </w:p>
    <w:p w14:paraId="7D7C6B9D" w14:textId="77777777" w:rsidR="00891B3A" w:rsidRDefault="00891B3A" w:rsidP="00891B3A">
      <w:pPr>
        <w:widowControl/>
        <w:spacing w:after="0"/>
        <w:jc w:val="both"/>
        <w:rPr>
          <w:rFonts w:ascii="Arial" w:hAnsi="Arial" w:cs="Arial"/>
          <w:lang w:val="en-GB"/>
        </w:rPr>
      </w:pPr>
    </w:p>
    <w:p w14:paraId="568A5044" w14:textId="77777777" w:rsidR="00891B3A" w:rsidRPr="00AC0617"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lastRenderedPageBreak/>
        <w:t>Below is a summary of the investment portfolio of the Company and its subsidiaries:</w:t>
      </w:r>
    </w:p>
    <w:p w14:paraId="133613F4" w14:textId="77777777" w:rsidR="00891B3A" w:rsidRPr="00AC0617" w:rsidRDefault="00891B3A" w:rsidP="00891B3A">
      <w:pPr>
        <w:widowControl/>
        <w:spacing w:after="0"/>
        <w:jc w:val="both"/>
        <w:rPr>
          <w:rFonts w:ascii="Arial" w:hAnsi="Arial" w:cs="Arial"/>
          <w:lang w:val="en-GB"/>
        </w:rPr>
      </w:pPr>
    </w:p>
    <w:tbl>
      <w:tblPr>
        <w:tblW w:w="9060" w:type="dxa"/>
        <w:tblInd w:w="8" w:type="dxa"/>
        <w:tblLayout w:type="fixed"/>
        <w:tblCellMar>
          <w:left w:w="10" w:type="dxa"/>
          <w:right w:w="10" w:type="dxa"/>
        </w:tblCellMar>
        <w:tblLook w:val="0000" w:firstRow="0" w:lastRow="0" w:firstColumn="0" w:lastColumn="0" w:noHBand="0" w:noVBand="0"/>
      </w:tblPr>
      <w:tblGrid>
        <w:gridCol w:w="2827"/>
        <w:gridCol w:w="1556"/>
        <w:gridCol w:w="992"/>
        <w:gridCol w:w="850"/>
        <w:gridCol w:w="284"/>
        <w:gridCol w:w="850"/>
        <w:gridCol w:w="851"/>
        <w:gridCol w:w="850"/>
      </w:tblGrid>
      <w:tr w:rsidR="00891B3A" w:rsidRPr="00755BD6" w14:paraId="54439BEC" w14:textId="77777777" w:rsidTr="00891B3A">
        <w:trPr>
          <w:trHeight w:val="20"/>
        </w:trPr>
        <w:tc>
          <w:tcPr>
            <w:tcW w:w="2827" w:type="dxa"/>
            <w:shd w:val="clear" w:color="auto" w:fill="auto"/>
            <w:tcMar>
              <w:top w:w="85" w:type="dxa"/>
              <w:left w:w="0" w:type="dxa"/>
              <w:bottom w:w="85" w:type="dxa"/>
              <w:right w:w="0" w:type="dxa"/>
            </w:tcMar>
            <w:vAlign w:val="bottom"/>
          </w:tcPr>
          <w:p w14:paraId="1CA8238D"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b/>
                <w:bCs/>
                <w:sz w:val="20"/>
                <w:szCs w:val="20"/>
                <w:lang w:val="en-GB" w:eastAsia="en-GB"/>
              </w:rPr>
            </w:pPr>
          </w:p>
        </w:tc>
        <w:tc>
          <w:tcPr>
            <w:tcW w:w="3398" w:type="dxa"/>
            <w:gridSpan w:val="3"/>
            <w:tcBorders>
              <w:top w:val="single" w:sz="4" w:space="0" w:color="000000"/>
              <w:bottom w:val="single" w:sz="4" w:space="0" w:color="000000"/>
            </w:tcBorders>
            <w:shd w:val="clear" w:color="auto" w:fill="auto"/>
            <w:tcMar>
              <w:top w:w="85" w:type="dxa"/>
              <w:left w:w="0" w:type="dxa"/>
              <w:bottom w:w="85" w:type="dxa"/>
              <w:right w:w="0" w:type="dxa"/>
            </w:tcMar>
            <w:vAlign w:val="center"/>
          </w:tcPr>
          <w:p w14:paraId="79689CA1" w14:textId="77777777" w:rsidR="00891B3A" w:rsidRPr="00AC0617" w:rsidRDefault="00891B3A" w:rsidP="00891B3A">
            <w:pPr>
              <w:shd w:val="clear" w:color="auto" w:fill="FFFFFF"/>
              <w:autoSpaceDE w:val="0"/>
              <w:spacing w:after="0" w:line="240" w:lineRule="auto"/>
              <w:ind w:left="113" w:right="113"/>
              <w:jc w:val="center"/>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30 June 2021</w:t>
            </w:r>
          </w:p>
        </w:tc>
        <w:tc>
          <w:tcPr>
            <w:tcW w:w="284" w:type="dxa"/>
            <w:shd w:val="clear" w:color="auto" w:fill="auto"/>
            <w:tcMar>
              <w:top w:w="0" w:type="dxa"/>
              <w:left w:w="113" w:type="dxa"/>
              <w:bottom w:w="0" w:type="dxa"/>
              <w:right w:w="0" w:type="dxa"/>
            </w:tcMar>
            <w:vAlign w:val="center"/>
          </w:tcPr>
          <w:p w14:paraId="3D4DC679" w14:textId="77777777" w:rsidR="00891B3A" w:rsidRPr="00AC0617" w:rsidRDefault="00891B3A" w:rsidP="00891B3A">
            <w:pPr>
              <w:shd w:val="clear" w:color="auto" w:fill="FFFFFF"/>
              <w:autoSpaceDE w:val="0"/>
              <w:spacing w:after="0" w:line="240" w:lineRule="auto"/>
              <w:ind w:left="113" w:right="113"/>
              <w:jc w:val="center"/>
              <w:textAlignment w:val="center"/>
              <w:rPr>
                <w:rFonts w:ascii="Arial" w:eastAsia="Times New Roman" w:hAnsi="Arial" w:cs="Arial"/>
                <w:b/>
                <w:bCs/>
                <w:sz w:val="20"/>
                <w:szCs w:val="20"/>
                <w:lang w:val="en-GB" w:eastAsia="en-GB"/>
              </w:rPr>
            </w:pPr>
          </w:p>
        </w:tc>
        <w:tc>
          <w:tcPr>
            <w:tcW w:w="2551" w:type="dxa"/>
            <w:gridSpan w:val="3"/>
            <w:tcBorders>
              <w:top w:val="single" w:sz="4" w:space="0" w:color="000000"/>
              <w:bottom w:val="single" w:sz="4" w:space="0" w:color="000000"/>
            </w:tcBorders>
            <w:shd w:val="clear" w:color="auto" w:fill="auto"/>
            <w:tcMar>
              <w:top w:w="85" w:type="dxa"/>
              <w:left w:w="0" w:type="dxa"/>
              <w:bottom w:w="85" w:type="dxa"/>
              <w:right w:w="0" w:type="dxa"/>
            </w:tcMar>
            <w:vAlign w:val="center"/>
          </w:tcPr>
          <w:p w14:paraId="6BC3DEB4" w14:textId="77777777" w:rsidR="00891B3A" w:rsidRPr="00AC0617" w:rsidRDefault="00891B3A" w:rsidP="00891B3A">
            <w:pPr>
              <w:shd w:val="clear" w:color="auto" w:fill="FFFFFF"/>
              <w:autoSpaceDE w:val="0"/>
              <w:spacing w:after="0" w:line="240" w:lineRule="auto"/>
              <w:ind w:left="113" w:right="113"/>
              <w:jc w:val="center"/>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31 December 2020</w:t>
            </w:r>
          </w:p>
        </w:tc>
      </w:tr>
      <w:tr w:rsidR="00891B3A" w:rsidRPr="00755BD6" w14:paraId="3F1E8F97" w14:textId="77777777" w:rsidTr="00891B3A">
        <w:trPr>
          <w:trHeight w:val="20"/>
        </w:trPr>
        <w:tc>
          <w:tcPr>
            <w:tcW w:w="2827" w:type="dxa"/>
            <w:tcBorders>
              <w:bottom w:val="single" w:sz="4" w:space="0" w:color="000000"/>
            </w:tcBorders>
            <w:shd w:val="clear" w:color="auto" w:fill="auto"/>
            <w:tcMar>
              <w:top w:w="0" w:type="dxa"/>
              <w:left w:w="113" w:type="dxa"/>
              <w:bottom w:w="0" w:type="dxa"/>
              <w:right w:w="0" w:type="dxa"/>
            </w:tcMar>
          </w:tcPr>
          <w:p w14:paraId="40C18261" w14:textId="77777777" w:rsidR="00891B3A" w:rsidRPr="00AC0617" w:rsidRDefault="00891B3A" w:rsidP="00891B3A">
            <w:pPr>
              <w:shd w:val="clear" w:color="auto" w:fill="FFFFFF"/>
              <w:autoSpaceDE w:val="0"/>
              <w:spacing w:after="0" w:line="240" w:lineRule="auto"/>
              <w:jc w:val="both"/>
              <w:rPr>
                <w:rFonts w:ascii="Arial" w:hAnsi="Arial" w:cs="Arial"/>
              </w:rPr>
            </w:pPr>
            <w:r w:rsidRPr="00AC0617">
              <w:rPr>
                <w:rFonts w:ascii="Arial" w:eastAsia="Times New Roman" w:hAnsi="Arial" w:cs="Arial"/>
                <w:b/>
                <w:bCs/>
                <w:sz w:val="20"/>
                <w:szCs w:val="20"/>
                <w:lang w:val="en-GB" w:eastAsia="en-GB"/>
              </w:rPr>
              <w:t>Asset type</w:t>
            </w:r>
          </w:p>
        </w:tc>
        <w:tc>
          <w:tcPr>
            <w:tcW w:w="1556"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5AB38E51"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UK</w:t>
            </w:r>
          </w:p>
          <w:p w14:paraId="3567936A"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£’000</w:t>
            </w:r>
          </w:p>
        </w:tc>
        <w:tc>
          <w:tcPr>
            <w:tcW w:w="992"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618F291D"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US</w:t>
            </w:r>
          </w:p>
          <w:p w14:paraId="4C29350C"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£’000</w:t>
            </w:r>
          </w:p>
        </w:tc>
        <w:tc>
          <w:tcPr>
            <w:tcW w:w="850"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63E4DC55"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Total</w:t>
            </w:r>
          </w:p>
          <w:p w14:paraId="5DE593F3"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£’000</w:t>
            </w:r>
          </w:p>
        </w:tc>
        <w:tc>
          <w:tcPr>
            <w:tcW w:w="284" w:type="dxa"/>
            <w:tcBorders>
              <w:bottom w:val="single" w:sz="4" w:space="0" w:color="000000"/>
            </w:tcBorders>
            <w:shd w:val="clear" w:color="auto" w:fill="auto"/>
            <w:tcMar>
              <w:top w:w="0" w:type="dxa"/>
              <w:left w:w="113" w:type="dxa"/>
              <w:bottom w:w="0" w:type="dxa"/>
              <w:right w:w="0" w:type="dxa"/>
            </w:tcMar>
            <w:vAlign w:val="center"/>
          </w:tcPr>
          <w:p w14:paraId="4B69C0C5"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p>
        </w:tc>
        <w:tc>
          <w:tcPr>
            <w:tcW w:w="850"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33152A32"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UK</w:t>
            </w:r>
          </w:p>
          <w:p w14:paraId="4E0097D4"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£’000</w:t>
            </w:r>
          </w:p>
        </w:tc>
        <w:tc>
          <w:tcPr>
            <w:tcW w:w="851"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07CD8DCA"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US</w:t>
            </w:r>
          </w:p>
          <w:p w14:paraId="73C535D4"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£’000</w:t>
            </w:r>
          </w:p>
        </w:tc>
        <w:tc>
          <w:tcPr>
            <w:tcW w:w="850"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6FAEEFBD"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Total</w:t>
            </w:r>
          </w:p>
          <w:p w14:paraId="25300AE4" w14:textId="77777777" w:rsidR="00891B3A" w:rsidRPr="00AC0617" w:rsidRDefault="00891B3A" w:rsidP="00891B3A">
            <w:pPr>
              <w:shd w:val="clear" w:color="auto" w:fill="FFFFFF"/>
              <w:autoSpaceDE w:val="0"/>
              <w:spacing w:after="0" w:line="240" w:lineRule="auto"/>
              <w:ind w:right="113"/>
              <w:jc w:val="right"/>
              <w:textAlignment w:val="center"/>
              <w:rPr>
                <w:rFonts w:ascii="Arial" w:eastAsia="Times New Roman" w:hAnsi="Arial" w:cs="Arial"/>
                <w:b/>
                <w:bCs/>
                <w:sz w:val="20"/>
                <w:szCs w:val="20"/>
                <w:lang w:val="en-GB" w:eastAsia="en-GB"/>
              </w:rPr>
            </w:pPr>
            <w:r w:rsidRPr="00AC0617">
              <w:rPr>
                <w:rFonts w:ascii="Arial" w:eastAsia="Times New Roman" w:hAnsi="Arial" w:cs="Arial"/>
                <w:b/>
                <w:bCs/>
                <w:sz w:val="20"/>
                <w:szCs w:val="20"/>
                <w:lang w:val="en-GB" w:eastAsia="en-GB"/>
              </w:rPr>
              <w:t>£’000</w:t>
            </w:r>
          </w:p>
        </w:tc>
      </w:tr>
      <w:tr w:rsidR="00891B3A" w:rsidRPr="00755BD6" w14:paraId="51D32A1E" w14:textId="77777777" w:rsidTr="00891B3A">
        <w:trPr>
          <w:trHeight w:val="20"/>
        </w:trPr>
        <w:tc>
          <w:tcPr>
            <w:tcW w:w="2827" w:type="dxa"/>
            <w:shd w:val="clear" w:color="auto" w:fill="auto"/>
            <w:tcMar>
              <w:top w:w="85" w:type="dxa"/>
              <w:left w:w="0" w:type="dxa"/>
              <w:bottom w:w="85" w:type="dxa"/>
              <w:right w:w="0" w:type="dxa"/>
            </w:tcMar>
            <w:vAlign w:val="bottom"/>
          </w:tcPr>
          <w:p w14:paraId="127767A1"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Quoted</w:t>
            </w:r>
          </w:p>
        </w:tc>
        <w:tc>
          <w:tcPr>
            <w:tcW w:w="1556" w:type="dxa"/>
            <w:shd w:val="clear" w:color="auto" w:fill="auto"/>
            <w:tcMar>
              <w:top w:w="85" w:type="dxa"/>
              <w:left w:w="0" w:type="dxa"/>
              <w:bottom w:w="85" w:type="dxa"/>
              <w:right w:w="0" w:type="dxa"/>
            </w:tcMar>
            <w:vAlign w:val="center"/>
          </w:tcPr>
          <w:p w14:paraId="09CF41D1"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 xml:space="preserve">245  </w:t>
            </w:r>
          </w:p>
        </w:tc>
        <w:tc>
          <w:tcPr>
            <w:tcW w:w="992" w:type="dxa"/>
            <w:tcBorders>
              <w:top w:val="single" w:sz="4" w:space="0" w:color="000000"/>
            </w:tcBorders>
            <w:shd w:val="clear" w:color="auto" w:fill="auto"/>
            <w:tcMar>
              <w:top w:w="85" w:type="dxa"/>
              <w:left w:w="0" w:type="dxa"/>
              <w:bottom w:w="85" w:type="dxa"/>
              <w:right w:w="0" w:type="dxa"/>
            </w:tcMar>
            <w:vAlign w:val="center"/>
          </w:tcPr>
          <w:p w14:paraId="6F1C967C"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40</w:t>
            </w:r>
          </w:p>
        </w:tc>
        <w:tc>
          <w:tcPr>
            <w:tcW w:w="850" w:type="dxa"/>
            <w:tcBorders>
              <w:top w:val="single" w:sz="4" w:space="0" w:color="000000"/>
            </w:tcBorders>
            <w:shd w:val="clear" w:color="auto" w:fill="auto"/>
            <w:tcMar>
              <w:top w:w="85" w:type="dxa"/>
              <w:left w:w="0" w:type="dxa"/>
              <w:bottom w:w="85" w:type="dxa"/>
              <w:right w:w="0" w:type="dxa"/>
            </w:tcMar>
            <w:vAlign w:val="center"/>
          </w:tcPr>
          <w:p w14:paraId="36C60FA7"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285</w:t>
            </w:r>
          </w:p>
        </w:tc>
        <w:tc>
          <w:tcPr>
            <w:tcW w:w="284" w:type="dxa"/>
            <w:tcBorders>
              <w:top w:val="single" w:sz="4" w:space="0" w:color="000000"/>
            </w:tcBorders>
            <w:shd w:val="clear" w:color="auto" w:fill="auto"/>
            <w:tcMar>
              <w:top w:w="0" w:type="dxa"/>
              <w:left w:w="113" w:type="dxa"/>
              <w:bottom w:w="0" w:type="dxa"/>
              <w:right w:w="0" w:type="dxa"/>
            </w:tcMar>
            <w:vAlign w:val="center"/>
          </w:tcPr>
          <w:p w14:paraId="67535634"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sz w:val="20"/>
                <w:szCs w:val="20"/>
                <w:lang w:val="en-GB" w:eastAsia="en-GB"/>
              </w:rPr>
            </w:pPr>
          </w:p>
        </w:tc>
        <w:tc>
          <w:tcPr>
            <w:tcW w:w="850" w:type="dxa"/>
            <w:shd w:val="clear" w:color="auto" w:fill="auto"/>
            <w:tcMar>
              <w:top w:w="85" w:type="dxa"/>
              <w:left w:w="0" w:type="dxa"/>
              <w:bottom w:w="85" w:type="dxa"/>
              <w:right w:w="0" w:type="dxa"/>
            </w:tcMar>
            <w:vAlign w:val="center"/>
          </w:tcPr>
          <w:p w14:paraId="031EEF3F"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119</w:t>
            </w:r>
          </w:p>
        </w:tc>
        <w:tc>
          <w:tcPr>
            <w:tcW w:w="851" w:type="dxa"/>
            <w:shd w:val="clear" w:color="auto" w:fill="auto"/>
            <w:tcMar>
              <w:top w:w="85" w:type="dxa"/>
              <w:left w:w="0" w:type="dxa"/>
              <w:bottom w:w="85" w:type="dxa"/>
              <w:right w:w="0" w:type="dxa"/>
            </w:tcMar>
            <w:vAlign w:val="center"/>
          </w:tcPr>
          <w:p w14:paraId="54CCFC02"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78</w:t>
            </w:r>
          </w:p>
        </w:tc>
        <w:tc>
          <w:tcPr>
            <w:tcW w:w="850" w:type="dxa"/>
            <w:shd w:val="clear" w:color="auto" w:fill="auto"/>
            <w:tcMar>
              <w:top w:w="85" w:type="dxa"/>
              <w:left w:w="0" w:type="dxa"/>
              <w:bottom w:w="85" w:type="dxa"/>
              <w:right w:w="0" w:type="dxa"/>
            </w:tcMar>
            <w:vAlign w:val="center"/>
          </w:tcPr>
          <w:p w14:paraId="56ECB471"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197</w:t>
            </w:r>
          </w:p>
        </w:tc>
      </w:tr>
      <w:tr w:rsidR="00891B3A" w:rsidRPr="00755BD6" w14:paraId="7B505551" w14:textId="77777777" w:rsidTr="00891B3A">
        <w:trPr>
          <w:trHeight w:val="20"/>
        </w:trPr>
        <w:tc>
          <w:tcPr>
            <w:tcW w:w="2827" w:type="dxa"/>
            <w:shd w:val="clear" w:color="auto" w:fill="auto"/>
            <w:tcMar>
              <w:top w:w="85" w:type="dxa"/>
              <w:left w:w="0" w:type="dxa"/>
              <w:bottom w:w="85" w:type="dxa"/>
              <w:right w:w="0" w:type="dxa"/>
            </w:tcMar>
            <w:vAlign w:val="bottom"/>
          </w:tcPr>
          <w:p w14:paraId="2D039D49"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Unquoted</w:t>
            </w:r>
          </w:p>
        </w:tc>
        <w:tc>
          <w:tcPr>
            <w:tcW w:w="1556" w:type="dxa"/>
            <w:shd w:val="clear" w:color="auto" w:fill="auto"/>
            <w:tcMar>
              <w:top w:w="85" w:type="dxa"/>
              <w:left w:w="0" w:type="dxa"/>
              <w:bottom w:w="85" w:type="dxa"/>
              <w:right w:w="0" w:type="dxa"/>
            </w:tcMar>
            <w:vAlign w:val="center"/>
          </w:tcPr>
          <w:p w14:paraId="7EB5D1EE"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517</w:t>
            </w:r>
          </w:p>
        </w:tc>
        <w:tc>
          <w:tcPr>
            <w:tcW w:w="992" w:type="dxa"/>
            <w:shd w:val="clear" w:color="auto" w:fill="auto"/>
            <w:tcMar>
              <w:top w:w="85" w:type="dxa"/>
              <w:left w:w="0" w:type="dxa"/>
              <w:bottom w:w="85" w:type="dxa"/>
              <w:right w:w="0" w:type="dxa"/>
            </w:tcMar>
            <w:vAlign w:val="center"/>
          </w:tcPr>
          <w:p w14:paraId="2043A48E"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7,051</w:t>
            </w:r>
          </w:p>
        </w:tc>
        <w:tc>
          <w:tcPr>
            <w:tcW w:w="850" w:type="dxa"/>
            <w:shd w:val="clear" w:color="auto" w:fill="auto"/>
            <w:tcMar>
              <w:top w:w="85" w:type="dxa"/>
              <w:left w:w="0" w:type="dxa"/>
              <w:bottom w:w="85" w:type="dxa"/>
              <w:right w:w="0" w:type="dxa"/>
            </w:tcMar>
            <w:vAlign w:val="center"/>
          </w:tcPr>
          <w:p w14:paraId="5E0C9042"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7,568</w:t>
            </w:r>
          </w:p>
        </w:tc>
        <w:tc>
          <w:tcPr>
            <w:tcW w:w="284" w:type="dxa"/>
            <w:shd w:val="clear" w:color="auto" w:fill="auto"/>
            <w:tcMar>
              <w:top w:w="0" w:type="dxa"/>
              <w:left w:w="113" w:type="dxa"/>
              <w:bottom w:w="0" w:type="dxa"/>
              <w:right w:w="0" w:type="dxa"/>
            </w:tcMar>
            <w:vAlign w:val="center"/>
          </w:tcPr>
          <w:p w14:paraId="2307286B"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sz w:val="20"/>
                <w:szCs w:val="20"/>
                <w:lang w:val="en-GB" w:eastAsia="en-GB"/>
              </w:rPr>
            </w:pPr>
          </w:p>
        </w:tc>
        <w:tc>
          <w:tcPr>
            <w:tcW w:w="850" w:type="dxa"/>
            <w:shd w:val="clear" w:color="auto" w:fill="auto"/>
            <w:tcMar>
              <w:top w:w="85" w:type="dxa"/>
              <w:left w:w="0" w:type="dxa"/>
              <w:bottom w:w="85" w:type="dxa"/>
              <w:right w:w="0" w:type="dxa"/>
            </w:tcMar>
            <w:vAlign w:val="center"/>
          </w:tcPr>
          <w:p w14:paraId="64A64EAF"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1,226</w:t>
            </w:r>
          </w:p>
        </w:tc>
        <w:tc>
          <w:tcPr>
            <w:tcW w:w="851" w:type="dxa"/>
            <w:shd w:val="clear" w:color="auto" w:fill="auto"/>
            <w:tcMar>
              <w:top w:w="85" w:type="dxa"/>
              <w:left w:w="0" w:type="dxa"/>
              <w:bottom w:w="85" w:type="dxa"/>
              <w:right w:w="0" w:type="dxa"/>
            </w:tcMar>
            <w:vAlign w:val="center"/>
          </w:tcPr>
          <w:p w14:paraId="5B258A28"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8,912</w:t>
            </w:r>
          </w:p>
        </w:tc>
        <w:tc>
          <w:tcPr>
            <w:tcW w:w="850" w:type="dxa"/>
            <w:shd w:val="clear" w:color="auto" w:fill="auto"/>
            <w:tcMar>
              <w:top w:w="85" w:type="dxa"/>
              <w:left w:w="0" w:type="dxa"/>
              <w:bottom w:w="85" w:type="dxa"/>
              <w:right w:w="0" w:type="dxa"/>
            </w:tcMar>
            <w:vAlign w:val="center"/>
          </w:tcPr>
          <w:p w14:paraId="4A3200AA"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10,138</w:t>
            </w:r>
          </w:p>
        </w:tc>
      </w:tr>
      <w:tr w:rsidR="00891B3A" w:rsidRPr="00755BD6" w14:paraId="751C0A3D" w14:textId="77777777" w:rsidTr="00891B3A">
        <w:trPr>
          <w:trHeight w:val="20"/>
        </w:trPr>
        <w:tc>
          <w:tcPr>
            <w:tcW w:w="2827" w:type="dxa"/>
            <w:tcBorders>
              <w:bottom w:val="single" w:sz="4" w:space="0" w:color="000000"/>
            </w:tcBorders>
            <w:shd w:val="clear" w:color="auto" w:fill="auto"/>
            <w:tcMar>
              <w:top w:w="85" w:type="dxa"/>
              <w:left w:w="0" w:type="dxa"/>
              <w:bottom w:w="85" w:type="dxa"/>
              <w:right w:w="0" w:type="dxa"/>
            </w:tcMar>
            <w:vAlign w:val="bottom"/>
          </w:tcPr>
          <w:p w14:paraId="53E60347"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sz w:val="20"/>
                <w:szCs w:val="20"/>
                <w:lang w:val="en-GB" w:eastAsia="en-GB"/>
              </w:rPr>
            </w:pPr>
            <w:r w:rsidRPr="00AC0617">
              <w:rPr>
                <w:rFonts w:ascii="Arial" w:eastAsia="Times New Roman" w:hAnsi="Arial" w:cs="Arial"/>
                <w:sz w:val="20"/>
                <w:szCs w:val="20"/>
                <w:lang w:val="en-GB" w:eastAsia="en-GB"/>
              </w:rPr>
              <w:t>Funds</w:t>
            </w:r>
          </w:p>
        </w:tc>
        <w:tc>
          <w:tcPr>
            <w:tcW w:w="1556" w:type="dxa"/>
            <w:tcBorders>
              <w:bottom w:val="single" w:sz="4" w:space="0" w:color="000000"/>
            </w:tcBorders>
            <w:shd w:val="clear" w:color="auto" w:fill="auto"/>
            <w:tcMar>
              <w:top w:w="85" w:type="dxa"/>
              <w:left w:w="0" w:type="dxa"/>
              <w:bottom w:w="85" w:type="dxa"/>
              <w:right w:w="0" w:type="dxa"/>
            </w:tcMar>
            <w:vAlign w:val="center"/>
          </w:tcPr>
          <w:p w14:paraId="3A18A890"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6,584</w:t>
            </w:r>
          </w:p>
        </w:tc>
        <w:tc>
          <w:tcPr>
            <w:tcW w:w="992" w:type="dxa"/>
            <w:tcBorders>
              <w:bottom w:val="single" w:sz="4" w:space="0" w:color="000000"/>
            </w:tcBorders>
            <w:shd w:val="clear" w:color="auto" w:fill="auto"/>
            <w:tcMar>
              <w:top w:w="85" w:type="dxa"/>
              <w:left w:w="0" w:type="dxa"/>
              <w:bottom w:w="85" w:type="dxa"/>
              <w:right w:w="0" w:type="dxa"/>
            </w:tcMar>
            <w:vAlign w:val="center"/>
          </w:tcPr>
          <w:p w14:paraId="5F077A1F" w14:textId="4F016E86"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6,</w:t>
            </w:r>
            <w:r w:rsidR="00DF2522">
              <w:rPr>
                <w:rFonts w:ascii="Arial" w:eastAsia="Times New Roman" w:hAnsi="Arial" w:cs="Arial"/>
                <w:b/>
                <w:sz w:val="20"/>
                <w:szCs w:val="20"/>
                <w:lang w:val="en-GB" w:eastAsia="en-GB"/>
              </w:rPr>
              <w:t>978</w:t>
            </w:r>
          </w:p>
        </w:tc>
        <w:tc>
          <w:tcPr>
            <w:tcW w:w="850" w:type="dxa"/>
            <w:tcBorders>
              <w:bottom w:val="single" w:sz="4" w:space="0" w:color="000000"/>
            </w:tcBorders>
            <w:shd w:val="clear" w:color="auto" w:fill="auto"/>
            <w:tcMar>
              <w:top w:w="85" w:type="dxa"/>
              <w:left w:w="0" w:type="dxa"/>
              <w:bottom w:w="85" w:type="dxa"/>
              <w:right w:w="0" w:type="dxa"/>
            </w:tcMar>
            <w:vAlign w:val="center"/>
          </w:tcPr>
          <w:p w14:paraId="3CE4E0FC" w14:textId="3CE5540A" w:rsidR="00891B3A" w:rsidRPr="00DF2522"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DF2522">
              <w:rPr>
                <w:rFonts w:ascii="Arial" w:eastAsia="Times New Roman" w:hAnsi="Arial" w:cs="Arial"/>
                <w:b/>
                <w:sz w:val="20"/>
                <w:szCs w:val="20"/>
                <w:lang w:val="en-GB" w:eastAsia="en-GB"/>
              </w:rPr>
              <w:t>13,</w:t>
            </w:r>
            <w:r w:rsidR="00DF2522" w:rsidRPr="00DF2522">
              <w:rPr>
                <w:rFonts w:ascii="Arial" w:eastAsia="Times New Roman" w:hAnsi="Arial" w:cs="Arial"/>
                <w:b/>
                <w:sz w:val="20"/>
                <w:szCs w:val="20"/>
                <w:lang w:val="en-GB" w:eastAsia="en-GB"/>
              </w:rPr>
              <w:t>562</w:t>
            </w:r>
          </w:p>
        </w:tc>
        <w:tc>
          <w:tcPr>
            <w:tcW w:w="284" w:type="dxa"/>
            <w:tcBorders>
              <w:bottom w:val="single" w:sz="4" w:space="0" w:color="000000"/>
            </w:tcBorders>
            <w:shd w:val="clear" w:color="auto" w:fill="auto"/>
            <w:tcMar>
              <w:top w:w="0" w:type="dxa"/>
              <w:left w:w="113" w:type="dxa"/>
              <w:bottom w:w="0" w:type="dxa"/>
              <w:right w:w="0" w:type="dxa"/>
            </w:tcMar>
            <w:vAlign w:val="center"/>
          </w:tcPr>
          <w:p w14:paraId="339808B3"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sz w:val="20"/>
                <w:szCs w:val="20"/>
                <w:lang w:val="en-GB" w:eastAsia="en-GB"/>
              </w:rPr>
            </w:pPr>
          </w:p>
        </w:tc>
        <w:tc>
          <w:tcPr>
            <w:tcW w:w="850" w:type="dxa"/>
            <w:tcBorders>
              <w:bottom w:val="single" w:sz="4" w:space="0" w:color="000000"/>
            </w:tcBorders>
            <w:shd w:val="clear" w:color="auto" w:fill="auto"/>
            <w:tcMar>
              <w:top w:w="85" w:type="dxa"/>
              <w:left w:w="0" w:type="dxa"/>
              <w:bottom w:w="85" w:type="dxa"/>
              <w:right w:w="0" w:type="dxa"/>
            </w:tcMar>
            <w:vAlign w:val="center"/>
          </w:tcPr>
          <w:p w14:paraId="6A929D1B"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5,808</w:t>
            </w:r>
          </w:p>
        </w:tc>
        <w:tc>
          <w:tcPr>
            <w:tcW w:w="851" w:type="dxa"/>
            <w:tcBorders>
              <w:bottom w:val="single" w:sz="4" w:space="0" w:color="000000"/>
            </w:tcBorders>
            <w:shd w:val="clear" w:color="auto" w:fill="auto"/>
            <w:tcMar>
              <w:top w:w="85" w:type="dxa"/>
              <w:left w:w="0" w:type="dxa"/>
              <w:bottom w:w="85" w:type="dxa"/>
              <w:right w:w="0" w:type="dxa"/>
            </w:tcMar>
            <w:vAlign w:val="center"/>
          </w:tcPr>
          <w:p w14:paraId="15A20C19"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6,050</w:t>
            </w:r>
          </w:p>
        </w:tc>
        <w:tc>
          <w:tcPr>
            <w:tcW w:w="850" w:type="dxa"/>
            <w:tcBorders>
              <w:bottom w:val="single" w:sz="4" w:space="0" w:color="000000"/>
            </w:tcBorders>
            <w:shd w:val="clear" w:color="auto" w:fill="auto"/>
            <w:tcMar>
              <w:top w:w="85" w:type="dxa"/>
              <w:left w:w="0" w:type="dxa"/>
              <w:bottom w:w="85" w:type="dxa"/>
              <w:right w:w="0" w:type="dxa"/>
            </w:tcMar>
            <w:vAlign w:val="center"/>
          </w:tcPr>
          <w:p w14:paraId="04B6D528"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11,858</w:t>
            </w:r>
          </w:p>
        </w:tc>
      </w:tr>
      <w:tr w:rsidR="00891B3A" w:rsidRPr="00755BD6" w14:paraId="7AE6A66E" w14:textId="77777777" w:rsidTr="00891B3A">
        <w:trPr>
          <w:trHeight w:val="20"/>
        </w:trPr>
        <w:tc>
          <w:tcPr>
            <w:tcW w:w="2827" w:type="dxa"/>
            <w:tcBorders>
              <w:top w:val="single" w:sz="4" w:space="0" w:color="000000"/>
              <w:bottom w:val="single" w:sz="4" w:space="0" w:color="000000"/>
            </w:tcBorders>
            <w:shd w:val="clear" w:color="auto" w:fill="auto"/>
            <w:tcMar>
              <w:top w:w="85" w:type="dxa"/>
              <w:left w:w="0" w:type="dxa"/>
              <w:bottom w:w="85" w:type="dxa"/>
              <w:right w:w="0" w:type="dxa"/>
            </w:tcMar>
            <w:vAlign w:val="bottom"/>
          </w:tcPr>
          <w:p w14:paraId="4FC1B487" w14:textId="77777777" w:rsidR="00891B3A" w:rsidRPr="00AC0617" w:rsidRDefault="00891B3A" w:rsidP="00891B3A">
            <w:pPr>
              <w:shd w:val="clear" w:color="auto" w:fill="FFFFFF"/>
              <w:autoSpaceDE w:val="0"/>
              <w:spacing w:after="0" w:line="240" w:lineRule="auto"/>
              <w:jc w:val="both"/>
              <w:rPr>
                <w:rFonts w:ascii="Arial" w:eastAsia="Times New Roman" w:hAnsi="Arial" w:cs="Arial"/>
                <w:sz w:val="20"/>
                <w:szCs w:val="20"/>
                <w:lang w:val="en-GB" w:eastAsia="en-GB"/>
              </w:rPr>
            </w:pPr>
          </w:p>
        </w:tc>
        <w:tc>
          <w:tcPr>
            <w:tcW w:w="1556"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55378E4F"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 xml:space="preserve">7,346  </w:t>
            </w:r>
          </w:p>
        </w:tc>
        <w:tc>
          <w:tcPr>
            <w:tcW w:w="992"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4F5B62C9"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14,069</w:t>
            </w:r>
          </w:p>
        </w:tc>
        <w:tc>
          <w:tcPr>
            <w:tcW w:w="850"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7FE99D0C" w14:textId="5715148C" w:rsidR="00891B3A" w:rsidRPr="00DF2522"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
                <w:sz w:val="20"/>
                <w:szCs w:val="20"/>
                <w:lang w:val="en-GB" w:eastAsia="en-GB"/>
              </w:rPr>
            </w:pPr>
            <w:r w:rsidRPr="00DF2522">
              <w:rPr>
                <w:rFonts w:ascii="Arial" w:eastAsia="Times New Roman" w:hAnsi="Arial" w:cs="Arial"/>
                <w:b/>
                <w:sz w:val="20"/>
                <w:szCs w:val="20"/>
                <w:lang w:val="en-GB" w:eastAsia="en-GB"/>
              </w:rPr>
              <w:t>21,</w:t>
            </w:r>
            <w:r w:rsidR="00DF2522" w:rsidRPr="00DF2522">
              <w:rPr>
                <w:rFonts w:ascii="Arial" w:eastAsia="Times New Roman" w:hAnsi="Arial" w:cs="Arial"/>
                <w:b/>
                <w:sz w:val="20"/>
                <w:szCs w:val="20"/>
                <w:lang w:val="en-GB" w:eastAsia="en-GB"/>
              </w:rPr>
              <w:t>415</w:t>
            </w:r>
          </w:p>
        </w:tc>
        <w:tc>
          <w:tcPr>
            <w:tcW w:w="284" w:type="dxa"/>
            <w:tcBorders>
              <w:top w:val="single" w:sz="4" w:space="0" w:color="000000"/>
              <w:bottom w:val="single" w:sz="4" w:space="0" w:color="000000"/>
            </w:tcBorders>
            <w:shd w:val="clear" w:color="auto" w:fill="auto"/>
            <w:tcMar>
              <w:top w:w="0" w:type="dxa"/>
              <w:left w:w="113" w:type="dxa"/>
              <w:bottom w:w="0" w:type="dxa"/>
              <w:right w:w="0" w:type="dxa"/>
            </w:tcMar>
            <w:vAlign w:val="center"/>
          </w:tcPr>
          <w:p w14:paraId="403AC201"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sz w:val="20"/>
                <w:szCs w:val="20"/>
                <w:lang w:val="en-GB" w:eastAsia="en-GB"/>
              </w:rPr>
            </w:pPr>
          </w:p>
        </w:tc>
        <w:tc>
          <w:tcPr>
            <w:tcW w:w="850"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293188E4"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7,153</w:t>
            </w:r>
          </w:p>
        </w:tc>
        <w:tc>
          <w:tcPr>
            <w:tcW w:w="851"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6C5D5536"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15,040</w:t>
            </w:r>
          </w:p>
        </w:tc>
        <w:tc>
          <w:tcPr>
            <w:tcW w:w="850" w:type="dxa"/>
            <w:tcBorders>
              <w:top w:val="single" w:sz="4" w:space="0" w:color="000000"/>
              <w:bottom w:val="single" w:sz="4" w:space="0" w:color="000000"/>
            </w:tcBorders>
            <w:shd w:val="clear" w:color="auto" w:fill="auto"/>
            <w:tcMar>
              <w:top w:w="85" w:type="dxa"/>
              <w:left w:w="0" w:type="dxa"/>
              <w:bottom w:w="85" w:type="dxa"/>
              <w:right w:w="0" w:type="dxa"/>
            </w:tcMar>
            <w:vAlign w:val="center"/>
          </w:tcPr>
          <w:p w14:paraId="539AF645" w14:textId="77777777" w:rsidR="00891B3A" w:rsidRPr="00AC0617" w:rsidRDefault="00891B3A" w:rsidP="00891B3A">
            <w:pPr>
              <w:shd w:val="clear" w:color="auto" w:fill="FFFFFF"/>
              <w:tabs>
                <w:tab w:val="left" w:pos="1134"/>
              </w:tabs>
              <w:autoSpaceDE w:val="0"/>
              <w:spacing w:after="0" w:line="240" w:lineRule="auto"/>
              <w:ind w:right="144"/>
              <w:jc w:val="right"/>
              <w:textAlignment w:val="center"/>
              <w:rPr>
                <w:rFonts w:ascii="Arial" w:eastAsia="Times New Roman" w:hAnsi="Arial" w:cs="Arial"/>
                <w:bCs/>
                <w:sz w:val="20"/>
                <w:szCs w:val="20"/>
                <w:lang w:val="en-GB" w:eastAsia="en-GB"/>
              </w:rPr>
            </w:pPr>
            <w:r w:rsidRPr="00AC0617">
              <w:rPr>
                <w:rFonts w:ascii="Arial" w:eastAsia="Times New Roman" w:hAnsi="Arial" w:cs="Arial"/>
                <w:bCs/>
                <w:sz w:val="20"/>
                <w:szCs w:val="20"/>
                <w:lang w:val="en-GB" w:eastAsia="en-GB"/>
              </w:rPr>
              <w:t>22,193</w:t>
            </w:r>
          </w:p>
        </w:tc>
      </w:tr>
      <w:tr w:rsidR="00891B3A" w:rsidRPr="00755BD6" w14:paraId="55304CB4" w14:textId="77777777" w:rsidTr="00891B3A">
        <w:trPr>
          <w:trHeight w:val="189"/>
        </w:trPr>
        <w:tc>
          <w:tcPr>
            <w:tcW w:w="2827" w:type="dxa"/>
            <w:tcBorders>
              <w:top w:val="single" w:sz="4" w:space="0" w:color="000000"/>
            </w:tcBorders>
            <w:shd w:val="clear" w:color="auto" w:fill="auto"/>
            <w:tcMar>
              <w:top w:w="85" w:type="dxa"/>
              <w:left w:w="0" w:type="dxa"/>
              <w:bottom w:w="85" w:type="dxa"/>
              <w:right w:w="0" w:type="dxa"/>
            </w:tcMar>
            <w:vAlign w:val="bottom"/>
          </w:tcPr>
          <w:p w14:paraId="7D8BC357" w14:textId="77777777" w:rsidR="00891B3A" w:rsidRPr="00AC0617" w:rsidRDefault="00891B3A" w:rsidP="00891B3A">
            <w:pPr>
              <w:shd w:val="clear" w:color="auto" w:fill="FFFFFF"/>
              <w:autoSpaceDE w:val="0"/>
              <w:spacing w:after="0" w:line="240" w:lineRule="auto"/>
              <w:jc w:val="both"/>
              <w:rPr>
                <w:rFonts w:ascii="Arial" w:eastAsia="Times New Roman" w:hAnsi="Arial" w:cs="Arial"/>
                <w:sz w:val="20"/>
                <w:szCs w:val="20"/>
                <w:lang w:val="en-GB" w:eastAsia="en-GB"/>
              </w:rPr>
            </w:pPr>
          </w:p>
        </w:tc>
        <w:tc>
          <w:tcPr>
            <w:tcW w:w="1556" w:type="dxa"/>
            <w:tcBorders>
              <w:top w:val="single" w:sz="4" w:space="0" w:color="000000"/>
            </w:tcBorders>
            <w:shd w:val="clear" w:color="auto" w:fill="auto"/>
            <w:tcMar>
              <w:top w:w="85" w:type="dxa"/>
              <w:left w:w="0" w:type="dxa"/>
              <w:bottom w:w="85" w:type="dxa"/>
              <w:right w:w="0" w:type="dxa"/>
            </w:tcMar>
            <w:vAlign w:val="center"/>
          </w:tcPr>
          <w:p w14:paraId="75D1EAB2" w14:textId="77777777" w:rsidR="00891B3A" w:rsidRPr="00AC0617" w:rsidRDefault="00891B3A" w:rsidP="00891B3A">
            <w:pPr>
              <w:shd w:val="clear" w:color="auto" w:fill="FFFFFF"/>
              <w:tabs>
                <w:tab w:val="left" w:pos="1134"/>
              </w:tabs>
              <w:autoSpaceDE w:val="0"/>
              <w:spacing w:after="0" w:line="240" w:lineRule="auto"/>
              <w:ind w:right="144"/>
              <w:jc w:val="both"/>
              <w:textAlignment w:val="center"/>
              <w:rPr>
                <w:rFonts w:ascii="Arial" w:eastAsia="Times New Roman" w:hAnsi="Arial" w:cs="Arial"/>
                <w:b/>
                <w:sz w:val="20"/>
                <w:szCs w:val="20"/>
                <w:lang w:val="en-GB" w:eastAsia="en-GB"/>
              </w:rPr>
            </w:pPr>
          </w:p>
        </w:tc>
        <w:tc>
          <w:tcPr>
            <w:tcW w:w="992" w:type="dxa"/>
            <w:tcBorders>
              <w:top w:val="single" w:sz="4" w:space="0" w:color="000000"/>
            </w:tcBorders>
            <w:shd w:val="clear" w:color="auto" w:fill="auto"/>
            <w:tcMar>
              <w:top w:w="85" w:type="dxa"/>
              <w:left w:w="0" w:type="dxa"/>
              <w:bottom w:w="85" w:type="dxa"/>
              <w:right w:w="0" w:type="dxa"/>
            </w:tcMar>
            <w:vAlign w:val="center"/>
          </w:tcPr>
          <w:p w14:paraId="1125A5E1" w14:textId="77777777" w:rsidR="00891B3A" w:rsidRPr="00AC0617" w:rsidRDefault="00891B3A" w:rsidP="00891B3A">
            <w:pPr>
              <w:shd w:val="clear" w:color="auto" w:fill="FFFFFF"/>
              <w:tabs>
                <w:tab w:val="left" w:pos="1134"/>
              </w:tabs>
              <w:autoSpaceDE w:val="0"/>
              <w:spacing w:after="0" w:line="240" w:lineRule="auto"/>
              <w:ind w:right="144"/>
              <w:jc w:val="both"/>
              <w:textAlignment w:val="center"/>
              <w:rPr>
                <w:rFonts w:ascii="Arial" w:eastAsia="Times New Roman" w:hAnsi="Arial" w:cs="Arial"/>
                <w:b/>
                <w:sz w:val="20"/>
                <w:szCs w:val="20"/>
                <w:lang w:val="en-GB" w:eastAsia="en-GB"/>
              </w:rPr>
            </w:pPr>
          </w:p>
        </w:tc>
        <w:tc>
          <w:tcPr>
            <w:tcW w:w="850" w:type="dxa"/>
            <w:tcBorders>
              <w:top w:val="single" w:sz="4" w:space="0" w:color="000000"/>
            </w:tcBorders>
            <w:shd w:val="clear" w:color="auto" w:fill="auto"/>
            <w:tcMar>
              <w:top w:w="85" w:type="dxa"/>
              <w:left w:w="0" w:type="dxa"/>
              <w:bottom w:w="85" w:type="dxa"/>
              <w:right w:w="0" w:type="dxa"/>
            </w:tcMar>
            <w:vAlign w:val="center"/>
          </w:tcPr>
          <w:p w14:paraId="6C595BE9" w14:textId="77777777" w:rsidR="00891B3A" w:rsidRPr="00AC0617" w:rsidRDefault="00891B3A" w:rsidP="00891B3A">
            <w:pPr>
              <w:shd w:val="clear" w:color="auto" w:fill="FFFFFF"/>
              <w:tabs>
                <w:tab w:val="left" w:pos="1134"/>
              </w:tabs>
              <w:autoSpaceDE w:val="0"/>
              <w:spacing w:after="0" w:line="240" w:lineRule="auto"/>
              <w:ind w:right="144"/>
              <w:jc w:val="both"/>
              <w:textAlignment w:val="center"/>
              <w:rPr>
                <w:rFonts w:ascii="Arial" w:eastAsia="Times New Roman" w:hAnsi="Arial" w:cs="Arial"/>
                <w:b/>
                <w:sz w:val="20"/>
                <w:szCs w:val="20"/>
                <w:lang w:val="en-GB" w:eastAsia="en-GB"/>
              </w:rPr>
            </w:pPr>
          </w:p>
        </w:tc>
        <w:tc>
          <w:tcPr>
            <w:tcW w:w="284" w:type="dxa"/>
            <w:tcBorders>
              <w:top w:val="single" w:sz="4" w:space="0" w:color="000000"/>
            </w:tcBorders>
            <w:shd w:val="clear" w:color="auto" w:fill="auto"/>
            <w:tcMar>
              <w:top w:w="0" w:type="dxa"/>
              <w:left w:w="113" w:type="dxa"/>
              <w:bottom w:w="0" w:type="dxa"/>
              <w:right w:w="0" w:type="dxa"/>
            </w:tcMar>
            <w:vAlign w:val="center"/>
          </w:tcPr>
          <w:p w14:paraId="3B27FC2C" w14:textId="77777777" w:rsidR="00891B3A" w:rsidRPr="00AC0617" w:rsidRDefault="00891B3A" w:rsidP="00891B3A">
            <w:pPr>
              <w:shd w:val="clear" w:color="auto" w:fill="FFFFFF"/>
              <w:tabs>
                <w:tab w:val="left" w:pos="1134"/>
              </w:tabs>
              <w:autoSpaceDE w:val="0"/>
              <w:spacing w:after="0" w:line="240" w:lineRule="auto"/>
              <w:ind w:right="144"/>
              <w:jc w:val="both"/>
              <w:textAlignment w:val="center"/>
              <w:rPr>
                <w:rFonts w:ascii="Arial" w:eastAsia="Times New Roman" w:hAnsi="Arial" w:cs="Arial"/>
                <w:sz w:val="20"/>
                <w:szCs w:val="20"/>
                <w:lang w:val="en-GB" w:eastAsia="en-GB"/>
              </w:rPr>
            </w:pPr>
          </w:p>
        </w:tc>
        <w:tc>
          <w:tcPr>
            <w:tcW w:w="850" w:type="dxa"/>
            <w:tcBorders>
              <w:top w:val="single" w:sz="4" w:space="0" w:color="000000"/>
            </w:tcBorders>
            <w:shd w:val="clear" w:color="auto" w:fill="auto"/>
            <w:tcMar>
              <w:top w:w="85" w:type="dxa"/>
              <w:left w:w="0" w:type="dxa"/>
              <w:bottom w:w="85" w:type="dxa"/>
              <w:right w:w="0" w:type="dxa"/>
            </w:tcMar>
            <w:vAlign w:val="center"/>
          </w:tcPr>
          <w:p w14:paraId="0801E7A6" w14:textId="77777777" w:rsidR="00891B3A" w:rsidRPr="00AC0617" w:rsidRDefault="00891B3A" w:rsidP="00891B3A">
            <w:pPr>
              <w:shd w:val="clear" w:color="auto" w:fill="FFFFFF"/>
              <w:tabs>
                <w:tab w:val="left" w:pos="1134"/>
              </w:tabs>
              <w:autoSpaceDE w:val="0"/>
              <w:spacing w:after="0" w:line="240" w:lineRule="auto"/>
              <w:ind w:right="144"/>
              <w:jc w:val="both"/>
              <w:textAlignment w:val="center"/>
              <w:rPr>
                <w:rFonts w:ascii="Arial" w:eastAsia="Times New Roman" w:hAnsi="Arial" w:cs="Arial"/>
                <w:b/>
                <w:sz w:val="20"/>
                <w:szCs w:val="20"/>
                <w:lang w:val="en-GB" w:eastAsia="en-GB"/>
              </w:rPr>
            </w:pPr>
          </w:p>
        </w:tc>
        <w:tc>
          <w:tcPr>
            <w:tcW w:w="851" w:type="dxa"/>
            <w:tcBorders>
              <w:top w:val="single" w:sz="4" w:space="0" w:color="000000"/>
            </w:tcBorders>
            <w:shd w:val="clear" w:color="auto" w:fill="auto"/>
            <w:tcMar>
              <w:top w:w="85" w:type="dxa"/>
              <w:left w:w="0" w:type="dxa"/>
              <w:bottom w:w="85" w:type="dxa"/>
              <w:right w:w="0" w:type="dxa"/>
            </w:tcMar>
            <w:vAlign w:val="center"/>
          </w:tcPr>
          <w:p w14:paraId="4C207F9B" w14:textId="77777777" w:rsidR="00891B3A" w:rsidRPr="00AC0617" w:rsidRDefault="00891B3A" w:rsidP="00891B3A">
            <w:pPr>
              <w:shd w:val="clear" w:color="auto" w:fill="FFFFFF"/>
              <w:tabs>
                <w:tab w:val="left" w:pos="1134"/>
              </w:tabs>
              <w:autoSpaceDE w:val="0"/>
              <w:spacing w:after="0" w:line="240" w:lineRule="auto"/>
              <w:ind w:right="144"/>
              <w:jc w:val="both"/>
              <w:textAlignment w:val="center"/>
              <w:rPr>
                <w:rFonts w:ascii="Arial" w:eastAsia="Times New Roman" w:hAnsi="Arial" w:cs="Arial"/>
                <w:b/>
                <w:sz w:val="20"/>
                <w:szCs w:val="20"/>
                <w:lang w:val="en-GB" w:eastAsia="en-GB"/>
              </w:rPr>
            </w:pPr>
          </w:p>
        </w:tc>
        <w:tc>
          <w:tcPr>
            <w:tcW w:w="850" w:type="dxa"/>
            <w:tcBorders>
              <w:top w:val="single" w:sz="4" w:space="0" w:color="000000"/>
            </w:tcBorders>
            <w:shd w:val="clear" w:color="auto" w:fill="auto"/>
            <w:tcMar>
              <w:top w:w="85" w:type="dxa"/>
              <w:left w:w="0" w:type="dxa"/>
              <w:bottom w:w="85" w:type="dxa"/>
              <w:right w:w="0" w:type="dxa"/>
            </w:tcMar>
            <w:vAlign w:val="center"/>
          </w:tcPr>
          <w:p w14:paraId="15CC2EE9" w14:textId="77777777" w:rsidR="00891B3A" w:rsidRPr="00AC0617" w:rsidRDefault="00891B3A" w:rsidP="00891B3A">
            <w:pPr>
              <w:shd w:val="clear" w:color="auto" w:fill="FFFFFF"/>
              <w:tabs>
                <w:tab w:val="left" w:pos="1134"/>
              </w:tabs>
              <w:autoSpaceDE w:val="0"/>
              <w:spacing w:after="0" w:line="240" w:lineRule="auto"/>
              <w:ind w:right="144"/>
              <w:jc w:val="both"/>
              <w:textAlignment w:val="center"/>
              <w:rPr>
                <w:rFonts w:ascii="Arial" w:eastAsia="Times New Roman" w:hAnsi="Arial" w:cs="Arial"/>
                <w:b/>
                <w:sz w:val="20"/>
                <w:szCs w:val="20"/>
                <w:lang w:val="en-GB" w:eastAsia="en-GB"/>
              </w:rPr>
            </w:pPr>
          </w:p>
        </w:tc>
      </w:tr>
    </w:tbl>
    <w:p w14:paraId="38FB67BD" w14:textId="77777777" w:rsidR="00891B3A" w:rsidRPr="00AC0617" w:rsidRDefault="00891B3A" w:rsidP="00016656">
      <w:pPr>
        <w:widowControl/>
        <w:spacing w:after="0"/>
        <w:jc w:val="both"/>
        <w:rPr>
          <w:rFonts w:ascii="Arial" w:eastAsia="Times New Roman" w:hAnsi="Arial" w:cs="Arial"/>
          <w:b/>
          <w:bCs/>
          <w:iCs/>
          <w:lang w:val="en-GB" w:eastAsia="en-GB"/>
        </w:rPr>
      </w:pPr>
      <w:r w:rsidRPr="00AC0617">
        <w:rPr>
          <w:rFonts w:ascii="Arial" w:eastAsia="Times New Roman" w:hAnsi="Arial" w:cs="Arial"/>
          <w:b/>
          <w:bCs/>
          <w:iCs/>
          <w:lang w:val="en-GB" w:eastAsia="en-GB"/>
        </w:rPr>
        <w:t>Basis of valuation:</w:t>
      </w:r>
    </w:p>
    <w:p w14:paraId="1FC7890A" w14:textId="77777777" w:rsidR="00891B3A" w:rsidRPr="00AC0617" w:rsidRDefault="00891B3A" w:rsidP="00016656">
      <w:pPr>
        <w:widowControl/>
        <w:spacing w:after="0" w:line="240" w:lineRule="auto"/>
        <w:jc w:val="both"/>
        <w:rPr>
          <w:rFonts w:ascii="Arial" w:eastAsia="Times New Roman" w:hAnsi="Arial" w:cs="Arial"/>
          <w:b/>
          <w:bCs/>
          <w:iCs/>
          <w:lang w:val="en-GB" w:eastAsia="en-GB"/>
        </w:rPr>
      </w:pPr>
    </w:p>
    <w:p w14:paraId="44E11422" w14:textId="77777777" w:rsidR="00891B3A" w:rsidRPr="00AC0617" w:rsidRDefault="00891B3A" w:rsidP="00016656">
      <w:pPr>
        <w:widowControl/>
        <w:spacing w:after="0"/>
        <w:jc w:val="both"/>
        <w:rPr>
          <w:rFonts w:ascii="Arial" w:eastAsia="Times New Roman" w:hAnsi="Arial" w:cs="Arial"/>
          <w:b/>
          <w:bCs/>
          <w:i/>
          <w:lang w:val="en-GB" w:eastAsia="en-GB"/>
        </w:rPr>
      </w:pPr>
      <w:r w:rsidRPr="00AC0617">
        <w:rPr>
          <w:rFonts w:ascii="Arial" w:eastAsia="Times New Roman" w:hAnsi="Arial" w:cs="Arial"/>
          <w:b/>
          <w:bCs/>
          <w:i/>
          <w:lang w:val="en-GB" w:eastAsia="en-GB"/>
        </w:rPr>
        <w:t>Quoted investments</w:t>
      </w:r>
    </w:p>
    <w:p w14:paraId="09CE2B7B" w14:textId="641C80EE" w:rsidR="00891B3A" w:rsidRPr="00AC0617" w:rsidRDefault="00891B3A" w:rsidP="00016656">
      <w:pPr>
        <w:spacing w:after="0"/>
        <w:jc w:val="both"/>
        <w:rPr>
          <w:rFonts w:ascii="Arial" w:eastAsia="Georgia" w:hAnsi="Arial" w:cs="Arial"/>
        </w:rPr>
      </w:pPr>
      <w:r w:rsidRPr="00AC0617">
        <w:rPr>
          <w:rFonts w:ascii="Arial" w:eastAsia="Georgia" w:hAnsi="Arial" w:cs="Arial"/>
        </w:rPr>
        <w:t>Quoted investments for which an active market exists are valued at the bid price at the reporting date.</w:t>
      </w:r>
    </w:p>
    <w:p w14:paraId="4566B9F7" w14:textId="77777777" w:rsidR="00891B3A" w:rsidRPr="00AC0617" w:rsidRDefault="00891B3A" w:rsidP="00016656">
      <w:pPr>
        <w:pStyle w:val="NoSpacing"/>
        <w:jc w:val="both"/>
        <w:rPr>
          <w:rFonts w:ascii="Arial" w:hAnsi="Arial" w:cs="Arial"/>
        </w:rPr>
      </w:pPr>
    </w:p>
    <w:p w14:paraId="10F91FFC" w14:textId="77777777" w:rsidR="00891B3A" w:rsidRPr="00AC0617" w:rsidRDefault="00891B3A" w:rsidP="00016656">
      <w:pPr>
        <w:widowControl/>
        <w:spacing w:after="0"/>
        <w:jc w:val="both"/>
        <w:rPr>
          <w:rFonts w:ascii="Arial" w:eastAsia="Times New Roman" w:hAnsi="Arial" w:cs="Arial"/>
          <w:b/>
          <w:bCs/>
          <w:i/>
          <w:lang w:val="en-GB" w:eastAsia="en-GB"/>
        </w:rPr>
      </w:pPr>
      <w:r w:rsidRPr="00AC0617">
        <w:rPr>
          <w:rFonts w:ascii="Arial" w:eastAsia="Times New Roman" w:hAnsi="Arial" w:cs="Arial"/>
          <w:b/>
          <w:bCs/>
          <w:i/>
          <w:lang w:val="en-GB" w:eastAsia="en-GB"/>
        </w:rPr>
        <w:t>Unquoted direct investments</w:t>
      </w:r>
    </w:p>
    <w:p w14:paraId="404CC590" w14:textId="77777777" w:rsidR="00891B3A" w:rsidRPr="00AC0617" w:rsidRDefault="00891B3A" w:rsidP="00016656">
      <w:pPr>
        <w:spacing w:after="0"/>
        <w:jc w:val="both"/>
        <w:rPr>
          <w:rFonts w:ascii="Arial" w:eastAsia="Georgia" w:hAnsi="Arial" w:cs="Arial"/>
        </w:rPr>
      </w:pPr>
      <w:r w:rsidRPr="00AC0617">
        <w:rPr>
          <w:rFonts w:ascii="Arial" w:eastAsia="Georgia" w:hAnsi="Arial" w:cs="Arial"/>
        </w:rPr>
        <w:t>Unquoted direct investments for which there is no ready market are valued using the most appropriate valuation technique with regard to the stage and nature of the investment. Valuation methods that may be used include:</w:t>
      </w:r>
    </w:p>
    <w:p w14:paraId="5C43F5EF" w14:textId="656258C3" w:rsidR="00891B3A" w:rsidRPr="00AC0617" w:rsidRDefault="00891B3A" w:rsidP="00016656">
      <w:pPr>
        <w:pStyle w:val="ListParagraph"/>
        <w:widowControl/>
        <w:numPr>
          <w:ilvl w:val="0"/>
          <w:numId w:val="11"/>
        </w:numPr>
        <w:suppressAutoHyphens w:val="0"/>
        <w:autoSpaceDN/>
        <w:spacing w:after="0"/>
        <w:contextualSpacing/>
        <w:jc w:val="both"/>
        <w:textAlignment w:val="auto"/>
        <w:rPr>
          <w:rFonts w:ascii="Arial" w:eastAsia="Georgia" w:hAnsi="Arial" w:cs="Arial"/>
        </w:rPr>
      </w:pPr>
      <w:r w:rsidRPr="00AC0617">
        <w:rPr>
          <w:rFonts w:ascii="Arial" w:eastAsia="Georgia" w:hAnsi="Arial" w:cs="Arial"/>
        </w:rPr>
        <w:t xml:space="preserve">investments in an established business are valued using revenue or earnings multiples depending on the stage of development of the business and the extent to which it is generating sustainable revenue or </w:t>
      </w:r>
      <w:r w:rsidR="00036A2E">
        <w:rPr>
          <w:rFonts w:ascii="Arial" w:eastAsia="Georgia" w:hAnsi="Arial" w:cs="Arial"/>
        </w:rPr>
        <w:t>earnings</w:t>
      </w:r>
      <w:r w:rsidRPr="00AC0617">
        <w:rPr>
          <w:rFonts w:ascii="Arial" w:eastAsia="Georgia" w:hAnsi="Arial" w:cs="Arial"/>
        </w:rPr>
        <w:t>;</w:t>
      </w:r>
    </w:p>
    <w:p w14:paraId="363EBCBF" w14:textId="77777777" w:rsidR="00891B3A" w:rsidRPr="00AC0617" w:rsidRDefault="00891B3A" w:rsidP="00016656">
      <w:pPr>
        <w:pStyle w:val="ListParagraph"/>
        <w:widowControl/>
        <w:numPr>
          <w:ilvl w:val="0"/>
          <w:numId w:val="11"/>
        </w:numPr>
        <w:suppressAutoHyphens w:val="0"/>
        <w:autoSpaceDN/>
        <w:spacing w:after="0"/>
        <w:contextualSpacing/>
        <w:jc w:val="both"/>
        <w:textAlignment w:val="auto"/>
        <w:rPr>
          <w:rFonts w:ascii="Arial" w:eastAsia="Georgia" w:hAnsi="Arial" w:cs="Arial"/>
        </w:rPr>
      </w:pPr>
      <w:r w:rsidRPr="00AC0617">
        <w:rPr>
          <w:rFonts w:ascii="Arial" w:eastAsia="Georgia" w:hAnsi="Arial" w:cs="Arial"/>
        </w:rPr>
        <w:t xml:space="preserve">investments in a business the value of which is derived mainly from its underlying net assets rather than its earnings are valued on the basis of net asset valuation; </w:t>
      </w:r>
    </w:p>
    <w:p w14:paraId="6F60486B" w14:textId="58515925" w:rsidR="00C0207D" w:rsidRPr="00943F4C" w:rsidRDefault="00891B3A" w:rsidP="00E971B0">
      <w:pPr>
        <w:pStyle w:val="ListParagraph"/>
        <w:widowControl/>
        <w:numPr>
          <w:ilvl w:val="0"/>
          <w:numId w:val="11"/>
        </w:numPr>
        <w:suppressAutoHyphens w:val="0"/>
        <w:autoSpaceDN/>
        <w:spacing w:after="0"/>
        <w:contextualSpacing/>
        <w:jc w:val="both"/>
        <w:textAlignment w:val="auto"/>
        <w:rPr>
          <w:rFonts w:ascii="Arial" w:eastAsia="Georgia" w:hAnsi="Arial" w:cs="Arial"/>
        </w:rPr>
      </w:pPr>
      <w:r w:rsidRPr="00AC0617">
        <w:rPr>
          <w:rFonts w:ascii="Arial" w:eastAsia="Georgia" w:hAnsi="Arial" w:cs="Arial"/>
        </w:rPr>
        <w:t xml:space="preserve">investments in an established business which is generating sustainable revenue or positive </w:t>
      </w:r>
      <w:r w:rsidR="00036A2E">
        <w:rPr>
          <w:rFonts w:ascii="Arial" w:eastAsia="Georgia" w:hAnsi="Arial" w:cs="Arial"/>
        </w:rPr>
        <w:t>earnings</w:t>
      </w:r>
      <w:r w:rsidRPr="00AC0617">
        <w:rPr>
          <w:rFonts w:ascii="Arial" w:eastAsia="Georgia" w:hAnsi="Arial" w:cs="Arial"/>
        </w:rPr>
        <w:t xml:space="preserve"> but for which other valuation methods are not appropriate are valued by calculating the discounted cash flow of future cash flows or earnings;</w:t>
      </w:r>
    </w:p>
    <w:p w14:paraId="4E52266C" w14:textId="5FAB9746" w:rsidR="00891B3A" w:rsidRPr="008D4734" w:rsidRDefault="00891B3A" w:rsidP="00016656">
      <w:pPr>
        <w:pStyle w:val="ListParagraph"/>
        <w:numPr>
          <w:ilvl w:val="0"/>
          <w:numId w:val="11"/>
        </w:numPr>
        <w:suppressAutoHyphens w:val="0"/>
        <w:autoSpaceDN/>
        <w:spacing w:after="0"/>
        <w:contextualSpacing/>
        <w:jc w:val="both"/>
        <w:textAlignment w:val="auto"/>
        <w:rPr>
          <w:rFonts w:ascii="Arial" w:eastAsia="Georgia" w:hAnsi="Arial" w:cs="Arial"/>
        </w:rPr>
      </w:pPr>
      <w:r w:rsidRPr="00AC0617">
        <w:rPr>
          <w:rFonts w:ascii="Arial" w:hAnsi="Arial" w:cs="Arial"/>
        </w:rPr>
        <w:t xml:space="preserve">investments in debt instruments or loan notes are determined on a standalone basis, with the initial investment recorded at the price of the transaction and subsequent adjustments to the valuation are considered for changes in credit risk or market rates. Convertible instruments are valued by disaggregating the convertible feature from the debt instrument and valuing it using a Black-Scholes model; </w:t>
      </w:r>
    </w:p>
    <w:p w14:paraId="6CBF7564" w14:textId="4FBEF743" w:rsidR="008D4734" w:rsidRPr="00210941" w:rsidRDefault="008D4734" w:rsidP="00016656">
      <w:pPr>
        <w:pStyle w:val="ListParagraph"/>
        <w:numPr>
          <w:ilvl w:val="0"/>
          <w:numId w:val="11"/>
        </w:numPr>
        <w:suppressAutoHyphens w:val="0"/>
        <w:autoSpaceDN/>
        <w:spacing w:after="0"/>
        <w:contextualSpacing/>
        <w:jc w:val="both"/>
        <w:textAlignment w:val="auto"/>
        <w:rPr>
          <w:rFonts w:ascii="Arial" w:eastAsia="Georgia" w:hAnsi="Arial" w:cs="Arial"/>
        </w:rPr>
      </w:pPr>
      <w:r w:rsidRPr="008D4734">
        <w:rPr>
          <w:rFonts w:ascii="Arial" w:eastAsia="Georgia" w:hAnsi="Arial" w:cs="Arial"/>
        </w:rPr>
        <w:t>Preference shares are valued at cost</w:t>
      </w:r>
      <w:r w:rsidR="00C22632">
        <w:rPr>
          <w:rFonts w:ascii="Arial" w:eastAsia="Georgia" w:hAnsi="Arial" w:cs="Arial"/>
        </w:rPr>
        <w:t xml:space="preserve"> </w:t>
      </w:r>
      <w:r w:rsidRPr="008D4734">
        <w:rPr>
          <w:rFonts w:ascii="Arial" w:eastAsia="Georgia" w:hAnsi="Arial" w:cs="Arial"/>
        </w:rPr>
        <w:t>and using a different fair value methodology would not result in a material difference</w:t>
      </w:r>
      <w:r w:rsidR="00446FC1">
        <w:rPr>
          <w:rFonts w:ascii="Arial" w:eastAsia="Georgia" w:hAnsi="Arial" w:cs="Arial"/>
        </w:rPr>
        <w:t>;</w:t>
      </w:r>
      <w:r w:rsidR="00446FC1" w:rsidRPr="00446FC1">
        <w:rPr>
          <w:rFonts w:ascii="Arial" w:hAnsi="Arial" w:cs="Arial"/>
        </w:rPr>
        <w:t xml:space="preserve"> </w:t>
      </w:r>
      <w:r w:rsidR="00446FC1" w:rsidRPr="00AC0617">
        <w:rPr>
          <w:rFonts w:ascii="Arial" w:hAnsi="Arial" w:cs="Arial"/>
        </w:rPr>
        <w:t>and</w:t>
      </w:r>
    </w:p>
    <w:p w14:paraId="4098D427" w14:textId="7AE2E848" w:rsidR="00891B3A" w:rsidRPr="00AC0617" w:rsidRDefault="00891B3A" w:rsidP="00016656">
      <w:pPr>
        <w:pStyle w:val="ListParagraph"/>
        <w:numPr>
          <w:ilvl w:val="0"/>
          <w:numId w:val="11"/>
        </w:numPr>
        <w:suppressAutoHyphens w:val="0"/>
        <w:autoSpaceDN/>
        <w:spacing w:after="0"/>
        <w:contextualSpacing/>
        <w:jc w:val="both"/>
        <w:textAlignment w:val="auto"/>
        <w:rPr>
          <w:rFonts w:ascii="Arial" w:eastAsia="Georgia" w:hAnsi="Arial" w:cs="Arial"/>
        </w:rPr>
      </w:pPr>
      <w:r w:rsidRPr="00AC0617">
        <w:rPr>
          <w:rFonts w:ascii="Arial" w:eastAsia="Georgia" w:hAnsi="Arial" w:cs="Arial"/>
        </w:rPr>
        <w:t>the Company</w:t>
      </w:r>
      <w:r w:rsidR="00210941">
        <w:rPr>
          <w:rFonts w:ascii="Arial" w:eastAsia="Georgia" w:hAnsi="Arial" w:cs="Arial"/>
        </w:rPr>
        <w:t xml:space="preserve"> </w:t>
      </w:r>
      <w:r w:rsidR="00210941" w:rsidRPr="00210941">
        <w:rPr>
          <w:rFonts w:ascii="Arial" w:eastAsia="Georgia" w:hAnsi="Arial" w:cs="Arial"/>
          <w:lang w:val="en-GB"/>
        </w:rPr>
        <w:t xml:space="preserve">adopted the latest IPEV guidelines effective from </w:t>
      </w:r>
      <w:r w:rsidR="00210941">
        <w:rPr>
          <w:rFonts w:ascii="Arial" w:eastAsia="Georgia" w:hAnsi="Arial" w:cs="Arial"/>
          <w:lang w:val="en-GB"/>
        </w:rPr>
        <w:t>1 January 2019</w:t>
      </w:r>
      <w:r w:rsidR="00210941" w:rsidRPr="00210941">
        <w:rPr>
          <w:rFonts w:ascii="Arial" w:eastAsia="Georgia" w:hAnsi="Arial" w:cs="Arial"/>
          <w:lang w:val="en-GB"/>
        </w:rPr>
        <w:t xml:space="preserve"> and in addition</w:t>
      </w:r>
      <w:r w:rsidR="00210941">
        <w:rPr>
          <w:rFonts w:ascii="Arial" w:eastAsia="Georgia" w:hAnsi="Arial" w:cs="Arial"/>
          <w:lang w:val="en-GB"/>
        </w:rPr>
        <w:t>,</w:t>
      </w:r>
      <w:r w:rsidR="00210941" w:rsidRPr="00210941">
        <w:rPr>
          <w:rFonts w:ascii="Arial" w:eastAsia="Georgia" w:hAnsi="Arial" w:cs="Arial"/>
          <w:lang w:val="en-GB"/>
        </w:rPr>
        <w:t xml:space="preserve"> the company adopted the</w:t>
      </w:r>
      <w:r w:rsidR="00210941">
        <w:rPr>
          <w:rFonts w:ascii="Arial" w:eastAsia="Georgia" w:hAnsi="Arial" w:cs="Arial"/>
          <w:lang w:val="en-GB"/>
        </w:rPr>
        <w:t xml:space="preserve"> </w:t>
      </w:r>
      <w:r w:rsidRPr="00AC0617">
        <w:rPr>
          <w:rFonts w:ascii="Arial" w:eastAsia="Georgia" w:hAnsi="Arial" w:cs="Arial"/>
        </w:rPr>
        <w:t>IPEV special valuation guidelines issued in March 2020 in response to the significant uncertainty surrounding the Coronavirus pandemic.</w:t>
      </w:r>
    </w:p>
    <w:p w14:paraId="565BDFE3" w14:textId="18034457" w:rsidR="00016656" w:rsidRDefault="00016656" w:rsidP="00016656">
      <w:pPr>
        <w:widowControl/>
        <w:spacing w:after="0"/>
        <w:jc w:val="both"/>
        <w:rPr>
          <w:rFonts w:ascii="Arial" w:eastAsia="Georgia" w:hAnsi="Arial" w:cs="Arial"/>
        </w:rPr>
      </w:pPr>
    </w:p>
    <w:p w14:paraId="50616D7C" w14:textId="44B20A82" w:rsidR="00016656" w:rsidRDefault="00016656" w:rsidP="00016656">
      <w:pPr>
        <w:widowControl/>
        <w:spacing w:after="0"/>
        <w:jc w:val="both"/>
        <w:rPr>
          <w:rFonts w:ascii="Arial" w:eastAsia="Georgia" w:hAnsi="Arial" w:cs="Arial"/>
        </w:rPr>
      </w:pPr>
    </w:p>
    <w:p w14:paraId="79AF1883" w14:textId="5FCE1C2F" w:rsidR="007D190A" w:rsidRDefault="007D190A" w:rsidP="00016656">
      <w:pPr>
        <w:widowControl/>
        <w:spacing w:after="0"/>
        <w:jc w:val="both"/>
        <w:rPr>
          <w:rFonts w:ascii="Arial" w:eastAsia="Georgia" w:hAnsi="Arial" w:cs="Arial"/>
        </w:rPr>
      </w:pPr>
    </w:p>
    <w:p w14:paraId="011C33C2" w14:textId="77777777" w:rsidR="008D4734" w:rsidRDefault="008D4734" w:rsidP="00016656">
      <w:pPr>
        <w:widowControl/>
        <w:spacing w:after="0"/>
        <w:jc w:val="both"/>
        <w:rPr>
          <w:rFonts w:ascii="Arial" w:eastAsia="Georgia" w:hAnsi="Arial" w:cs="Arial"/>
        </w:rPr>
      </w:pPr>
    </w:p>
    <w:p w14:paraId="63F730F4" w14:textId="77777777" w:rsidR="004E3F5F" w:rsidRDefault="004E3F5F" w:rsidP="00016656">
      <w:pPr>
        <w:widowControl/>
        <w:spacing w:after="0"/>
        <w:jc w:val="both"/>
        <w:rPr>
          <w:rFonts w:ascii="Arial" w:eastAsia="Georgia" w:hAnsi="Arial" w:cs="Arial"/>
        </w:rPr>
      </w:pPr>
    </w:p>
    <w:p w14:paraId="017A3C66" w14:textId="77777777" w:rsidR="007D190A" w:rsidRDefault="007D190A" w:rsidP="00016656">
      <w:pPr>
        <w:widowControl/>
        <w:spacing w:after="0"/>
        <w:jc w:val="both"/>
        <w:rPr>
          <w:rFonts w:ascii="Arial" w:eastAsia="Georgia" w:hAnsi="Arial" w:cs="Arial"/>
        </w:rPr>
      </w:pPr>
    </w:p>
    <w:p w14:paraId="193D1BE3" w14:textId="586382E5" w:rsidR="00016656" w:rsidRDefault="00016656" w:rsidP="00016656">
      <w:pPr>
        <w:widowControl/>
        <w:spacing w:after="0"/>
        <w:jc w:val="both"/>
        <w:rPr>
          <w:rFonts w:ascii="Arial" w:eastAsia="Georgia" w:hAnsi="Arial" w:cs="Arial"/>
        </w:rPr>
      </w:pPr>
    </w:p>
    <w:p w14:paraId="6E11500E" w14:textId="5663F0D6" w:rsidR="00891B3A" w:rsidRPr="00AC0617" w:rsidRDefault="00891B3A" w:rsidP="00016656">
      <w:pPr>
        <w:widowControl/>
        <w:spacing w:after="0"/>
        <w:jc w:val="both"/>
        <w:rPr>
          <w:rFonts w:ascii="Arial" w:eastAsia="Times New Roman" w:hAnsi="Arial" w:cs="Arial"/>
          <w:b/>
          <w:bCs/>
          <w:i/>
          <w:lang w:val="en-GB" w:eastAsia="en-GB"/>
        </w:rPr>
      </w:pPr>
      <w:r w:rsidRPr="00AC0617">
        <w:rPr>
          <w:rFonts w:ascii="Arial" w:eastAsia="Times New Roman" w:hAnsi="Arial" w:cs="Arial"/>
          <w:b/>
          <w:bCs/>
          <w:i/>
          <w:lang w:val="en-GB" w:eastAsia="en-GB"/>
        </w:rPr>
        <w:lastRenderedPageBreak/>
        <w:t>Funds</w:t>
      </w:r>
    </w:p>
    <w:p w14:paraId="0D03BAE6" w14:textId="2EC1A908" w:rsidR="00891B3A" w:rsidRDefault="00891B3A" w:rsidP="00016656">
      <w:pPr>
        <w:widowControl/>
        <w:spacing w:after="0"/>
        <w:jc w:val="both"/>
        <w:rPr>
          <w:rFonts w:ascii="Arial" w:eastAsia="Georgia" w:hAnsi="Arial" w:cs="Arial"/>
          <w:lang w:val="en-GB"/>
        </w:rPr>
      </w:pPr>
      <w:r w:rsidRPr="00AC0617">
        <w:rPr>
          <w:rFonts w:ascii="Arial" w:eastAsia="Georgia" w:hAnsi="Arial" w:cs="Arial"/>
        </w:rPr>
        <w:t>Investments in managed funds are valued at fair value. The general partners of the funds will provide periodic valuations on a fair value basis, the latest available of which the Company will adopt provided it is satisfied that the valuation methods used by the funds are not materially different from the Company’s valuation methods</w:t>
      </w:r>
      <w:r w:rsidR="00210941">
        <w:rPr>
          <w:rFonts w:ascii="Arial" w:eastAsia="Georgia" w:hAnsi="Arial" w:cs="Arial"/>
        </w:rPr>
        <w:t xml:space="preserve"> </w:t>
      </w:r>
      <w:r w:rsidR="00210941" w:rsidRPr="00210941">
        <w:rPr>
          <w:rFonts w:ascii="Arial" w:eastAsia="Georgia" w:hAnsi="Arial" w:cs="Arial"/>
          <w:lang w:val="en-GB"/>
        </w:rPr>
        <w:t>and that there ha</w:t>
      </w:r>
      <w:r w:rsidR="000D167E">
        <w:rPr>
          <w:rFonts w:ascii="Arial" w:eastAsia="Georgia" w:hAnsi="Arial" w:cs="Arial"/>
          <w:lang w:val="en-GB"/>
        </w:rPr>
        <w:t>ve</w:t>
      </w:r>
      <w:r w:rsidR="00210941" w:rsidRPr="00210941">
        <w:rPr>
          <w:rFonts w:ascii="Arial" w:eastAsia="Georgia" w:hAnsi="Arial" w:cs="Arial"/>
          <w:lang w:val="en-GB"/>
        </w:rPr>
        <w:t xml:space="preserve"> been no material events between the latest fund statement and the reporting date.</w:t>
      </w:r>
      <w:r w:rsidR="00210941">
        <w:rPr>
          <w:rFonts w:ascii="Arial" w:eastAsia="Georgia" w:hAnsi="Arial" w:cs="Arial"/>
        </w:rPr>
        <w:t xml:space="preserve"> </w:t>
      </w:r>
      <w:r w:rsidRPr="00AC0617">
        <w:rPr>
          <w:rFonts w:ascii="Arial" w:eastAsia="Georgia" w:hAnsi="Arial" w:cs="Arial"/>
        </w:rPr>
        <w:t xml:space="preserve">Adjustments will be made to the fund valuation where the Company believes there is </w:t>
      </w:r>
      <w:r w:rsidR="00210941" w:rsidRPr="00210941">
        <w:rPr>
          <w:rFonts w:ascii="Arial" w:eastAsia="Georgia" w:hAnsi="Arial" w:cs="Arial"/>
          <w:lang w:val="en-GB"/>
        </w:rPr>
        <w:t xml:space="preserve">evidence </w:t>
      </w:r>
      <w:r w:rsidR="00210941">
        <w:rPr>
          <w:rFonts w:ascii="Arial" w:eastAsia="Georgia" w:hAnsi="Arial" w:cs="Arial"/>
          <w:lang w:val="en-GB"/>
        </w:rPr>
        <w:t xml:space="preserve">that </w:t>
      </w:r>
      <w:r w:rsidR="00210941" w:rsidRPr="00210941">
        <w:rPr>
          <w:rFonts w:ascii="Arial" w:eastAsia="Georgia" w:hAnsi="Arial" w:cs="Arial"/>
          <w:lang w:val="en-GB"/>
        </w:rPr>
        <w:t>an alternative valuation is more appropriate</w:t>
      </w:r>
      <w:r w:rsidR="00210941">
        <w:rPr>
          <w:rFonts w:ascii="Arial" w:eastAsia="Georgia" w:hAnsi="Arial" w:cs="Arial"/>
          <w:lang w:val="en-GB"/>
        </w:rPr>
        <w:t>.</w:t>
      </w:r>
    </w:p>
    <w:p w14:paraId="57A36827" w14:textId="77777777" w:rsidR="00210941" w:rsidRDefault="00210941" w:rsidP="00016656">
      <w:pPr>
        <w:widowControl/>
        <w:spacing w:after="0"/>
        <w:jc w:val="both"/>
        <w:rPr>
          <w:rFonts w:ascii="Arial" w:eastAsia="Times New Roman" w:hAnsi="Arial" w:cs="Arial"/>
          <w:lang w:val="en-GB" w:eastAsia="en-GB"/>
        </w:rPr>
      </w:pPr>
    </w:p>
    <w:p w14:paraId="7941A72A" w14:textId="77777777" w:rsidR="00891B3A" w:rsidRPr="00AC0617" w:rsidRDefault="00891B3A" w:rsidP="00016656">
      <w:pPr>
        <w:widowControl/>
        <w:spacing w:after="0"/>
        <w:jc w:val="both"/>
        <w:rPr>
          <w:rFonts w:ascii="Arial" w:eastAsia="Times New Roman" w:hAnsi="Arial" w:cs="Arial"/>
          <w:b/>
          <w:lang w:val="en-GB" w:eastAsia="en-GB"/>
        </w:rPr>
      </w:pPr>
      <w:r w:rsidRPr="00AC0617">
        <w:rPr>
          <w:rFonts w:ascii="Arial" w:eastAsia="Times New Roman" w:hAnsi="Arial" w:cs="Arial"/>
          <w:b/>
          <w:lang w:val="en-GB" w:eastAsia="en-GB"/>
        </w:rPr>
        <w:t>Performance of the investment portfolio</w:t>
      </w:r>
    </w:p>
    <w:p w14:paraId="116DBD66" w14:textId="6C792F88" w:rsidR="00891B3A"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t>The return on investments for the six months ended 30 June 2021 was as follows:</w:t>
      </w:r>
    </w:p>
    <w:p w14:paraId="00216C39" w14:textId="77777777" w:rsidR="00943AD8" w:rsidRPr="00AC0617" w:rsidRDefault="00943AD8" w:rsidP="00891B3A">
      <w:pPr>
        <w:widowControl/>
        <w:spacing w:after="0"/>
        <w:jc w:val="both"/>
        <w:rPr>
          <w:rFonts w:ascii="Arial" w:eastAsia="Times New Roman" w:hAnsi="Arial" w:cs="Arial"/>
          <w:lang w:val="en-GB" w:eastAsia="en-GB"/>
        </w:rPr>
      </w:pPr>
    </w:p>
    <w:tbl>
      <w:tblPr>
        <w:tblW w:w="9199" w:type="dxa"/>
        <w:tblInd w:w="108" w:type="dxa"/>
        <w:tblLayout w:type="fixed"/>
        <w:tblLook w:val="04A0" w:firstRow="1" w:lastRow="0" w:firstColumn="1" w:lastColumn="0" w:noHBand="0" w:noVBand="1"/>
      </w:tblPr>
      <w:tblGrid>
        <w:gridCol w:w="2302"/>
        <w:gridCol w:w="392"/>
        <w:gridCol w:w="600"/>
        <w:gridCol w:w="1418"/>
        <w:gridCol w:w="850"/>
        <w:gridCol w:w="284"/>
        <w:gridCol w:w="1417"/>
        <w:gridCol w:w="1143"/>
        <w:gridCol w:w="793"/>
      </w:tblGrid>
      <w:tr w:rsidR="00891B3A" w:rsidRPr="00ED61B9" w14:paraId="04C75DAE" w14:textId="77777777" w:rsidTr="00891B3A">
        <w:trPr>
          <w:trHeight w:val="242"/>
        </w:trPr>
        <w:tc>
          <w:tcPr>
            <w:tcW w:w="2302" w:type="dxa"/>
            <w:tcBorders>
              <w:top w:val="nil"/>
              <w:left w:val="nil"/>
              <w:bottom w:val="nil"/>
              <w:right w:val="nil"/>
            </w:tcBorders>
            <w:shd w:val="clear" w:color="auto" w:fill="auto"/>
            <w:noWrap/>
            <w:vAlign w:val="bottom"/>
            <w:hideMark/>
          </w:tcPr>
          <w:tbl>
            <w:tblPr>
              <w:tblW w:w="1679" w:type="dxa"/>
              <w:tblCellSpacing w:w="0" w:type="dxa"/>
              <w:tblLayout w:type="fixed"/>
              <w:tblCellMar>
                <w:left w:w="0" w:type="dxa"/>
                <w:right w:w="0" w:type="dxa"/>
              </w:tblCellMar>
              <w:tblLook w:val="04A0" w:firstRow="1" w:lastRow="0" w:firstColumn="1" w:lastColumn="0" w:noHBand="0" w:noVBand="1"/>
            </w:tblPr>
            <w:tblGrid>
              <w:gridCol w:w="1679"/>
            </w:tblGrid>
            <w:tr w:rsidR="00891B3A" w:rsidRPr="00ED61B9" w14:paraId="50E21589" w14:textId="77777777" w:rsidTr="00891B3A">
              <w:trPr>
                <w:trHeight w:val="242"/>
                <w:tblCellSpacing w:w="0" w:type="dxa"/>
              </w:trPr>
              <w:tc>
                <w:tcPr>
                  <w:tcW w:w="1679" w:type="dxa"/>
                  <w:tcBorders>
                    <w:top w:val="nil"/>
                    <w:left w:val="nil"/>
                    <w:bottom w:val="nil"/>
                    <w:right w:val="nil"/>
                  </w:tcBorders>
                  <w:shd w:val="clear" w:color="000000" w:fill="FFFFFF"/>
                  <w:noWrap/>
                  <w:vAlign w:val="bottom"/>
                  <w:hideMark/>
                </w:tcPr>
                <w:p w14:paraId="3A079B6A"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r>
          </w:tbl>
          <w:p w14:paraId="0C61156B"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p>
        </w:tc>
        <w:tc>
          <w:tcPr>
            <w:tcW w:w="3260" w:type="dxa"/>
            <w:gridSpan w:val="4"/>
            <w:tcBorders>
              <w:top w:val="nil"/>
              <w:left w:val="nil"/>
              <w:bottom w:val="single" w:sz="4" w:space="0" w:color="auto"/>
              <w:right w:val="nil"/>
            </w:tcBorders>
            <w:shd w:val="clear" w:color="auto" w:fill="auto"/>
            <w:noWrap/>
            <w:vAlign w:val="bottom"/>
            <w:hideMark/>
          </w:tcPr>
          <w:p w14:paraId="037F6BE3" w14:textId="77777777" w:rsidR="00891B3A" w:rsidRPr="00AC0617" w:rsidRDefault="00891B3A" w:rsidP="00891B3A">
            <w:pPr>
              <w:widowControl/>
              <w:spacing w:after="0" w:line="240" w:lineRule="auto"/>
              <w:jc w:val="center"/>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Six months ended 30 June 2021</w:t>
            </w:r>
          </w:p>
        </w:tc>
        <w:tc>
          <w:tcPr>
            <w:tcW w:w="284" w:type="dxa"/>
            <w:tcBorders>
              <w:top w:val="nil"/>
              <w:left w:val="nil"/>
              <w:bottom w:val="nil"/>
              <w:right w:val="nil"/>
            </w:tcBorders>
            <w:shd w:val="clear" w:color="000000" w:fill="FFFFFF"/>
            <w:noWrap/>
            <w:vAlign w:val="bottom"/>
            <w:hideMark/>
          </w:tcPr>
          <w:p w14:paraId="4A5A97EA"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3353" w:type="dxa"/>
            <w:gridSpan w:val="3"/>
            <w:tcBorders>
              <w:top w:val="nil"/>
              <w:left w:val="nil"/>
              <w:bottom w:val="single" w:sz="4" w:space="0" w:color="auto"/>
              <w:right w:val="nil"/>
            </w:tcBorders>
            <w:shd w:val="clear" w:color="auto" w:fill="auto"/>
            <w:noWrap/>
            <w:vAlign w:val="bottom"/>
            <w:hideMark/>
          </w:tcPr>
          <w:p w14:paraId="1082CB8B" w14:textId="77777777" w:rsidR="00891B3A" w:rsidRPr="00AC0617" w:rsidRDefault="00891B3A" w:rsidP="00891B3A">
            <w:pPr>
              <w:widowControl/>
              <w:spacing w:after="0" w:line="240" w:lineRule="auto"/>
              <w:jc w:val="center"/>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Six months ended 30 June 2020</w:t>
            </w:r>
          </w:p>
        </w:tc>
      </w:tr>
      <w:tr w:rsidR="00891B3A" w:rsidRPr="00ED61B9" w14:paraId="7F29D874" w14:textId="77777777" w:rsidTr="00891B3A">
        <w:trPr>
          <w:trHeight w:val="269"/>
        </w:trPr>
        <w:tc>
          <w:tcPr>
            <w:tcW w:w="2302" w:type="dxa"/>
            <w:tcBorders>
              <w:top w:val="nil"/>
              <w:left w:val="nil"/>
              <w:bottom w:val="nil"/>
              <w:right w:val="nil"/>
            </w:tcBorders>
            <w:shd w:val="clear" w:color="000000" w:fill="FFFFFF"/>
            <w:noWrap/>
            <w:vAlign w:val="bottom"/>
            <w:hideMark/>
          </w:tcPr>
          <w:p w14:paraId="6F6188F1" w14:textId="77777777" w:rsidR="00891B3A" w:rsidRPr="00AC0617" w:rsidRDefault="00891B3A" w:rsidP="00891B3A">
            <w:pPr>
              <w:widowControl/>
              <w:spacing w:after="0" w:line="240" w:lineRule="auto"/>
              <w:jc w:val="both"/>
              <w:rPr>
                <w:rFonts w:ascii="Arial" w:eastAsia="Times New Roman" w:hAnsi="Arial" w:cs="Arial"/>
                <w:color w:val="FFFFFF"/>
                <w:sz w:val="18"/>
                <w:szCs w:val="18"/>
                <w:lang w:val="en-SG" w:eastAsia="en-SG"/>
              </w:rPr>
            </w:pPr>
            <w:r w:rsidRPr="00AC0617">
              <w:rPr>
                <w:rFonts w:ascii="Arial" w:eastAsia="Times New Roman" w:hAnsi="Arial" w:cs="Arial"/>
                <w:color w:val="FFFFFF"/>
                <w:sz w:val="18"/>
                <w:szCs w:val="18"/>
                <w:lang w:val="en-SG" w:eastAsia="en-SG"/>
              </w:rPr>
              <w:t> </w:t>
            </w:r>
          </w:p>
        </w:tc>
        <w:tc>
          <w:tcPr>
            <w:tcW w:w="992" w:type="dxa"/>
            <w:gridSpan w:val="2"/>
            <w:tcBorders>
              <w:top w:val="nil"/>
              <w:left w:val="nil"/>
              <w:bottom w:val="nil"/>
              <w:right w:val="nil"/>
            </w:tcBorders>
            <w:shd w:val="clear" w:color="000000" w:fill="FFFFFF"/>
            <w:noWrap/>
            <w:vAlign w:val="bottom"/>
            <w:hideMark/>
          </w:tcPr>
          <w:p w14:paraId="0BCF7041"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Realised</w:t>
            </w:r>
          </w:p>
        </w:tc>
        <w:tc>
          <w:tcPr>
            <w:tcW w:w="1418" w:type="dxa"/>
            <w:tcBorders>
              <w:top w:val="nil"/>
              <w:left w:val="nil"/>
              <w:bottom w:val="nil"/>
              <w:right w:val="nil"/>
            </w:tcBorders>
            <w:shd w:val="clear" w:color="000000" w:fill="FFFFFF"/>
            <w:noWrap/>
            <w:vAlign w:val="bottom"/>
            <w:hideMark/>
          </w:tcPr>
          <w:p w14:paraId="301213E7"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Unrealised</w:t>
            </w:r>
          </w:p>
        </w:tc>
        <w:tc>
          <w:tcPr>
            <w:tcW w:w="850" w:type="dxa"/>
            <w:tcBorders>
              <w:top w:val="nil"/>
              <w:left w:val="nil"/>
              <w:bottom w:val="nil"/>
              <w:right w:val="nil"/>
            </w:tcBorders>
            <w:shd w:val="clear" w:color="000000" w:fill="FFFFFF"/>
            <w:vAlign w:val="bottom"/>
            <w:hideMark/>
          </w:tcPr>
          <w:p w14:paraId="409257CA" w14:textId="77777777" w:rsidR="00891B3A" w:rsidRPr="00AC0617" w:rsidRDefault="00891B3A" w:rsidP="00891B3A">
            <w:pPr>
              <w:widowControl/>
              <w:spacing w:after="0" w:line="240" w:lineRule="auto"/>
              <w:jc w:val="right"/>
              <w:rPr>
                <w:rFonts w:ascii="Arial" w:eastAsia="Times New Roman" w:hAnsi="Arial" w:cs="Arial"/>
                <w:b/>
                <w:bCs/>
                <w:color w:val="000000"/>
                <w:sz w:val="18"/>
                <w:szCs w:val="18"/>
                <w:lang w:val="en-SG" w:eastAsia="en-SG"/>
              </w:rPr>
            </w:pPr>
            <w:r w:rsidRPr="00AC0617">
              <w:rPr>
                <w:rFonts w:ascii="Arial" w:eastAsia="Times New Roman" w:hAnsi="Arial" w:cs="Arial"/>
                <w:b/>
                <w:bCs/>
                <w:color w:val="000000"/>
                <w:sz w:val="18"/>
                <w:szCs w:val="18"/>
                <w:lang w:val="en-SG" w:eastAsia="en-SG"/>
              </w:rPr>
              <w:t> </w:t>
            </w:r>
          </w:p>
        </w:tc>
        <w:tc>
          <w:tcPr>
            <w:tcW w:w="284" w:type="dxa"/>
            <w:tcBorders>
              <w:top w:val="nil"/>
              <w:left w:val="nil"/>
              <w:bottom w:val="nil"/>
              <w:right w:val="nil"/>
            </w:tcBorders>
            <w:shd w:val="clear" w:color="000000" w:fill="FFFFFF"/>
            <w:noWrap/>
            <w:vAlign w:val="bottom"/>
            <w:hideMark/>
          </w:tcPr>
          <w:p w14:paraId="493EB62D"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1417" w:type="dxa"/>
            <w:tcBorders>
              <w:top w:val="nil"/>
              <w:left w:val="nil"/>
              <w:bottom w:val="nil"/>
              <w:right w:val="nil"/>
            </w:tcBorders>
            <w:shd w:val="clear" w:color="000000" w:fill="FFFFFF"/>
            <w:noWrap/>
            <w:vAlign w:val="bottom"/>
            <w:hideMark/>
          </w:tcPr>
          <w:p w14:paraId="05DFB55E"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Realised</w:t>
            </w:r>
          </w:p>
        </w:tc>
        <w:tc>
          <w:tcPr>
            <w:tcW w:w="1143" w:type="dxa"/>
            <w:tcBorders>
              <w:top w:val="nil"/>
              <w:left w:val="nil"/>
              <w:bottom w:val="nil"/>
              <w:right w:val="nil"/>
            </w:tcBorders>
            <w:shd w:val="clear" w:color="000000" w:fill="FFFFFF"/>
            <w:noWrap/>
            <w:vAlign w:val="bottom"/>
            <w:hideMark/>
          </w:tcPr>
          <w:p w14:paraId="723D8287"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Unrealised</w:t>
            </w:r>
          </w:p>
        </w:tc>
        <w:tc>
          <w:tcPr>
            <w:tcW w:w="793" w:type="dxa"/>
            <w:tcBorders>
              <w:top w:val="nil"/>
              <w:left w:val="nil"/>
              <w:bottom w:val="nil"/>
              <w:right w:val="nil"/>
            </w:tcBorders>
            <w:shd w:val="clear" w:color="000000" w:fill="FFFFFF"/>
            <w:noWrap/>
            <w:vAlign w:val="bottom"/>
            <w:hideMark/>
          </w:tcPr>
          <w:p w14:paraId="3CC57BC4"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r>
      <w:tr w:rsidR="00891B3A" w:rsidRPr="00ED61B9" w14:paraId="0E9D6C83" w14:textId="77777777" w:rsidTr="00891B3A">
        <w:trPr>
          <w:trHeight w:val="269"/>
        </w:trPr>
        <w:tc>
          <w:tcPr>
            <w:tcW w:w="2302" w:type="dxa"/>
            <w:tcBorders>
              <w:top w:val="nil"/>
              <w:left w:val="nil"/>
              <w:bottom w:val="nil"/>
              <w:right w:val="nil"/>
            </w:tcBorders>
            <w:shd w:val="clear" w:color="000000" w:fill="FFFFFF"/>
            <w:noWrap/>
            <w:vAlign w:val="bottom"/>
            <w:hideMark/>
          </w:tcPr>
          <w:p w14:paraId="0361DA92" w14:textId="77777777" w:rsidR="00891B3A" w:rsidRPr="00AC0617" w:rsidRDefault="00891B3A" w:rsidP="00891B3A">
            <w:pPr>
              <w:widowControl/>
              <w:spacing w:after="0" w:line="240" w:lineRule="auto"/>
              <w:jc w:val="both"/>
              <w:rPr>
                <w:rFonts w:ascii="Arial" w:eastAsia="Times New Roman" w:hAnsi="Arial" w:cs="Arial"/>
                <w:color w:val="FFFFFF"/>
                <w:sz w:val="18"/>
                <w:szCs w:val="18"/>
                <w:lang w:val="en-SG" w:eastAsia="en-SG"/>
              </w:rPr>
            </w:pPr>
            <w:r w:rsidRPr="00AC0617">
              <w:rPr>
                <w:rFonts w:ascii="Arial" w:eastAsia="Times New Roman" w:hAnsi="Arial" w:cs="Arial"/>
                <w:color w:val="FFFFFF"/>
                <w:sz w:val="18"/>
                <w:szCs w:val="18"/>
                <w:lang w:val="en-SG" w:eastAsia="en-SG"/>
              </w:rPr>
              <w:t> </w:t>
            </w:r>
          </w:p>
        </w:tc>
        <w:tc>
          <w:tcPr>
            <w:tcW w:w="992" w:type="dxa"/>
            <w:gridSpan w:val="2"/>
            <w:tcBorders>
              <w:top w:val="nil"/>
              <w:left w:val="nil"/>
              <w:bottom w:val="nil"/>
              <w:right w:val="nil"/>
            </w:tcBorders>
            <w:shd w:val="clear" w:color="000000" w:fill="FFFFFF"/>
            <w:noWrap/>
            <w:vAlign w:val="bottom"/>
            <w:hideMark/>
          </w:tcPr>
          <w:p w14:paraId="5C0AD367"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Pr>
                <w:rFonts w:ascii="Arial" w:eastAsia="Times New Roman" w:hAnsi="Arial" w:cs="Arial"/>
                <w:b/>
                <w:bCs/>
                <w:sz w:val="18"/>
                <w:szCs w:val="18"/>
                <w:lang w:val="en-SG" w:eastAsia="en-SG"/>
              </w:rPr>
              <w:t>L</w:t>
            </w:r>
            <w:r w:rsidRPr="00A95E54">
              <w:rPr>
                <w:rFonts w:ascii="Arial" w:eastAsia="Times New Roman" w:hAnsi="Arial" w:cs="Arial"/>
                <w:b/>
                <w:bCs/>
                <w:sz w:val="18"/>
                <w:szCs w:val="18"/>
                <w:lang w:val="en-SG" w:eastAsia="en-SG"/>
              </w:rPr>
              <w:t>osses</w:t>
            </w:r>
          </w:p>
        </w:tc>
        <w:tc>
          <w:tcPr>
            <w:tcW w:w="1418" w:type="dxa"/>
            <w:tcBorders>
              <w:top w:val="nil"/>
              <w:left w:val="nil"/>
              <w:bottom w:val="nil"/>
              <w:right w:val="nil"/>
            </w:tcBorders>
            <w:shd w:val="clear" w:color="000000" w:fill="FFFFFF"/>
            <w:noWrap/>
            <w:vAlign w:val="bottom"/>
            <w:hideMark/>
          </w:tcPr>
          <w:p w14:paraId="265CF162"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gains/(losses)</w:t>
            </w:r>
          </w:p>
        </w:tc>
        <w:tc>
          <w:tcPr>
            <w:tcW w:w="850" w:type="dxa"/>
            <w:tcBorders>
              <w:top w:val="nil"/>
              <w:left w:val="nil"/>
              <w:bottom w:val="nil"/>
              <w:right w:val="nil"/>
            </w:tcBorders>
            <w:shd w:val="clear" w:color="000000" w:fill="FFFFFF"/>
            <w:vAlign w:val="bottom"/>
            <w:hideMark/>
          </w:tcPr>
          <w:p w14:paraId="56A503B5" w14:textId="77777777" w:rsidR="00891B3A" w:rsidRPr="00AC0617" w:rsidRDefault="00891B3A" w:rsidP="00891B3A">
            <w:pPr>
              <w:widowControl/>
              <w:spacing w:after="0" w:line="240" w:lineRule="auto"/>
              <w:jc w:val="right"/>
              <w:rPr>
                <w:rFonts w:ascii="Arial" w:eastAsia="Times New Roman" w:hAnsi="Arial" w:cs="Arial"/>
                <w:b/>
                <w:bCs/>
                <w:color w:val="000000"/>
                <w:sz w:val="18"/>
                <w:szCs w:val="18"/>
                <w:lang w:val="en-SG" w:eastAsia="en-SG"/>
              </w:rPr>
            </w:pPr>
            <w:r w:rsidRPr="00AC0617">
              <w:rPr>
                <w:rFonts w:ascii="Arial" w:eastAsia="Times New Roman" w:hAnsi="Arial" w:cs="Arial"/>
                <w:b/>
                <w:bCs/>
                <w:color w:val="000000"/>
                <w:sz w:val="18"/>
                <w:szCs w:val="18"/>
                <w:lang w:val="en-SG" w:eastAsia="en-SG"/>
              </w:rPr>
              <w:t>Total</w:t>
            </w:r>
          </w:p>
        </w:tc>
        <w:tc>
          <w:tcPr>
            <w:tcW w:w="284" w:type="dxa"/>
            <w:tcBorders>
              <w:top w:val="nil"/>
              <w:left w:val="nil"/>
              <w:bottom w:val="nil"/>
              <w:right w:val="nil"/>
            </w:tcBorders>
            <w:shd w:val="clear" w:color="000000" w:fill="FFFFFF"/>
            <w:noWrap/>
            <w:vAlign w:val="bottom"/>
            <w:hideMark/>
          </w:tcPr>
          <w:p w14:paraId="138C1F0F"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1417" w:type="dxa"/>
            <w:tcBorders>
              <w:top w:val="nil"/>
              <w:left w:val="nil"/>
              <w:bottom w:val="nil"/>
              <w:right w:val="nil"/>
            </w:tcBorders>
            <w:shd w:val="clear" w:color="000000" w:fill="FFFFFF"/>
            <w:noWrap/>
            <w:vAlign w:val="bottom"/>
            <w:hideMark/>
          </w:tcPr>
          <w:p w14:paraId="01902FEF"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95E54">
              <w:rPr>
                <w:rFonts w:ascii="Arial" w:eastAsia="Times New Roman" w:hAnsi="Arial" w:cs="Arial"/>
                <w:b/>
                <w:bCs/>
                <w:sz w:val="18"/>
                <w:szCs w:val="18"/>
                <w:lang w:val="en-SG" w:eastAsia="en-SG"/>
              </w:rPr>
              <w:t>gains/(losses)</w:t>
            </w:r>
          </w:p>
        </w:tc>
        <w:tc>
          <w:tcPr>
            <w:tcW w:w="1143" w:type="dxa"/>
            <w:tcBorders>
              <w:top w:val="nil"/>
              <w:left w:val="nil"/>
              <w:bottom w:val="nil"/>
              <w:right w:val="nil"/>
            </w:tcBorders>
            <w:shd w:val="clear" w:color="000000" w:fill="FFFFFF"/>
            <w:noWrap/>
            <w:vAlign w:val="bottom"/>
            <w:hideMark/>
          </w:tcPr>
          <w:p w14:paraId="138BA11E"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Pr>
                <w:rFonts w:ascii="Arial" w:eastAsia="Times New Roman" w:hAnsi="Arial" w:cs="Arial"/>
                <w:b/>
                <w:bCs/>
                <w:sz w:val="18"/>
                <w:szCs w:val="18"/>
                <w:lang w:val="en-SG" w:eastAsia="en-SG"/>
              </w:rPr>
              <w:t>L</w:t>
            </w:r>
            <w:r w:rsidRPr="00AC0617">
              <w:rPr>
                <w:rFonts w:ascii="Arial" w:eastAsia="Times New Roman" w:hAnsi="Arial" w:cs="Arial"/>
                <w:b/>
                <w:bCs/>
                <w:sz w:val="18"/>
                <w:szCs w:val="18"/>
                <w:lang w:val="en-SG" w:eastAsia="en-SG"/>
              </w:rPr>
              <w:t>osses</w:t>
            </w:r>
          </w:p>
        </w:tc>
        <w:tc>
          <w:tcPr>
            <w:tcW w:w="793" w:type="dxa"/>
            <w:tcBorders>
              <w:top w:val="nil"/>
              <w:left w:val="nil"/>
              <w:bottom w:val="nil"/>
              <w:right w:val="nil"/>
            </w:tcBorders>
            <w:shd w:val="clear" w:color="000000" w:fill="FFFFFF"/>
            <w:vAlign w:val="bottom"/>
            <w:hideMark/>
          </w:tcPr>
          <w:p w14:paraId="6EB0C5B4"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Total</w:t>
            </w:r>
          </w:p>
        </w:tc>
      </w:tr>
      <w:tr w:rsidR="00891B3A" w:rsidRPr="00ED61B9" w14:paraId="28D282EB" w14:textId="77777777" w:rsidTr="00891B3A">
        <w:trPr>
          <w:trHeight w:val="269"/>
        </w:trPr>
        <w:tc>
          <w:tcPr>
            <w:tcW w:w="2302" w:type="dxa"/>
            <w:tcBorders>
              <w:top w:val="nil"/>
              <w:left w:val="nil"/>
              <w:bottom w:val="single" w:sz="4" w:space="0" w:color="auto"/>
              <w:right w:val="nil"/>
            </w:tcBorders>
            <w:shd w:val="clear" w:color="000000" w:fill="FFFFFF"/>
            <w:noWrap/>
            <w:vAlign w:val="bottom"/>
            <w:hideMark/>
          </w:tcPr>
          <w:p w14:paraId="48589EDA"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Asset type</w:t>
            </w:r>
          </w:p>
        </w:tc>
        <w:tc>
          <w:tcPr>
            <w:tcW w:w="992" w:type="dxa"/>
            <w:gridSpan w:val="2"/>
            <w:tcBorders>
              <w:top w:val="nil"/>
              <w:left w:val="nil"/>
              <w:bottom w:val="single" w:sz="4" w:space="0" w:color="auto"/>
              <w:right w:val="nil"/>
            </w:tcBorders>
            <w:shd w:val="clear" w:color="000000" w:fill="FFFFFF"/>
            <w:noWrap/>
            <w:vAlign w:val="bottom"/>
            <w:hideMark/>
          </w:tcPr>
          <w:p w14:paraId="0AD2F30E"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£'000</w:t>
            </w:r>
          </w:p>
        </w:tc>
        <w:tc>
          <w:tcPr>
            <w:tcW w:w="1418" w:type="dxa"/>
            <w:tcBorders>
              <w:top w:val="nil"/>
              <w:left w:val="nil"/>
              <w:bottom w:val="single" w:sz="4" w:space="0" w:color="auto"/>
              <w:right w:val="nil"/>
            </w:tcBorders>
            <w:shd w:val="clear" w:color="000000" w:fill="FFFFFF"/>
            <w:noWrap/>
            <w:vAlign w:val="bottom"/>
            <w:hideMark/>
          </w:tcPr>
          <w:p w14:paraId="59C31C1A"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£'000</w:t>
            </w:r>
          </w:p>
        </w:tc>
        <w:tc>
          <w:tcPr>
            <w:tcW w:w="850" w:type="dxa"/>
            <w:tcBorders>
              <w:top w:val="nil"/>
              <w:left w:val="nil"/>
              <w:bottom w:val="single" w:sz="4" w:space="0" w:color="auto"/>
              <w:right w:val="nil"/>
            </w:tcBorders>
            <w:shd w:val="clear" w:color="000000" w:fill="FFFFFF"/>
            <w:noWrap/>
            <w:vAlign w:val="bottom"/>
            <w:hideMark/>
          </w:tcPr>
          <w:p w14:paraId="2D19FE3E"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£'000</w:t>
            </w:r>
          </w:p>
        </w:tc>
        <w:tc>
          <w:tcPr>
            <w:tcW w:w="284" w:type="dxa"/>
            <w:tcBorders>
              <w:top w:val="nil"/>
              <w:left w:val="nil"/>
              <w:bottom w:val="nil"/>
              <w:right w:val="nil"/>
            </w:tcBorders>
            <w:shd w:val="clear" w:color="000000" w:fill="FFFFFF"/>
            <w:noWrap/>
            <w:vAlign w:val="bottom"/>
            <w:hideMark/>
          </w:tcPr>
          <w:p w14:paraId="593B6079"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single" w:sz="4" w:space="0" w:color="auto"/>
              <w:right w:val="nil"/>
            </w:tcBorders>
            <w:shd w:val="clear" w:color="000000" w:fill="FFFFFF"/>
            <w:noWrap/>
            <w:vAlign w:val="bottom"/>
            <w:hideMark/>
          </w:tcPr>
          <w:p w14:paraId="55F0D487"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£'000</w:t>
            </w:r>
          </w:p>
        </w:tc>
        <w:tc>
          <w:tcPr>
            <w:tcW w:w="1143" w:type="dxa"/>
            <w:tcBorders>
              <w:top w:val="nil"/>
              <w:left w:val="nil"/>
              <w:bottom w:val="single" w:sz="4" w:space="0" w:color="auto"/>
              <w:right w:val="nil"/>
            </w:tcBorders>
            <w:shd w:val="clear" w:color="000000" w:fill="FFFFFF"/>
            <w:noWrap/>
            <w:vAlign w:val="bottom"/>
            <w:hideMark/>
          </w:tcPr>
          <w:p w14:paraId="13161F54"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£'000</w:t>
            </w:r>
          </w:p>
        </w:tc>
        <w:tc>
          <w:tcPr>
            <w:tcW w:w="793" w:type="dxa"/>
            <w:tcBorders>
              <w:top w:val="nil"/>
              <w:left w:val="nil"/>
              <w:bottom w:val="single" w:sz="4" w:space="0" w:color="auto"/>
              <w:right w:val="nil"/>
            </w:tcBorders>
            <w:shd w:val="clear" w:color="000000" w:fill="FFFFFF"/>
            <w:noWrap/>
            <w:vAlign w:val="bottom"/>
            <w:hideMark/>
          </w:tcPr>
          <w:p w14:paraId="52BC9CA7"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£'000</w:t>
            </w:r>
          </w:p>
        </w:tc>
      </w:tr>
      <w:tr w:rsidR="00891B3A" w:rsidRPr="00ED61B9" w14:paraId="0F89E34E" w14:textId="77777777" w:rsidTr="00891B3A">
        <w:trPr>
          <w:trHeight w:val="269"/>
        </w:trPr>
        <w:tc>
          <w:tcPr>
            <w:tcW w:w="2302" w:type="dxa"/>
            <w:tcBorders>
              <w:top w:val="nil"/>
              <w:left w:val="nil"/>
              <w:bottom w:val="nil"/>
              <w:right w:val="nil"/>
            </w:tcBorders>
            <w:shd w:val="clear" w:color="000000" w:fill="FFFFFF"/>
            <w:noWrap/>
            <w:vAlign w:val="bottom"/>
            <w:hideMark/>
          </w:tcPr>
          <w:p w14:paraId="2EF53974"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992" w:type="dxa"/>
            <w:gridSpan w:val="2"/>
            <w:tcBorders>
              <w:top w:val="nil"/>
              <w:left w:val="nil"/>
              <w:bottom w:val="nil"/>
              <w:right w:val="nil"/>
            </w:tcBorders>
            <w:shd w:val="clear" w:color="000000" w:fill="FFFFFF"/>
            <w:noWrap/>
            <w:vAlign w:val="bottom"/>
            <w:hideMark/>
          </w:tcPr>
          <w:p w14:paraId="10A9E6F1"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1418" w:type="dxa"/>
            <w:tcBorders>
              <w:top w:val="nil"/>
              <w:left w:val="nil"/>
              <w:bottom w:val="nil"/>
              <w:right w:val="nil"/>
            </w:tcBorders>
            <w:shd w:val="clear" w:color="000000" w:fill="FFFFFF"/>
            <w:noWrap/>
            <w:vAlign w:val="bottom"/>
            <w:hideMark/>
          </w:tcPr>
          <w:p w14:paraId="610D702F"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850" w:type="dxa"/>
            <w:tcBorders>
              <w:top w:val="nil"/>
              <w:left w:val="nil"/>
              <w:bottom w:val="nil"/>
              <w:right w:val="nil"/>
            </w:tcBorders>
            <w:shd w:val="clear" w:color="000000" w:fill="FFFFFF"/>
            <w:noWrap/>
            <w:vAlign w:val="bottom"/>
            <w:hideMark/>
          </w:tcPr>
          <w:p w14:paraId="5B95A399"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284" w:type="dxa"/>
            <w:tcBorders>
              <w:top w:val="nil"/>
              <w:left w:val="nil"/>
              <w:bottom w:val="nil"/>
              <w:right w:val="nil"/>
            </w:tcBorders>
            <w:shd w:val="clear" w:color="000000" w:fill="FFFFFF"/>
            <w:noWrap/>
            <w:vAlign w:val="bottom"/>
            <w:hideMark/>
          </w:tcPr>
          <w:p w14:paraId="16B20D56"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nil"/>
              <w:right w:val="nil"/>
            </w:tcBorders>
            <w:shd w:val="clear" w:color="000000" w:fill="FFFFFF"/>
            <w:noWrap/>
            <w:vAlign w:val="bottom"/>
            <w:hideMark/>
          </w:tcPr>
          <w:p w14:paraId="47B64D2C"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1143" w:type="dxa"/>
            <w:tcBorders>
              <w:top w:val="nil"/>
              <w:left w:val="nil"/>
              <w:bottom w:val="nil"/>
              <w:right w:val="nil"/>
            </w:tcBorders>
            <w:shd w:val="clear" w:color="000000" w:fill="FFFFFF"/>
            <w:noWrap/>
            <w:vAlign w:val="bottom"/>
            <w:hideMark/>
          </w:tcPr>
          <w:p w14:paraId="37BB5BEA"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793" w:type="dxa"/>
            <w:tcBorders>
              <w:top w:val="nil"/>
              <w:left w:val="nil"/>
              <w:bottom w:val="nil"/>
              <w:right w:val="nil"/>
            </w:tcBorders>
            <w:shd w:val="clear" w:color="000000" w:fill="FFFFFF"/>
            <w:noWrap/>
            <w:vAlign w:val="bottom"/>
            <w:hideMark/>
          </w:tcPr>
          <w:p w14:paraId="29C1EC10"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r>
      <w:tr w:rsidR="00891B3A" w:rsidRPr="00ED61B9" w14:paraId="3752E0FD" w14:textId="77777777" w:rsidTr="00891B3A">
        <w:trPr>
          <w:trHeight w:val="269"/>
        </w:trPr>
        <w:tc>
          <w:tcPr>
            <w:tcW w:w="2302" w:type="dxa"/>
            <w:tcBorders>
              <w:top w:val="nil"/>
              <w:left w:val="nil"/>
              <w:bottom w:val="nil"/>
              <w:right w:val="nil"/>
            </w:tcBorders>
            <w:shd w:val="clear" w:color="000000" w:fill="FFFFFF"/>
            <w:noWrap/>
            <w:vAlign w:val="bottom"/>
            <w:hideMark/>
          </w:tcPr>
          <w:p w14:paraId="37E1D15F"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Quoted</w:t>
            </w:r>
          </w:p>
        </w:tc>
        <w:tc>
          <w:tcPr>
            <w:tcW w:w="992" w:type="dxa"/>
            <w:gridSpan w:val="2"/>
            <w:tcBorders>
              <w:top w:val="nil"/>
              <w:left w:val="nil"/>
              <w:bottom w:val="nil"/>
              <w:right w:val="nil"/>
            </w:tcBorders>
            <w:shd w:val="clear" w:color="000000" w:fill="FFFFFF"/>
            <w:vAlign w:val="bottom"/>
            <w:hideMark/>
          </w:tcPr>
          <w:p w14:paraId="6D29FF87"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xml:space="preserve">- </w:t>
            </w:r>
          </w:p>
        </w:tc>
        <w:tc>
          <w:tcPr>
            <w:tcW w:w="1418" w:type="dxa"/>
            <w:tcBorders>
              <w:top w:val="nil"/>
              <w:left w:val="nil"/>
              <w:bottom w:val="nil"/>
              <w:right w:val="nil"/>
            </w:tcBorders>
            <w:shd w:val="clear" w:color="000000" w:fill="FFFFFF"/>
            <w:vAlign w:val="bottom"/>
            <w:hideMark/>
          </w:tcPr>
          <w:p w14:paraId="7F3CCBF6"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88</w:t>
            </w:r>
          </w:p>
        </w:tc>
        <w:tc>
          <w:tcPr>
            <w:tcW w:w="850" w:type="dxa"/>
            <w:tcBorders>
              <w:top w:val="nil"/>
              <w:left w:val="nil"/>
              <w:bottom w:val="nil"/>
              <w:right w:val="nil"/>
            </w:tcBorders>
            <w:shd w:val="clear" w:color="000000" w:fill="FFFFFF"/>
            <w:vAlign w:val="bottom"/>
            <w:hideMark/>
          </w:tcPr>
          <w:p w14:paraId="5A698830"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88</w:t>
            </w:r>
          </w:p>
        </w:tc>
        <w:tc>
          <w:tcPr>
            <w:tcW w:w="284" w:type="dxa"/>
            <w:tcBorders>
              <w:top w:val="nil"/>
              <w:left w:val="nil"/>
              <w:bottom w:val="nil"/>
              <w:right w:val="nil"/>
            </w:tcBorders>
            <w:shd w:val="clear" w:color="000000" w:fill="FFFFFF"/>
            <w:noWrap/>
            <w:vAlign w:val="bottom"/>
            <w:hideMark/>
          </w:tcPr>
          <w:p w14:paraId="1D9A81F7"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nil"/>
              <w:right w:val="nil"/>
            </w:tcBorders>
            <w:shd w:val="clear" w:color="000000" w:fill="FFFFFF"/>
            <w:vAlign w:val="bottom"/>
            <w:hideMark/>
          </w:tcPr>
          <w:p w14:paraId="4B78A31E"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xml:space="preserve">(335) </w:t>
            </w:r>
          </w:p>
        </w:tc>
        <w:tc>
          <w:tcPr>
            <w:tcW w:w="1143" w:type="dxa"/>
            <w:tcBorders>
              <w:top w:val="nil"/>
              <w:left w:val="nil"/>
              <w:bottom w:val="nil"/>
              <w:right w:val="nil"/>
            </w:tcBorders>
            <w:shd w:val="clear" w:color="000000" w:fill="FFFFFF"/>
            <w:vAlign w:val="bottom"/>
            <w:hideMark/>
          </w:tcPr>
          <w:p w14:paraId="6E168D30"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(257)</w:t>
            </w:r>
          </w:p>
        </w:tc>
        <w:tc>
          <w:tcPr>
            <w:tcW w:w="793" w:type="dxa"/>
            <w:tcBorders>
              <w:top w:val="nil"/>
              <w:left w:val="nil"/>
              <w:bottom w:val="nil"/>
              <w:right w:val="nil"/>
            </w:tcBorders>
            <w:shd w:val="clear" w:color="000000" w:fill="FFFFFF"/>
            <w:vAlign w:val="bottom"/>
            <w:hideMark/>
          </w:tcPr>
          <w:p w14:paraId="72335BBA"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xml:space="preserve">   (592)</w:t>
            </w:r>
          </w:p>
        </w:tc>
      </w:tr>
      <w:tr w:rsidR="00891B3A" w:rsidRPr="00ED61B9" w14:paraId="73E4665C" w14:textId="77777777" w:rsidTr="00891B3A">
        <w:trPr>
          <w:trHeight w:val="269"/>
        </w:trPr>
        <w:tc>
          <w:tcPr>
            <w:tcW w:w="2302" w:type="dxa"/>
            <w:tcBorders>
              <w:top w:val="nil"/>
              <w:left w:val="nil"/>
              <w:bottom w:val="nil"/>
              <w:right w:val="nil"/>
            </w:tcBorders>
            <w:shd w:val="clear" w:color="000000" w:fill="FFFFFF"/>
            <w:noWrap/>
            <w:vAlign w:val="bottom"/>
            <w:hideMark/>
          </w:tcPr>
          <w:p w14:paraId="018E0B7A"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Unquoted</w:t>
            </w:r>
          </w:p>
        </w:tc>
        <w:tc>
          <w:tcPr>
            <w:tcW w:w="992" w:type="dxa"/>
            <w:gridSpan w:val="2"/>
            <w:tcBorders>
              <w:top w:val="nil"/>
              <w:left w:val="nil"/>
              <w:bottom w:val="nil"/>
              <w:right w:val="nil"/>
            </w:tcBorders>
            <w:shd w:val="clear" w:color="000000" w:fill="FFFFFF"/>
            <w:vAlign w:val="bottom"/>
            <w:hideMark/>
          </w:tcPr>
          <w:p w14:paraId="415AF853"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(5)</w:t>
            </w:r>
          </w:p>
        </w:tc>
        <w:tc>
          <w:tcPr>
            <w:tcW w:w="1418" w:type="dxa"/>
            <w:tcBorders>
              <w:top w:val="nil"/>
              <w:left w:val="nil"/>
              <w:bottom w:val="nil"/>
              <w:right w:val="nil"/>
            </w:tcBorders>
            <w:shd w:val="clear" w:color="000000" w:fill="FFFFFF"/>
            <w:vAlign w:val="bottom"/>
            <w:hideMark/>
          </w:tcPr>
          <w:p w14:paraId="59F55A0D" w14:textId="13D59AF3"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w:t>
            </w:r>
            <w:r w:rsidR="004B4AA6">
              <w:rPr>
                <w:rFonts w:ascii="Arial" w:eastAsia="Times New Roman" w:hAnsi="Arial" w:cs="Arial"/>
                <w:b/>
                <w:bCs/>
                <w:sz w:val="18"/>
                <w:szCs w:val="18"/>
                <w:lang w:val="en-SG" w:eastAsia="en-SG"/>
              </w:rPr>
              <w:t>74</w:t>
            </w:r>
            <w:r w:rsidR="004B0ABD">
              <w:rPr>
                <w:rFonts w:ascii="Arial" w:eastAsia="Times New Roman" w:hAnsi="Arial" w:cs="Arial"/>
                <w:b/>
                <w:bCs/>
                <w:sz w:val="18"/>
                <w:szCs w:val="18"/>
                <w:lang w:val="en-SG" w:eastAsia="en-SG"/>
              </w:rPr>
              <w:t>5</w:t>
            </w:r>
            <w:r w:rsidRPr="00AC0617">
              <w:rPr>
                <w:rFonts w:ascii="Arial" w:eastAsia="Times New Roman" w:hAnsi="Arial" w:cs="Arial"/>
                <w:b/>
                <w:bCs/>
                <w:sz w:val="18"/>
                <w:szCs w:val="18"/>
                <w:lang w:val="en-SG" w:eastAsia="en-SG"/>
              </w:rPr>
              <w:t>)</w:t>
            </w:r>
          </w:p>
        </w:tc>
        <w:tc>
          <w:tcPr>
            <w:tcW w:w="850" w:type="dxa"/>
            <w:tcBorders>
              <w:top w:val="nil"/>
              <w:left w:val="nil"/>
              <w:bottom w:val="nil"/>
              <w:right w:val="nil"/>
            </w:tcBorders>
            <w:shd w:val="clear" w:color="000000" w:fill="FFFFFF"/>
            <w:vAlign w:val="bottom"/>
            <w:hideMark/>
          </w:tcPr>
          <w:p w14:paraId="348C781E" w14:textId="1FE418E1"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w:t>
            </w:r>
            <w:r w:rsidR="004B0ABD">
              <w:rPr>
                <w:rFonts w:ascii="Arial" w:eastAsia="Times New Roman" w:hAnsi="Arial" w:cs="Arial"/>
                <w:b/>
                <w:bCs/>
                <w:sz w:val="18"/>
                <w:szCs w:val="18"/>
                <w:lang w:val="en-SG" w:eastAsia="en-SG"/>
              </w:rPr>
              <w:t>7</w:t>
            </w:r>
            <w:r w:rsidRPr="00AC0617">
              <w:rPr>
                <w:rFonts w:ascii="Arial" w:eastAsia="Times New Roman" w:hAnsi="Arial" w:cs="Arial"/>
                <w:b/>
                <w:bCs/>
                <w:sz w:val="18"/>
                <w:szCs w:val="18"/>
                <w:lang w:val="en-SG" w:eastAsia="en-SG"/>
              </w:rPr>
              <w:t>50)</w:t>
            </w:r>
          </w:p>
        </w:tc>
        <w:tc>
          <w:tcPr>
            <w:tcW w:w="284" w:type="dxa"/>
            <w:tcBorders>
              <w:top w:val="nil"/>
              <w:left w:val="nil"/>
              <w:bottom w:val="nil"/>
              <w:right w:val="nil"/>
            </w:tcBorders>
            <w:shd w:val="clear" w:color="000000" w:fill="FFFFFF"/>
            <w:noWrap/>
            <w:vAlign w:val="bottom"/>
            <w:hideMark/>
          </w:tcPr>
          <w:p w14:paraId="0BE8F71C"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nil"/>
              <w:right w:val="nil"/>
            </w:tcBorders>
            <w:shd w:val="clear" w:color="000000" w:fill="FFFFFF"/>
            <w:vAlign w:val="bottom"/>
            <w:hideMark/>
          </w:tcPr>
          <w:p w14:paraId="035CA958"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6</w:t>
            </w:r>
          </w:p>
        </w:tc>
        <w:tc>
          <w:tcPr>
            <w:tcW w:w="1143" w:type="dxa"/>
            <w:tcBorders>
              <w:top w:val="nil"/>
              <w:left w:val="nil"/>
              <w:bottom w:val="nil"/>
              <w:right w:val="nil"/>
            </w:tcBorders>
            <w:shd w:val="clear" w:color="000000" w:fill="FFFFFF"/>
            <w:vAlign w:val="bottom"/>
            <w:hideMark/>
          </w:tcPr>
          <w:p w14:paraId="14D942FA"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(1,171)</w:t>
            </w:r>
          </w:p>
        </w:tc>
        <w:tc>
          <w:tcPr>
            <w:tcW w:w="793" w:type="dxa"/>
            <w:tcBorders>
              <w:top w:val="nil"/>
              <w:left w:val="nil"/>
              <w:bottom w:val="nil"/>
              <w:right w:val="nil"/>
            </w:tcBorders>
            <w:shd w:val="clear" w:color="000000" w:fill="FFFFFF"/>
            <w:vAlign w:val="bottom"/>
            <w:hideMark/>
          </w:tcPr>
          <w:p w14:paraId="6DEB3886"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(1,165)</w:t>
            </w:r>
          </w:p>
        </w:tc>
      </w:tr>
      <w:tr w:rsidR="00891B3A" w:rsidRPr="00ED61B9" w14:paraId="29E69E55" w14:textId="77777777" w:rsidTr="00891B3A">
        <w:trPr>
          <w:trHeight w:val="269"/>
        </w:trPr>
        <w:tc>
          <w:tcPr>
            <w:tcW w:w="2302" w:type="dxa"/>
            <w:tcBorders>
              <w:top w:val="nil"/>
              <w:left w:val="nil"/>
              <w:bottom w:val="nil"/>
              <w:right w:val="nil"/>
            </w:tcBorders>
            <w:shd w:val="clear" w:color="000000" w:fill="FFFFFF"/>
            <w:noWrap/>
            <w:vAlign w:val="bottom"/>
            <w:hideMark/>
          </w:tcPr>
          <w:p w14:paraId="1C37D707"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Funds</w:t>
            </w:r>
          </w:p>
        </w:tc>
        <w:tc>
          <w:tcPr>
            <w:tcW w:w="992" w:type="dxa"/>
            <w:gridSpan w:val="2"/>
            <w:tcBorders>
              <w:top w:val="nil"/>
              <w:left w:val="nil"/>
              <w:bottom w:val="nil"/>
              <w:right w:val="nil"/>
            </w:tcBorders>
            <w:shd w:val="clear" w:color="000000" w:fill="FFFFFF"/>
            <w:vAlign w:val="bottom"/>
            <w:hideMark/>
          </w:tcPr>
          <w:p w14:paraId="2540E7E9"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w:t>
            </w:r>
          </w:p>
        </w:tc>
        <w:tc>
          <w:tcPr>
            <w:tcW w:w="1418" w:type="dxa"/>
            <w:tcBorders>
              <w:top w:val="nil"/>
              <w:left w:val="nil"/>
              <w:bottom w:val="nil"/>
              <w:right w:val="nil"/>
            </w:tcBorders>
            <w:shd w:val="clear" w:color="000000" w:fill="FFFFFF"/>
            <w:vAlign w:val="bottom"/>
            <w:hideMark/>
          </w:tcPr>
          <w:p w14:paraId="460D8A3F" w14:textId="7B8AB300"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1,</w:t>
            </w:r>
            <w:r w:rsidR="004B4AA6">
              <w:rPr>
                <w:rFonts w:ascii="Arial" w:eastAsia="Times New Roman" w:hAnsi="Arial" w:cs="Arial"/>
                <w:b/>
                <w:bCs/>
                <w:sz w:val="18"/>
                <w:szCs w:val="18"/>
                <w:lang w:val="en-SG" w:eastAsia="en-SG"/>
              </w:rPr>
              <w:t>8</w:t>
            </w:r>
            <w:r>
              <w:rPr>
                <w:rFonts w:ascii="Arial" w:eastAsia="Times New Roman" w:hAnsi="Arial" w:cs="Arial"/>
                <w:b/>
                <w:bCs/>
                <w:sz w:val="18"/>
                <w:szCs w:val="18"/>
                <w:lang w:val="en-SG" w:eastAsia="en-SG"/>
              </w:rPr>
              <w:t>77</w:t>
            </w:r>
          </w:p>
        </w:tc>
        <w:tc>
          <w:tcPr>
            <w:tcW w:w="850" w:type="dxa"/>
            <w:tcBorders>
              <w:top w:val="nil"/>
              <w:left w:val="nil"/>
              <w:bottom w:val="nil"/>
              <w:right w:val="nil"/>
            </w:tcBorders>
            <w:shd w:val="clear" w:color="000000" w:fill="FFFFFF"/>
            <w:vAlign w:val="bottom"/>
            <w:hideMark/>
          </w:tcPr>
          <w:p w14:paraId="107D59FF" w14:textId="72F6426D"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1,</w:t>
            </w:r>
            <w:r w:rsidR="004B0ABD">
              <w:rPr>
                <w:rFonts w:ascii="Arial" w:eastAsia="Times New Roman" w:hAnsi="Arial" w:cs="Arial"/>
                <w:b/>
                <w:bCs/>
                <w:sz w:val="18"/>
                <w:szCs w:val="18"/>
                <w:lang w:val="en-SG" w:eastAsia="en-SG"/>
              </w:rPr>
              <w:t>8</w:t>
            </w:r>
            <w:r>
              <w:rPr>
                <w:rFonts w:ascii="Arial" w:eastAsia="Times New Roman" w:hAnsi="Arial" w:cs="Arial"/>
                <w:b/>
                <w:bCs/>
                <w:sz w:val="18"/>
                <w:szCs w:val="18"/>
                <w:lang w:val="en-SG" w:eastAsia="en-SG"/>
              </w:rPr>
              <w:t>77</w:t>
            </w:r>
          </w:p>
        </w:tc>
        <w:tc>
          <w:tcPr>
            <w:tcW w:w="284" w:type="dxa"/>
            <w:tcBorders>
              <w:top w:val="nil"/>
              <w:left w:val="nil"/>
              <w:bottom w:val="nil"/>
              <w:right w:val="nil"/>
            </w:tcBorders>
            <w:shd w:val="clear" w:color="000000" w:fill="FFFFFF"/>
            <w:noWrap/>
            <w:vAlign w:val="bottom"/>
            <w:hideMark/>
          </w:tcPr>
          <w:p w14:paraId="33F24D93"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single" w:sz="4" w:space="0" w:color="auto"/>
              <w:right w:val="nil"/>
            </w:tcBorders>
            <w:shd w:val="clear" w:color="000000" w:fill="FFFFFF"/>
            <w:vAlign w:val="bottom"/>
            <w:hideMark/>
          </w:tcPr>
          <w:p w14:paraId="7196D43F"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xml:space="preserve">- </w:t>
            </w:r>
          </w:p>
        </w:tc>
        <w:tc>
          <w:tcPr>
            <w:tcW w:w="1143" w:type="dxa"/>
            <w:tcBorders>
              <w:top w:val="nil"/>
              <w:left w:val="nil"/>
              <w:bottom w:val="single" w:sz="4" w:space="0" w:color="auto"/>
              <w:right w:val="nil"/>
            </w:tcBorders>
            <w:shd w:val="clear" w:color="000000" w:fill="FFFFFF"/>
            <w:vAlign w:val="bottom"/>
            <w:hideMark/>
          </w:tcPr>
          <w:p w14:paraId="4259588B"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(3,450)</w:t>
            </w:r>
          </w:p>
        </w:tc>
        <w:tc>
          <w:tcPr>
            <w:tcW w:w="793" w:type="dxa"/>
            <w:tcBorders>
              <w:top w:val="nil"/>
              <w:left w:val="nil"/>
              <w:bottom w:val="single" w:sz="4" w:space="0" w:color="auto"/>
              <w:right w:val="nil"/>
            </w:tcBorders>
            <w:shd w:val="clear" w:color="000000" w:fill="FFFFFF"/>
            <w:vAlign w:val="bottom"/>
            <w:hideMark/>
          </w:tcPr>
          <w:p w14:paraId="78A69672"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(3,450)</w:t>
            </w:r>
          </w:p>
        </w:tc>
      </w:tr>
      <w:tr w:rsidR="00891B3A" w:rsidRPr="00ED61B9" w14:paraId="5CB21055" w14:textId="77777777" w:rsidTr="00891B3A">
        <w:trPr>
          <w:trHeight w:val="269"/>
        </w:trPr>
        <w:tc>
          <w:tcPr>
            <w:tcW w:w="2302" w:type="dxa"/>
            <w:tcBorders>
              <w:top w:val="nil"/>
              <w:left w:val="nil"/>
              <w:bottom w:val="nil"/>
              <w:right w:val="nil"/>
            </w:tcBorders>
            <w:shd w:val="clear" w:color="000000" w:fill="FFFFFF"/>
            <w:noWrap/>
            <w:vAlign w:val="bottom"/>
            <w:hideMark/>
          </w:tcPr>
          <w:p w14:paraId="0F54F3BB"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992" w:type="dxa"/>
            <w:gridSpan w:val="2"/>
            <w:tcBorders>
              <w:top w:val="single" w:sz="4" w:space="0" w:color="auto"/>
              <w:left w:val="nil"/>
              <w:bottom w:val="single" w:sz="4" w:space="0" w:color="auto"/>
              <w:right w:val="nil"/>
            </w:tcBorders>
            <w:shd w:val="clear" w:color="000000" w:fill="FFFFFF"/>
            <w:vAlign w:val="bottom"/>
            <w:hideMark/>
          </w:tcPr>
          <w:p w14:paraId="49170009"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(5)</w:t>
            </w:r>
          </w:p>
        </w:tc>
        <w:tc>
          <w:tcPr>
            <w:tcW w:w="1418" w:type="dxa"/>
            <w:tcBorders>
              <w:top w:val="single" w:sz="4" w:space="0" w:color="auto"/>
              <w:left w:val="nil"/>
              <w:bottom w:val="single" w:sz="4" w:space="0" w:color="auto"/>
              <w:right w:val="nil"/>
            </w:tcBorders>
            <w:shd w:val="clear" w:color="000000" w:fill="FFFFFF"/>
            <w:vAlign w:val="bottom"/>
            <w:hideMark/>
          </w:tcPr>
          <w:p w14:paraId="12692E77"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1,</w:t>
            </w:r>
            <w:r>
              <w:rPr>
                <w:rFonts w:ascii="Arial" w:eastAsia="Times New Roman" w:hAnsi="Arial" w:cs="Arial"/>
                <w:b/>
                <w:bCs/>
                <w:sz w:val="18"/>
                <w:szCs w:val="18"/>
                <w:lang w:val="en-SG" w:eastAsia="en-SG"/>
              </w:rPr>
              <w:t>220</w:t>
            </w:r>
          </w:p>
        </w:tc>
        <w:tc>
          <w:tcPr>
            <w:tcW w:w="850" w:type="dxa"/>
            <w:tcBorders>
              <w:top w:val="single" w:sz="4" w:space="0" w:color="auto"/>
              <w:left w:val="nil"/>
              <w:bottom w:val="single" w:sz="4" w:space="0" w:color="auto"/>
              <w:right w:val="nil"/>
            </w:tcBorders>
            <w:shd w:val="clear" w:color="000000" w:fill="FFFFFF"/>
            <w:vAlign w:val="bottom"/>
            <w:hideMark/>
          </w:tcPr>
          <w:p w14:paraId="682852DC"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1,</w:t>
            </w:r>
            <w:r>
              <w:rPr>
                <w:rFonts w:ascii="Arial" w:eastAsia="Times New Roman" w:hAnsi="Arial" w:cs="Arial"/>
                <w:b/>
                <w:bCs/>
                <w:sz w:val="18"/>
                <w:szCs w:val="18"/>
                <w:lang w:val="en-SG" w:eastAsia="en-SG"/>
              </w:rPr>
              <w:t>215</w:t>
            </w:r>
          </w:p>
        </w:tc>
        <w:tc>
          <w:tcPr>
            <w:tcW w:w="284" w:type="dxa"/>
            <w:tcBorders>
              <w:top w:val="nil"/>
              <w:left w:val="nil"/>
              <w:bottom w:val="nil"/>
              <w:right w:val="nil"/>
            </w:tcBorders>
            <w:shd w:val="clear" w:color="000000" w:fill="FFFFFF"/>
            <w:noWrap/>
            <w:vAlign w:val="bottom"/>
            <w:hideMark/>
          </w:tcPr>
          <w:p w14:paraId="6DFFB4A2"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single" w:sz="4" w:space="0" w:color="auto"/>
              <w:right w:val="nil"/>
            </w:tcBorders>
            <w:shd w:val="clear" w:color="000000" w:fill="FFFFFF"/>
            <w:vAlign w:val="bottom"/>
            <w:hideMark/>
          </w:tcPr>
          <w:p w14:paraId="05C1AE94"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(329)</w:t>
            </w:r>
          </w:p>
        </w:tc>
        <w:tc>
          <w:tcPr>
            <w:tcW w:w="1143" w:type="dxa"/>
            <w:tcBorders>
              <w:top w:val="nil"/>
              <w:left w:val="nil"/>
              <w:bottom w:val="single" w:sz="4" w:space="0" w:color="auto"/>
              <w:right w:val="nil"/>
            </w:tcBorders>
            <w:shd w:val="clear" w:color="000000" w:fill="FFFFFF"/>
            <w:vAlign w:val="bottom"/>
            <w:hideMark/>
          </w:tcPr>
          <w:p w14:paraId="725323D4"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(4,878)</w:t>
            </w:r>
          </w:p>
        </w:tc>
        <w:tc>
          <w:tcPr>
            <w:tcW w:w="793" w:type="dxa"/>
            <w:tcBorders>
              <w:top w:val="nil"/>
              <w:left w:val="nil"/>
              <w:bottom w:val="single" w:sz="4" w:space="0" w:color="auto"/>
              <w:right w:val="nil"/>
            </w:tcBorders>
            <w:shd w:val="clear" w:color="000000" w:fill="FFFFFF"/>
            <w:vAlign w:val="bottom"/>
            <w:hideMark/>
          </w:tcPr>
          <w:p w14:paraId="7A926177"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(5,207)</w:t>
            </w:r>
          </w:p>
        </w:tc>
      </w:tr>
      <w:tr w:rsidR="00891B3A" w:rsidRPr="00ED61B9" w14:paraId="75C10844" w14:textId="77777777" w:rsidTr="00891B3A">
        <w:trPr>
          <w:trHeight w:val="269"/>
        </w:trPr>
        <w:tc>
          <w:tcPr>
            <w:tcW w:w="2302" w:type="dxa"/>
            <w:tcBorders>
              <w:top w:val="nil"/>
              <w:left w:val="nil"/>
              <w:bottom w:val="nil"/>
              <w:right w:val="nil"/>
            </w:tcBorders>
            <w:shd w:val="clear" w:color="000000" w:fill="FFFFFF"/>
            <w:noWrap/>
            <w:vAlign w:val="bottom"/>
            <w:hideMark/>
          </w:tcPr>
          <w:p w14:paraId="362981B1"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992" w:type="dxa"/>
            <w:gridSpan w:val="2"/>
            <w:tcBorders>
              <w:top w:val="nil"/>
              <w:left w:val="nil"/>
              <w:bottom w:val="nil"/>
              <w:right w:val="nil"/>
            </w:tcBorders>
            <w:shd w:val="clear" w:color="000000" w:fill="FFFFFF"/>
            <w:vAlign w:val="bottom"/>
            <w:hideMark/>
          </w:tcPr>
          <w:p w14:paraId="716143F5"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1418" w:type="dxa"/>
            <w:tcBorders>
              <w:top w:val="nil"/>
              <w:left w:val="nil"/>
              <w:bottom w:val="nil"/>
              <w:right w:val="nil"/>
            </w:tcBorders>
            <w:shd w:val="clear" w:color="000000" w:fill="FFFFFF"/>
            <w:vAlign w:val="bottom"/>
            <w:hideMark/>
          </w:tcPr>
          <w:p w14:paraId="3B78F3FB"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850" w:type="dxa"/>
            <w:tcBorders>
              <w:top w:val="nil"/>
              <w:left w:val="nil"/>
              <w:bottom w:val="nil"/>
              <w:right w:val="nil"/>
            </w:tcBorders>
            <w:shd w:val="clear" w:color="000000" w:fill="FFFFFF"/>
            <w:vAlign w:val="bottom"/>
            <w:hideMark/>
          </w:tcPr>
          <w:p w14:paraId="2A34C644"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284" w:type="dxa"/>
            <w:tcBorders>
              <w:top w:val="nil"/>
              <w:left w:val="nil"/>
              <w:bottom w:val="nil"/>
              <w:right w:val="nil"/>
            </w:tcBorders>
            <w:shd w:val="clear" w:color="000000" w:fill="FFFFFF"/>
            <w:noWrap/>
            <w:vAlign w:val="bottom"/>
            <w:hideMark/>
          </w:tcPr>
          <w:p w14:paraId="45A6EFA0"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nil"/>
              <w:right w:val="nil"/>
            </w:tcBorders>
            <w:shd w:val="clear" w:color="000000" w:fill="FFFFFF"/>
            <w:vAlign w:val="bottom"/>
            <w:hideMark/>
          </w:tcPr>
          <w:p w14:paraId="3043AD8F" w14:textId="77777777" w:rsidR="00891B3A" w:rsidRPr="00AC0617" w:rsidRDefault="00891B3A" w:rsidP="00891B3A">
            <w:pPr>
              <w:widowControl/>
              <w:spacing w:after="0" w:line="240" w:lineRule="auto"/>
              <w:jc w:val="both"/>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1143" w:type="dxa"/>
            <w:tcBorders>
              <w:top w:val="nil"/>
              <w:left w:val="nil"/>
              <w:bottom w:val="nil"/>
              <w:right w:val="nil"/>
            </w:tcBorders>
            <w:shd w:val="clear" w:color="000000" w:fill="FFFFFF"/>
            <w:vAlign w:val="bottom"/>
            <w:hideMark/>
          </w:tcPr>
          <w:p w14:paraId="2F661806" w14:textId="77777777" w:rsidR="00891B3A" w:rsidRPr="00AC0617" w:rsidRDefault="00891B3A" w:rsidP="00891B3A">
            <w:pPr>
              <w:widowControl/>
              <w:spacing w:after="0" w:line="240" w:lineRule="auto"/>
              <w:jc w:val="both"/>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793" w:type="dxa"/>
            <w:tcBorders>
              <w:top w:val="nil"/>
              <w:left w:val="nil"/>
              <w:bottom w:val="nil"/>
              <w:right w:val="nil"/>
            </w:tcBorders>
            <w:shd w:val="clear" w:color="000000" w:fill="FFFFFF"/>
            <w:vAlign w:val="bottom"/>
            <w:hideMark/>
          </w:tcPr>
          <w:p w14:paraId="7AB4662F" w14:textId="77777777" w:rsidR="00891B3A" w:rsidRPr="00AC0617" w:rsidRDefault="00891B3A" w:rsidP="00891B3A">
            <w:pPr>
              <w:widowControl/>
              <w:spacing w:after="0" w:line="240" w:lineRule="auto"/>
              <w:jc w:val="both"/>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r>
      <w:tr w:rsidR="00891B3A" w:rsidRPr="00ED61B9" w14:paraId="2D338E20" w14:textId="77777777" w:rsidTr="00891B3A">
        <w:trPr>
          <w:trHeight w:val="269"/>
        </w:trPr>
        <w:tc>
          <w:tcPr>
            <w:tcW w:w="3294" w:type="dxa"/>
            <w:gridSpan w:val="3"/>
            <w:tcBorders>
              <w:top w:val="nil"/>
              <w:left w:val="nil"/>
              <w:bottom w:val="nil"/>
              <w:right w:val="nil"/>
            </w:tcBorders>
            <w:shd w:val="clear" w:color="000000" w:fill="FFFFFF"/>
            <w:noWrap/>
            <w:vAlign w:val="bottom"/>
            <w:hideMark/>
          </w:tcPr>
          <w:p w14:paraId="096707D3"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Credit/(charge) for incentive plans</w:t>
            </w:r>
          </w:p>
        </w:tc>
        <w:tc>
          <w:tcPr>
            <w:tcW w:w="1418" w:type="dxa"/>
            <w:tcBorders>
              <w:top w:val="nil"/>
              <w:left w:val="nil"/>
              <w:bottom w:val="nil"/>
              <w:right w:val="nil"/>
            </w:tcBorders>
            <w:shd w:val="clear" w:color="000000" w:fill="FFFFFF"/>
            <w:vAlign w:val="bottom"/>
            <w:hideMark/>
          </w:tcPr>
          <w:p w14:paraId="50A3EB83"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850" w:type="dxa"/>
            <w:tcBorders>
              <w:top w:val="nil"/>
              <w:left w:val="nil"/>
              <w:bottom w:val="single" w:sz="4" w:space="0" w:color="auto"/>
              <w:right w:val="nil"/>
            </w:tcBorders>
            <w:shd w:val="clear" w:color="000000" w:fill="FFFFFF"/>
            <w:vAlign w:val="bottom"/>
            <w:hideMark/>
          </w:tcPr>
          <w:p w14:paraId="3B8EF3D5"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43</w:t>
            </w:r>
          </w:p>
        </w:tc>
        <w:tc>
          <w:tcPr>
            <w:tcW w:w="284" w:type="dxa"/>
            <w:tcBorders>
              <w:top w:val="nil"/>
              <w:left w:val="nil"/>
              <w:bottom w:val="nil"/>
              <w:right w:val="nil"/>
            </w:tcBorders>
            <w:shd w:val="clear" w:color="000000" w:fill="FFFFFF"/>
            <w:noWrap/>
            <w:vAlign w:val="bottom"/>
            <w:hideMark/>
          </w:tcPr>
          <w:p w14:paraId="762CF3CA"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nil"/>
              <w:right w:val="nil"/>
            </w:tcBorders>
            <w:shd w:val="clear" w:color="000000" w:fill="FFFFFF"/>
            <w:vAlign w:val="bottom"/>
            <w:hideMark/>
          </w:tcPr>
          <w:p w14:paraId="35917C2D"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1143" w:type="dxa"/>
            <w:tcBorders>
              <w:top w:val="nil"/>
              <w:left w:val="nil"/>
              <w:bottom w:val="nil"/>
              <w:right w:val="nil"/>
            </w:tcBorders>
            <w:shd w:val="clear" w:color="000000" w:fill="FFFFFF"/>
            <w:vAlign w:val="bottom"/>
            <w:hideMark/>
          </w:tcPr>
          <w:p w14:paraId="2955A47D"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793" w:type="dxa"/>
            <w:tcBorders>
              <w:top w:val="nil"/>
              <w:left w:val="nil"/>
              <w:bottom w:val="single" w:sz="4" w:space="0" w:color="auto"/>
              <w:right w:val="nil"/>
            </w:tcBorders>
            <w:shd w:val="clear" w:color="000000" w:fill="FFFFFF"/>
            <w:vAlign w:val="bottom"/>
            <w:hideMark/>
          </w:tcPr>
          <w:p w14:paraId="55941697"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64</w:t>
            </w:r>
          </w:p>
        </w:tc>
      </w:tr>
      <w:tr w:rsidR="00891B3A" w:rsidRPr="00ED61B9" w14:paraId="3D421ACC" w14:textId="77777777" w:rsidTr="00891B3A">
        <w:trPr>
          <w:trHeight w:val="269"/>
        </w:trPr>
        <w:tc>
          <w:tcPr>
            <w:tcW w:w="2694" w:type="dxa"/>
            <w:gridSpan w:val="2"/>
            <w:tcBorders>
              <w:top w:val="nil"/>
              <w:left w:val="nil"/>
              <w:bottom w:val="nil"/>
              <w:right w:val="nil"/>
            </w:tcBorders>
            <w:shd w:val="clear" w:color="000000" w:fill="FFFFFF"/>
            <w:noWrap/>
            <w:vAlign w:val="bottom"/>
            <w:hideMark/>
          </w:tcPr>
          <w:p w14:paraId="2DE0315A"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600" w:type="dxa"/>
            <w:tcBorders>
              <w:top w:val="nil"/>
              <w:left w:val="nil"/>
              <w:bottom w:val="nil"/>
              <w:right w:val="nil"/>
            </w:tcBorders>
            <w:shd w:val="clear" w:color="000000" w:fill="FFFFFF"/>
            <w:vAlign w:val="bottom"/>
            <w:hideMark/>
          </w:tcPr>
          <w:p w14:paraId="0CD2075D"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1418" w:type="dxa"/>
            <w:tcBorders>
              <w:top w:val="nil"/>
              <w:left w:val="nil"/>
              <w:right w:val="nil"/>
            </w:tcBorders>
            <w:shd w:val="clear" w:color="000000" w:fill="FFFFFF"/>
            <w:vAlign w:val="bottom"/>
            <w:hideMark/>
          </w:tcPr>
          <w:p w14:paraId="70714111"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850" w:type="dxa"/>
            <w:tcBorders>
              <w:top w:val="nil"/>
              <w:left w:val="nil"/>
              <w:right w:val="nil"/>
            </w:tcBorders>
            <w:shd w:val="clear" w:color="000000" w:fill="FFFFFF"/>
            <w:vAlign w:val="bottom"/>
            <w:hideMark/>
          </w:tcPr>
          <w:p w14:paraId="43DA118D"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1,</w:t>
            </w:r>
            <w:r>
              <w:rPr>
                <w:rFonts w:ascii="Arial" w:eastAsia="Times New Roman" w:hAnsi="Arial" w:cs="Arial"/>
                <w:b/>
                <w:bCs/>
                <w:sz w:val="18"/>
                <w:szCs w:val="18"/>
                <w:lang w:val="en-SG" w:eastAsia="en-SG"/>
              </w:rPr>
              <w:t>258</w:t>
            </w:r>
          </w:p>
        </w:tc>
        <w:tc>
          <w:tcPr>
            <w:tcW w:w="284" w:type="dxa"/>
            <w:tcBorders>
              <w:top w:val="nil"/>
              <w:left w:val="nil"/>
              <w:bottom w:val="nil"/>
              <w:right w:val="nil"/>
            </w:tcBorders>
            <w:shd w:val="clear" w:color="000000" w:fill="FFFFFF"/>
            <w:noWrap/>
            <w:vAlign w:val="bottom"/>
            <w:hideMark/>
          </w:tcPr>
          <w:p w14:paraId="1FE0291D"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nil"/>
              <w:right w:val="nil"/>
            </w:tcBorders>
            <w:shd w:val="clear" w:color="000000" w:fill="FFFFFF"/>
            <w:vAlign w:val="bottom"/>
            <w:hideMark/>
          </w:tcPr>
          <w:p w14:paraId="7595FDAC"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1143" w:type="dxa"/>
            <w:tcBorders>
              <w:top w:val="nil"/>
              <w:left w:val="nil"/>
              <w:right w:val="nil"/>
            </w:tcBorders>
            <w:shd w:val="clear" w:color="000000" w:fill="FFFFFF"/>
            <w:vAlign w:val="bottom"/>
            <w:hideMark/>
          </w:tcPr>
          <w:p w14:paraId="16319BE9"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793" w:type="dxa"/>
            <w:tcBorders>
              <w:top w:val="nil"/>
              <w:left w:val="nil"/>
              <w:right w:val="nil"/>
            </w:tcBorders>
            <w:shd w:val="clear" w:color="000000" w:fill="FFFFFF"/>
            <w:vAlign w:val="bottom"/>
            <w:hideMark/>
          </w:tcPr>
          <w:p w14:paraId="0836E6D4"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(5,143)</w:t>
            </w:r>
          </w:p>
        </w:tc>
      </w:tr>
      <w:tr w:rsidR="00891B3A" w:rsidRPr="00ED61B9" w14:paraId="78306CE0" w14:textId="77777777" w:rsidTr="00891B3A">
        <w:trPr>
          <w:trHeight w:val="269"/>
        </w:trPr>
        <w:tc>
          <w:tcPr>
            <w:tcW w:w="3294" w:type="dxa"/>
            <w:gridSpan w:val="3"/>
            <w:tcBorders>
              <w:top w:val="nil"/>
              <w:left w:val="nil"/>
              <w:right w:val="nil"/>
            </w:tcBorders>
            <w:shd w:val="clear" w:color="000000" w:fill="FFFFFF"/>
            <w:noWrap/>
            <w:vAlign w:val="bottom"/>
          </w:tcPr>
          <w:p w14:paraId="2C0ADE66" w14:textId="3C41D739"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sz w:val="18"/>
                <w:szCs w:val="18"/>
                <w:lang w:val="en-SG" w:eastAsia="en-SG"/>
              </w:rPr>
              <w:t>Net (loss</w:t>
            </w:r>
            <w:r w:rsidR="00EE58EE">
              <w:rPr>
                <w:rFonts w:ascii="Arial" w:eastAsia="Times New Roman" w:hAnsi="Arial" w:cs="Arial"/>
                <w:sz w:val="18"/>
                <w:szCs w:val="18"/>
                <w:lang w:val="en-SG" w:eastAsia="en-SG"/>
              </w:rPr>
              <w:t>es</w:t>
            </w:r>
            <w:r w:rsidRPr="00AC0617">
              <w:rPr>
                <w:rFonts w:ascii="Arial" w:eastAsia="Times New Roman" w:hAnsi="Arial" w:cs="Arial"/>
                <w:sz w:val="18"/>
                <w:szCs w:val="18"/>
                <w:lang w:val="en-SG" w:eastAsia="en-SG"/>
              </w:rPr>
              <w:t>)/gain</w:t>
            </w:r>
            <w:r w:rsidR="00EE58EE">
              <w:rPr>
                <w:rFonts w:ascii="Arial" w:eastAsia="Times New Roman" w:hAnsi="Arial" w:cs="Arial"/>
                <w:sz w:val="18"/>
                <w:szCs w:val="18"/>
                <w:lang w:val="en-SG" w:eastAsia="en-SG"/>
              </w:rPr>
              <w:t>s</w:t>
            </w:r>
            <w:r w:rsidRPr="00AC0617">
              <w:rPr>
                <w:rFonts w:ascii="Arial" w:eastAsia="Times New Roman" w:hAnsi="Arial" w:cs="Arial"/>
                <w:sz w:val="18"/>
                <w:szCs w:val="18"/>
                <w:lang w:val="en-SG" w:eastAsia="en-SG"/>
              </w:rPr>
              <w:t xml:space="preserve"> on foreign currency</w:t>
            </w:r>
          </w:p>
        </w:tc>
        <w:tc>
          <w:tcPr>
            <w:tcW w:w="1418" w:type="dxa"/>
            <w:tcBorders>
              <w:top w:val="nil"/>
              <w:left w:val="nil"/>
              <w:right w:val="nil"/>
            </w:tcBorders>
            <w:shd w:val="clear" w:color="000000" w:fill="FFFFFF"/>
            <w:vAlign w:val="bottom"/>
          </w:tcPr>
          <w:p w14:paraId="3802C42D"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p>
        </w:tc>
        <w:tc>
          <w:tcPr>
            <w:tcW w:w="850" w:type="dxa"/>
            <w:tcBorders>
              <w:top w:val="nil"/>
              <w:left w:val="nil"/>
              <w:right w:val="nil"/>
            </w:tcBorders>
            <w:shd w:val="clear" w:color="000000" w:fill="FFFFFF"/>
            <w:vAlign w:val="bottom"/>
          </w:tcPr>
          <w:p w14:paraId="5D2CB302" w14:textId="77777777"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(168)</w:t>
            </w:r>
          </w:p>
        </w:tc>
        <w:tc>
          <w:tcPr>
            <w:tcW w:w="284" w:type="dxa"/>
            <w:tcBorders>
              <w:top w:val="nil"/>
              <w:left w:val="nil"/>
              <w:bottom w:val="nil"/>
              <w:right w:val="nil"/>
            </w:tcBorders>
            <w:shd w:val="clear" w:color="000000" w:fill="FFFFFF"/>
            <w:noWrap/>
            <w:vAlign w:val="bottom"/>
          </w:tcPr>
          <w:p w14:paraId="16DC4A91"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p>
        </w:tc>
        <w:tc>
          <w:tcPr>
            <w:tcW w:w="1417" w:type="dxa"/>
            <w:tcBorders>
              <w:top w:val="nil"/>
              <w:left w:val="nil"/>
              <w:bottom w:val="nil"/>
              <w:right w:val="nil"/>
            </w:tcBorders>
            <w:shd w:val="clear" w:color="000000" w:fill="FFFFFF"/>
            <w:vAlign w:val="bottom"/>
          </w:tcPr>
          <w:p w14:paraId="1C25534D"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p>
        </w:tc>
        <w:tc>
          <w:tcPr>
            <w:tcW w:w="1143" w:type="dxa"/>
            <w:tcBorders>
              <w:top w:val="nil"/>
              <w:left w:val="nil"/>
              <w:right w:val="nil"/>
            </w:tcBorders>
            <w:shd w:val="clear" w:color="000000" w:fill="FFFFFF"/>
            <w:vAlign w:val="bottom"/>
          </w:tcPr>
          <w:p w14:paraId="5EF97468"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p>
        </w:tc>
        <w:tc>
          <w:tcPr>
            <w:tcW w:w="793" w:type="dxa"/>
            <w:tcBorders>
              <w:top w:val="nil"/>
              <w:left w:val="nil"/>
              <w:right w:val="nil"/>
            </w:tcBorders>
            <w:shd w:val="clear" w:color="000000" w:fill="FFFFFF"/>
            <w:vAlign w:val="bottom"/>
          </w:tcPr>
          <w:p w14:paraId="22F3A5E8"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672</w:t>
            </w:r>
          </w:p>
        </w:tc>
      </w:tr>
      <w:tr w:rsidR="00891B3A" w:rsidRPr="00ED61B9" w14:paraId="426B281D" w14:textId="77777777" w:rsidTr="00891B3A">
        <w:trPr>
          <w:trHeight w:val="244"/>
        </w:trPr>
        <w:tc>
          <w:tcPr>
            <w:tcW w:w="3294" w:type="dxa"/>
            <w:gridSpan w:val="3"/>
            <w:tcBorders>
              <w:top w:val="nil"/>
              <w:left w:val="nil"/>
              <w:bottom w:val="single" w:sz="4" w:space="0" w:color="auto"/>
              <w:right w:val="nil"/>
            </w:tcBorders>
            <w:shd w:val="clear" w:color="000000" w:fill="FFFFFF"/>
            <w:noWrap/>
            <w:vAlign w:val="bottom"/>
            <w:hideMark/>
          </w:tcPr>
          <w:p w14:paraId="74CDC508"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xml:space="preserve">Operating and similar       </w:t>
            </w:r>
          </w:p>
          <w:p w14:paraId="2644F27D" w14:textId="3A3C087C" w:rsidR="00D1323C" w:rsidRPr="00D1323C"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xml:space="preserve">expenses of subsidiaries                                           </w:t>
            </w:r>
          </w:p>
        </w:tc>
        <w:tc>
          <w:tcPr>
            <w:tcW w:w="1418" w:type="dxa"/>
            <w:tcBorders>
              <w:top w:val="nil"/>
              <w:left w:val="nil"/>
              <w:bottom w:val="single" w:sz="4" w:space="0" w:color="auto"/>
              <w:right w:val="nil"/>
            </w:tcBorders>
            <w:shd w:val="clear" w:color="000000" w:fill="FFFFFF"/>
            <w:vAlign w:val="bottom"/>
            <w:hideMark/>
          </w:tcPr>
          <w:p w14:paraId="3E177223"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850" w:type="dxa"/>
            <w:tcBorders>
              <w:top w:val="nil"/>
              <w:left w:val="nil"/>
              <w:bottom w:val="single" w:sz="4" w:space="0" w:color="auto"/>
              <w:right w:val="nil"/>
            </w:tcBorders>
            <w:shd w:val="clear" w:color="auto" w:fill="auto"/>
            <w:noWrap/>
            <w:vAlign w:val="bottom"/>
            <w:hideMark/>
          </w:tcPr>
          <w:p w14:paraId="2482828E" w14:textId="6DD91CB5"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w:t>
            </w:r>
            <w:r>
              <w:rPr>
                <w:rFonts w:ascii="Arial" w:eastAsia="Times New Roman" w:hAnsi="Arial" w:cs="Arial"/>
                <w:b/>
                <w:bCs/>
                <w:sz w:val="18"/>
                <w:szCs w:val="18"/>
                <w:lang w:val="en-SG" w:eastAsia="en-SG"/>
              </w:rPr>
              <w:t>1</w:t>
            </w:r>
            <w:r w:rsidR="00675207">
              <w:rPr>
                <w:rFonts w:ascii="Arial" w:eastAsia="Times New Roman" w:hAnsi="Arial" w:cs="Arial"/>
                <w:b/>
                <w:bCs/>
                <w:sz w:val="18"/>
                <w:szCs w:val="18"/>
                <w:lang w:val="en-SG" w:eastAsia="en-SG"/>
              </w:rPr>
              <w:t>16</w:t>
            </w:r>
            <w:r w:rsidRPr="00AC0617">
              <w:rPr>
                <w:rFonts w:ascii="Arial" w:eastAsia="Times New Roman" w:hAnsi="Arial" w:cs="Arial"/>
                <w:b/>
                <w:bCs/>
                <w:sz w:val="18"/>
                <w:szCs w:val="18"/>
                <w:lang w:val="en-SG" w:eastAsia="en-SG"/>
              </w:rPr>
              <w:t>)</w:t>
            </w:r>
          </w:p>
        </w:tc>
        <w:tc>
          <w:tcPr>
            <w:tcW w:w="284" w:type="dxa"/>
            <w:tcBorders>
              <w:top w:val="nil"/>
              <w:left w:val="nil"/>
              <w:right w:val="nil"/>
            </w:tcBorders>
            <w:shd w:val="clear" w:color="000000" w:fill="FFFFFF"/>
            <w:noWrap/>
            <w:vAlign w:val="bottom"/>
            <w:hideMark/>
          </w:tcPr>
          <w:p w14:paraId="3DD75342"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single" w:sz="4" w:space="0" w:color="auto"/>
              <w:right w:val="nil"/>
            </w:tcBorders>
            <w:shd w:val="clear" w:color="000000" w:fill="FFFFFF"/>
            <w:vAlign w:val="bottom"/>
            <w:hideMark/>
          </w:tcPr>
          <w:p w14:paraId="08A1E45F"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1143" w:type="dxa"/>
            <w:tcBorders>
              <w:top w:val="nil"/>
              <w:left w:val="nil"/>
              <w:bottom w:val="single" w:sz="4" w:space="0" w:color="auto"/>
              <w:right w:val="nil"/>
            </w:tcBorders>
            <w:shd w:val="clear" w:color="000000" w:fill="FFFFFF"/>
            <w:vAlign w:val="bottom"/>
            <w:hideMark/>
          </w:tcPr>
          <w:p w14:paraId="45C2B860"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793" w:type="dxa"/>
            <w:tcBorders>
              <w:top w:val="nil"/>
              <w:left w:val="nil"/>
              <w:bottom w:val="single" w:sz="4" w:space="0" w:color="auto"/>
              <w:right w:val="nil"/>
            </w:tcBorders>
            <w:shd w:val="clear" w:color="auto" w:fill="auto"/>
            <w:noWrap/>
            <w:vAlign w:val="bottom"/>
            <w:hideMark/>
          </w:tcPr>
          <w:p w14:paraId="5A2806A0"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p>
          <w:p w14:paraId="4C931A77"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(325)</w:t>
            </w:r>
          </w:p>
        </w:tc>
      </w:tr>
      <w:tr w:rsidR="00891B3A" w:rsidRPr="00ED61B9" w14:paraId="1E10FEE6" w14:textId="77777777" w:rsidTr="00891B3A">
        <w:trPr>
          <w:trHeight w:val="269"/>
        </w:trPr>
        <w:tc>
          <w:tcPr>
            <w:tcW w:w="2694" w:type="dxa"/>
            <w:gridSpan w:val="2"/>
            <w:tcBorders>
              <w:top w:val="single" w:sz="4" w:space="0" w:color="auto"/>
              <w:left w:val="nil"/>
              <w:bottom w:val="single" w:sz="4" w:space="0" w:color="auto"/>
              <w:right w:val="nil"/>
            </w:tcBorders>
            <w:shd w:val="clear" w:color="000000" w:fill="FFFFFF"/>
            <w:noWrap/>
            <w:vAlign w:val="bottom"/>
            <w:hideMark/>
          </w:tcPr>
          <w:p w14:paraId="23EEB50E"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600" w:type="dxa"/>
            <w:tcBorders>
              <w:top w:val="single" w:sz="4" w:space="0" w:color="auto"/>
              <w:left w:val="nil"/>
              <w:bottom w:val="single" w:sz="4" w:space="0" w:color="auto"/>
              <w:right w:val="nil"/>
            </w:tcBorders>
            <w:shd w:val="clear" w:color="000000" w:fill="FFFFFF"/>
            <w:vAlign w:val="bottom"/>
            <w:hideMark/>
          </w:tcPr>
          <w:p w14:paraId="17A4AFBB"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1418" w:type="dxa"/>
            <w:tcBorders>
              <w:top w:val="single" w:sz="4" w:space="0" w:color="auto"/>
              <w:left w:val="nil"/>
              <w:bottom w:val="single" w:sz="4" w:space="0" w:color="auto"/>
              <w:right w:val="nil"/>
            </w:tcBorders>
            <w:shd w:val="clear" w:color="000000" w:fill="FFFFFF"/>
            <w:vAlign w:val="bottom"/>
            <w:hideMark/>
          </w:tcPr>
          <w:p w14:paraId="23F66404"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 </w:t>
            </w:r>
          </w:p>
        </w:tc>
        <w:tc>
          <w:tcPr>
            <w:tcW w:w="850" w:type="dxa"/>
            <w:tcBorders>
              <w:top w:val="single" w:sz="4" w:space="0" w:color="auto"/>
              <w:left w:val="nil"/>
              <w:bottom w:val="single" w:sz="4" w:space="0" w:color="auto"/>
              <w:right w:val="nil"/>
            </w:tcBorders>
            <w:shd w:val="clear" w:color="000000" w:fill="FFFFFF"/>
            <w:vAlign w:val="bottom"/>
            <w:hideMark/>
          </w:tcPr>
          <w:p w14:paraId="3E67A114" w14:textId="152CBBB1" w:rsidR="00891B3A" w:rsidRPr="00AC0617" w:rsidRDefault="00891B3A" w:rsidP="00891B3A">
            <w:pPr>
              <w:widowControl/>
              <w:spacing w:after="0" w:line="240" w:lineRule="auto"/>
              <w:jc w:val="right"/>
              <w:rPr>
                <w:rFonts w:ascii="Arial" w:eastAsia="Times New Roman" w:hAnsi="Arial" w:cs="Arial"/>
                <w:b/>
                <w:bCs/>
                <w:sz w:val="18"/>
                <w:szCs w:val="18"/>
                <w:lang w:val="en-SG" w:eastAsia="en-SG"/>
              </w:rPr>
            </w:pPr>
            <w:r w:rsidRPr="00AC0617">
              <w:rPr>
                <w:rFonts w:ascii="Arial" w:eastAsia="Times New Roman" w:hAnsi="Arial" w:cs="Arial"/>
                <w:b/>
                <w:bCs/>
                <w:sz w:val="18"/>
                <w:szCs w:val="18"/>
                <w:lang w:val="en-SG" w:eastAsia="en-SG"/>
              </w:rPr>
              <w:t>9</w:t>
            </w:r>
            <w:r w:rsidR="00B67765">
              <w:rPr>
                <w:rFonts w:ascii="Arial" w:eastAsia="Times New Roman" w:hAnsi="Arial" w:cs="Arial"/>
                <w:b/>
                <w:bCs/>
                <w:sz w:val="18"/>
                <w:szCs w:val="18"/>
                <w:lang w:val="en-SG" w:eastAsia="en-SG"/>
              </w:rPr>
              <w:t>74</w:t>
            </w:r>
          </w:p>
        </w:tc>
        <w:tc>
          <w:tcPr>
            <w:tcW w:w="284" w:type="dxa"/>
            <w:tcBorders>
              <w:top w:val="nil"/>
              <w:left w:val="nil"/>
              <w:right w:val="nil"/>
            </w:tcBorders>
            <w:shd w:val="clear" w:color="000000" w:fill="FFFFFF"/>
            <w:noWrap/>
            <w:vAlign w:val="bottom"/>
            <w:hideMark/>
          </w:tcPr>
          <w:p w14:paraId="289B5BE0" w14:textId="77777777" w:rsidR="00891B3A" w:rsidRPr="00AC0617" w:rsidRDefault="00891B3A" w:rsidP="00891B3A">
            <w:pPr>
              <w:widowControl/>
              <w:spacing w:after="0" w:line="240" w:lineRule="auto"/>
              <w:jc w:val="right"/>
              <w:rPr>
                <w:rFonts w:ascii="Arial" w:eastAsia="Times New Roman" w:hAnsi="Arial" w:cs="Arial"/>
                <w:sz w:val="18"/>
                <w:szCs w:val="18"/>
                <w:lang w:val="en-SG" w:eastAsia="en-SG"/>
              </w:rPr>
            </w:pPr>
            <w:r w:rsidRPr="00AC0617">
              <w:rPr>
                <w:rFonts w:ascii="Arial" w:eastAsia="Times New Roman" w:hAnsi="Arial" w:cs="Arial"/>
                <w:sz w:val="18"/>
                <w:szCs w:val="18"/>
                <w:lang w:val="en-SG" w:eastAsia="en-SG"/>
              </w:rPr>
              <w:t> </w:t>
            </w:r>
          </w:p>
        </w:tc>
        <w:tc>
          <w:tcPr>
            <w:tcW w:w="1417" w:type="dxa"/>
            <w:tcBorders>
              <w:top w:val="nil"/>
              <w:left w:val="nil"/>
              <w:bottom w:val="single" w:sz="4" w:space="0" w:color="auto"/>
              <w:right w:val="nil"/>
            </w:tcBorders>
            <w:shd w:val="clear" w:color="000000" w:fill="FFFFFF"/>
            <w:vAlign w:val="bottom"/>
            <w:hideMark/>
          </w:tcPr>
          <w:p w14:paraId="6B207185"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1143" w:type="dxa"/>
            <w:tcBorders>
              <w:top w:val="single" w:sz="4" w:space="0" w:color="auto"/>
              <w:left w:val="nil"/>
              <w:bottom w:val="single" w:sz="4" w:space="0" w:color="auto"/>
              <w:right w:val="nil"/>
            </w:tcBorders>
            <w:shd w:val="clear" w:color="000000" w:fill="FFFFFF"/>
            <w:vAlign w:val="bottom"/>
            <w:hideMark/>
          </w:tcPr>
          <w:p w14:paraId="56AFF0A7"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 </w:t>
            </w:r>
          </w:p>
        </w:tc>
        <w:tc>
          <w:tcPr>
            <w:tcW w:w="793" w:type="dxa"/>
            <w:tcBorders>
              <w:top w:val="single" w:sz="4" w:space="0" w:color="auto"/>
              <w:left w:val="nil"/>
              <w:bottom w:val="single" w:sz="4" w:space="0" w:color="auto"/>
              <w:right w:val="nil"/>
            </w:tcBorders>
            <w:shd w:val="clear" w:color="000000" w:fill="FFFFFF"/>
            <w:vAlign w:val="bottom"/>
            <w:hideMark/>
          </w:tcPr>
          <w:p w14:paraId="36B021E4" w14:textId="77777777" w:rsidR="00891B3A" w:rsidRPr="00AC0617" w:rsidRDefault="00891B3A" w:rsidP="00891B3A">
            <w:pPr>
              <w:widowControl/>
              <w:spacing w:after="0" w:line="240" w:lineRule="auto"/>
              <w:jc w:val="right"/>
              <w:rPr>
                <w:rFonts w:ascii="Arial" w:eastAsia="Times New Roman" w:hAnsi="Arial" w:cs="Arial"/>
                <w:bCs/>
                <w:sz w:val="18"/>
                <w:szCs w:val="18"/>
                <w:lang w:val="en-SG" w:eastAsia="en-SG"/>
              </w:rPr>
            </w:pPr>
            <w:r w:rsidRPr="00AC0617">
              <w:rPr>
                <w:rFonts w:ascii="Arial" w:eastAsia="Times New Roman" w:hAnsi="Arial" w:cs="Arial"/>
                <w:bCs/>
                <w:sz w:val="18"/>
                <w:szCs w:val="18"/>
                <w:lang w:val="en-SG" w:eastAsia="en-SG"/>
              </w:rPr>
              <w:t>(4,796)</w:t>
            </w:r>
          </w:p>
        </w:tc>
      </w:tr>
      <w:tr w:rsidR="00891B3A" w:rsidRPr="00ED61B9" w14:paraId="2C3E1FBC" w14:textId="77777777" w:rsidTr="00891B3A">
        <w:trPr>
          <w:trHeight w:val="269"/>
        </w:trPr>
        <w:tc>
          <w:tcPr>
            <w:tcW w:w="2694" w:type="dxa"/>
            <w:gridSpan w:val="2"/>
            <w:tcBorders>
              <w:top w:val="single" w:sz="4" w:space="0" w:color="auto"/>
              <w:left w:val="nil"/>
              <w:right w:val="nil"/>
            </w:tcBorders>
            <w:shd w:val="clear" w:color="000000" w:fill="FFFFFF"/>
            <w:noWrap/>
            <w:vAlign w:val="bottom"/>
          </w:tcPr>
          <w:p w14:paraId="0D0F7395"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p>
        </w:tc>
        <w:tc>
          <w:tcPr>
            <w:tcW w:w="600" w:type="dxa"/>
            <w:tcBorders>
              <w:top w:val="single" w:sz="4" w:space="0" w:color="auto"/>
              <w:left w:val="nil"/>
              <w:right w:val="nil"/>
            </w:tcBorders>
            <w:shd w:val="clear" w:color="000000" w:fill="FFFFFF"/>
            <w:vAlign w:val="bottom"/>
          </w:tcPr>
          <w:p w14:paraId="24D1CD2F"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p>
        </w:tc>
        <w:tc>
          <w:tcPr>
            <w:tcW w:w="1418" w:type="dxa"/>
            <w:tcBorders>
              <w:top w:val="single" w:sz="4" w:space="0" w:color="auto"/>
              <w:left w:val="nil"/>
              <w:right w:val="nil"/>
            </w:tcBorders>
            <w:shd w:val="clear" w:color="000000" w:fill="FFFFFF"/>
            <w:vAlign w:val="bottom"/>
          </w:tcPr>
          <w:p w14:paraId="1FB94471"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p>
        </w:tc>
        <w:tc>
          <w:tcPr>
            <w:tcW w:w="850" w:type="dxa"/>
            <w:tcBorders>
              <w:top w:val="single" w:sz="4" w:space="0" w:color="auto"/>
              <w:left w:val="nil"/>
              <w:right w:val="nil"/>
            </w:tcBorders>
            <w:shd w:val="clear" w:color="000000" w:fill="FFFFFF"/>
            <w:vAlign w:val="bottom"/>
          </w:tcPr>
          <w:p w14:paraId="218357A7" w14:textId="77777777" w:rsidR="00891B3A" w:rsidRPr="00AC0617" w:rsidRDefault="00891B3A" w:rsidP="00891B3A">
            <w:pPr>
              <w:widowControl/>
              <w:spacing w:after="0" w:line="240" w:lineRule="auto"/>
              <w:jc w:val="both"/>
              <w:rPr>
                <w:rFonts w:ascii="Arial" w:eastAsia="Times New Roman" w:hAnsi="Arial" w:cs="Arial"/>
                <w:b/>
                <w:bCs/>
                <w:sz w:val="18"/>
                <w:szCs w:val="18"/>
                <w:lang w:val="en-SG" w:eastAsia="en-SG"/>
              </w:rPr>
            </w:pPr>
          </w:p>
        </w:tc>
        <w:tc>
          <w:tcPr>
            <w:tcW w:w="284" w:type="dxa"/>
            <w:tcBorders>
              <w:left w:val="nil"/>
              <w:right w:val="nil"/>
            </w:tcBorders>
            <w:shd w:val="clear" w:color="000000" w:fill="FFFFFF"/>
            <w:noWrap/>
            <w:vAlign w:val="bottom"/>
          </w:tcPr>
          <w:p w14:paraId="46C668C6" w14:textId="77777777" w:rsidR="00891B3A" w:rsidRPr="00AC0617" w:rsidRDefault="00891B3A" w:rsidP="00891B3A">
            <w:pPr>
              <w:widowControl/>
              <w:spacing w:after="0" w:line="240" w:lineRule="auto"/>
              <w:jc w:val="both"/>
              <w:rPr>
                <w:rFonts w:ascii="Arial" w:eastAsia="Times New Roman" w:hAnsi="Arial" w:cs="Arial"/>
                <w:sz w:val="18"/>
                <w:szCs w:val="18"/>
                <w:lang w:val="en-SG" w:eastAsia="en-SG"/>
              </w:rPr>
            </w:pPr>
          </w:p>
        </w:tc>
        <w:tc>
          <w:tcPr>
            <w:tcW w:w="1417" w:type="dxa"/>
            <w:tcBorders>
              <w:top w:val="single" w:sz="4" w:space="0" w:color="auto"/>
              <w:left w:val="nil"/>
              <w:right w:val="nil"/>
            </w:tcBorders>
            <w:shd w:val="clear" w:color="000000" w:fill="FFFFFF"/>
            <w:vAlign w:val="bottom"/>
          </w:tcPr>
          <w:p w14:paraId="44AE5C3B" w14:textId="77777777" w:rsidR="00891B3A" w:rsidRPr="00AC0617" w:rsidRDefault="00891B3A" w:rsidP="00891B3A">
            <w:pPr>
              <w:widowControl/>
              <w:spacing w:after="0" w:line="240" w:lineRule="auto"/>
              <w:jc w:val="both"/>
              <w:rPr>
                <w:rFonts w:ascii="Arial" w:eastAsia="Times New Roman" w:hAnsi="Arial" w:cs="Arial"/>
                <w:bCs/>
                <w:sz w:val="18"/>
                <w:szCs w:val="18"/>
                <w:lang w:val="en-SG" w:eastAsia="en-SG"/>
              </w:rPr>
            </w:pPr>
          </w:p>
        </w:tc>
        <w:tc>
          <w:tcPr>
            <w:tcW w:w="1143" w:type="dxa"/>
            <w:tcBorders>
              <w:top w:val="single" w:sz="4" w:space="0" w:color="auto"/>
              <w:left w:val="nil"/>
              <w:right w:val="nil"/>
            </w:tcBorders>
            <w:shd w:val="clear" w:color="000000" w:fill="FFFFFF"/>
            <w:vAlign w:val="bottom"/>
          </w:tcPr>
          <w:p w14:paraId="70151747" w14:textId="77777777" w:rsidR="00891B3A" w:rsidRPr="00AC0617" w:rsidRDefault="00891B3A" w:rsidP="00891B3A">
            <w:pPr>
              <w:widowControl/>
              <w:spacing w:after="0" w:line="240" w:lineRule="auto"/>
              <w:jc w:val="both"/>
              <w:rPr>
                <w:rFonts w:ascii="Arial" w:eastAsia="Times New Roman" w:hAnsi="Arial" w:cs="Arial"/>
                <w:bCs/>
                <w:sz w:val="18"/>
                <w:szCs w:val="18"/>
                <w:lang w:val="en-SG" w:eastAsia="en-SG"/>
              </w:rPr>
            </w:pPr>
          </w:p>
        </w:tc>
        <w:tc>
          <w:tcPr>
            <w:tcW w:w="793" w:type="dxa"/>
            <w:tcBorders>
              <w:top w:val="single" w:sz="4" w:space="0" w:color="auto"/>
              <w:left w:val="nil"/>
              <w:right w:val="nil"/>
            </w:tcBorders>
            <w:shd w:val="clear" w:color="000000" w:fill="FFFFFF"/>
            <w:vAlign w:val="bottom"/>
          </w:tcPr>
          <w:p w14:paraId="742AE272" w14:textId="77777777" w:rsidR="00891B3A" w:rsidRPr="00AC0617" w:rsidRDefault="00891B3A" w:rsidP="00891B3A">
            <w:pPr>
              <w:widowControl/>
              <w:spacing w:after="0" w:line="240" w:lineRule="auto"/>
              <w:jc w:val="both"/>
              <w:rPr>
                <w:rFonts w:ascii="Arial" w:eastAsia="Times New Roman" w:hAnsi="Arial" w:cs="Arial"/>
                <w:bCs/>
                <w:sz w:val="18"/>
                <w:szCs w:val="18"/>
                <w:lang w:val="en-SG" w:eastAsia="en-SG"/>
              </w:rPr>
            </w:pPr>
          </w:p>
        </w:tc>
      </w:tr>
    </w:tbl>
    <w:p w14:paraId="66542D8F" w14:textId="05F402A0" w:rsidR="00891B3A" w:rsidRPr="00AC0617" w:rsidRDefault="00891B3A" w:rsidP="00891B3A">
      <w:pPr>
        <w:widowControl/>
        <w:autoSpaceDE w:val="0"/>
        <w:adjustRightInd w:val="0"/>
        <w:spacing w:after="0"/>
        <w:jc w:val="both"/>
        <w:rPr>
          <w:rFonts w:ascii="Arial" w:hAnsi="Arial" w:cs="Arial"/>
          <w:lang w:val="en-GB"/>
        </w:rPr>
      </w:pPr>
      <w:r w:rsidRPr="00AC0617">
        <w:rPr>
          <w:rFonts w:ascii="Arial" w:hAnsi="Arial" w:cs="Arial"/>
          <w:lang w:val="en-GB"/>
        </w:rPr>
        <w:t xml:space="preserve">The Company operates carried interest arrangements in line with normal practice in the private equity industry. The </w:t>
      </w:r>
      <w:r w:rsidR="00741A54">
        <w:rPr>
          <w:rFonts w:ascii="Arial" w:hAnsi="Arial" w:cs="Arial"/>
          <w:lang w:val="en-GB"/>
        </w:rPr>
        <w:t>movement in</w:t>
      </w:r>
      <w:r w:rsidRPr="00AC0617">
        <w:rPr>
          <w:rFonts w:ascii="Arial" w:hAnsi="Arial" w:cs="Arial"/>
          <w:lang w:val="en-GB"/>
        </w:rPr>
        <w:t xml:space="preserve"> incentive plans during the six months ended 30 June 2021 is </w:t>
      </w:r>
      <w:r w:rsidR="00741A54">
        <w:rPr>
          <w:rFonts w:ascii="Arial" w:hAnsi="Arial" w:cs="Arial"/>
          <w:lang w:val="en-GB"/>
        </w:rPr>
        <w:t xml:space="preserve">a credit of </w:t>
      </w:r>
      <w:r w:rsidRPr="00AC0617">
        <w:rPr>
          <w:rFonts w:ascii="Arial" w:hAnsi="Arial" w:cs="Arial"/>
          <w:lang w:val="en-GB"/>
        </w:rPr>
        <w:t>£43,000.</w:t>
      </w:r>
    </w:p>
    <w:p w14:paraId="4664C4FB" w14:textId="77777777" w:rsidR="00891B3A" w:rsidRPr="00AC0617" w:rsidRDefault="00891B3A" w:rsidP="00891B3A">
      <w:pPr>
        <w:widowControl/>
        <w:spacing w:after="0"/>
        <w:jc w:val="both"/>
        <w:rPr>
          <w:rFonts w:ascii="Arial" w:hAnsi="Arial" w:cs="Arial"/>
          <w:lang w:val="en-GB"/>
        </w:rPr>
      </w:pPr>
    </w:p>
    <w:p w14:paraId="22E59898" w14:textId="522F36D1" w:rsidR="00891B3A" w:rsidRPr="00AC0617" w:rsidRDefault="00891B3A" w:rsidP="00891B3A">
      <w:pPr>
        <w:widowControl/>
        <w:spacing w:after="0"/>
        <w:jc w:val="both"/>
        <w:rPr>
          <w:rFonts w:ascii="Arial" w:eastAsia="Times New Roman" w:hAnsi="Arial" w:cs="Arial"/>
          <w:b/>
          <w:lang w:val="en-GB" w:eastAsia="en-GB"/>
        </w:rPr>
      </w:pPr>
      <w:r w:rsidRPr="00AC0617">
        <w:rPr>
          <w:rFonts w:ascii="Arial" w:eastAsia="Georgia" w:hAnsi="Arial" w:cs="Arial"/>
          <w:lang w:val="en-GB"/>
        </w:rPr>
        <w:t>Approximately</w:t>
      </w:r>
      <w:r w:rsidRPr="00AC0617">
        <w:rPr>
          <w:rFonts w:ascii="Arial" w:eastAsia="Georgia" w:hAnsi="Arial" w:cs="Arial"/>
          <w:spacing w:val="-6"/>
          <w:lang w:val="en-GB"/>
        </w:rPr>
        <w:t xml:space="preserve"> 65.7</w:t>
      </w:r>
      <w:r w:rsidRPr="00AC0617">
        <w:rPr>
          <w:rFonts w:ascii="Arial" w:eastAsia="Georgia" w:hAnsi="Arial" w:cs="Arial"/>
          <w:lang w:val="en-GB"/>
        </w:rPr>
        <w:t>%</w:t>
      </w:r>
      <w:r w:rsidRPr="00AC0617">
        <w:rPr>
          <w:rFonts w:ascii="Arial" w:hAnsi="Arial" w:cs="Arial"/>
          <w:spacing w:val="-2"/>
          <w:lang w:val="en-GB"/>
        </w:rPr>
        <w:t xml:space="preserve"> </w:t>
      </w:r>
      <w:r w:rsidRPr="00AC0617">
        <w:rPr>
          <w:rFonts w:ascii="Arial" w:hAnsi="Arial" w:cs="Arial"/>
          <w:lang w:val="en-GB"/>
        </w:rPr>
        <w:t>of the portfolio</w:t>
      </w:r>
      <w:r w:rsidRPr="00AC0617">
        <w:rPr>
          <w:rFonts w:ascii="Arial" w:hAnsi="Arial" w:cs="Arial"/>
          <w:spacing w:val="-1"/>
          <w:lang w:val="en-GB"/>
        </w:rPr>
        <w:t xml:space="preserve"> </w:t>
      </w:r>
      <w:r w:rsidRPr="00AC0617">
        <w:rPr>
          <w:rFonts w:ascii="Arial" w:hAnsi="Arial" w:cs="Arial"/>
          <w:lang w:val="en-GB"/>
        </w:rPr>
        <w:t>at</w:t>
      </w:r>
      <w:r w:rsidRPr="00AC0617">
        <w:rPr>
          <w:rFonts w:ascii="Arial" w:hAnsi="Arial" w:cs="Arial"/>
          <w:spacing w:val="-1"/>
          <w:lang w:val="en-GB"/>
        </w:rPr>
        <w:t xml:space="preserve"> </w:t>
      </w:r>
      <w:r w:rsidRPr="00AC0617">
        <w:rPr>
          <w:rFonts w:ascii="Arial" w:hAnsi="Arial" w:cs="Arial"/>
          <w:lang w:val="en-GB"/>
        </w:rPr>
        <w:t>30</w:t>
      </w:r>
      <w:r w:rsidRPr="00AC0617">
        <w:rPr>
          <w:rFonts w:ascii="Arial" w:hAnsi="Arial" w:cs="Arial"/>
          <w:spacing w:val="-2"/>
          <w:lang w:val="en-GB"/>
        </w:rPr>
        <w:t xml:space="preserve"> </w:t>
      </w:r>
      <w:r w:rsidRPr="00AC0617">
        <w:rPr>
          <w:rFonts w:ascii="Arial" w:hAnsi="Arial" w:cs="Arial"/>
          <w:lang w:val="en-GB"/>
        </w:rPr>
        <w:t>June 2021</w:t>
      </w:r>
      <w:r w:rsidRPr="00AC0617">
        <w:rPr>
          <w:rFonts w:ascii="Arial" w:hAnsi="Arial" w:cs="Arial"/>
          <w:spacing w:val="-4"/>
          <w:lang w:val="en-GB"/>
        </w:rPr>
        <w:t xml:space="preserve"> </w:t>
      </w:r>
      <w:r w:rsidRPr="00AC0617">
        <w:rPr>
          <w:rFonts w:ascii="Arial" w:hAnsi="Arial" w:cs="Arial"/>
          <w:lang w:val="en-GB"/>
        </w:rPr>
        <w:t>is</w:t>
      </w:r>
      <w:r w:rsidRPr="00AC0617">
        <w:rPr>
          <w:rFonts w:ascii="Arial" w:hAnsi="Arial" w:cs="Arial"/>
          <w:spacing w:val="-1"/>
          <w:lang w:val="en-GB"/>
        </w:rPr>
        <w:t xml:space="preserve"> </w:t>
      </w:r>
      <w:r w:rsidRPr="00AC0617">
        <w:rPr>
          <w:rFonts w:ascii="Arial" w:hAnsi="Arial" w:cs="Arial"/>
          <w:lang w:val="en-GB"/>
        </w:rPr>
        <w:t>denominated</w:t>
      </w:r>
      <w:r w:rsidRPr="00AC0617">
        <w:rPr>
          <w:rFonts w:ascii="Arial" w:hAnsi="Arial" w:cs="Arial"/>
          <w:spacing w:val="-5"/>
          <w:lang w:val="en-GB"/>
        </w:rPr>
        <w:t xml:space="preserve"> </w:t>
      </w:r>
      <w:r w:rsidRPr="00AC0617">
        <w:rPr>
          <w:rFonts w:ascii="Arial" w:hAnsi="Arial" w:cs="Arial"/>
          <w:lang w:val="en-GB"/>
        </w:rPr>
        <w:t>in</w:t>
      </w:r>
      <w:r w:rsidRPr="00AC0617">
        <w:rPr>
          <w:rFonts w:ascii="Arial" w:hAnsi="Arial" w:cs="Arial"/>
          <w:spacing w:val="-2"/>
          <w:lang w:val="en-GB"/>
        </w:rPr>
        <w:t xml:space="preserve"> </w:t>
      </w:r>
      <w:r w:rsidRPr="00AC0617">
        <w:rPr>
          <w:rFonts w:ascii="Arial" w:hAnsi="Arial" w:cs="Arial"/>
          <w:lang w:val="en-GB"/>
        </w:rPr>
        <w:t>US dollars</w:t>
      </w:r>
      <w:r w:rsidRPr="00AC0617">
        <w:rPr>
          <w:rFonts w:ascii="Arial" w:hAnsi="Arial" w:cs="Arial"/>
          <w:spacing w:val="-2"/>
          <w:lang w:val="en-GB"/>
        </w:rPr>
        <w:t xml:space="preserve"> </w:t>
      </w:r>
      <w:r w:rsidRPr="00AC0617">
        <w:rPr>
          <w:rFonts w:ascii="Arial" w:hAnsi="Arial" w:cs="Arial"/>
          <w:lang w:val="en-GB"/>
        </w:rPr>
        <w:t>(31</w:t>
      </w:r>
      <w:r w:rsidR="00D90816" w:rsidRPr="00D90816">
        <w:rPr>
          <w:rFonts w:ascii="Arial" w:hAnsi="Arial" w:cs="Arial"/>
          <w:color w:val="FFFFFF" w:themeColor="background1"/>
          <w:lang w:val="en-GB"/>
        </w:rPr>
        <w:t>x</w:t>
      </w:r>
      <w:r w:rsidRPr="00AC0617">
        <w:rPr>
          <w:rFonts w:ascii="Arial" w:hAnsi="Arial" w:cs="Arial"/>
          <w:lang w:val="en-GB"/>
        </w:rPr>
        <w:t>December</w:t>
      </w:r>
      <w:r w:rsidRPr="00AC0617">
        <w:rPr>
          <w:rFonts w:ascii="Arial" w:hAnsi="Arial" w:cs="Arial"/>
          <w:spacing w:val="-2"/>
          <w:lang w:val="en-GB"/>
        </w:rPr>
        <w:t xml:space="preserve"> </w:t>
      </w:r>
      <w:r w:rsidRPr="00AC0617">
        <w:rPr>
          <w:rFonts w:ascii="Arial" w:hAnsi="Arial" w:cs="Arial"/>
          <w:lang w:val="en-GB"/>
        </w:rPr>
        <w:t>2020:</w:t>
      </w:r>
      <w:r w:rsidRPr="00AC0617">
        <w:rPr>
          <w:rFonts w:ascii="Arial" w:hAnsi="Arial" w:cs="Arial"/>
          <w:spacing w:val="-3"/>
          <w:lang w:val="en-GB"/>
        </w:rPr>
        <w:t xml:space="preserve"> </w:t>
      </w:r>
      <w:r w:rsidRPr="00AC0617">
        <w:rPr>
          <w:rFonts w:ascii="Arial" w:hAnsi="Arial" w:cs="Arial"/>
          <w:lang w:val="en-GB"/>
        </w:rPr>
        <w:t>68%)</w:t>
      </w:r>
      <w:r w:rsidRPr="00AC0617">
        <w:rPr>
          <w:rFonts w:ascii="Arial" w:hAnsi="Arial" w:cs="Arial"/>
          <w:spacing w:val="-2"/>
          <w:lang w:val="en-GB"/>
        </w:rPr>
        <w:t xml:space="preserve"> </w:t>
      </w:r>
      <w:r w:rsidRPr="00AC0617">
        <w:rPr>
          <w:rFonts w:ascii="Arial" w:hAnsi="Arial" w:cs="Arial"/>
          <w:lang w:val="en-GB"/>
        </w:rPr>
        <w:t>and</w:t>
      </w:r>
      <w:r w:rsidRPr="00AC0617">
        <w:rPr>
          <w:rFonts w:ascii="Arial" w:hAnsi="Arial" w:cs="Arial"/>
          <w:spacing w:val="-2"/>
          <w:lang w:val="en-GB"/>
        </w:rPr>
        <w:t xml:space="preserve"> </w:t>
      </w:r>
      <w:r w:rsidRPr="00AC0617">
        <w:rPr>
          <w:rFonts w:ascii="Arial" w:hAnsi="Arial" w:cs="Arial"/>
          <w:lang w:val="en-GB"/>
        </w:rPr>
        <w:t>the above</w:t>
      </w:r>
      <w:r w:rsidRPr="00AC0617">
        <w:rPr>
          <w:rFonts w:ascii="Arial" w:hAnsi="Arial" w:cs="Arial"/>
          <w:spacing w:val="-2"/>
          <w:lang w:val="en-GB"/>
        </w:rPr>
        <w:t xml:space="preserve"> </w:t>
      </w:r>
      <w:r w:rsidRPr="00AC0617">
        <w:rPr>
          <w:rFonts w:ascii="Arial" w:hAnsi="Arial" w:cs="Arial"/>
          <w:lang w:val="en-GB"/>
        </w:rPr>
        <w:t>table</w:t>
      </w:r>
      <w:r w:rsidRPr="00AC0617">
        <w:rPr>
          <w:rFonts w:ascii="Arial" w:hAnsi="Arial" w:cs="Arial"/>
          <w:spacing w:val="-1"/>
          <w:lang w:val="en-GB"/>
        </w:rPr>
        <w:t xml:space="preserve"> </w:t>
      </w:r>
      <w:r w:rsidRPr="00AC0617">
        <w:rPr>
          <w:rFonts w:ascii="Arial" w:hAnsi="Arial" w:cs="Arial"/>
          <w:lang w:val="en-GB"/>
        </w:rPr>
        <w:t>includes</w:t>
      </w:r>
      <w:r w:rsidRPr="00AC0617">
        <w:rPr>
          <w:rFonts w:ascii="Arial" w:hAnsi="Arial" w:cs="Arial"/>
          <w:spacing w:val="-2"/>
          <w:lang w:val="en-GB"/>
        </w:rPr>
        <w:t xml:space="preserve"> </w:t>
      </w:r>
      <w:r w:rsidRPr="00AC0617">
        <w:rPr>
          <w:rFonts w:ascii="Arial" w:hAnsi="Arial" w:cs="Arial"/>
          <w:lang w:val="en-GB"/>
        </w:rPr>
        <w:t>the impact</w:t>
      </w:r>
      <w:r w:rsidRPr="00AC0617">
        <w:rPr>
          <w:rFonts w:ascii="Arial" w:hAnsi="Arial" w:cs="Arial"/>
          <w:spacing w:val="-3"/>
          <w:lang w:val="en-GB"/>
        </w:rPr>
        <w:t xml:space="preserve"> </w:t>
      </w:r>
      <w:r w:rsidRPr="00AC0617">
        <w:rPr>
          <w:rFonts w:ascii="Arial" w:hAnsi="Arial" w:cs="Arial"/>
          <w:lang w:val="en-GB"/>
        </w:rPr>
        <w:t>of currency</w:t>
      </w:r>
      <w:r w:rsidRPr="00AC0617">
        <w:rPr>
          <w:rFonts w:ascii="Arial" w:hAnsi="Arial" w:cs="Arial"/>
          <w:spacing w:val="-3"/>
          <w:lang w:val="en-GB"/>
        </w:rPr>
        <w:t xml:space="preserve"> </w:t>
      </w:r>
      <w:r w:rsidRPr="00AC0617">
        <w:rPr>
          <w:rFonts w:ascii="Arial" w:hAnsi="Arial" w:cs="Arial"/>
          <w:lang w:val="en-GB"/>
        </w:rPr>
        <w:t>movements.</w:t>
      </w:r>
      <w:r w:rsidRPr="00AC0617">
        <w:rPr>
          <w:rFonts w:ascii="Arial" w:hAnsi="Arial" w:cs="Arial"/>
          <w:spacing w:val="-6"/>
          <w:lang w:val="en-GB"/>
        </w:rPr>
        <w:t xml:space="preserve"> </w:t>
      </w:r>
      <w:r w:rsidRPr="00AC0617">
        <w:rPr>
          <w:rFonts w:ascii="Arial" w:hAnsi="Arial" w:cs="Arial"/>
          <w:lang w:val="en-GB"/>
        </w:rPr>
        <w:t>In</w:t>
      </w:r>
      <w:r w:rsidRPr="00AC0617">
        <w:rPr>
          <w:rFonts w:ascii="Arial" w:hAnsi="Arial" w:cs="Arial"/>
          <w:spacing w:val="-2"/>
          <w:lang w:val="en-GB"/>
        </w:rPr>
        <w:t xml:space="preserve"> </w:t>
      </w:r>
      <w:r w:rsidRPr="00AC0617">
        <w:rPr>
          <w:rFonts w:ascii="Arial" w:hAnsi="Arial" w:cs="Arial"/>
          <w:lang w:val="en-GB"/>
        </w:rPr>
        <w:t>the six months</w:t>
      </w:r>
      <w:r w:rsidRPr="00AC0617">
        <w:rPr>
          <w:rFonts w:ascii="Arial" w:hAnsi="Arial" w:cs="Arial"/>
          <w:spacing w:val="-2"/>
          <w:lang w:val="en-GB"/>
        </w:rPr>
        <w:t xml:space="preserve"> </w:t>
      </w:r>
      <w:r w:rsidRPr="00AC0617">
        <w:rPr>
          <w:rFonts w:ascii="Arial" w:hAnsi="Arial" w:cs="Arial"/>
          <w:lang w:val="en-GB"/>
        </w:rPr>
        <w:t>ended</w:t>
      </w:r>
      <w:r w:rsidRPr="00AC0617">
        <w:rPr>
          <w:rFonts w:ascii="Arial" w:hAnsi="Arial" w:cs="Arial"/>
          <w:spacing w:val="-1"/>
          <w:lang w:val="en-GB"/>
        </w:rPr>
        <w:t xml:space="preserve"> </w:t>
      </w:r>
      <w:r w:rsidRPr="00AC0617">
        <w:rPr>
          <w:rFonts w:ascii="Arial" w:hAnsi="Arial" w:cs="Arial"/>
          <w:lang w:val="en-GB"/>
        </w:rPr>
        <w:t>30</w:t>
      </w:r>
      <w:r w:rsidRPr="00AC0617">
        <w:rPr>
          <w:rFonts w:ascii="Arial" w:hAnsi="Arial" w:cs="Arial"/>
          <w:spacing w:val="-2"/>
          <w:lang w:val="en-GB"/>
        </w:rPr>
        <w:t xml:space="preserve"> </w:t>
      </w:r>
      <w:r w:rsidRPr="00AC0617">
        <w:rPr>
          <w:rFonts w:ascii="Arial" w:hAnsi="Arial" w:cs="Arial"/>
          <w:lang w:val="en-GB"/>
        </w:rPr>
        <w:t>June 2021,</w:t>
      </w:r>
      <w:r w:rsidRPr="00AC0617">
        <w:rPr>
          <w:rFonts w:ascii="Arial" w:hAnsi="Arial" w:cs="Arial"/>
          <w:spacing w:val="-4"/>
          <w:lang w:val="en-GB"/>
        </w:rPr>
        <w:t xml:space="preserve"> </w:t>
      </w:r>
      <w:r w:rsidRPr="00AC0617">
        <w:rPr>
          <w:rFonts w:ascii="Arial" w:hAnsi="Arial" w:cs="Arial"/>
          <w:lang w:val="en-GB"/>
        </w:rPr>
        <w:t>the weakening</w:t>
      </w:r>
      <w:r w:rsidRPr="00AC0617">
        <w:rPr>
          <w:rFonts w:ascii="Arial" w:hAnsi="Arial" w:cs="Arial"/>
          <w:spacing w:val="-4"/>
          <w:lang w:val="en-GB"/>
        </w:rPr>
        <w:t xml:space="preserve"> </w:t>
      </w:r>
      <w:r w:rsidRPr="00AC0617">
        <w:rPr>
          <w:rFonts w:ascii="Arial" w:hAnsi="Arial" w:cs="Arial"/>
          <w:lang w:val="en-GB"/>
        </w:rPr>
        <w:t xml:space="preserve">of </w:t>
      </w:r>
      <w:r w:rsidRPr="00AC0617">
        <w:rPr>
          <w:rFonts w:ascii="Arial" w:eastAsia="Georgia" w:hAnsi="Arial" w:cs="Arial"/>
          <w:lang w:val="en-GB"/>
        </w:rPr>
        <w:t xml:space="preserve">the US dollar against </w:t>
      </w:r>
      <w:r w:rsidRPr="00AC0617">
        <w:rPr>
          <w:rFonts w:ascii="Arial" w:hAnsi="Arial" w:cs="Arial"/>
          <w:lang w:val="en-GB"/>
        </w:rPr>
        <w:t xml:space="preserve">sterling </w:t>
      </w:r>
      <w:r w:rsidRPr="00AC0617">
        <w:rPr>
          <w:rFonts w:ascii="Arial" w:hAnsi="Arial" w:cs="Arial"/>
          <w:spacing w:val="-2"/>
          <w:lang w:val="en-GB"/>
        </w:rPr>
        <w:t>over the period as a whole resulted</w:t>
      </w:r>
      <w:r w:rsidRPr="00AC0617">
        <w:rPr>
          <w:rFonts w:ascii="Arial" w:hAnsi="Arial" w:cs="Arial"/>
          <w:spacing w:val="-1"/>
          <w:lang w:val="en-GB"/>
        </w:rPr>
        <w:t xml:space="preserve"> </w:t>
      </w:r>
      <w:r w:rsidRPr="00AC0617">
        <w:rPr>
          <w:rFonts w:ascii="Arial" w:hAnsi="Arial" w:cs="Arial"/>
          <w:lang w:val="en-GB"/>
        </w:rPr>
        <w:t>in</w:t>
      </w:r>
      <w:r w:rsidRPr="00AC0617">
        <w:rPr>
          <w:rFonts w:ascii="Arial" w:hAnsi="Arial" w:cs="Arial"/>
          <w:spacing w:val="-2"/>
          <w:lang w:val="en-GB"/>
        </w:rPr>
        <w:t xml:space="preserve"> </w:t>
      </w:r>
      <w:r w:rsidRPr="00AC0617">
        <w:rPr>
          <w:rFonts w:ascii="Arial" w:hAnsi="Arial" w:cs="Arial"/>
          <w:lang w:val="en-GB"/>
        </w:rPr>
        <w:t>an</w:t>
      </w:r>
      <w:r w:rsidRPr="00AC0617">
        <w:rPr>
          <w:rFonts w:ascii="Arial" w:hAnsi="Arial" w:cs="Arial"/>
          <w:spacing w:val="-2"/>
          <w:lang w:val="en-GB"/>
        </w:rPr>
        <w:t xml:space="preserve"> </w:t>
      </w:r>
      <w:r w:rsidRPr="00AC0617">
        <w:rPr>
          <w:rFonts w:ascii="Arial" w:hAnsi="Arial" w:cs="Arial"/>
          <w:lang w:val="en-GB"/>
        </w:rPr>
        <w:t>unrealised</w:t>
      </w:r>
      <w:r w:rsidRPr="00AC0617">
        <w:rPr>
          <w:rFonts w:ascii="Arial" w:hAnsi="Arial" w:cs="Arial"/>
          <w:spacing w:val="-3"/>
          <w:lang w:val="en-GB"/>
        </w:rPr>
        <w:t xml:space="preserve"> </w:t>
      </w:r>
      <w:r w:rsidRPr="00AC0617">
        <w:rPr>
          <w:rFonts w:ascii="Arial" w:hAnsi="Arial" w:cs="Arial"/>
          <w:lang w:val="en-GB"/>
        </w:rPr>
        <w:t>foreign</w:t>
      </w:r>
      <w:r w:rsidRPr="00AC0617">
        <w:rPr>
          <w:rFonts w:ascii="Arial" w:hAnsi="Arial" w:cs="Arial"/>
          <w:spacing w:val="-2"/>
          <w:lang w:val="en-GB"/>
        </w:rPr>
        <w:t xml:space="preserve"> </w:t>
      </w:r>
      <w:r w:rsidRPr="00AC0617">
        <w:rPr>
          <w:rFonts w:ascii="Arial" w:hAnsi="Arial" w:cs="Arial"/>
          <w:lang w:val="en-GB"/>
        </w:rPr>
        <w:t>currency</w:t>
      </w:r>
      <w:r w:rsidRPr="00AC0617">
        <w:rPr>
          <w:rFonts w:ascii="Arial" w:hAnsi="Arial" w:cs="Arial"/>
          <w:spacing w:val="-3"/>
          <w:lang w:val="en-GB"/>
        </w:rPr>
        <w:t xml:space="preserve"> </w:t>
      </w:r>
      <w:r w:rsidRPr="00AC0617">
        <w:rPr>
          <w:rFonts w:ascii="Arial" w:eastAsia="Georgia" w:hAnsi="Arial" w:cs="Arial"/>
          <w:spacing w:val="-3"/>
          <w:lang w:val="en-GB"/>
        </w:rPr>
        <w:t>loss</w:t>
      </w:r>
      <w:r w:rsidRPr="00AC0617">
        <w:rPr>
          <w:rFonts w:ascii="Arial" w:hAnsi="Arial" w:cs="Arial"/>
          <w:spacing w:val="-2"/>
          <w:lang w:val="en-GB"/>
        </w:rPr>
        <w:t xml:space="preserve"> </w:t>
      </w:r>
      <w:r w:rsidRPr="00AC0617">
        <w:rPr>
          <w:rFonts w:ascii="Arial" w:hAnsi="Arial" w:cs="Arial"/>
          <w:lang w:val="en-GB"/>
        </w:rPr>
        <w:t>of £</w:t>
      </w:r>
      <w:r w:rsidRPr="00AC0617">
        <w:rPr>
          <w:rFonts w:ascii="Arial" w:eastAsia="Georgia" w:hAnsi="Arial" w:cs="Arial"/>
          <w:lang w:val="en-GB"/>
        </w:rPr>
        <w:t>0.2 million (2020: unrealised gain of</w:t>
      </w:r>
      <w:r w:rsidRPr="00AC0617">
        <w:rPr>
          <w:rFonts w:ascii="Arial" w:hAnsi="Arial" w:cs="Arial"/>
          <w:lang w:val="en-GB"/>
        </w:rPr>
        <w:t xml:space="preserve"> £0.7 million). As</w:t>
      </w:r>
      <w:r w:rsidRPr="00AC0617">
        <w:rPr>
          <w:rFonts w:ascii="Arial" w:hAnsi="Arial" w:cs="Arial"/>
          <w:spacing w:val="-1"/>
          <w:lang w:val="en-GB"/>
        </w:rPr>
        <w:t xml:space="preserve"> </w:t>
      </w:r>
      <w:r w:rsidRPr="00AC0617">
        <w:rPr>
          <w:rFonts w:ascii="Arial" w:hAnsi="Arial" w:cs="Arial"/>
          <w:lang w:val="en-GB"/>
        </w:rPr>
        <w:t>is</w:t>
      </w:r>
      <w:r w:rsidRPr="00AC0617">
        <w:rPr>
          <w:rFonts w:ascii="Arial" w:hAnsi="Arial" w:cs="Arial"/>
          <w:spacing w:val="-1"/>
          <w:lang w:val="en-GB"/>
        </w:rPr>
        <w:t xml:space="preserve"> </w:t>
      </w:r>
      <w:r w:rsidRPr="00AC0617">
        <w:rPr>
          <w:rFonts w:ascii="Arial" w:hAnsi="Arial" w:cs="Arial"/>
          <w:lang w:val="en-GB"/>
        </w:rPr>
        <w:t>common</w:t>
      </w:r>
      <w:r w:rsidRPr="00AC0617">
        <w:rPr>
          <w:rFonts w:ascii="Arial" w:hAnsi="Arial" w:cs="Arial"/>
          <w:spacing w:val="-4"/>
          <w:lang w:val="en-GB"/>
        </w:rPr>
        <w:t xml:space="preserve"> </w:t>
      </w:r>
      <w:r w:rsidRPr="00AC0617">
        <w:rPr>
          <w:rFonts w:ascii="Arial" w:hAnsi="Arial" w:cs="Arial"/>
          <w:lang w:val="en-GB"/>
        </w:rPr>
        <w:t>practice</w:t>
      </w:r>
      <w:r w:rsidRPr="00AC0617">
        <w:rPr>
          <w:rFonts w:ascii="Arial" w:hAnsi="Arial" w:cs="Arial"/>
          <w:spacing w:val="-2"/>
          <w:lang w:val="en-GB"/>
        </w:rPr>
        <w:t xml:space="preserve"> </w:t>
      </w:r>
      <w:r w:rsidRPr="00AC0617">
        <w:rPr>
          <w:rFonts w:ascii="Arial" w:hAnsi="Arial" w:cs="Arial"/>
          <w:lang w:val="en-GB"/>
        </w:rPr>
        <w:t>in</w:t>
      </w:r>
      <w:r w:rsidRPr="00AC0617">
        <w:rPr>
          <w:rFonts w:ascii="Arial" w:hAnsi="Arial" w:cs="Arial"/>
          <w:spacing w:val="-2"/>
          <w:lang w:val="en-GB"/>
        </w:rPr>
        <w:t xml:space="preserve"> </w:t>
      </w:r>
      <w:r w:rsidRPr="00AC0617">
        <w:rPr>
          <w:rFonts w:ascii="Arial" w:hAnsi="Arial" w:cs="Arial"/>
          <w:lang w:val="en-GB"/>
        </w:rPr>
        <w:t>private</w:t>
      </w:r>
      <w:r w:rsidRPr="00AC0617">
        <w:rPr>
          <w:rFonts w:ascii="Arial" w:hAnsi="Arial" w:cs="Arial"/>
          <w:spacing w:val="-3"/>
          <w:lang w:val="en-GB"/>
        </w:rPr>
        <w:t xml:space="preserve"> </w:t>
      </w:r>
      <w:r w:rsidRPr="00AC0617">
        <w:rPr>
          <w:rFonts w:ascii="Arial" w:hAnsi="Arial" w:cs="Arial"/>
          <w:lang w:val="en-GB"/>
        </w:rPr>
        <w:t>equity</w:t>
      </w:r>
      <w:r w:rsidRPr="00AC0617">
        <w:rPr>
          <w:rFonts w:ascii="Arial" w:hAnsi="Arial" w:cs="Arial"/>
          <w:spacing w:val="-2"/>
          <w:lang w:val="en-GB"/>
        </w:rPr>
        <w:t xml:space="preserve"> </w:t>
      </w:r>
      <w:r w:rsidRPr="00AC0617">
        <w:rPr>
          <w:rFonts w:ascii="Arial" w:hAnsi="Arial" w:cs="Arial"/>
          <w:lang w:val="en-GB"/>
        </w:rPr>
        <w:t>investment,</w:t>
      </w:r>
      <w:r w:rsidRPr="00AC0617">
        <w:rPr>
          <w:rFonts w:ascii="Arial" w:hAnsi="Arial" w:cs="Arial"/>
          <w:spacing w:val="-6"/>
          <w:lang w:val="en-GB"/>
        </w:rPr>
        <w:t xml:space="preserve"> </w:t>
      </w:r>
      <w:r w:rsidRPr="00AC0617">
        <w:rPr>
          <w:rFonts w:ascii="Arial" w:hAnsi="Arial" w:cs="Arial"/>
          <w:lang w:val="en-GB"/>
        </w:rPr>
        <w:t>it</w:t>
      </w:r>
      <w:r w:rsidRPr="00AC0617">
        <w:rPr>
          <w:rFonts w:ascii="Arial" w:hAnsi="Arial" w:cs="Arial"/>
          <w:spacing w:val="-1"/>
          <w:lang w:val="en-GB"/>
        </w:rPr>
        <w:t xml:space="preserve"> </w:t>
      </w:r>
      <w:r w:rsidRPr="00AC0617">
        <w:rPr>
          <w:rFonts w:ascii="Arial" w:hAnsi="Arial" w:cs="Arial"/>
          <w:lang w:val="en-GB"/>
        </w:rPr>
        <w:t>is</w:t>
      </w:r>
      <w:r w:rsidRPr="00AC0617">
        <w:rPr>
          <w:rFonts w:ascii="Arial" w:hAnsi="Arial" w:cs="Arial"/>
          <w:spacing w:val="-1"/>
          <w:lang w:val="en-GB"/>
        </w:rPr>
        <w:t xml:space="preserve"> </w:t>
      </w:r>
      <w:r w:rsidRPr="00AC0617">
        <w:rPr>
          <w:rFonts w:ascii="Arial" w:hAnsi="Arial" w:cs="Arial"/>
          <w:lang w:val="en-GB"/>
        </w:rPr>
        <w:t>the Board’s</w:t>
      </w:r>
      <w:r w:rsidRPr="00AC0617">
        <w:rPr>
          <w:rFonts w:ascii="Arial" w:hAnsi="Arial" w:cs="Arial"/>
          <w:spacing w:val="-3"/>
          <w:lang w:val="en-GB"/>
        </w:rPr>
        <w:t xml:space="preserve"> </w:t>
      </w:r>
      <w:r w:rsidRPr="00AC0617">
        <w:rPr>
          <w:rFonts w:ascii="Arial" w:hAnsi="Arial" w:cs="Arial"/>
          <w:lang w:val="en-GB"/>
        </w:rPr>
        <w:t>current</w:t>
      </w:r>
      <w:r w:rsidRPr="00AC0617">
        <w:rPr>
          <w:rFonts w:ascii="Arial" w:hAnsi="Arial" w:cs="Arial"/>
          <w:spacing w:val="-3"/>
          <w:lang w:val="en-GB"/>
        </w:rPr>
        <w:t xml:space="preserve"> </w:t>
      </w:r>
      <w:r w:rsidRPr="00AC0617">
        <w:rPr>
          <w:rFonts w:ascii="Arial" w:hAnsi="Arial" w:cs="Arial"/>
          <w:lang w:val="en-GB"/>
        </w:rPr>
        <w:t>policy</w:t>
      </w:r>
      <w:r w:rsidRPr="00AC0617">
        <w:rPr>
          <w:rFonts w:ascii="Arial" w:hAnsi="Arial" w:cs="Arial"/>
          <w:spacing w:val="-1"/>
          <w:lang w:val="en-GB"/>
        </w:rPr>
        <w:t xml:space="preserve"> </w:t>
      </w:r>
      <w:r w:rsidRPr="00AC0617">
        <w:rPr>
          <w:rFonts w:ascii="Arial" w:hAnsi="Arial" w:cs="Arial"/>
          <w:lang w:val="en-GB"/>
        </w:rPr>
        <w:t>not</w:t>
      </w:r>
      <w:r w:rsidRPr="00AC0617">
        <w:rPr>
          <w:rFonts w:ascii="Arial" w:hAnsi="Arial" w:cs="Arial"/>
          <w:spacing w:val="-1"/>
          <w:lang w:val="en-GB"/>
        </w:rPr>
        <w:t xml:space="preserve"> </w:t>
      </w:r>
      <w:r w:rsidRPr="00AC0617">
        <w:rPr>
          <w:rFonts w:ascii="Arial" w:hAnsi="Arial" w:cs="Arial"/>
          <w:lang w:val="en-GB"/>
        </w:rPr>
        <w:t>to hedge the Company’s</w:t>
      </w:r>
      <w:r w:rsidRPr="00AC0617">
        <w:rPr>
          <w:rFonts w:ascii="Arial" w:hAnsi="Arial" w:cs="Arial"/>
          <w:spacing w:val="-4"/>
          <w:lang w:val="en-GB"/>
        </w:rPr>
        <w:t xml:space="preserve"> </w:t>
      </w:r>
      <w:r w:rsidRPr="00AC0617">
        <w:rPr>
          <w:rFonts w:ascii="Arial" w:hAnsi="Arial" w:cs="Arial"/>
          <w:lang w:val="en-GB"/>
        </w:rPr>
        <w:t>underlying</w:t>
      </w:r>
      <w:r w:rsidRPr="00AC0617">
        <w:rPr>
          <w:rFonts w:ascii="Arial" w:hAnsi="Arial" w:cs="Arial"/>
          <w:spacing w:val="-3"/>
          <w:lang w:val="en-GB"/>
        </w:rPr>
        <w:t xml:space="preserve"> </w:t>
      </w:r>
      <w:r w:rsidRPr="00AC0617">
        <w:rPr>
          <w:rFonts w:ascii="Arial" w:hAnsi="Arial" w:cs="Arial"/>
          <w:lang w:val="en-GB"/>
        </w:rPr>
        <w:t>non-sterling</w:t>
      </w:r>
      <w:r w:rsidRPr="00AC0617">
        <w:rPr>
          <w:rFonts w:ascii="Arial" w:hAnsi="Arial" w:cs="Arial"/>
          <w:spacing w:val="-4"/>
          <w:lang w:val="en-GB"/>
        </w:rPr>
        <w:t xml:space="preserve"> </w:t>
      </w:r>
      <w:r w:rsidRPr="00AC0617">
        <w:rPr>
          <w:rFonts w:ascii="Arial" w:hAnsi="Arial" w:cs="Arial"/>
          <w:lang w:val="en-GB"/>
        </w:rPr>
        <w:t>investments.</w:t>
      </w:r>
    </w:p>
    <w:p w14:paraId="08D1FCE3" w14:textId="568E1700" w:rsidR="00016656" w:rsidRDefault="00016656" w:rsidP="00891B3A">
      <w:pPr>
        <w:widowControl/>
        <w:spacing w:after="0"/>
        <w:jc w:val="both"/>
        <w:rPr>
          <w:rFonts w:ascii="Arial" w:eastAsia="Georgia" w:hAnsi="Arial" w:cs="Arial"/>
          <w:b/>
          <w:bCs/>
          <w:i/>
          <w:lang w:val="en-GB"/>
        </w:rPr>
      </w:pPr>
    </w:p>
    <w:p w14:paraId="24153B6F" w14:textId="5D95E265" w:rsidR="00016656" w:rsidRDefault="00016656" w:rsidP="00891B3A">
      <w:pPr>
        <w:widowControl/>
        <w:spacing w:after="0"/>
        <w:jc w:val="both"/>
        <w:rPr>
          <w:rFonts w:ascii="Arial" w:eastAsia="Georgia" w:hAnsi="Arial" w:cs="Arial"/>
          <w:b/>
          <w:bCs/>
          <w:i/>
          <w:lang w:val="en-GB"/>
        </w:rPr>
      </w:pPr>
    </w:p>
    <w:p w14:paraId="5A1B2B0F" w14:textId="5F4FCDA4" w:rsidR="00016656" w:rsidRDefault="00016656" w:rsidP="00891B3A">
      <w:pPr>
        <w:widowControl/>
        <w:spacing w:after="0"/>
        <w:jc w:val="both"/>
        <w:rPr>
          <w:rFonts w:ascii="Arial" w:eastAsia="Georgia" w:hAnsi="Arial" w:cs="Arial"/>
          <w:b/>
          <w:bCs/>
          <w:i/>
          <w:lang w:val="en-GB"/>
        </w:rPr>
      </w:pPr>
    </w:p>
    <w:p w14:paraId="1390FBB3" w14:textId="3C14C3D1" w:rsidR="00016656" w:rsidRDefault="00016656" w:rsidP="00891B3A">
      <w:pPr>
        <w:widowControl/>
        <w:spacing w:after="0"/>
        <w:jc w:val="both"/>
        <w:rPr>
          <w:rFonts w:ascii="Arial" w:eastAsia="Georgia" w:hAnsi="Arial" w:cs="Arial"/>
          <w:b/>
          <w:bCs/>
          <w:i/>
          <w:lang w:val="en-GB"/>
        </w:rPr>
      </w:pPr>
    </w:p>
    <w:p w14:paraId="03A8EED6" w14:textId="02DF4D48" w:rsidR="00016656" w:rsidRDefault="00016656" w:rsidP="00891B3A">
      <w:pPr>
        <w:widowControl/>
        <w:spacing w:after="0"/>
        <w:jc w:val="both"/>
        <w:rPr>
          <w:rFonts w:ascii="Arial" w:eastAsia="Georgia" w:hAnsi="Arial" w:cs="Arial"/>
          <w:b/>
          <w:bCs/>
          <w:i/>
          <w:lang w:val="en-GB"/>
        </w:rPr>
      </w:pPr>
    </w:p>
    <w:p w14:paraId="4BA465D9" w14:textId="7CE4137E" w:rsidR="00016656" w:rsidRDefault="00016656" w:rsidP="00891B3A">
      <w:pPr>
        <w:widowControl/>
        <w:spacing w:after="0"/>
        <w:jc w:val="both"/>
        <w:rPr>
          <w:rFonts w:ascii="Arial" w:eastAsia="Georgia" w:hAnsi="Arial" w:cs="Arial"/>
          <w:b/>
          <w:bCs/>
          <w:i/>
          <w:lang w:val="en-GB"/>
        </w:rPr>
      </w:pPr>
    </w:p>
    <w:p w14:paraId="54CCBB90" w14:textId="4D4467A4" w:rsidR="00016656" w:rsidRDefault="00016656" w:rsidP="00891B3A">
      <w:pPr>
        <w:widowControl/>
        <w:spacing w:after="0"/>
        <w:jc w:val="both"/>
        <w:rPr>
          <w:rFonts w:ascii="Arial" w:eastAsia="Georgia" w:hAnsi="Arial" w:cs="Arial"/>
          <w:b/>
          <w:bCs/>
          <w:i/>
          <w:lang w:val="en-GB"/>
        </w:rPr>
      </w:pPr>
    </w:p>
    <w:p w14:paraId="5448E0BC" w14:textId="0AE26431" w:rsidR="00016656" w:rsidRDefault="00016656" w:rsidP="00891B3A">
      <w:pPr>
        <w:widowControl/>
        <w:spacing w:after="0"/>
        <w:jc w:val="both"/>
        <w:rPr>
          <w:rFonts w:ascii="Arial" w:eastAsia="Georgia" w:hAnsi="Arial" w:cs="Arial"/>
          <w:b/>
          <w:bCs/>
          <w:i/>
          <w:lang w:val="en-GB"/>
        </w:rPr>
      </w:pPr>
    </w:p>
    <w:p w14:paraId="2A2A61C0" w14:textId="36F4D433" w:rsidR="00016656" w:rsidRDefault="00016656" w:rsidP="00891B3A">
      <w:pPr>
        <w:widowControl/>
        <w:spacing w:after="0"/>
        <w:jc w:val="both"/>
        <w:rPr>
          <w:rFonts w:ascii="Arial" w:eastAsia="Georgia" w:hAnsi="Arial" w:cs="Arial"/>
          <w:b/>
          <w:bCs/>
          <w:i/>
          <w:lang w:val="en-GB"/>
        </w:rPr>
      </w:pPr>
    </w:p>
    <w:p w14:paraId="697D6D02" w14:textId="0BCBE6AF" w:rsidR="00016656" w:rsidRDefault="00016656" w:rsidP="00891B3A">
      <w:pPr>
        <w:widowControl/>
        <w:spacing w:after="0"/>
        <w:jc w:val="both"/>
        <w:rPr>
          <w:rFonts w:ascii="Arial" w:eastAsia="Georgia" w:hAnsi="Arial" w:cs="Arial"/>
          <w:b/>
          <w:bCs/>
          <w:i/>
          <w:lang w:val="en-GB"/>
        </w:rPr>
      </w:pPr>
    </w:p>
    <w:tbl>
      <w:tblPr>
        <w:tblW w:w="9064" w:type="dxa"/>
        <w:tblInd w:w="8" w:type="dxa"/>
        <w:tblLayout w:type="fixed"/>
        <w:tblCellMar>
          <w:left w:w="0" w:type="dxa"/>
          <w:right w:w="0" w:type="dxa"/>
        </w:tblCellMar>
        <w:tblLook w:val="0000" w:firstRow="0" w:lastRow="0" w:firstColumn="0" w:lastColumn="0" w:noHBand="0" w:noVBand="0"/>
      </w:tblPr>
      <w:tblGrid>
        <w:gridCol w:w="2968"/>
        <w:gridCol w:w="3119"/>
        <w:gridCol w:w="284"/>
        <w:gridCol w:w="1276"/>
        <w:gridCol w:w="1417"/>
      </w:tblGrid>
      <w:tr w:rsidR="00891B3A" w:rsidRPr="00755BD6" w14:paraId="6E7DE3D0" w14:textId="77777777" w:rsidTr="00891B3A">
        <w:trPr>
          <w:trHeight w:val="60"/>
        </w:trPr>
        <w:tc>
          <w:tcPr>
            <w:tcW w:w="2968" w:type="dxa"/>
            <w:shd w:val="clear" w:color="auto" w:fill="auto"/>
            <w:tcMar>
              <w:top w:w="85" w:type="dxa"/>
              <w:left w:w="0" w:type="dxa"/>
              <w:bottom w:w="85" w:type="dxa"/>
              <w:right w:w="0" w:type="dxa"/>
            </w:tcMar>
            <w:vAlign w:val="bottom"/>
          </w:tcPr>
          <w:p w14:paraId="04E330D7"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r w:rsidRPr="00A95E54">
              <w:rPr>
                <w:rFonts w:ascii="Arial" w:eastAsia="Georgia" w:hAnsi="Arial" w:cs="Arial"/>
                <w:b/>
                <w:bCs/>
                <w:i/>
                <w:lang w:val="en-GB"/>
              </w:rPr>
              <w:lastRenderedPageBreak/>
              <w:t>Quoted</w:t>
            </w:r>
            <w:r w:rsidRPr="00A95E54">
              <w:rPr>
                <w:rFonts w:ascii="Arial" w:eastAsia="Georgia" w:hAnsi="Arial" w:cs="Arial"/>
                <w:b/>
                <w:bCs/>
                <w:i/>
                <w:spacing w:val="-5"/>
                <w:lang w:val="en-GB"/>
              </w:rPr>
              <w:t xml:space="preserve"> </w:t>
            </w:r>
            <w:r w:rsidRPr="00A95E54">
              <w:rPr>
                <w:rFonts w:ascii="Arial" w:eastAsia="Georgia" w:hAnsi="Arial" w:cs="Arial"/>
                <w:b/>
                <w:bCs/>
                <w:i/>
                <w:lang w:val="en-GB"/>
              </w:rPr>
              <w:t>investments</w:t>
            </w:r>
          </w:p>
        </w:tc>
        <w:tc>
          <w:tcPr>
            <w:tcW w:w="3119" w:type="dxa"/>
            <w:shd w:val="clear" w:color="auto" w:fill="auto"/>
            <w:tcMar>
              <w:top w:w="85" w:type="dxa"/>
              <w:left w:w="0" w:type="dxa"/>
              <w:bottom w:w="85" w:type="dxa"/>
              <w:right w:w="0" w:type="dxa"/>
            </w:tcMar>
            <w:vAlign w:val="bottom"/>
          </w:tcPr>
          <w:p w14:paraId="1AD563D3"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p>
        </w:tc>
        <w:tc>
          <w:tcPr>
            <w:tcW w:w="284" w:type="dxa"/>
          </w:tcPr>
          <w:p w14:paraId="07636694"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c>
          <w:tcPr>
            <w:tcW w:w="2693" w:type="dxa"/>
            <w:gridSpan w:val="2"/>
            <w:shd w:val="clear" w:color="auto" w:fill="auto"/>
            <w:tcMar>
              <w:top w:w="85" w:type="dxa"/>
              <w:left w:w="0" w:type="dxa"/>
              <w:bottom w:w="85" w:type="dxa"/>
              <w:right w:w="0" w:type="dxa"/>
            </w:tcMar>
            <w:vAlign w:val="bottom"/>
          </w:tcPr>
          <w:p w14:paraId="0B62F5D7"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r>
      <w:tr w:rsidR="00891B3A" w:rsidRPr="00755BD6" w14:paraId="16AD42D9" w14:textId="77777777" w:rsidTr="00891B3A">
        <w:trPr>
          <w:trHeight w:val="60"/>
        </w:trPr>
        <w:tc>
          <w:tcPr>
            <w:tcW w:w="2968" w:type="dxa"/>
            <w:tcBorders>
              <w:bottom w:val="single" w:sz="4" w:space="0" w:color="auto"/>
            </w:tcBorders>
            <w:shd w:val="clear" w:color="auto" w:fill="auto"/>
            <w:tcMar>
              <w:top w:w="85" w:type="dxa"/>
              <w:left w:w="0" w:type="dxa"/>
              <w:bottom w:w="85" w:type="dxa"/>
              <w:right w:w="0" w:type="dxa"/>
            </w:tcMar>
            <w:vAlign w:val="bottom"/>
          </w:tcPr>
          <w:p w14:paraId="6E9990EE"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p>
        </w:tc>
        <w:tc>
          <w:tcPr>
            <w:tcW w:w="3119" w:type="dxa"/>
            <w:tcBorders>
              <w:bottom w:val="single" w:sz="4" w:space="0" w:color="auto"/>
            </w:tcBorders>
            <w:shd w:val="clear" w:color="auto" w:fill="auto"/>
            <w:tcMar>
              <w:top w:w="85" w:type="dxa"/>
              <w:left w:w="0" w:type="dxa"/>
              <w:bottom w:w="85" w:type="dxa"/>
              <w:right w:w="0" w:type="dxa"/>
            </w:tcMar>
            <w:vAlign w:val="bottom"/>
          </w:tcPr>
          <w:p w14:paraId="1459E9BC"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p>
        </w:tc>
        <w:tc>
          <w:tcPr>
            <w:tcW w:w="284" w:type="dxa"/>
            <w:tcBorders>
              <w:bottom w:val="single" w:sz="4" w:space="0" w:color="auto"/>
            </w:tcBorders>
          </w:tcPr>
          <w:p w14:paraId="58687ABB"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c>
          <w:tcPr>
            <w:tcW w:w="1276" w:type="dxa"/>
            <w:tcBorders>
              <w:bottom w:val="single" w:sz="4" w:space="0" w:color="auto"/>
            </w:tcBorders>
            <w:shd w:val="clear" w:color="auto" w:fill="auto"/>
            <w:tcMar>
              <w:top w:w="85" w:type="dxa"/>
              <w:left w:w="0" w:type="dxa"/>
              <w:bottom w:w="85" w:type="dxa"/>
              <w:right w:w="0" w:type="dxa"/>
            </w:tcMar>
            <w:vAlign w:val="bottom"/>
          </w:tcPr>
          <w:p w14:paraId="3B3942EF" w14:textId="77777777" w:rsidR="00891B3A" w:rsidRPr="00AC0617" w:rsidRDefault="00891B3A" w:rsidP="00891B3A">
            <w:pPr>
              <w:autoSpaceDE w:val="0"/>
              <w:adjustRightInd w:val="0"/>
              <w:spacing w:after="0"/>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30 June</w:t>
            </w:r>
          </w:p>
          <w:p w14:paraId="1EC98CFD" w14:textId="77777777" w:rsidR="00891B3A" w:rsidRPr="00AC0617" w:rsidRDefault="00891B3A" w:rsidP="00891B3A">
            <w:pPr>
              <w:autoSpaceDE w:val="0"/>
              <w:adjustRightInd w:val="0"/>
              <w:spacing w:after="0"/>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 xml:space="preserve"> 2021</w:t>
            </w:r>
          </w:p>
        </w:tc>
        <w:tc>
          <w:tcPr>
            <w:tcW w:w="1417" w:type="dxa"/>
            <w:tcBorders>
              <w:bottom w:val="single" w:sz="4" w:space="0" w:color="auto"/>
            </w:tcBorders>
            <w:shd w:val="clear" w:color="auto" w:fill="auto"/>
            <w:vAlign w:val="bottom"/>
          </w:tcPr>
          <w:p w14:paraId="3532884C" w14:textId="77777777" w:rsidR="00891B3A" w:rsidRPr="00AC0617" w:rsidRDefault="00891B3A" w:rsidP="00891B3A">
            <w:pPr>
              <w:autoSpaceDE w:val="0"/>
              <w:adjustRightInd w:val="0"/>
              <w:spacing w:after="0"/>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31 December</w:t>
            </w:r>
          </w:p>
          <w:p w14:paraId="6EA3A2E6" w14:textId="77777777" w:rsidR="00891B3A" w:rsidRPr="00AC0617" w:rsidRDefault="00891B3A" w:rsidP="00891B3A">
            <w:pPr>
              <w:autoSpaceDE w:val="0"/>
              <w:adjustRightInd w:val="0"/>
              <w:spacing w:after="0"/>
              <w:ind w:left="113" w:right="57"/>
              <w:jc w:val="right"/>
              <w:textAlignment w:val="center"/>
              <w:rPr>
                <w:rFonts w:ascii="Arial" w:hAnsi="Arial" w:cs="Arial"/>
                <w:b/>
                <w:color w:val="000000"/>
                <w:sz w:val="20"/>
                <w:szCs w:val="20"/>
                <w:lang w:val="en-GB"/>
              </w:rPr>
            </w:pPr>
            <w:r w:rsidRPr="00AC0617">
              <w:rPr>
                <w:rFonts w:ascii="Arial" w:eastAsia="Times New Roman" w:hAnsi="Arial" w:cs="Arial"/>
                <w:b/>
                <w:bCs/>
                <w:color w:val="000000"/>
                <w:sz w:val="20"/>
                <w:szCs w:val="20"/>
                <w:lang w:val="en-GB" w:eastAsia="en-GB"/>
              </w:rPr>
              <w:t>2020</w:t>
            </w:r>
          </w:p>
        </w:tc>
      </w:tr>
      <w:tr w:rsidR="00891B3A" w:rsidRPr="00755BD6" w14:paraId="19D64575" w14:textId="77777777" w:rsidTr="00891B3A">
        <w:trPr>
          <w:trHeight w:val="60"/>
        </w:trPr>
        <w:tc>
          <w:tcPr>
            <w:tcW w:w="2968" w:type="dxa"/>
            <w:tcBorders>
              <w:top w:val="single" w:sz="4" w:space="0" w:color="auto"/>
              <w:bottom w:val="single" w:sz="4" w:space="0" w:color="auto"/>
            </w:tcBorders>
            <w:shd w:val="clear" w:color="auto" w:fill="auto"/>
            <w:vAlign w:val="bottom"/>
          </w:tcPr>
          <w:p w14:paraId="0FEA4AE3" w14:textId="77777777" w:rsidR="00891B3A" w:rsidRPr="00AC0617" w:rsidRDefault="00891B3A" w:rsidP="00891B3A">
            <w:pPr>
              <w:autoSpaceDE w:val="0"/>
              <w:adjustRightInd w:val="0"/>
              <w:spacing w:after="0"/>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Company</w:t>
            </w:r>
          </w:p>
        </w:tc>
        <w:tc>
          <w:tcPr>
            <w:tcW w:w="3119" w:type="dxa"/>
            <w:tcBorders>
              <w:top w:val="single" w:sz="4" w:space="0" w:color="auto"/>
              <w:bottom w:val="single" w:sz="4" w:space="0" w:color="auto"/>
            </w:tcBorders>
            <w:shd w:val="clear" w:color="auto" w:fill="auto"/>
            <w:vAlign w:val="bottom"/>
          </w:tcPr>
          <w:p w14:paraId="2A47A7F4" w14:textId="77777777" w:rsidR="00891B3A" w:rsidRPr="00AC0617" w:rsidRDefault="00891B3A" w:rsidP="00891B3A">
            <w:pPr>
              <w:autoSpaceDE w:val="0"/>
              <w:adjustRightInd w:val="0"/>
              <w:spacing w:after="0"/>
              <w:rPr>
                <w:rFonts w:ascii="Arial" w:eastAsia="Times New Roman" w:hAnsi="Arial" w:cs="Arial"/>
                <w:b/>
                <w:sz w:val="20"/>
                <w:szCs w:val="20"/>
                <w:lang w:val="en-GB" w:eastAsia="en-GB"/>
              </w:rPr>
            </w:pPr>
            <w:r w:rsidRPr="00AC0617">
              <w:rPr>
                <w:rFonts w:ascii="Arial" w:eastAsia="Times New Roman" w:hAnsi="Arial" w:cs="Arial"/>
                <w:b/>
                <w:sz w:val="20"/>
                <w:szCs w:val="20"/>
                <w:lang w:val="en-GB" w:eastAsia="en-GB"/>
              </w:rPr>
              <w:t>Sector</w:t>
            </w:r>
          </w:p>
        </w:tc>
        <w:tc>
          <w:tcPr>
            <w:tcW w:w="284" w:type="dxa"/>
            <w:tcBorders>
              <w:top w:val="single" w:sz="4" w:space="0" w:color="auto"/>
              <w:bottom w:val="single" w:sz="4" w:space="0" w:color="auto"/>
            </w:tcBorders>
          </w:tcPr>
          <w:p w14:paraId="1A030C0B" w14:textId="77777777" w:rsidR="00891B3A" w:rsidRPr="00AC0617" w:rsidRDefault="00891B3A" w:rsidP="00891B3A">
            <w:pPr>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1276" w:type="dxa"/>
            <w:tcBorders>
              <w:top w:val="single" w:sz="4" w:space="0" w:color="auto"/>
              <w:bottom w:val="single" w:sz="4" w:space="0" w:color="auto"/>
            </w:tcBorders>
            <w:shd w:val="clear" w:color="auto" w:fill="auto"/>
            <w:tcMar>
              <w:top w:w="85" w:type="dxa"/>
              <w:left w:w="0" w:type="dxa"/>
              <w:bottom w:w="85" w:type="dxa"/>
              <w:right w:w="0" w:type="dxa"/>
            </w:tcMar>
            <w:vAlign w:val="bottom"/>
          </w:tcPr>
          <w:p w14:paraId="01F1B1A8" w14:textId="77777777" w:rsidR="00891B3A" w:rsidRPr="00AC0617" w:rsidRDefault="00891B3A" w:rsidP="00891B3A">
            <w:pPr>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£’000</w:t>
            </w:r>
          </w:p>
        </w:tc>
        <w:tc>
          <w:tcPr>
            <w:tcW w:w="1417" w:type="dxa"/>
            <w:tcBorders>
              <w:top w:val="single" w:sz="4" w:space="0" w:color="auto"/>
              <w:left w:val="nil"/>
              <w:bottom w:val="single" w:sz="4" w:space="0" w:color="auto"/>
            </w:tcBorders>
            <w:tcMar>
              <w:top w:w="85" w:type="dxa"/>
              <w:left w:w="0" w:type="dxa"/>
              <w:bottom w:w="85" w:type="dxa"/>
              <w:right w:w="0" w:type="dxa"/>
            </w:tcMar>
            <w:vAlign w:val="bottom"/>
          </w:tcPr>
          <w:p w14:paraId="30391B3A" w14:textId="77777777" w:rsidR="00891B3A" w:rsidRPr="00AC0617" w:rsidRDefault="00891B3A" w:rsidP="00891B3A">
            <w:pPr>
              <w:autoSpaceDE w:val="0"/>
              <w:adjustRightInd w:val="0"/>
              <w:spacing w:after="0"/>
              <w:ind w:right="57"/>
              <w:jc w:val="right"/>
              <w:textAlignment w:val="center"/>
              <w:rPr>
                <w:rFonts w:ascii="Arial" w:hAnsi="Arial" w:cs="Arial"/>
                <w:b/>
                <w:color w:val="000000"/>
                <w:sz w:val="20"/>
                <w:szCs w:val="20"/>
                <w:lang w:val="en-GB"/>
              </w:rPr>
            </w:pPr>
            <w:r w:rsidRPr="00AC0617">
              <w:rPr>
                <w:rFonts w:ascii="Arial" w:hAnsi="Arial" w:cs="Arial"/>
                <w:b/>
                <w:color w:val="000000"/>
                <w:sz w:val="20"/>
                <w:szCs w:val="20"/>
                <w:lang w:val="en-GB"/>
              </w:rPr>
              <w:t>£’000</w:t>
            </w:r>
          </w:p>
        </w:tc>
      </w:tr>
      <w:tr w:rsidR="00891B3A" w:rsidRPr="00755BD6" w14:paraId="2AEA45E5" w14:textId="77777777" w:rsidTr="00891B3A">
        <w:trPr>
          <w:trHeight w:val="60"/>
        </w:trPr>
        <w:tc>
          <w:tcPr>
            <w:tcW w:w="2968" w:type="dxa"/>
            <w:tcBorders>
              <w:top w:val="single" w:sz="4" w:space="0" w:color="auto"/>
            </w:tcBorders>
            <w:shd w:val="clear" w:color="auto" w:fill="auto"/>
            <w:tcMar>
              <w:top w:w="85" w:type="dxa"/>
              <w:left w:w="0" w:type="dxa"/>
              <w:bottom w:w="85" w:type="dxa"/>
              <w:right w:w="0" w:type="dxa"/>
            </w:tcMar>
            <w:vAlign w:val="bottom"/>
          </w:tcPr>
          <w:p w14:paraId="4C336BA0"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 xml:space="preserve">IDE Group Holdings </w:t>
            </w:r>
          </w:p>
        </w:tc>
        <w:tc>
          <w:tcPr>
            <w:tcW w:w="3119" w:type="dxa"/>
            <w:tcBorders>
              <w:top w:val="single" w:sz="4" w:space="0" w:color="auto"/>
            </w:tcBorders>
            <w:shd w:val="clear" w:color="auto" w:fill="auto"/>
            <w:tcMar>
              <w:top w:w="85" w:type="dxa"/>
              <w:left w:w="0" w:type="dxa"/>
              <w:bottom w:w="85" w:type="dxa"/>
              <w:right w:w="0" w:type="dxa"/>
            </w:tcMar>
            <w:vAlign w:val="bottom"/>
          </w:tcPr>
          <w:p w14:paraId="6BB4B5F5"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UK technology</w:t>
            </w:r>
          </w:p>
        </w:tc>
        <w:tc>
          <w:tcPr>
            <w:tcW w:w="284" w:type="dxa"/>
            <w:tcBorders>
              <w:top w:val="single" w:sz="4" w:space="0" w:color="auto"/>
            </w:tcBorders>
          </w:tcPr>
          <w:p w14:paraId="0EB57A3C"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1276" w:type="dxa"/>
            <w:tcBorders>
              <w:top w:val="single" w:sz="4" w:space="0" w:color="auto"/>
            </w:tcBorders>
            <w:shd w:val="clear" w:color="auto" w:fill="auto"/>
            <w:tcMar>
              <w:top w:w="85" w:type="dxa"/>
              <w:left w:w="0" w:type="dxa"/>
              <w:bottom w:w="85" w:type="dxa"/>
              <w:right w:w="0" w:type="dxa"/>
            </w:tcMar>
          </w:tcPr>
          <w:p w14:paraId="631EF795"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245</w:t>
            </w:r>
          </w:p>
        </w:tc>
        <w:tc>
          <w:tcPr>
            <w:tcW w:w="1417" w:type="dxa"/>
            <w:tcBorders>
              <w:top w:val="single" w:sz="4" w:space="0" w:color="auto"/>
              <w:left w:val="nil"/>
            </w:tcBorders>
            <w:tcMar>
              <w:top w:w="85" w:type="dxa"/>
              <w:left w:w="0" w:type="dxa"/>
              <w:bottom w:w="85" w:type="dxa"/>
              <w:right w:w="0" w:type="dxa"/>
            </w:tcMar>
          </w:tcPr>
          <w:p w14:paraId="360CFA47"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Cs/>
                <w:color w:val="000000"/>
                <w:sz w:val="20"/>
                <w:szCs w:val="20"/>
                <w:lang w:val="en-GB" w:eastAsia="en-GB"/>
              </w:rPr>
            </w:pPr>
            <w:r w:rsidRPr="00AC0617">
              <w:rPr>
                <w:rFonts w:ascii="Arial" w:eastAsia="Times New Roman" w:hAnsi="Arial" w:cs="Arial"/>
                <w:bCs/>
                <w:color w:val="000000"/>
                <w:sz w:val="20"/>
                <w:szCs w:val="20"/>
                <w:lang w:val="en-GB" w:eastAsia="en-GB"/>
              </w:rPr>
              <w:t>118</w:t>
            </w:r>
          </w:p>
        </w:tc>
      </w:tr>
      <w:tr w:rsidR="00891B3A" w:rsidRPr="00755BD6" w14:paraId="37552B31" w14:textId="77777777" w:rsidTr="00891B3A">
        <w:trPr>
          <w:trHeight w:val="60"/>
        </w:trPr>
        <w:tc>
          <w:tcPr>
            <w:tcW w:w="2968" w:type="dxa"/>
            <w:shd w:val="clear" w:color="auto" w:fill="auto"/>
            <w:tcMar>
              <w:top w:w="85" w:type="dxa"/>
              <w:left w:w="0" w:type="dxa"/>
              <w:bottom w:w="85" w:type="dxa"/>
              <w:right w:w="0" w:type="dxa"/>
            </w:tcMar>
            <w:vAlign w:val="bottom"/>
          </w:tcPr>
          <w:p w14:paraId="78881C55"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Global Green Solutions</w:t>
            </w:r>
          </w:p>
        </w:tc>
        <w:tc>
          <w:tcPr>
            <w:tcW w:w="3119" w:type="dxa"/>
            <w:shd w:val="clear" w:color="auto" w:fill="auto"/>
            <w:tcMar>
              <w:top w:w="85" w:type="dxa"/>
              <w:left w:w="0" w:type="dxa"/>
              <w:bottom w:w="85" w:type="dxa"/>
              <w:right w:w="0" w:type="dxa"/>
            </w:tcMar>
            <w:vAlign w:val="bottom"/>
          </w:tcPr>
          <w:p w14:paraId="18B3E749"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US energy</w:t>
            </w:r>
          </w:p>
        </w:tc>
        <w:tc>
          <w:tcPr>
            <w:tcW w:w="284" w:type="dxa"/>
          </w:tcPr>
          <w:p w14:paraId="48BC9F7B"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1276" w:type="dxa"/>
            <w:shd w:val="clear" w:color="auto" w:fill="auto"/>
            <w:tcMar>
              <w:top w:w="85" w:type="dxa"/>
              <w:left w:w="0" w:type="dxa"/>
              <w:bottom w:w="85" w:type="dxa"/>
              <w:right w:w="0" w:type="dxa"/>
            </w:tcMar>
          </w:tcPr>
          <w:p w14:paraId="073F01DC"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17</w:t>
            </w:r>
          </w:p>
        </w:tc>
        <w:tc>
          <w:tcPr>
            <w:tcW w:w="1417" w:type="dxa"/>
            <w:tcBorders>
              <w:left w:val="nil"/>
            </w:tcBorders>
            <w:tcMar>
              <w:top w:w="85" w:type="dxa"/>
              <w:left w:w="0" w:type="dxa"/>
              <w:bottom w:w="85" w:type="dxa"/>
              <w:right w:w="0" w:type="dxa"/>
            </w:tcMar>
          </w:tcPr>
          <w:p w14:paraId="1737160A" w14:textId="77777777" w:rsidR="00891B3A" w:rsidRPr="00AC0617" w:rsidRDefault="00891B3A" w:rsidP="00891B3A">
            <w:pPr>
              <w:tabs>
                <w:tab w:val="left" w:pos="794"/>
              </w:tabs>
              <w:autoSpaceDE w:val="0"/>
              <w:adjustRightInd w:val="0"/>
              <w:spacing w:after="0"/>
              <w:ind w:right="57"/>
              <w:jc w:val="right"/>
              <w:textAlignment w:val="center"/>
              <w:rPr>
                <w:rFonts w:ascii="Arial" w:hAnsi="Arial" w:cs="Arial"/>
                <w:color w:val="000000"/>
                <w:sz w:val="20"/>
                <w:szCs w:val="20"/>
                <w:lang w:val="en-GB"/>
              </w:rPr>
            </w:pPr>
            <w:r w:rsidRPr="00AC0617">
              <w:rPr>
                <w:rFonts w:ascii="Arial" w:eastAsia="Times New Roman" w:hAnsi="Arial" w:cs="Arial"/>
                <w:color w:val="000000"/>
                <w:sz w:val="20"/>
                <w:szCs w:val="20"/>
                <w:lang w:val="en-GB" w:eastAsia="en-GB"/>
              </w:rPr>
              <w:t>62</w:t>
            </w:r>
          </w:p>
        </w:tc>
      </w:tr>
      <w:tr w:rsidR="00891B3A" w:rsidRPr="00755BD6" w14:paraId="233047C8" w14:textId="77777777" w:rsidTr="00891B3A">
        <w:trPr>
          <w:trHeight w:val="60"/>
        </w:trPr>
        <w:tc>
          <w:tcPr>
            <w:tcW w:w="2968" w:type="dxa"/>
            <w:shd w:val="clear" w:color="auto" w:fill="auto"/>
            <w:tcMar>
              <w:top w:w="85" w:type="dxa"/>
              <w:left w:w="0" w:type="dxa"/>
              <w:bottom w:w="85" w:type="dxa"/>
              <w:right w:w="0" w:type="dxa"/>
            </w:tcMar>
            <w:vAlign w:val="bottom"/>
          </w:tcPr>
          <w:p w14:paraId="5966BB0F"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Others</w:t>
            </w:r>
          </w:p>
        </w:tc>
        <w:tc>
          <w:tcPr>
            <w:tcW w:w="3119" w:type="dxa"/>
            <w:shd w:val="clear" w:color="auto" w:fill="auto"/>
            <w:tcMar>
              <w:top w:w="85" w:type="dxa"/>
              <w:left w:w="0" w:type="dxa"/>
              <w:bottom w:w="85" w:type="dxa"/>
              <w:right w:w="0" w:type="dxa"/>
            </w:tcMar>
            <w:vAlign w:val="bottom"/>
          </w:tcPr>
          <w:p w14:paraId="55231A7F"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w:t>
            </w:r>
          </w:p>
        </w:tc>
        <w:tc>
          <w:tcPr>
            <w:tcW w:w="284" w:type="dxa"/>
          </w:tcPr>
          <w:p w14:paraId="3EBC5121"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1276" w:type="dxa"/>
            <w:shd w:val="clear" w:color="auto" w:fill="auto"/>
            <w:tcMar>
              <w:top w:w="85" w:type="dxa"/>
              <w:left w:w="0" w:type="dxa"/>
              <w:bottom w:w="85" w:type="dxa"/>
              <w:right w:w="0" w:type="dxa"/>
            </w:tcMar>
          </w:tcPr>
          <w:p w14:paraId="59813468"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23</w:t>
            </w:r>
          </w:p>
        </w:tc>
        <w:tc>
          <w:tcPr>
            <w:tcW w:w="1417" w:type="dxa"/>
            <w:tcBorders>
              <w:left w:val="nil"/>
            </w:tcBorders>
            <w:tcMar>
              <w:top w:w="85" w:type="dxa"/>
              <w:left w:w="0" w:type="dxa"/>
              <w:bottom w:w="85" w:type="dxa"/>
              <w:right w:w="0" w:type="dxa"/>
            </w:tcMar>
          </w:tcPr>
          <w:p w14:paraId="4CC45651" w14:textId="77777777" w:rsidR="00891B3A" w:rsidRPr="00AC0617" w:rsidRDefault="00891B3A" w:rsidP="00891B3A">
            <w:pPr>
              <w:tabs>
                <w:tab w:val="left" w:pos="794"/>
              </w:tabs>
              <w:autoSpaceDE w:val="0"/>
              <w:adjustRightInd w:val="0"/>
              <w:spacing w:after="0"/>
              <w:ind w:right="57"/>
              <w:jc w:val="right"/>
              <w:textAlignment w:val="center"/>
              <w:rPr>
                <w:rFonts w:ascii="Arial" w:hAnsi="Arial" w:cs="Arial"/>
                <w:color w:val="000000"/>
                <w:sz w:val="20"/>
                <w:szCs w:val="20"/>
                <w:lang w:val="en-GB"/>
              </w:rPr>
            </w:pPr>
            <w:r w:rsidRPr="00AC0617">
              <w:rPr>
                <w:rFonts w:ascii="Arial" w:eastAsia="Times New Roman" w:hAnsi="Arial" w:cs="Arial"/>
                <w:bCs/>
                <w:color w:val="000000"/>
                <w:sz w:val="20"/>
                <w:szCs w:val="20"/>
                <w:lang w:val="en-GB" w:eastAsia="en-GB"/>
              </w:rPr>
              <w:t>17</w:t>
            </w:r>
          </w:p>
        </w:tc>
      </w:tr>
      <w:tr w:rsidR="00891B3A" w:rsidRPr="00755BD6" w14:paraId="108D6BC2" w14:textId="77777777" w:rsidTr="00891B3A">
        <w:trPr>
          <w:trHeight w:val="345"/>
        </w:trPr>
        <w:tc>
          <w:tcPr>
            <w:tcW w:w="2968" w:type="dxa"/>
            <w:tcBorders>
              <w:top w:val="single" w:sz="4" w:space="0" w:color="auto"/>
              <w:bottom w:val="single" w:sz="8" w:space="0" w:color="000000"/>
            </w:tcBorders>
            <w:shd w:val="clear" w:color="auto" w:fill="auto"/>
            <w:tcMar>
              <w:top w:w="85" w:type="dxa"/>
              <w:left w:w="0" w:type="dxa"/>
              <w:bottom w:w="85" w:type="dxa"/>
              <w:right w:w="0" w:type="dxa"/>
            </w:tcMar>
            <w:vAlign w:val="bottom"/>
          </w:tcPr>
          <w:p w14:paraId="0E3E7BC8"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p>
        </w:tc>
        <w:tc>
          <w:tcPr>
            <w:tcW w:w="3119" w:type="dxa"/>
            <w:tcBorders>
              <w:top w:val="single" w:sz="4" w:space="0" w:color="auto"/>
              <w:bottom w:val="single" w:sz="8" w:space="0" w:color="000000"/>
            </w:tcBorders>
            <w:shd w:val="clear" w:color="auto" w:fill="auto"/>
            <w:tcMar>
              <w:top w:w="85" w:type="dxa"/>
              <w:left w:w="0" w:type="dxa"/>
              <w:bottom w:w="85" w:type="dxa"/>
              <w:right w:w="0" w:type="dxa"/>
            </w:tcMar>
            <w:vAlign w:val="bottom"/>
          </w:tcPr>
          <w:p w14:paraId="0E1F5D02" w14:textId="77777777" w:rsidR="00891B3A" w:rsidRPr="00AC0617" w:rsidRDefault="00891B3A" w:rsidP="00891B3A">
            <w:pPr>
              <w:autoSpaceDE w:val="0"/>
              <w:adjustRightInd w:val="0"/>
              <w:spacing w:after="0"/>
              <w:ind w:left="71"/>
              <w:textAlignment w:val="center"/>
              <w:rPr>
                <w:rFonts w:ascii="Arial" w:eastAsia="Times New Roman" w:hAnsi="Arial" w:cs="Arial"/>
                <w:color w:val="000000"/>
                <w:sz w:val="20"/>
                <w:szCs w:val="20"/>
                <w:lang w:val="en-GB" w:eastAsia="en-GB"/>
              </w:rPr>
            </w:pPr>
          </w:p>
        </w:tc>
        <w:tc>
          <w:tcPr>
            <w:tcW w:w="284" w:type="dxa"/>
            <w:tcBorders>
              <w:top w:val="single" w:sz="4" w:space="0" w:color="auto"/>
              <w:bottom w:val="single" w:sz="8" w:space="0" w:color="000000"/>
            </w:tcBorders>
          </w:tcPr>
          <w:p w14:paraId="643FD5CA"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1276" w:type="dxa"/>
            <w:tcBorders>
              <w:top w:val="single" w:sz="4" w:space="0" w:color="auto"/>
              <w:bottom w:val="single" w:sz="8" w:space="0" w:color="000000"/>
            </w:tcBorders>
            <w:shd w:val="clear" w:color="auto" w:fill="auto"/>
            <w:tcMar>
              <w:top w:w="85" w:type="dxa"/>
              <w:left w:w="0" w:type="dxa"/>
              <w:bottom w:w="85" w:type="dxa"/>
              <w:right w:w="0" w:type="dxa"/>
            </w:tcMar>
            <w:vAlign w:val="bottom"/>
          </w:tcPr>
          <w:p w14:paraId="7FF98BD5"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285</w:t>
            </w:r>
          </w:p>
        </w:tc>
        <w:tc>
          <w:tcPr>
            <w:tcW w:w="1417" w:type="dxa"/>
            <w:tcBorders>
              <w:top w:val="single" w:sz="4" w:space="0" w:color="auto"/>
              <w:left w:val="nil"/>
              <w:bottom w:val="single" w:sz="8" w:space="0" w:color="000000"/>
            </w:tcBorders>
            <w:tcMar>
              <w:top w:w="85" w:type="dxa"/>
              <w:left w:w="0" w:type="dxa"/>
              <w:bottom w:w="85" w:type="dxa"/>
              <w:right w:w="0" w:type="dxa"/>
            </w:tcMar>
            <w:vAlign w:val="bottom"/>
          </w:tcPr>
          <w:p w14:paraId="23766856" w14:textId="58EC64C3" w:rsidR="00891B3A" w:rsidRPr="00AC0617" w:rsidRDefault="00016656" w:rsidP="00891B3A">
            <w:pPr>
              <w:tabs>
                <w:tab w:val="left" w:pos="794"/>
              </w:tabs>
              <w:autoSpaceDE w:val="0"/>
              <w:adjustRightInd w:val="0"/>
              <w:spacing w:after="0"/>
              <w:ind w:right="57"/>
              <w:jc w:val="right"/>
              <w:textAlignment w:val="center"/>
              <w:rPr>
                <w:rFonts w:ascii="Arial" w:hAnsi="Arial" w:cs="Arial"/>
                <w:color w:val="000000"/>
                <w:sz w:val="20"/>
                <w:szCs w:val="20"/>
                <w:lang w:val="en-GB"/>
              </w:rPr>
            </w:pPr>
            <w:r>
              <w:rPr>
                <w:rFonts w:ascii="Arial" w:eastAsia="Times New Roman" w:hAnsi="Arial" w:cs="Arial"/>
                <w:bCs/>
                <w:color w:val="000000"/>
                <w:sz w:val="20"/>
                <w:szCs w:val="20"/>
                <w:lang w:val="en-GB" w:eastAsia="en-GB"/>
              </w:rPr>
              <w:t>197</w:t>
            </w:r>
          </w:p>
        </w:tc>
      </w:tr>
    </w:tbl>
    <w:p w14:paraId="1C6BB404" w14:textId="77777777" w:rsidR="00891B3A" w:rsidRDefault="00891B3A" w:rsidP="00891B3A">
      <w:pPr>
        <w:widowControl/>
        <w:spacing w:after="0"/>
        <w:jc w:val="both"/>
        <w:rPr>
          <w:rFonts w:ascii="Arial" w:hAnsi="Arial" w:cs="Arial"/>
          <w:lang w:val="en-GB"/>
        </w:rPr>
      </w:pPr>
    </w:p>
    <w:p w14:paraId="5062FECF" w14:textId="14A8B07E" w:rsidR="00891B3A" w:rsidRDefault="00891B3A" w:rsidP="00891B3A">
      <w:pPr>
        <w:widowControl/>
        <w:spacing w:after="0"/>
        <w:jc w:val="both"/>
        <w:rPr>
          <w:rFonts w:ascii="Arial" w:hAnsi="Arial" w:cs="Arial"/>
          <w:lang w:val="en-GB"/>
        </w:rPr>
      </w:pPr>
    </w:p>
    <w:p w14:paraId="26879E5A" w14:textId="77777777" w:rsidR="00016656" w:rsidRPr="00AC0617" w:rsidRDefault="00016656" w:rsidP="00891B3A">
      <w:pPr>
        <w:widowControl/>
        <w:spacing w:after="0"/>
        <w:jc w:val="both"/>
        <w:rPr>
          <w:rFonts w:ascii="Arial" w:hAnsi="Arial" w:cs="Arial"/>
          <w:lang w:val="en-GB"/>
        </w:rPr>
      </w:pPr>
    </w:p>
    <w:p w14:paraId="00D63706" w14:textId="77777777" w:rsidR="00891B3A" w:rsidRPr="00AC0617" w:rsidRDefault="00891B3A" w:rsidP="00891B3A">
      <w:pPr>
        <w:widowControl/>
        <w:spacing w:after="0"/>
        <w:jc w:val="both"/>
        <w:rPr>
          <w:rFonts w:ascii="Arial" w:hAnsi="Arial" w:cs="Arial"/>
          <w:lang w:val="en-GB"/>
        </w:rPr>
      </w:pPr>
      <w:r w:rsidRPr="00AC0617">
        <w:rPr>
          <w:rFonts w:ascii="Arial" w:hAnsi="Arial" w:cs="Arial"/>
          <w:lang w:val="en-GB"/>
        </w:rPr>
        <w:t xml:space="preserve">The net </w:t>
      </w:r>
      <w:r>
        <w:rPr>
          <w:rFonts w:ascii="Arial" w:hAnsi="Arial" w:cs="Arial"/>
          <w:lang w:val="en-GB"/>
        </w:rPr>
        <w:t>gains/(</w:t>
      </w:r>
      <w:r w:rsidRPr="00AC0617">
        <w:rPr>
          <w:rFonts w:ascii="Arial" w:hAnsi="Arial" w:cs="Arial"/>
          <w:spacing w:val="-1"/>
          <w:lang w:val="en-GB"/>
        </w:rPr>
        <w:t>losses</w:t>
      </w:r>
      <w:r>
        <w:rPr>
          <w:rFonts w:ascii="Arial" w:hAnsi="Arial" w:cs="Arial"/>
          <w:spacing w:val="-1"/>
          <w:lang w:val="en-GB"/>
        </w:rPr>
        <w:t>)</w:t>
      </w:r>
      <w:r w:rsidRPr="00AC0617">
        <w:rPr>
          <w:rFonts w:ascii="Arial" w:hAnsi="Arial" w:cs="Arial"/>
          <w:lang w:val="en-GB"/>
        </w:rPr>
        <w:t xml:space="preserve"> on</w:t>
      </w:r>
      <w:r w:rsidRPr="00AC0617">
        <w:rPr>
          <w:rFonts w:ascii="Arial" w:hAnsi="Arial" w:cs="Arial"/>
          <w:spacing w:val="-1"/>
          <w:lang w:val="en-GB"/>
        </w:rPr>
        <w:t xml:space="preserve"> </w:t>
      </w:r>
      <w:r w:rsidRPr="00AC0617">
        <w:rPr>
          <w:rFonts w:ascii="Arial" w:hAnsi="Arial" w:cs="Arial"/>
          <w:lang w:val="en-GB"/>
        </w:rPr>
        <w:t>the quoted</w:t>
      </w:r>
      <w:r w:rsidRPr="00AC0617">
        <w:rPr>
          <w:rFonts w:ascii="Arial" w:hAnsi="Arial" w:cs="Arial"/>
          <w:spacing w:val="-1"/>
          <w:lang w:val="en-GB"/>
        </w:rPr>
        <w:t xml:space="preserve"> </w:t>
      </w:r>
      <w:r w:rsidRPr="00AC0617">
        <w:rPr>
          <w:rFonts w:ascii="Arial" w:hAnsi="Arial" w:cs="Arial"/>
          <w:lang w:val="en-GB"/>
        </w:rPr>
        <w:t>portfolio</w:t>
      </w:r>
      <w:r w:rsidRPr="00AC0617">
        <w:rPr>
          <w:rFonts w:ascii="Arial" w:hAnsi="Arial" w:cs="Arial"/>
          <w:spacing w:val="-1"/>
          <w:lang w:val="en-GB"/>
        </w:rPr>
        <w:t xml:space="preserve"> </w:t>
      </w:r>
      <w:r w:rsidRPr="00AC0617">
        <w:rPr>
          <w:rFonts w:ascii="Arial" w:hAnsi="Arial" w:cs="Arial"/>
          <w:lang w:val="en-GB"/>
        </w:rPr>
        <w:t>arose</w:t>
      </w:r>
      <w:r w:rsidRPr="00AC0617">
        <w:rPr>
          <w:rFonts w:ascii="Arial" w:hAnsi="Arial" w:cs="Arial"/>
          <w:spacing w:val="-2"/>
          <w:lang w:val="en-GB"/>
        </w:rPr>
        <w:t xml:space="preserve"> </w:t>
      </w:r>
      <w:r w:rsidRPr="00AC0617">
        <w:rPr>
          <w:rFonts w:ascii="Arial" w:hAnsi="Arial" w:cs="Arial"/>
          <w:lang w:val="en-GB"/>
        </w:rPr>
        <w:t>as</w:t>
      </w:r>
      <w:r w:rsidRPr="00AC0617">
        <w:rPr>
          <w:rFonts w:ascii="Arial" w:hAnsi="Arial" w:cs="Arial"/>
          <w:spacing w:val="-1"/>
          <w:lang w:val="en-GB"/>
        </w:rPr>
        <w:t xml:space="preserve"> </w:t>
      </w:r>
      <w:r w:rsidRPr="00AC0617">
        <w:rPr>
          <w:rFonts w:ascii="Arial" w:hAnsi="Arial" w:cs="Arial"/>
          <w:lang w:val="en-GB"/>
        </w:rPr>
        <w:t>follows:</w:t>
      </w:r>
    </w:p>
    <w:p w14:paraId="3509A344" w14:textId="77777777" w:rsidR="00891B3A" w:rsidRPr="00AC0617" w:rsidRDefault="00891B3A" w:rsidP="00891B3A">
      <w:pPr>
        <w:widowControl/>
        <w:shd w:val="clear" w:color="auto" w:fill="FFFFFF"/>
        <w:spacing w:after="0"/>
        <w:jc w:val="both"/>
        <w:rPr>
          <w:rFonts w:ascii="Arial" w:eastAsia="Times New Roman" w:hAnsi="Arial" w:cs="Arial"/>
          <w:lang w:val="en-GB" w:eastAsia="en-GB"/>
        </w:rPr>
      </w:pPr>
    </w:p>
    <w:tbl>
      <w:tblPr>
        <w:tblW w:w="5001" w:type="pct"/>
        <w:tblCellMar>
          <w:left w:w="0" w:type="dxa"/>
          <w:bottom w:w="57" w:type="dxa"/>
          <w:right w:w="0" w:type="dxa"/>
        </w:tblCellMar>
        <w:tblLook w:val="0000" w:firstRow="0" w:lastRow="0" w:firstColumn="0" w:lastColumn="0" w:noHBand="0" w:noVBand="0"/>
      </w:tblPr>
      <w:tblGrid>
        <w:gridCol w:w="7"/>
        <w:gridCol w:w="2968"/>
        <w:gridCol w:w="2992"/>
        <w:gridCol w:w="127"/>
        <w:gridCol w:w="285"/>
        <w:gridCol w:w="1276"/>
        <w:gridCol w:w="38"/>
        <w:gridCol w:w="1379"/>
      </w:tblGrid>
      <w:tr w:rsidR="00891B3A" w:rsidRPr="00755BD6" w14:paraId="46D2B688" w14:textId="77777777" w:rsidTr="00016656">
        <w:trPr>
          <w:trHeight w:val="20"/>
        </w:trPr>
        <w:tc>
          <w:tcPr>
            <w:tcW w:w="3289" w:type="pct"/>
            <w:gridSpan w:val="3"/>
            <w:shd w:val="clear" w:color="auto" w:fill="auto"/>
            <w:tcMar>
              <w:top w:w="85" w:type="dxa"/>
              <w:left w:w="0" w:type="dxa"/>
              <w:bottom w:w="85" w:type="dxa"/>
              <w:right w:w="0" w:type="dxa"/>
            </w:tcMar>
            <w:vAlign w:val="bottom"/>
          </w:tcPr>
          <w:p w14:paraId="4DC9497C" w14:textId="77777777" w:rsidR="00891B3A" w:rsidRPr="00AC0617" w:rsidRDefault="00891B3A" w:rsidP="00891B3A">
            <w:pPr>
              <w:autoSpaceDE w:val="0"/>
              <w:adjustRightInd w:val="0"/>
              <w:spacing w:after="0" w:line="240" w:lineRule="auto"/>
              <w:ind w:right="57"/>
              <w:jc w:val="both"/>
              <w:textAlignment w:val="center"/>
              <w:rPr>
                <w:rFonts w:ascii="Arial" w:eastAsia="Times New Roman" w:hAnsi="Arial" w:cs="Arial"/>
                <w:b/>
                <w:bCs/>
                <w:color w:val="000000"/>
                <w:sz w:val="20"/>
                <w:szCs w:val="20"/>
              </w:rPr>
            </w:pPr>
          </w:p>
        </w:tc>
        <w:tc>
          <w:tcPr>
            <w:tcW w:w="1710" w:type="pct"/>
            <w:gridSpan w:val="5"/>
            <w:tcBorders>
              <w:bottom w:val="single" w:sz="4" w:space="0" w:color="auto"/>
            </w:tcBorders>
            <w:shd w:val="clear" w:color="auto" w:fill="auto"/>
            <w:vAlign w:val="center"/>
          </w:tcPr>
          <w:p w14:paraId="3E1500F6" w14:textId="77777777" w:rsidR="00891B3A" w:rsidRPr="00AC0617" w:rsidRDefault="00891B3A" w:rsidP="00891B3A">
            <w:pPr>
              <w:autoSpaceDE w:val="0"/>
              <w:adjustRightInd w:val="0"/>
              <w:spacing w:after="0" w:line="240" w:lineRule="auto"/>
              <w:ind w:right="57"/>
              <w:jc w:val="center"/>
              <w:textAlignment w:val="center"/>
              <w:rPr>
                <w:rFonts w:ascii="Arial" w:eastAsia="Times New Roman" w:hAnsi="Arial" w:cs="Arial"/>
                <w:b/>
                <w:bCs/>
                <w:color w:val="000000"/>
                <w:sz w:val="20"/>
                <w:szCs w:val="20"/>
              </w:rPr>
            </w:pPr>
            <w:r w:rsidRPr="00AC0617">
              <w:rPr>
                <w:rFonts w:ascii="Arial" w:eastAsia="Times New Roman" w:hAnsi="Arial" w:cs="Arial"/>
                <w:b/>
                <w:bCs/>
                <w:color w:val="000000"/>
                <w:sz w:val="20"/>
                <w:szCs w:val="20"/>
              </w:rPr>
              <w:t>Six months ended 30 June</w:t>
            </w:r>
          </w:p>
        </w:tc>
      </w:tr>
      <w:tr w:rsidR="00891B3A" w:rsidRPr="00755BD6" w14:paraId="62103B1B" w14:textId="77777777" w:rsidTr="00016656">
        <w:tblPrEx>
          <w:tblCellMar>
            <w:left w:w="10" w:type="dxa"/>
            <w:bottom w:w="0" w:type="dxa"/>
            <w:right w:w="10" w:type="dxa"/>
          </w:tblCellMar>
        </w:tblPrEx>
        <w:trPr>
          <w:trHeight w:val="20"/>
        </w:trPr>
        <w:tc>
          <w:tcPr>
            <w:tcW w:w="3289" w:type="pct"/>
            <w:gridSpan w:val="3"/>
            <w:tcBorders>
              <w:bottom w:val="single" w:sz="4" w:space="0" w:color="000000"/>
            </w:tcBorders>
            <w:shd w:val="clear" w:color="auto" w:fill="auto"/>
            <w:tcMar>
              <w:top w:w="85" w:type="dxa"/>
              <w:left w:w="0" w:type="dxa"/>
              <w:bottom w:w="85" w:type="dxa"/>
              <w:right w:w="0" w:type="dxa"/>
            </w:tcMar>
            <w:vAlign w:val="bottom"/>
          </w:tcPr>
          <w:p w14:paraId="1CB15F18"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b/>
                <w:bCs/>
                <w:color w:val="000000"/>
                <w:sz w:val="20"/>
                <w:szCs w:val="20"/>
              </w:rPr>
            </w:pPr>
          </w:p>
        </w:tc>
        <w:tc>
          <w:tcPr>
            <w:tcW w:w="951" w:type="pct"/>
            <w:gridSpan w:val="4"/>
            <w:tcBorders>
              <w:bottom w:val="single" w:sz="4" w:space="0" w:color="000000"/>
            </w:tcBorders>
            <w:shd w:val="clear" w:color="auto" w:fill="auto"/>
            <w:tcMar>
              <w:top w:w="85" w:type="dxa"/>
              <w:left w:w="0" w:type="dxa"/>
              <w:bottom w:w="85" w:type="dxa"/>
              <w:right w:w="0" w:type="dxa"/>
            </w:tcMar>
            <w:vAlign w:val="bottom"/>
          </w:tcPr>
          <w:p w14:paraId="5B99CD78" w14:textId="77777777" w:rsidR="00891B3A" w:rsidRPr="00AC0617" w:rsidRDefault="00891B3A" w:rsidP="00891B3A">
            <w:pPr>
              <w:shd w:val="clear" w:color="auto" w:fill="FFFFFF"/>
              <w:autoSpaceDE w:val="0"/>
              <w:spacing w:after="0" w:line="240" w:lineRule="auto"/>
              <w:ind w:right="57"/>
              <w:jc w:val="right"/>
              <w:textAlignment w:val="center"/>
              <w:rPr>
                <w:rFonts w:ascii="Arial" w:eastAsia="Times New Roman" w:hAnsi="Arial" w:cs="Arial"/>
                <w:b/>
                <w:bCs/>
                <w:color w:val="000000"/>
                <w:sz w:val="20"/>
                <w:szCs w:val="20"/>
              </w:rPr>
            </w:pPr>
            <w:r w:rsidRPr="00AC0617">
              <w:rPr>
                <w:rFonts w:ascii="Arial" w:eastAsia="Times New Roman" w:hAnsi="Arial" w:cs="Arial"/>
                <w:b/>
                <w:bCs/>
                <w:color w:val="000000"/>
                <w:sz w:val="20"/>
                <w:szCs w:val="20"/>
              </w:rPr>
              <w:t>2021</w:t>
            </w:r>
          </w:p>
          <w:p w14:paraId="366C65D0" w14:textId="77777777" w:rsidR="00891B3A" w:rsidRPr="00AC0617" w:rsidRDefault="00891B3A" w:rsidP="00891B3A">
            <w:pPr>
              <w:shd w:val="clear" w:color="auto" w:fill="FFFFFF"/>
              <w:autoSpaceDE w:val="0"/>
              <w:spacing w:after="0" w:line="240" w:lineRule="auto"/>
              <w:ind w:right="57"/>
              <w:jc w:val="right"/>
              <w:textAlignment w:val="center"/>
              <w:rPr>
                <w:rFonts w:ascii="Arial" w:eastAsia="Times New Roman" w:hAnsi="Arial" w:cs="Arial"/>
                <w:b/>
                <w:bCs/>
                <w:color w:val="000000"/>
                <w:sz w:val="20"/>
                <w:szCs w:val="20"/>
              </w:rPr>
            </w:pPr>
            <w:r w:rsidRPr="00AC0617">
              <w:rPr>
                <w:rFonts w:ascii="Arial" w:eastAsia="Times New Roman" w:hAnsi="Arial" w:cs="Arial"/>
                <w:b/>
                <w:bCs/>
                <w:color w:val="000000"/>
                <w:sz w:val="20"/>
                <w:szCs w:val="20"/>
              </w:rPr>
              <w:t>£’000</w:t>
            </w:r>
          </w:p>
        </w:tc>
        <w:tc>
          <w:tcPr>
            <w:tcW w:w="759" w:type="pct"/>
            <w:tcBorders>
              <w:bottom w:val="single" w:sz="4" w:space="0" w:color="000000"/>
            </w:tcBorders>
            <w:vAlign w:val="bottom"/>
          </w:tcPr>
          <w:p w14:paraId="778AA1A5" w14:textId="77777777" w:rsidR="00891B3A" w:rsidRPr="00AC0617" w:rsidRDefault="00891B3A" w:rsidP="00891B3A">
            <w:pPr>
              <w:shd w:val="clear" w:color="auto" w:fill="FFFFFF"/>
              <w:autoSpaceDE w:val="0"/>
              <w:spacing w:after="0" w:line="240" w:lineRule="auto"/>
              <w:ind w:right="57"/>
              <w:jc w:val="right"/>
              <w:textAlignment w:val="center"/>
              <w:rPr>
                <w:rFonts w:ascii="Arial" w:eastAsia="Times New Roman" w:hAnsi="Arial" w:cs="Arial"/>
                <w:b/>
                <w:bCs/>
                <w:color w:val="000000"/>
                <w:sz w:val="20"/>
                <w:szCs w:val="20"/>
              </w:rPr>
            </w:pPr>
            <w:r w:rsidRPr="00AC0617">
              <w:rPr>
                <w:rFonts w:ascii="Arial" w:eastAsia="Times New Roman" w:hAnsi="Arial" w:cs="Arial"/>
                <w:b/>
                <w:bCs/>
                <w:color w:val="000000"/>
                <w:sz w:val="20"/>
                <w:szCs w:val="20"/>
              </w:rPr>
              <w:t>2020</w:t>
            </w:r>
          </w:p>
          <w:p w14:paraId="1C6822EA" w14:textId="77777777" w:rsidR="00891B3A" w:rsidRPr="00AC0617" w:rsidRDefault="00891B3A" w:rsidP="00891B3A">
            <w:pPr>
              <w:shd w:val="clear" w:color="auto" w:fill="FFFFFF"/>
              <w:autoSpaceDE w:val="0"/>
              <w:spacing w:after="0" w:line="240" w:lineRule="auto"/>
              <w:ind w:right="57"/>
              <w:jc w:val="right"/>
              <w:textAlignment w:val="center"/>
              <w:rPr>
                <w:rFonts w:ascii="Arial" w:eastAsia="Times New Roman" w:hAnsi="Arial" w:cs="Arial"/>
                <w:b/>
                <w:bCs/>
                <w:color w:val="000000"/>
                <w:sz w:val="20"/>
                <w:szCs w:val="20"/>
              </w:rPr>
            </w:pPr>
            <w:r w:rsidRPr="00AC0617">
              <w:rPr>
                <w:rFonts w:ascii="Arial" w:eastAsia="Times New Roman" w:hAnsi="Arial" w:cs="Arial"/>
                <w:b/>
                <w:bCs/>
                <w:color w:val="000000"/>
                <w:sz w:val="20"/>
                <w:szCs w:val="20"/>
              </w:rPr>
              <w:t>£’000</w:t>
            </w:r>
          </w:p>
        </w:tc>
      </w:tr>
      <w:tr w:rsidR="00891B3A" w:rsidRPr="00755BD6" w14:paraId="3D42750A" w14:textId="77777777" w:rsidTr="00016656">
        <w:tblPrEx>
          <w:tblCellMar>
            <w:left w:w="10" w:type="dxa"/>
            <w:right w:w="10" w:type="dxa"/>
          </w:tblCellMar>
        </w:tblPrEx>
        <w:trPr>
          <w:trHeight w:val="20"/>
        </w:trPr>
        <w:tc>
          <w:tcPr>
            <w:tcW w:w="3289" w:type="pct"/>
            <w:gridSpan w:val="3"/>
            <w:tcBorders>
              <w:top w:val="single" w:sz="4" w:space="0" w:color="000000"/>
            </w:tcBorders>
            <w:shd w:val="clear" w:color="auto" w:fill="auto"/>
            <w:tcMar>
              <w:top w:w="85" w:type="dxa"/>
              <w:left w:w="0" w:type="dxa"/>
              <w:bottom w:w="85" w:type="dxa"/>
              <w:right w:w="0" w:type="dxa"/>
            </w:tcMar>
          </w:tcPr>
          <w:p w14:paraId="23B85B51"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b/>
                <w:bCs/>
                <w:color w:val="000000"/>
                <w:sz w:val="20"/>
                <w:szCs w:val="20"/>
              </w:rPr>
            </w:pPr>
            <w:proofErr w:type="spellStart"/>
            <w:r w:rsidRPr="00AC0617">
              <w:rPr>
                <w:rFonts w:ascii="Arial" w:eastAsia="Times New Roman" w:hAnsi="Arial" w:cs="Arial"/>
                <w:b/>
                <w:bCs/>
                <w:color w:val="000000"/>
                <w:sz w:val="20"/>
                <w:szCs w:val="20"/>
              </w:rPr>
              <w:t>Realised</w:t>
            </w:r>
            <w:proofErr w:type="spellEnd"/>
            <w:r w:rsidRPr="00AC0617">
              <w:rPr>
                <w:rFonts w:ascii="Arial" w:eastAsia="Times New Roman" w:hAnsi="Arial" w:cs="Arial"/>
                <w:b/>
                <w:bCs/>
                <w:color w:val="000000"/>
                <w:sz w:val="20"/>
                <w:szCs w:val="20"/>
              </w:rPr>
              <w:t xml:space="preserve"> </w:t>
            </w:r>
          </w:p>
        </w:tc>
        <w:tc>
          <w:tcPr>
            <w:tcW w:w="951" w:type="pct"/>
            <w:gridSpan w:val="4"/>
            <w:tcBorders>
              <w:top w:val="single" w:sz="4" w:space="0" w:color="000000"/>
            </w:tcBorders>
            <w:shd w:val="clear" w:color="auto" w:fill="auto"/>
            <w:tcMar>
              <w:top w:w="85" w:type="dxa"/>
              <w:left w:w="0" w:type="dxa"/>
              <w:bottom w:w="85" w:type="dxa"/>
              <w:right w:w="0" w:type="dxa"/>
            </w:tcMar>
          </w:tcPr>
          <w:p w14:paraId="72940A77" w14:textId="77777777" w:rsidR="00891B3A" w:rsidRPr="00AC0617" w:rsidRDefault="00891B3A" w:rsidP="00891B3A">
            <w:pPr>
              <w:shd w:val="clear" w:color="auto" w:fill="FFFFFF"/>
              <w:autoSpaceDE w:val="0"/>
              <w:spacing w:after="0" w:line="240" w:lineRule="auto"/>
              <w:jc w:val="right"/>
              <w:rPr>
                <w:rFonts w:ascii="Arial" w:eastAsia="Times New Roman" w:hAnsi="Arial" w:cs="Arial"/>
                <w:b/>
                <w:bCs/>
                <w:sz w:val="20"/>
                <w:szCs w:val="20"/>
              </w:rPr>
            </w:pPr>
          </w:p>
        </w:tc>
        <w:tc>
          <w:tcPr>
            <w:tcW w:w="759" w:type="pct"/>
            <w:tcBorders>
              <w:top w:val="single" w:sz="4" w:space="0" w:color="000000"/>
            </w:tcBorders>
          </w:tcPr>
          <w:p w14:paraId="3462617B" w14:textId="77777777" w:rsidR="00891B3A" w:rsidRPr="00AC0617" w:rsidRDefault="00891B3A" w:rsidP="00891B3A">
            <w:pPr>
              <w:shd w:val="clear" w:color="auto" w:fill="FFFFFF"/>
              <w:autoSpaceDE w:val="0"/>
              <w:spacing w:after="0" w:line="240" w:lineRule="auto"/>
              <w:jc w:val="right"/>
              <w:rPr>
                <w:rFonts w:ascii="Arial" w:eastAsia="Times New Roman" w:hAnsi="Arial" w:cs="Arial"/>
                <w:sz w:val="20"/>
                <w:szCs w:val="20"/>
              </w:rPr>
            </w:pPr>
          </w:p>
        </w:tc>
      </w:tr>
      <w:tr w:rsidR="00891B3A" w:rsidRPr="00755BD6" w14:paraId="38E325EB" w14:textId="77777777" w:rsidTr="00016656">
        <w:tblPrEx>
          <w:tblCellMar>
            <w:left w:w="10" w:type="dxa"/>
            <w:right w:w="10" w:type="dxa"/>
          </w:tblCellMar>
        </w:tblPrEx>
        <w:trPr>
          <w:trHeight w:val="20"/>
        </w:trPr>
        <w:tc>
          <w:tcPr>
            <w:tcW w:w="3289" w:type="pct"/>
            <w:gridSpan w:val="3"/>
            <w:shd w:val="clear" w:color="auto" w:fill="auto"/>
            <w:tcMar>
              <w:top w:w="85" w:type="dxa"/>
              <w:left w:w="0" w:type="dxa"/>
              <w:bottom w:w="85" w:type="dxa"/>
              <w:right w:w="0" w:type="dxa"/>
            </w:tcMar>
          </w:tcPr>
          <w:p w14:paraId="3990D3CE" w14:textId="77777777" w:rsidR="00891B3A" w:rsidRPr="00755BD6" w:rsidRDefault="00891B3A" w:rsidP="00891B3A">
            <w:pPr>
              <w:shd w:val="clear" w:color="auto" w:fill="FFFFFF"/>
              <w:autoSpaceDE w:val="0"/>
              <w:spacing w:after="0" w:line="240" w:lineRule="auto"/>
              <w:ind w:left="71"/>
              <w:jc w:val="both"/>
              <w:textAlignment w:val="center"/>
              <w:rPr>
                <w:rFonts w:ascii="Arial" w:eastAsia="Times New Roman" w:hAnsi="Arial" w:cs="Arial"/>
                <w:b/>
                <w:bCs/>
                <w:color w:val="000000"/>
                <w:sz w:val="20"/>
                <w:szCs w:val="20"/>
              </w:rPr>
            </w:pPr>
            <w:proofErr w:type="spellStart"/>
            <w:r w:rsidRPr="00A95E54">
              <w:rPr>
                <w:rFonts w:ascii="Arial" w:eastAsia="Times New Roman" w:hAnsi="Arial" w:cs="Arial"/>
                <w:color w:val="000000"/>
                <w:sz w:val="20"/>
                <w:szCs w:val="20"/>
              </w:rPr>
              <w:t>Solaredge</w:t>
            </w:r>
            <w:proofErr w:type="spellEnd"/>
            <w:r w:rsidRPr="00A95E54">
              <w:rPr>
                <w:rFonts w:ascii="Arial" w:eastAsia="Times New Roman" w:hAnsi="Arial" w:cs="Arial"/>
                <w:color w:val="000000"/>
                <w:sz w:val="20"/>
                <w:szCs w:val="20"/>
              </w:rPr>
              <w:t xml:space="preserve"> Inc.</w:t>
            </w:r>
          </w:p>
        </w:tc>
        <w:tc>
          <w:tcPr>
            <w:tcW w:w="951" w:type="pct"/>
            <w:gridSpan w:val="4"/>
            <w:shd w:val="clear" w:color="auto" w:fill="auto"/>
            <w:tcMar>
              <w:top w:w="85" w:type="dxa"/>
              <w:left w:w="0" w:type="dxa"/>
              <w:bottom w:w="85" w:type="dxa"/>
              <w:right w:w="0" w:type="dxa"/>
            </w:tcMar>
          </w:tcPr>
          <w:p w14:paraId="041A5125" w14:textId="77777777" w:rsidR="00891B3A" w:rsidRPr="00755BD6"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95E54">
              <w:rPr>
                <w:rFonts w:ascii="Arial" w:eastAsia="Times New Roman" w:hAnsi="Arial" w:cs="Arial"/>
                <w:b/>
                <w:bCs/>
                <w:sz w:val="20"/>
                <w:szCs w:val="20"/>
              </w:rPr>
              <w:t>-</w:t>
            </w:r>
          </w:p>
        </w:tc>
        <w:tc>
          <w:tcPr>
            <w:tcW w:w="759" w:type="pct"/>
          </w:tcPr>
          <w:p w14:paraId="00A79A9D" w14:textId="77777777" w:rsidR="00891B3A" w:rsidRPr="00755BD6"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sz w:val="20"/>
                <w:szCs w:val="20"/>
              </w:rPr>
            </w:pPr>
            <w:r w:rsidRPr="00A95E54">
              <w:rPr>
                <w:rFonts w:ascii="Arial" w:eastAsia="Times New Roman" w:hAnsi="Arial" w:cs="Arial"/>
                <w:color w:val="000000"/>
                <w:sz w:val="20"/>
                <w:szCs w:val="20"/>
              </w:rPr>
              <w:t>381</w:t>
            </w:r>
          </w:p>
        </w:tc>
      </w:tr>
      <w:tr w:rsidR="00891B3A" w:rsidRPr="00755BD6" w14:paraId="33655B30" w14:textId="77777777" w:rsidTr="00016656">
        <w:tblPrEx>
          <w:tblCellMar>
            <w:left w:w="10" w:type="dxa"/>
            <w:bottom w:w="0" w:type="dxa"/>
            <w:right w:w="10" w:type="dxa"/>
          </w:tblCellMar>
        </w:tblPrEx>
        <w:trPr>
          <w:trHeight w:val="20"/>
        </w:trPr>
        <w:tc>
          <w:tcPr>
            <w:tcW w:w="3289" w:type="pct"/>
            <w:gridSpan w:val="3"/>
            <w:shd w:val="clear" w:color="auto" w:fill="auto"/>
            <w:tcMar>
              <w:top w:w="85" w:type="dxa"/>
              <w:left w:w="0" w:type="dxa"/>
              <w:bottom w:w="85" w:type="dxa"/>
              <w:right w:w="0" w:type="dxa"/>
            </w:tcMar>
          </w:tcPr>
          <w:p w14:paraId="7D327AA4"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Gresham House plc</w:t>
            </w:r>
          </w:p>
        </w:tc>
        <w:tc>
          <w:tcPr>
            <w:tcW w:w="951" w:type="pct"/>
            <w:gridSpan w:val="4"/>
            <w:shd w:val="clear" w:color="auto" w:fill="auto"/>
            <w:tcMar>
              <w:top w:w="85" w:type="dxa"/>
              <w:left w:w="0" w:type="dxa"/>
              <w:bottom w:w="85" w:type="dxa"/>
              <w:right w:w="0" w:type="dxa"/>
            </w:tcMar>
          </w:tcPr>
          <w:p w14:paraId="1497DBD1"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w:t>
            </w:r>
          </w:p>
        </w:tc>
        <w:tc>
          <w:tcPr>
            <w:tcW w:w="759" w:type="pct"/>
          </w:tcPr>
          <w:p w14:paraId="20D8ACAE"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(716)</w:t>
            </w:r>
          </w:p>
        </w:tc>
      </w:tr>
      <w:tr w:rsidR="00891B3A" w:rsidRPr="00755BD6" w14:paraId="7947AA1E" w14:textId="77777777" w:rsidTr="00016656">
        <w:tblPrEx>
          <w:tblCellMar>
            <w:left w:w="10" w:type="dxa"/>
            <w:bottom w:w="0" w:type="dxa"/>
            <w:right w:w="10" w:type="dxa"/>
          </w:tblCellMar>
        </w:tblPrEx>
        <w:trPr>
          <w:trHeight w:val="20"/>
        </w:trPr>
        <w:tc>
          <w:tcPr>
            <w:tcW w:w="3289" w:type="pct"/>
            <w:gridSpan w:val="3"/>
            <w:tcBorders>
              <w:top w:val="single" w:sz="4" w:space="0" w:color="auto"/>
              <w:bottom w:val="single" w:sz="4" w:space="0" w:color="000000"/>
            </w:tcBorders>
            <w:shd w:val="clear" w:color="auto" w:fill="auto"/>
            <w:tcMar>
              <w:top w:w="85" w:type="dxa"/>
              <w:left w:w="0" w:type="dxa"/>
              <w:bottom w:w="85" w:type="dxa"/>
              <w:right w:w="0" w:type="dxa"/>
            </w:tcMar>
          </w:tcPr>
          <w:p w14:paraId="52682152"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tc>
        <w:tc>
          <w:tcPr>
            <w:tcW w:w="951" w:type="pct"/>
            <w:gridSpan w:val="4"/>
            <w:tcBorders>
              <w:top w:val="single" w:sz="4" w:space="0" w:color="auto"/>
              <w:bottom w:val="single" w:sz="4" w:space="0" w:color="000000"/>
            </w:tcBorders>
            <w:shd w:val="clear" w:color="auto" w:fill="auto"/>
            <w:tcMar>
              <w:top w:w="85" w:type="dxa"/>
              <w:left w:w="0" w:type="dxa"/>
              <w:bottom w:w="85" w:type="dxa"/>
              <w:right w:w="0" w:type="dxa"/>
            </w:tcMar>
          </w:tcPr>
          <w:p w14:paraId="7FD31B4E"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w:t>
            </w:r>
          </w:p>
        </w:tc>
        <w:tc>
          <w:tcPr>
            <w:tcW w:w="759" w:type="pct"/>
            <w:tcBorders>
              <w:top w:val="single" w:sz="4" w:space="0" w:color="auto"/>
              <w:bottom w:val="single" w:sz="4" w:space="0" w:color="000000"/>
            </w:tcBorders>
          </w:tcPr>
          <w:p w14:paraId="60CB7B57"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(335)</w:t>
            </w:r>
          </w:p>
        </w:tc>
      </w:tr>
      <w:tr w:rsidR="00891B3A" w:rsidRPr="00755BD6" w14:paraId="32056828" w14:textId="77777777" w:rsidTr="00016656">
        <w:tblPrEx>
          <w:tblCellMar>
            <w:left w:w="10" w:type="dxa"/>
            <w:bottom w:w="0" w:type="dxa"/>
            <w:right w:w="10" w:type="dxa"/>
          </w:tblCellMar>
        </w:tblPrEx>
        <w:trPr>
          <w:trHeight w:val="20"/>
        </w:trPr>
        <w:tc>
          <w:tcPr>
            <w:tcW w:w="3289" w:type="pct"/>
            <w:gridSpan w:val="3"/>
            <w:tcBorders>
              <w:top w:val="single" w:sz="4" w:space="0" w:color="000000"/>
            </w:tcBorders>
            <w:shd w:val="clear" w:color="auto" w:fill="auto"/>
            <w:tcMar>
              <w:top w:w="85" w:type="dxa"/>
              <w:left w:w="0" w:type="dxa"/>
              <w:bottom w:w="85" w:type="dxa"/>
              <w:right w:w="0" w:type="dxa"/>
            </w:tcMar>
          </w:tcPr>
          <w:p w14:paraId="4D564838"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b/>
                <w:bCs/>
                <w:color w:val="000000"/>
                <w:sz w:val="20"/>
                <w:szCs w:val="20"/>
              </w:rPr>
            </w:pPr>
            <w:proofErr w:type="spellStart"/>
            <w:r w:rsidRPr="00AC0617">
              <w:rPr>
                <w:rFonts w:ascii="Arial" w:eastAsia="Times New Roman" w:hAnsi="Arial" w:cs="Arial"/>
                <w:b/>
                <w:bCs/>
                <w:color w:val="000000"/>
                <w:sz w:val="20"/>
                <w:szCs w:val="20"/>
              </w:rPr>
              <w:t>Unrealised</w:t>
            </w:r>
            <w:proofErr w:type="spellEnd"/>
          </w:p>
        </w:tc>
        <w:tc>
          <w:tcPr>
            <w:tcW w:w="951" w:type="pct"/>
            <w:gridSpan w:val="4"/>
            <w:tcBorders>
              <w:top w:val="single" w:sz="4" w:space="0" w:color="000000"/>
            </w:tcBorders>
            <w:shd w:val="clear" w:color="auto" w:fill="auto"/>
            <w:tcMar>
              <w:top w:w="85" w:type="dxa"/>
              <w:left w:w="0" w:type="dxa"/>
              <w:bottom w:w="85" w:type="dxa"/>
              <w:right w:w="0" w:type="dxa"/>
            </w:tcMar>
          </w:tcPr>
          <w:p w14:paraId="021D67FC" w14:textId="77777777" w:rsidR="00891B3A" w:rsidRPr="00AC0617" w:rsidRDefault="00891B3A" w:rsidP="00891B3A">
            <w:pPr>
              <w:shd w:val="clear" w:color="auto" w:fill="FFFFFF"/>
              <w:autoSpaceDE w:val="0"/>
              <w:spacing w:after="0" w:line="240" w:lineRule="auto"/>
              <w:ind w:right="113"/>
              <w:jc w:val="right"/>
              <w:rPr>
                <w:rFonts w:ascii="Arial" w:eastAsia="Times New Roman" w:hAnsi="Arial" w:cs="Arial"/>
                <w:b/>
                <w:bCs/>
                <w:sz w:val="20"/>
                <w:szCs w:val="20"/>
              </w:rPr>
            </w:pPr>
          </w:p>
        </w:tc>
        <w:tc>
          <w:tcPr>
            <w:tcW w:w="759" w:type="pct"/>
            <w:tcBorders>
              <w:top w:val="single" w:sz="4" w:space="0" w:color="000000"/>
            </w:tcBorders>
          </w:tcPr>
          <w:p w14:paraId="3D2AE7A5" w14:textId="77777777" w:rsidR="00891B3A" w:rsidRPr="00AC0617" w:rsidRDefault="00891B3A" w:rsidP="00891B3A">
            <w:pPr>
              <w:shd w:val="clear" w:color="auto" w:fill="FFFFFF"/>
              <w:autoSpaceDE w:val="0"/>
              <w:spacing w:after="0" w:line="240" w:lineRule="auto"/>
              <w:ind w:right="113"/>
              <w:jc w:val="right"/>
              <w:rPr>
                <w:rFonts w:ascii="Arial" w:eastAsia="Times New Roman" w:hAnsi="Arial" w:cs="Arial"/>
                <w:sz w:val="20"/>
                <w:szCs w:val="20"/>
              </w:rPr>
            </w:pPr>
          </w:p>
        </w:tc>
      </w:tr>
      <w:tr w:rsidR="00891B3A" w:rsidRPr="00755BD6" w14:paraId="4C9964CB" w14:textId="77777777" w:rsidTr="00016656">
        <w:tblPrEx>
          <w:tblCellMar>
            <w:left w:w="10" w:type="dxa"/>
            <w:bottom w:w="0" w:type="dxa"/>
            <w:right w:w="10" w:type="dxa"/>
          </w:tblCellMar>
        </w:tblPrEx>
        <w:trPr>
          <w:trHeight w:val="20"/>
        </w:trPr>
        <w:tc>
          <w:tcPr>
            <w:tcW w:w="3289" w:type="pct"/>
            <w:gridSpan w:val="3"/>
            <w:shd w:val="clear" w:color="auto" w:fill="auto"/>
            <w:tcMar>
              <w:top w:w="85" w:type="dxa"/>
              <w:left w:w="0" w:type="dxa"/>
              <w:bottom w:w="85" w:type="dxa"/>
              <w:right w:w="0" w:type="dxa"/>
            </w:tcMar>
          </w:tcPr>
          <w:p w14:paraId="14798E64"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IDE Group Holdings</w:t>
            </w:r>
          </w:p>
        </w:tc>
        <w:tc>
          <w:tcPr>
            <w:tcW w:w="951" w:type="pct"/>
            <w:gridSpan w:val="4"/>
            <w:shd w:val="clear" w:color="auto" w:fill="auto"/>
            <w:tcMar>
              <w:top w:w="85" w:type="dxa"/>
              <w:left w:w="0" w:type="dxa"/>
              <w:bottom w:w="85" w:type="dxa"/>
              <w:right w:w="0" w:type="dxa"/>
            </w:tcMar>
            <w:vAlign w:val="center"/>
          </w:tcPr>
          <w:p w14:paraId="16584D3A"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127</w:t>
            </w:r>
          </w:p>
        </w:tc>
        <w:tc>
          <w:tcPr>
            <w:tcW w:w="759" w:type="pct"/>
          </w:tcPr>
          <w:p w14:paraId="549754B4"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(309)</w:t>
            </w:r>
          </w:p>
        </w:tc>
      </w:tr>
      <w:tr w:rsidR="00891B3A" w:rsidRPr="00755BD6" w14:paraId="183588A8" w14:textId="77777777" w:rsidTr="00016656">
        <w:tblPrEx>
          <w:tblCellMar>
            <w:left w:w="10" w:type="dxa"/>
            <w:bottom w:w="0" w:type="dxa"/>
            <w:right w:w="10" w:type="dxa"/>
          </w:tblCellMar>
        </w:tblPrEx>
        <w:trPr>
          <w:trHeight w:val="20"/>
        </w:trPr>
        <w:tc>
          <w:tcPr>
            <w:tcW w:w="3289" w:type="pct"/>
            <w:gridSpan w:val="3"/>
            <w:shd w:val="clear" w:color="auto" w:fill="auto"/>
            <w:tcMar>
              <w:top w:w="85" w:type="dxa"/>
              <w:left w:w="0" w:type="dxa"/>
              <w:bottom w:w="85" w:type="dxa"/>
              <w:right w:w="0" w:type="dxa"/>
            </w:tcMar>
          </w:tcPr>
          <w:p w14:paraId="33BC8CB3"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Global Green Solutions</w:t>
            </w:r>
          </w:p>
        </w:tc>
        <w:tc>
          <w:tcPr>
            <w:tcW w:w="951" w:type="pct"/>
            <w:gridSpan w:val="4"/>
            <w:shd w:val="clear" w:color="auto" w:fill="auto"/>
            <w:tcMar>
              <w:top w:w="85" w:type="dxa"/>
              <w:left w:w="0" w:type="dxa"/>
              <w:bottom w:w="85" w:type="dxa"/>
              <w:right w:w="0" w:type="dxa"/>
            </w:tcMar>
            <w:vAlign w:val="center"/>
          </w:tcPr>
          <w:p w14:paraId="636E7768"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(44)</w:t>
            </w:r>
          </w:p>
        </w:tc>
        <w:tc>
          <w:tcPr>
            <w:tcW w:w="759" w:type="pct"/>
          </w:tcPr>
          <w:p w14:paraId="1FE7BC75"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w:t>
            </w:r>
          </w:p>
        </w:tc>
      </w:tr>
      <w:tr w:rsidR="00891B3A" w:rsidRPr="00755BD6" w14:paraId="2E45E1F0" w14:textId="77777777" w:rsidTr="00016656">
        <w:tblPrEx>
          <w:tblCellMar>
            <w:left w:w="10" w:type="dxa"/>
            <w:bottom w:w="0" w:type="dxa"/>
            <w:right w:w="10" w:type="dxa"/>
          </w:tblCellMar>
        </w:tblPrEx>
        <w:trPr>
          <w:trHeight w:val="20"/>
        </w:trPr>
        <w:tc>
          <w:tcPr>
            <w:tcW w:w="3289" w:type="pct"/>
            <w:gridSpan w:val="3"/>
            <w:shd w:val="clear" w:color="auto" w:fill="auto"/>
            <w:tcMar>
              <w:top w:w="85" w:type="dxa"/>
              <w:left w:w="0" w:type="dxa"/>
              <w:bottom w:w="85" w:type="dxa"/>
              <w:right w:w="0" w:type="dxa"/>
            </w:tcMar>
          </w:tcPr>
          <w:p w14:paraId="58C858B1"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Weatherford International</w:t>
            </w:r>
          </w:p>
        </w:tc>
        <w:tc>
          <w:tcPr>
            <w:tcW w:w="951" w:type="pct"/>
            <w:gridSpan w:val="4"/>
            <w:shd w:val="clear" w:color="auto" w:fill="auto"/>
            <w:tcMar>
              <w:top w:w="85" w:type="dxa"/>
              <w:left w:w="0" w:type="dxa"/>
              <w:bottom w:w="85" w:type="dxa"/>
              <w:right w:w="0" w:type="dxa"/>
            </w:tcMar>
            <w:vAlign w:val="center"/>
          </w:tcPr>
          <w:p w14:paraId="18FF58F7"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w:t>
            </w:r>
          </w:p>
        </w:tc>
        <w:tc>
          <w:tcPr>
            <w:tcW w:w="759" w:type="pct"/>
          </w:tcPr>
          <w:p w14:paraId="1704CD55"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(6)</w:t>
            </w:r>
          </w:p>
        </w:tc>
      </w:tr>
      <w:tr w:rsidR="00891B3A" w:rsidRPr="00755BD6" w14:paraId="58F82576" w14:textId="77777777" w:rsidTr="00016656">
        <w:tblPrEx>
          <w:tblCellMar>
            <w:left w:w="10" w:type="dxa"/>
            <w:bottom w:w="0" w:type="dxa"/>
            <w:right w:w="10" w:type="dxa"/>
          </w:tblCellMar>
        </w:tblPrEx>
        <w:trPr>
          <w:trHeight w:val="20"/>
        </w:trPr>
        <w:tc>
          <w:tcPr>
            <w:tcW w:w="3289" w:type="pct"/>
            <w:gridSpan w:val="3"/>
            <w:shd w:val="clear" w:color="auto" w:fill="auto"/>
            <w:tcMar>
              <w:top w:w="85" w:type="dxa"/>
              <w:left w:w="0" w:type="dxa"/>
              <w:bottom w:w="85" w:type="dxa"/>
              <w:right w:w="0" w:type="dxa"/>
            </w:tcMar>
          </w:tcPr>
          <w:p w14:paraId="49F98689"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Other quoted holdings</w:t>
            </w:r>
          </w:p>
        </w:tc>
        <w:tc>
          <w:tcPr>
            <w:tcW w:w="951" w:type="pct"/>
            <w:gridSpan w:val="4"/>
            <w:shd w:val="clear" w:color="auto" w:fill="auto"/>
            <w:tcMar>
              <w:top w:w="85" w:type="dxa"/>
              <w:left w:w="0" w:type="dxa"/>
              <w:bottom w:w="85" w:type="dxa"/>
              <w:right w:w="0" w:type="dxa"/>
            </w:tcMar>
            <w:vAlign w:val="center"/>
          </w:tcPr>
          <w:p w14:paraId="04AB0127"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6</w:t>
            </w:r>
          </w:p>
        </w:tc>
        <w:tc>
          <w:tcPr>
            <w:tcW w:w="759" w:type="pct"/>
          </w:tcPr>
          <w:p w14:paraId="2F57DE4E"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57</w:t>
            </w:r>
          </w:p>
        </w:tc>
      </w:tr>
      <w:tr w:rsidR="00891B3A" w:rsidRPr="00755BD6" w14:paraId="3E9D70AC" w14:textId="77777777" w:rsidTr="00016656">
        <w:tblPrEx>
          <w:tblCellMar>
            <w:left w:w="10" w:type="dxa"/>
            <w:bottom w:w="0" w:type="dxa"/>
            <w:right w:w="10" w:type="dxa"/>
          </w:tblCellMar>
        </w:tblPrEx>
        <w:trPr>
          <w:trHeight w:val="20"/>
        </w:trPr>
        <w:tc>
          <w:tcPr>
            <w:tcW w:w="3289" w:type="pct"/>
            <w:gridSpan w:val="3"/>
            <w:tcBorders>
              <w:bottom w:val="single" w:sz="4" w:space="0" w:color="000000"/>
            </w:tcBorders>
            <w:shd w:val="clear" w:color="auto" w:fill="auto"/>
            <w:tcMar>
              <w:top w:w="85" w:type="dxa"/>
              <w:left w:w="0" w:type="dxa"/>
              <w:bottom w:w="85" w:type="dxa"/>
              <w:right w:w="0" w:type="dxa"/>
            </w:tcMar>
          </w:tcPr>
          <w:p w14:paraId="42C1F283"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roofErr w:type="spellStart"/>
            <w:r w:rsidRPr="00AC0617">
              <w:rPr>
                <w:rFonts w:ascii="Arial" w:eastAsia="Times New Roman" w:hAnsi="Arial" w:cs="Arial"/>
                <w:color w:val="000000"/>
                <w:sz w:val="20"/>
                <w:szCs w:val="20"/>
              </w:rPr>
              <w:t>Unrealised</w:t>
            </w:r>
            <w:proofErr w:type="spellEnd"/>
            <w:r w:rsidRPr="00AC0617">
              <w:rPr>
                <w:rFonts w:ascii="Arial" w:eastAsia="Times New Roman" w:hAnsi="Arial" w:cs="Arial"/>
                <w:color w:val="000000"/>
                <w:sz w:val="20"/>
                <w:szCs w:val="20"/>
              </w:rPr>
              <w:t xml:space="preserve"> foreign currency (losses)</w:t>
            </w:r>
            <w:r>
              <w:rPr>
                <w:rFonts w:ascii="Arial" w:eastAsia="Times New Roman" w:hAnsi="Arial" w:cs="Arial"/>
                <w:color w:val="000000"/>
                <w:sz w:val="20"/>
                <w:szCs w:val="20"/>
              </w:rPr>
              <w:t>/</w:t>
            </w:r>
            <w:r w:rsidRPr="00A95E54">
              <w:rPr>
                <w:rFonts w:ascii="Arial" w:eastAsia="Times New Roman" w:hAnsi="Arial" w:cs="Arial"/>
                <w:color w:val="000000"/>
                <w:sz w:val="20"/>
                <w:szCs w:val="20"/>
              </w:rPr>
              <w:t xml:space="preserve"> gains</w:t>
            </w:r>
          </w:p>
        </w:tc>
        <w:tc>
          <w:tcPr>
            <w:tcW w:w="951" w:type="pct"/>
            <w:gridSpan w:val="4"/>
            <w:tcBorders>
              <w:bottom w:val="single" w:sz="4" w:space="0" w:color="000000"/>
            </w:tcBorders>
            <w:shd w:val="clear" w:color="auto" w:fill="auto"/>
            <w:tcMar>
              <w:top w:w="85" w:type="dxa"/>
              <w:left w:w="0" w:type="dxa"/>
              <w:bottom w:w="85" w:type="dxa"/>
              <w:right w:w="0" w:type="dxa"/>
            </w:tcMar>
            <w:vAlign w:val="center"/>
          </w:tcPr>
          <w:p w14:paraId="258172D8"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(1)</w:t>
            </w:r>
          </w:p>
        </w:tc>
        <w:tc>
          <w:tcPr>
            <w:tcW w:w="759" w:type="pct"/>
            <w:tcBorders>
              <w:bottom w:val="single" w:sz="4" w:space="0" w:color="000000"/>
            </w:tcBorders>
          </w:tcPr>
          <w:p w14:paraId="721F877B"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1</w:t>
            </w:r>
          </w:p>
        </w:tc>
      </w:tr>
      <w:tr w:rsidR="00891B3A" w:rsidRPr="00755BD6" w14:paraId="6187ABA2" w14:textId="77777777" w:rsidTr="00016656">
        <w:tblPrEx>
          <w:tblCellMar>
            <w:left w:w="10" w:type="dxa"/>
            <w:bottom w:w="0" w:type="dxa"/>
            <w:right w:w="10" w:type="dxa"/>
          </w:tblCellMar>
        </w:tblPrEx>
        <w:trPr>
          <w:trHeight w:val="20"/>
        </w:trPr>
        <w:tc>
          <w:tcPr>
            <w:tcW w:w="3289" w:type="pct"/>
            <w:gridSpan w:val="3"/>
            <w:tcBorders>
              <w:bottom w:val="single" w:sz="4" w:space="0" w:color="000000"/>
            </w:tcBorders>
            <w:shd w:val="clear" w:color="auto" w:fill="auto"/>
            <w:tcMar>
              <w:top w:w="85" w:type="dxa"/>
              <w:left w:w="0" w:type="dxa"/>
              <w:bottom w:w="85" w:type="dxa"/>
              <w:right w:w="0" w:type="dxa"/>
            </w:tcMar>
          </w:tcPr>
          <w:p w14:paraId="38F83B0B"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tc>
        <w:tc>
          <w:tcPr>
            <w:tcW w:w="951" w:type="pct"/>
            <w:gridSpan w:val="4"/>
            <w:tcBorders>
              <w:bottom w:val="single" w:sz="4" w:space="0" w:color="000000"/>
            </w:tcBorders>
            <w:shd w:val="clear" w:color="auto" w:fill="auto"/>
            <w:tcMar>
              <w:top w:w="85" w:type="dxa"/>
              <w:left w:w="0" w:type="dxa"/>
              <w:bottom w:w="85" w:type="dxa"/>
              <w:right w:w="0" w:type="dxa"/>
            </w:tcMar>
            <w:vAlign w:val="bottom"/>
          </w:tcPr>
          <w:p w14:paraId="25FDF68E"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color w:val="000000"/>
                <w:sz w:val="20"/>
                <w:szCs w:val="20"/>
              </w:rPr>
            </w:pPr>
            <w:r w:rsidRPr="00AC0617">
              <w:rPr>
                <w:rFonts w:ascii="Arial" w:eastAsia="Times New Roman" w:hAnsi="Arial" w:cs="Arial"/>
                <w:b/>
                <w:bCs/>
                <w:color w:val="000000"/>
                <w:sz w:val="20"/>
                <w:szCs w:val="20"/>
              </w:rPr>
              <w:t>88</w:t>
            </w:r>
          </w:p>
        </w:tc>
        <w:tc>
          <w:tcPr>
            <w:tcW w:w="759" w:type="pct"/>
            <w:tcBorders>
              <w:bottom w:val="single" w:sz="4" w:space="0" w:color="000000"/>
            </w:tcBorders>
            <w:vAlign w:val="bottom"/>
          </w:tcPr>
          <w:p w14:paraId="1AE86C19"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(257)</w:t>
            </w:r>
          </w:p>
        </w:tc>
      </w:tr>
      <w:tr w:rsidR="00891B3A" w:rsidRPr="00755BD6" w14:paraId="56348B0D" w14:textId="77777777" w:rsidTr="00016656">
        <w:tblPrEx>
          <w:tblCellMar>
            <w:left w:w="10" w:type="dxa"/>
            <w:bottom w:w="0" w:type="dxa"/>
            <w:right w:w="10" w:type="dxa"/>
          </w:tblCellMar>
        </w:tblPrEx>
        <w:trPr>
          <w:trHeight w:val="20"/>
        </w:trPr>
        <w:tc>
          <w:tcPr>
            <w:tcW w:w="3289" w:type="pct"/>
            <w:gridSpan w:val="3"/>
            <w:tcBorders>
              <w:top w:val="single" w:sz="4" w:space="0" w:color="000000"/>
              <w:bottom w:val="single" w:sz="4" w:space="0" w:color="000000"/>
            </w:tcBorders>
            <w:shd w:val="clear" w:color="auto" w:fill="auto"/>
            <w:tcMar>
              <w:top w:w="85" w:type="dxa"/>
              <w:left w:w="0" w:type="dxa"/>
              <w:bottom w:w="85" w:type="dxa"/>
              <w:right w:w="0" w:type="dxa"/>
            </w:tcMar>
            <w:vAlign w:val="bottom"/>
          </w:tcPr>
          <w:p w14:paraId="2CD05AAB" w14:textId="77777777" w:rsidR="00891B3A" w:rsidRPr="00AC0617"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 xml:space="preserve">Total net </w:t>
            </w:r>
            <w:r>
              <w:rPr>
                <w:rFonts w:ascii="Arial" w:eastAsia="Times New Roman" w:hAnsi="Arial" w:cs="Arial"/>
                <w:color w:val="000000"/>
                <w:sz w:val="20"/>
                <w:szCs w:val="20"/>
              </w:rPr>
              <w:t>gains/(</w:t>
            </w:r>
            <w:r w:rsidRPr="00AC0617">
              <w:rPr>
                <w:rFonts w:ascii="Arial" w:eastAsia="Times New Roman" w:hAnsi="Arial" w:cs="Arial"/>
                <w:color w:val="000000"/>
                <w:sz w:val="20"/>
                <w:szCs w:val="20"/>
              </w:rPr>
              <w:t>loss</w:t>
            </w:r>
            <w:r>
              <w:rPr>
                <w:rFonts w:ascii="Arial" w:eastAsia="Times New Roman" w:hAnsi="Arial" w:cs="Arial"/>
                <w:color w:val="000000"/>
                <w:sz w:val="20"/>
                <w:szCs w:val="20"/>
              </w:rPr>
              <w:t>es)</w:t>
            </w:r>
          </w:p>
        </w:tc>
        <w:tc>
          <w:tcPr>
            <w:tcW w:w="951" w:type="pct"/>
            <w:gridSpan w:val="4"/>
            <w:tcBorders>
              <w:top w:val="single" w:sz="4" w:space="0" w:color="000000"/>
              <w:bottom w:val="single" w:sz="4" w:space="0" w:color="000000"/>
            </w:tcBorders>
            <w:shd w:val="clear" w:color="auto" w:fill="auto"/>
            <w:tcMar>
              <w:top w:w="85" w:type="dxa"/>
              <w:left w:w="0" w:type="dxa"/>
              <w:bottom w:w="85" w:type="dxa"/>
              <w:right w:w="0" w:type="dxa"/>
            </w:tcMar>
            <w:vAlign w:val="bottom"/>
          </w:tcPr>
          <w:p w14:paraId="50330C6A"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88</w:t>
            </w:r>
          </w:p>
        </w:tc>
        <w:tc>
          <w:tcPr>
            <w:tcW w:w="759" w:type="pct"/>
            <w:tcBorders>
              <w:top w:val="single" w:sz="4" w:space="0" w:color="000000"/>
              <w:bottom w:val="single" w:sz="4" w:space="0" w:color="000000"/>
            </w:tcBorders>
            <w:vAlign w:val="bottom"/>
          </w:tcPr>
          <w:p w14:paraId="5170247C" w14:textId="77777777" w:rsidR="00891B3A" w:rsidRPr="00AC0617" w:rsidRDefault="00891B3A" w:rsidP="00891B3A">
            <w:pPr>
              <w:shd w:val="clear" w:color="auto" w:fill="FFFFFF"/>
              <w:tabs>
                <w:tab w:val="decimal" w:pos="1134"/>
              </w:tabs>
              <w:autoSpaceDE w:val="0"/>
              <w:spacing w:after="0" w:line="240" w:lineRule="auto"/>
              <w:ind w:right="113"/>
              <w:jc w:val="right"/>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(592)</w:t>
            </w:r>
          </w:p>
        </w:tc>
      </w:tr>
      <w:tr w:rsidR="00891B3A" w:rsidRPr="00755BD6" w14:paraId="0A38323F" w14:textId="77777777" w:rsidTr="00016656">
        <w:tblPrEx>
          <w:tblCellMar>
            <w:left w:w="10" w:type="dxa"/>
            <w:bottom w:w="0" w:type="dxa"/>
            <w:right w:w="10" w:type="dxa"/>
          </w:tblCellMar>
        </w:tblPrEx>
        <w:trPr>
          <w:trHeight w:val="20"/>
        </w:trPr>
        <w:tc>
          <w:tcPr>
            <w:tcW w:w="3289" w:type="pct"/>
            <w:gridSpan w:val="3"/>
            <w:tcBorders>
              <w:top w:val="single" w:sz="4" w:space="0" w:color="000000"/>
            </w:tcBorders>
            <w:shd w:val="clear" w:color="auto" w:fill="auto"/>
            <w:tcMar>
              <w:top w:w="85" w:type="dxa"/>
              <w:left w:w="0" w:type="dxa"/>
              <w:bottom w:w="85" w:type="dxa"/>
              <w:right w:w="0" w:type="dxa"/>
            </w:tcMar>
            <w:vAlign w:val="bottom"/>
          </w:tcPr>
          <w:p w14:paraId="28EFCB47" w14:textId="77777777" w:rsidR="00891B3A" w:rsidRDefault="00891B3A"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0FBD3769"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413B3D29"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3982E6A4"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6BC885EB"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095B4230"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5BCDA6BD"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59CD1936"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2378F71B"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62821EA6"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5EA95AF8"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6CD4F9DA" w14:textId="77777777" w:rsidR="00016656"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p w14:paraId="38C7620A" w14:textId="2213CE10" w:rsidR="00016656" w:rsidRPr="00AC0617" w:rsidRDefault="00016656" w:rsidP="00891B3A">
            <w:pPr>
              <w:shd w:val="clear" w:color="auto" w:fill="FFFFFF"/>
              <w:autoSpaceDE w:val="0"/>
              <w:spacing w:after="0" w:line="240" w:lineRule="auto"/>
              <w:ind w:left="71"/>
              <w:jc w:val="both"/>
              <w:textAlignment w:val="center"/>
              <w:rPr>
                <w:rFonts w:ascii="Arial" w:eastAsia="Times New Roman" w:hAnsi="Arial" w:cs="Arial"/>
                <w:color w:val="000000"/>
                <w:sz w:val="20"/>
                <w:szCs w:val="20"/>
              </w:rPr>
            </w:pPr>
          </w:p>
        </w:tc>
        <w:tc>
          <w:tcPr>
            <w:tcW w:w="951" w:type="pct"/>
            <w:gridSpan w:val="4"/>
            <w:tcBorders>
              <w:top w:val="single" w:sz="4" w:space="0" w:color="000000"/>
            </w:tcBorders>
            <w:shd w:val="clear" w:color="auto" w:fill="auto"/>
            <w:tcMar>
              <w:top w:w="85" w:type="dxa"/>
              <w:left w:w="0" w:type="dxa"/>
              <w:bottom w:w="85" w:type="dxa"/>
              <w:right w:w="0" w:type="dxa"/>
            </w:tcMar>
            <w:vAlign w:val="bottom"/>
          </w:tcPr>
          <w:p w14:paraId="5408FE30" w14:textId="77777777" w:rsidR="00891B3A" w:rsidRPr="00AC0617" w:rsidRDefault="00891B3A" w:rsidP="00891B3A">
            <w:pPr>
              <w:shd w:val="clear" w:color="auto" w:fill="FFFFFF"/>
              <w:tabs>
                <w:tab w:val="decimal" w:pos="1134"/>
              </w:tabs>
              <w:autoSpaceDE w:val="0"/>
              <w:spacing w:after="0" w:line="240" w:lineRule="auto"/>
              <w:ind w:right="113"/>
              <w:jc w:val="both"/>
              <w:textAlignment w:val="center"/>
              <w:rPr>
                <w:rFonts w:ascii="Arial" w:eastAsia="Times New Roman" w:hAnsi="Arial" w:cs="Arial"/>
                <w:color w:val="000000"/>
                <w:sz w:val="20"/>
                <w:szCs w:val="20"/>
              </w:rPr>
            </w:pPr>
          </w:p>
        </w:tc>
        <w:tc>
          <w:tcPr>
            <w:tcW w:w="759" w:type="pct"/>
            <w:tcBorders>
              <w:top w:val="single" w:sz="4" w:space="0" w:color="000000"/>
            </w:tcBorders>
          </w:tcPr>
          <w:p w14:paraId="780C4822" w14:textId="77777777" w:rsidR="00891B3A" w:rsidRPr="00AC0617" w:rsidRDefault="00891B3A" w:rsidP="00891B3A">
            <w:pPr>
              <w:shd w:val="clear" w:color="auto" w:fill="FFFFFF"/>
              <w:tabs>
                <w:tab w:val="decimal" w:pos="1134"/>
              </w:tabs>
              <w:autoSpaceDE w:val="0"/>
              <w:spacing w:after="0" w:line="240" w:lineRule="auto"/>
              <w:ind w:right="113"/>
              <w:jc w:val="both"/>
              <w:textAlignment w:val="center"/>
              <w:rPr>
                <w:rFonts w:ascii="Arial" w:eastAsia="Times New Roman" w:hAnsi="Arial" w:cs="Arial"/>
                <w:color w:val="000000"/>
                <w:sz w:val="20"/>
                <w:szCs w:val="20"/>
              </w:rPr>
            </w:pPr>
          </w:p>
        </w:tc>
      </w:tr>
      <w:tr w:rsidR="00891B3A" w:rsidRPr="00755BD6" w14:paraId="10C746BF" w14:textId="77777777" w:rsidTr="00016656">
        <w:tblPrEx>
          <w:tblCellMar>
            <w:bottom w:w="0" w:type="dxa"/>
          </w:tblCellMar>
        </w:tblPrEx>
        <w:trPr>
          <w:gridBefore w:val="1"/>
          <w:wBefore w:w="4" w:type="pct"/>
          <w:trHeight w:val="60"/>
        </w:trPr>
        <w:tc>
          <w:tcPr>
            <w:tcW w:w="1636" w:type="pct"/>
            <w:shd w:val="clear" w:color="auto" w:fill="auto"/>
            <w:tcMar>
              <w:top w:w="85" w:type="dxa"/>
              <w:left w:w="0" w:type="dxa"/>
              <w:bottom w:w="85" w:type="dxa"/>
              <w:right w:w="0" w:type="dxa"/>
            </w:tcMar>
            <w:vAlign w:val="bottom"/>
          </w:tcPr>
          <w:p w14:paraId="62CF97A5"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r w:rsidRPr="00A95E54">
              <w:rPr>
                <w:rFonts w:ascii="Arial" w:eastAsia="Times New Roman" w:hAnsi="Arial" w:cs="Arial"/>
                <w:b/>
                <w:i/>
                <w:lang w:val="en-GB" w:eastAsia="en-GB"/>
              </w:rPr>
              <w:lastRenderedPageBreak/>
              <w:t>Unquoted investments</w:t>
            </w:r>
          </w:p>
        </w:tc>
        <w:tc>
          <w:tcPr>
            <w:tcW w:w="1719" w:type="pct"/>
            <w:gridSpan w:val="2"/>
            <w:shd w:val="clear" w:color="auto" w:fill="auto"/>
            <w:tcMar>
              <w:top w:w="85" w:type="dxa"/>
              <w:left w:w="0" w:type="dxa"/>
              <w:bottom w:w="85" w:type="dxa"/>
              <w:right w:w="0" w:type="dxa"/>
            </w:tcMar>
            <w:vAlign w:val="bottom"/>
          </w:tcPr>
          <w:p w14:paraId="50F97526"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p>
        </w:tc>
        <w:tc>
          <w:tcPr>
            <w:tcW w:w="157" w:type="pct"/>
          </w:tcPr>
          <w:p w14:paraId="0D101557"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c>
          <w:tcPr>
            <w:tcW w:w="1484" w:type="pct"/>
            <w:gridSpan w:val="3"/>
            <w:shd w:val="clear" w:color="auto" w:fill="auto"/>
            <w:tcMar>
              <w:top w:w="85" w:type="dxa"/>
              <w:left w:w="0" w:type="dxa"/>
              <w:bottom w:w="85" w:type="dxa"/>
              <w:right w:w="0" w:type="dxa"/>
            </w:tcMar>
            <w:vAlign w:val="bottom"/>
          </w:tcPr>
          <w:p w14:paraId="3D0F589D"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r>
      <w:tr w:rsidR="00891B3A" w:rsidRPr="00755BD6" w14:paraId="19E62064" w14:textId="77777777" w:rsidTr="00016656">
        <w:tblPrEx>
          <w:tblCellMar>
            <w:bottom w:w="0" w:type="dxa"/>
          </w:tblCellMar>
        </w:tblPrEx>
        <w:trPr>
          <w:gridBefore w:val="1"/>
          <w:wBefore w:w="4" w:type="pct"/>
          <w:trHeight w:val="60"/>
        </w:trPr>
        <w:tc>
          <w:tcPr>
            <w:tcW w:w="1636" w:type="pct"/>
            <w:tcBorders>
              <w:bottom w:val="single" w:sz="8" w:space="0" w:color="000000"/>
            </w:tcBorders>
            <w:shd w:val="clear" w:color="auto" w:fill="auto"/>
            <w:tcMar>
              <w:top w:w="85" w:type="dxa"/>
              <w:left w:w="0" w:type="dxa"/>
              <w:bottom w:w="85" w:type="dxa"/>
              <w:right w:w="0" w:type="dxa"/>
            </w:tcMar>
            <w:vAlign w:val="bottom"/>
          </w:tcPr>
          <w:p w14:paraId="47F1BA58"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szCs w:val="20"/>
                <w:lang w:val="en-GB" w:eastAsia="en-GB"/>
              </w:rPr>
            </w:pPr>
          </w:p>
        </w:tc>
        <w:tc>
          <w:tcPr>
            <w:tcW w:w="1719" w:type="pct"/>
            <w:gridSpan w:val="2"/>
            <w:tcBorders>
              <w:bottom w:val="single" w:sz="8" w:space="0" w:color="000000"/>
            </w:tcBorders>
            <w:shd w:val="clear" w:color="auto" w:fill="auto"/>
            <w:tcMar>
              <w:top w:w="85" w:type="dxa"/>
              <w:left w:w="0" w:type="dxa"/>
              <w:bottom w:w="85" w:type="dxa"/>
              <w:right w:w="0" w:type="dxa"/>
            </w:tcMar>
            <w:vAlign w:val="bottom"/>
          </w:tcPr>
          <w:p w14:paraId="1F869B36"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szCs w:val="20"/>
                <w:lang w:val="en-GB" w:eastAsia="en-GB"/>
              </w:rPr>
            </w:pPr>
          </w:p>
        </w:tc>
        <w:tc>
          <w:tcPr>
            <w:tcW w:w="157" w:type="pct"/>
            <w:tcBorders>
              <w:bottom w:val="single" w:sz="4" w:space="0" w:color="auto"/>
            </w:tcBorders>
          </w:tcPr>
          <w:p w14:paraId="09FD26E9" w14:textId="77777777" w:rsidR="00891B3A" w:rsidRPr="00AC0617" w:rsidRDefault="00891B3A" w:rsidP="00891B3A">
            <w:pPr>
              <w:autoSpaceDE w:val="0"/>
              <w:adjustRightInd w:val="0"/>
              <w:spacing w:after="0" w:line="240" w:lineRule="auto"/>
              <w:ind w:left="113" w:right="57"/>
              <w:jc w:val="both"/>
              <w:textAlignment w:val="center"/>
              <w:rPr>
                <w:rFonts w:ascii="Arial" w:eastAsia="Times New Roman" w:hAnsi="Arial" w:cs="Arial"/>
                <w:b/>
                <w:bCs/>
                <w:color w:val="000000"/>
                <w:sz w:val="20"/>
                <w:szCs w:val="20"/>
                <w:lang w:val="en-GB" w:eastAsia="en-GB"/>
              </w:rPr>
            </w:pPr>
          </w:p>
        </w:tc>
        <w:tc>
          <w:tcPr>
            <w:tcW w:w="703" w:type="pct"/>
            <w:tcBorders>
              <w:bottom w:val="single" w:sz="4" w:space="0" w:color="auto"/>
            </w:tcBorders>
            <w:shd w:val="clear" w:color="auto" w:fill="auto"/>
            <w:tcMar>
              <w:top w:w="85" w:type="dxa"/>
              <w:left w:w="0" w:type="dxa"/>
              <w:bottom w:w="85" w:type="dxa"/>
              <w:right w:w="0" w:type="dxa"/>
            </w:tcMar>
            <w:vAlign w:val="center"/>
          </w:tcPr>
          <w:p w14:paraId="4FCA6646" w14:textId="77777777" w:rsidR="00891B3A" w:rsidRPr="00AC0617" w:rsidRDefault="00891B3A" w:rsidP="00891B3A">
            <w:pPr>
              <w:autoSpaceDE w:val="0"/>
              <w:adjustRightInd w:val="0"/>
              <w:spacing w:after="0" w:line="240" w:lineRule="auto"/>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30 June</w:t>
            </w:r>
          </w:p>
          <w:p w14:paraId="22C27D06" w14:textId="77777777" w:rsidR="00891B3A" w:rsidRPr="00AC0617" w:rsidRDefault="00891B3A" w:rsidP="00891B3A">
            <w:pPr>
              <w:autoSpaceDE w:val="0"/>
              <w:adjustRightInd w:val="0"/>
              <w:spacing w:after="0" w:line="240" w:lineRule="auto"/>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2021</w:t>
            </w:r>
          </w:p>
        </w:tc>
        <w:tc>
          <w:tcPr>
            <w:tcW w:w="781" w:type="pct"/>
            <w:gridSpan w:val="2"/>
            <w:tcBorders>
              <w:bottom w:val="single" w:sz="4" w:space="0" w:color="auto"/>
            </w:tcBorders>
            <w:shd w:val="clear" w:color="auto" w:fill="auto"/>
            <w:vAlign w:val="center"/>
          </w:tcPr>
          <w:p w14:paraId="1A4310BF" w14:textId="77777777" w:rsidR="00891B3A" w:rsidRPr="00AC0617" w:rsidRDefault="00891B3A" w:rsidP="00891B3A">
            <w:pPr>
              <w:autoSpaceDE w:val="0"/>
              <w:adjustRightInd w:val="0"/>
              <w:spacing w:after="0" w:line="240" w:lineRule="auto"/>
              <w:ind w:left="113" w:right="57"/>
              <w:jc w:val="right"/>
              <w:textAlignment w:val="center"/>
              <w:rPr>
                <w:rFonts w:ascii="Arial" w:hAnsi="Arial" w:cs="Arial"/>
                <w:b/>
                <w:color w:val="000000"/>
                <w:sz w:val="20"/>
                <w:szCs w:val="20"/>
                <w:lang w:val="en-GB"/>
              </w:rPr>
            </w:pPr>
            <w:r w:rsidRPr="00AC0617">
              <w:rPr>
                <w:rFonts w:ascii="Arial" w:eastAsia="Times New Roman" w:hAnsi="Arial" w:cs="Arial"/>
                <w:b/>
                <w:bCs/>
                <w:color w:val="000000"/>
                <w:sz w:val="20"/>
                <w:szCs w:val="20"/>
                <w:lang w:val="en-GB" w:eastAsia="en-GB"/>
              </w:rPr>
              <w:t>31 December 2020</w:t>
            </w:r>
          </w:p>
        </w:tc>
      </w:tr>
      <w:tr w:rsidR="00891B3A" w:rsidRPr="00755BD6" w14:paraId="0AC43ABC" w14:textId="77777777" w:rsidTr="00016656">
        <w:tblPrEx>
          <w:tblCellMar>
            <w:bottom w:w="0" w:type="dxa"/>
          </w:tblCellMar>
        </w:tblPrEx>
        <w:trPr>
          <w:gridBefore w:val="1"/>
          <w:wBefore w:w="4" w:type="pct"/>
          <w:trHeight w:val="60"/>
        </w:trPr>
        <w:tc>
          <w:tcPr>
            <w:tcW w:w="1636" w:type="pct"/>
            <w:tcBorders>
              <w:top w:val="single" w:sz="8" w:space="0" w:color="000000"/>
              <w:bottom w:val="single" w:sz="4" w:space="0" w:color="auto"/>
            </w:tcBorders>
            <w:shd w:val="clear" w:color="auto" w:fill="auto"/>
            <w:vAlign w:val="bottom"/>
          </w:tcPr>
          <w:p w14:paraId="2C756E3A"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Company</w:t>
            </w:r>
          </w:p>
        </w:tc>
        <w:tc>
          <w:tcPr>
            <w:tcW w:w="1719" w:type="pct"/>
            <w:gridSpan w:val="2"/>
            <w:tcBorders>
              <w:top w:val="single" w:sz="8" w:space="0" w:color="000000"/>
              <w:bottom w:val="single" w:sz="4" w:space="0" w:color="auto"/>
            </w:tcBorders>
            <w:shd w:val="clear" w:color="auto" w:fill="auto"/>
            <w:vAlign w:val="bottom"/>
          </w:tcPr>
          <w:p w14:paraId="30126F01"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Sector</w:t>
            </w:r>
          </w:p>
        </w:tc>
        <w:tc>
          <w:tcPr>
            <w:tcW w:w="157" w:type="pct"/>
            <w:tcBorders>
              <w:top w:val="single" w:sz="4" w:space="0" w:color="auto"/>
              <w:bottom w:val="single" w:sz="4" w:space="0" w:color="auto"/>
            </w:tcBorders>
          </w:tcPr>
          <w:p w14:paraId="4E393B3A" w14:textId="77777777" w:rsidR="00891B3A" w:rsidRPr="00AC0617" w:rsidRDefault="00891B3A" w:rsidP="00891B3A">
            <w:pPr>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tcBorders>
              <w:top w:val="single" w:sz="4" w:space="0" w:color="auto"/>
              <w:bottom w:val="single" w:sz="4" w:space="0" w:color="auto"/>
            </w:tcBorders>
            <w:shd w:val="clear" w:color="auto" w:fill="auto"/>
            <w:tcMar>
              <w:top w:w="85" w:type="dxa"/>
              <w:left w:w="0" w:type="dxa"/>
              <w:bottom w:w="85" w:type="dxa"/>
              <w:right w:w="0" w:type="dxa"/>
            </w:tcMar>
            <w:vAlign w:val="center"/>
          </w:tcPr>
          <w:p w14:paraId="04A1ECF3" w14:textId="77777777" w:rsidR="00891B3A" w:rsidRPr="00AC0617" w:rsidRDefault="00891B3A" w:rsidP="00891B3A">
            <w:pPr>
              <w:autoSpaceDE w:val="0"/>
              <w:adjustRightInd w:val="0"/>
              <w:spacing w:after="0" w:line="240" w:lineRule="auto"/>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£’000</w:t>
            </w:r>
          </w:p>
        </w:tc>
        <w:tc>
          <w:tcPr>
            <w:tcW w:w="781" w:type="pct"/>
            <w:gridSpan w:val="2"/>
            <w:tcBorders>
              <w:top w:val="single" w:sz="4" w:space="0" w:color="auto"/>
              <w:left w:val="nil"/>
              <w:bottom w:val="single" w:sz="4" w:space="0" w:color="auto"/>
            </w:tcBorders>
            <w:tcMar>
              <w:top w:w="85" w:type="dxa"/>
              <w:left w:w="0" w:type="dxa"/>
              <w:bottom w:w="85" w:type="dxa"/>
              <w:right w:w="0" w:type="dxa"/>
            </w:tcMar>
            <w:vAlign w:val="center"/>
          </w:tcPr>
          <w:p w14:paraId="530BE7B0" w14:textId="77777777" w:rsidR="00891B3A" w:rsidRPr="00AC0617" w:rsidRDefault="00891B3A" w:rsidP="00891B3A">
            <w:pPr>
              <w:autoSpaceDE w:val="0"/>
              <w:adjustRightInd w:val="0"/>
              <w:spacing w:after="0" w:line="240" w:lineRule="auto"/>
              <w:ind w:right="57"/>
              <w:jc w:val="right"/>
              <w:textAlignment w:val="center"/>
              <w:rPr>
                <w:rFonts w:ascii="Arial" w:hAnsi="Arial" w:cs="Arial"/>
                <w:b/>
                <w:color w:val="000000"/>
                <w:sz w:val="20"/>
                <w:szCs w:val="20"/>
                <w:lang w:val="en-GB"/>
              </w:rPr>
            </w:pPr>
            <w:r w:rsidRPr="00AC0617">
              <w:rPr>
                <w:rFonts w:ascii="Arial" w:hAnsi="Arial" w:cs="Arial"/>
                <w:b/>
                <w:color w:val="000000"/>
                <w:sz w:val="20"/>
                <w:szCs w:val="20"/>
                <w:lang w:val="en-GB"/>
              </w:rPr>
              <w:t>£’000</w:t>
            </w:r>
          </w:p>
        </w:tc>
      </w:tr>
      <w:tr w:rsidR="00891B3A" w:rsidRPr="00755BD6" w14:paraId="24FF3CF0" w14:textId="77777777" w:rsidTr="00016656">
        <w:tblPrEx>
          <w:tblCellMar>
            <w:bottom w:w="0" w:type="dxa"/>
          </w:tblCellMar>
        </w:tblPrEx>
        <w:trPr>
          <w:gridBefore w:val="1"/>
          <w:wBefore w:w="4" w:type="pct"/>
          <w:trHeight w:val="60"/>
        </w:trPr>
        <w:tc>
          <w:tcPr>
            <w:tcW w:w="1636" w:type="pct"/>
            <w:tcBorders>
              <w:top w:val="single" w:sz="4" w:space="0" w:color="auto"/>
            </w:tcBorders>
            <w:shd w:val="clear" w:color="auto" w:fill="auto"/>
            <w:tcMar>
              <w:top w:w="85" w:type="dxa"/>
              <w:left w:w="0" w:type="dxa"/>
              <w:bottom w:w="85" w:type="dxa"/>
              <w:right w:w="0" w:type="dxa"/>
            </w:tcMar>
          </w:tcPr>
          <w:p w14:paraId="250DF213"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proofErr w:type="spellStart"/>
            <w:r w:rsidRPr="00AC0617">
              <w:rPr>
                <w:rFonts w:ascii="Arial" w:eastAsia="Times New Roman" w:hAnsi="Arial" w:cs="Arial"/>
                <w:color w:val="000000"/>
                <w:sz w:val="20"/>
                <w:szCs w:val="20"/>
                <w:lang w:val="en-GB" w:eastAsia="en-GB"/>
              </w:rPr>
              <w:t>Medhost</w:t>
            </w:r>
            <w:proofErr w:type="spellEnd"/>
            <w:r w:rsidRPr="00AC0617">
              <w:rPr>
                <w:rFonts w:ascii="Arial" w:eastAsia="Times New Roman" w:hAnsi="Arial" w:cs="Arial"/>
                <w:color w:val="000000"/>
                <w:sz w:val="20"/>
                <w:szCs w:val="20"/>
                <w:lang w:val="en-GB" w:eastAsia="en-GB"/>
              </w:rPr>
              <w:t xml:space="preserve"> Inc</w:t>
            </w:r>
          </w:p>
        </w:tc>
        <w:tc>
          <w:tcPr>
            <w:tcW w:w="1719" w:type="pct"/>
            <w:gridSpan w:val="2"/>
            <w:tcBorders>
              <w:top w:val="single" w:sz="4" w:space="0" w:color="auto"/>
            </w:tcBorders>
            <w:shd w:val="clear" w:color="auto" w:fill="auto"/>
            <w:tcMar>
              <w:top w:w="85" w:type="dxa"/>
              <w:left w:w="0" w:type="dxa"/>
              <w:bottom w:w="85" w:type="dxa"/>
              <w:right w:w="0" w:type="dxa"/>
            </w:tcMar>
          </w:tcPr>
          <w:p w14:paraId="230C8A16"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US technology</w:t>
            </w:r>
          </w:p>
        </w:tc>
        <w:tc>
          <w:tcPr>
            <w:tcW w:w="157" w:type="pct"/>
            <w:tcBorders>
              <w:top w:val="single" w:sz="4" w:space="0" w:color="auto"/>
            </w:tcBorders>
            <w:shd w:val="clear" w:color="auto" w:fill="auto"/>
          </w:tcPr>
          <w:p w14:paraId="331A36E6"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tcBorders>
              <w:top w:val="single" w:sz="4" w:space="0" w:color="auto"/>
            </w:tcBorders>
            <w:shd w:val="clear" w:color="auto" w:fill="auto"/>
            <w:tcMar>
              <w:top w:w="85" w:type="dxa"/>
              <w:left w:w="0" w:type="dxa"/>
              <w:bottom w:w="85" w:type="dxa"/>
              <w:right w:w="0" w:type="dxa"/>
            </w:tcMar>
            <w:vAlign w:val="center"/>
          </w:tcPr>
          <w:p w14:paraId="0FB8E548"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5,325</w:t>
            </w:r>
          </w:p>
        </w:tc>
        <w:tc>
          <w:tcPr>
            <w:tcW w:w="781" w:type="pct"/>
            <w:gridSpan w:val="2"/>
            <w:tcBorders>
              <w:top w:val="single" w:sz="4" w:space="0" w:color="auto"/>
              <w:left w:val="nil"/>
            </w:tcBorders>
            <w:shd w:val="clear" w:color="auto" w:fill="auto"/>
            <w:tcMar>
              <w:top w:w="85" w:type="dxa"/>
              <w:left w:w="0" w:type="dxa"/>
              <w:bottom w:w="85" w:type="dxa"/>
              <w:right w:w="0" w:type="dxa"/>
            </w:tcMar>
            <w:vAlign w:val="center"/>
          </w:tcPr>
          <w:p w14:paraId="4340B8D3"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hAnsi="Arial" w:cs="Arial"/>
                <w:color w:val="000000"/>
                <w:sz w:val="20"/>
                <w:szCs w:val="20"/>
                <w:lang w:val="en-GB"/>
              </w:rPr>
            </w:pPr>
            <w:r w:rsidRPr="00AC0617">
              <w:rPr>
                <w:rFonts w:ascii="Arial" w:eastAsia="Times New Roman" w:hAnsi="Arial" w:cs="Arial"/>
                <w:color w:val="000000"/>
                <w:sz w:val="20"/>
                <w:szCs w:val="20"/>
                <w:lang w:val="en-GB" w:eastAsia="en-GB"/>
              </w:rPr>
              <w:t>5,704</w:t>
            </w:r>
          </w:p>
        </w:tc>
      </w:tr>
      <w:tr w:rsidR="00891B3A" w:rsidRPr="00755BD6" w14:paraId="65BCC647" w14:textId="77777777" w:rsidTr="00016656">
        <w:tblPrEx>
          <w:tblCellMar>
            <w:bottom w:w="0" w:type="dxa"/>
          </w:tblCellMar>
        </w:tblPrEx>
        <w:trPr>
          <w:gridBefore w:val="1"/>
          <w:wBefore w:w="4" w:type="pct"/>
          <w:trHeight w:val="60"/>
        </w:trPr>
        <w:tc>
          <w:tcPr>
            <w:tcW w:w="1636" w:type="pct"/>
            <w:shd w:val="clear" w:color="auto" w:fill="auto"/>
            <w:tcMar>
              <w:top w:w="85" w:type="dxa"/>
              <w:left w:w="0" w:type="dxa"/>
              <w:bottom w:w="85" w:type="dxa"/>
              <w:right w:w="0" w:type="dxa"/>
            </w:tcMar>
            <w:vAlign w:val="bottom"/>
          </w:tcPr>
          <w:p w14:paraId="6ED18532"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ICU Eyewear*</w:t>
            </w:r>
          </w:p>
        </w:tc>
        <w:tc>
          <w:tcPr>
            <w:tcW w:w="1719" w:type="pct"/>
            <w:gridSpan w:val="2"/>
            <w:shd w:val="clear" w:color="auto" w:fill="auto"/>
            <w:tcMar>
              <w:top w:w="85" w:type="dxa"/>
              <w:left w:w="0" w:type="dxa"/>
              <w:bottom w:w="85" w:type="dxa"/>
              <w:right w:w="0" w:type="dxa"/>
            </w:tcMar>
            <w:vAlign w:val="bottom"/>
          </w:tcPr>
          <w:p w14:paraId="76EFD056"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US consumer</w:t>
            </w:r>
          </w:p>
        </w:tc>
        <w:tc>
          <w:tcPr>
            <w:tcW w:w="157" w:type="pct"/>
            <w:shd w:val="clear" w:color="auto" w:fill="auto"/>
          </w:tcPr>
          <w:p w14:paraId="69187923"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shd w:val="clear" w:color="auto" w:fill="auto"/>
            <w:tcMar>
              <w:top w:w="85" w:type="dxa"/>
              <w:left w:w="0" w:type="dxa"/>
              <w:bottom w:w="85" w:type="dxa"/>
              <w:right w:w="0" w:type="dxa"/>
            </w:tcMar>
            <w:vAlign w:val="center"/>
          </w:tcPr>
          <w:p w14:paraId="6AEC2454"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1,661</w:t>
            </w:r>
          </w:p>
        </w:tc>
        <w:tc>
          <w:tcPr>
            <w:tcW w:w="781" w:type="pct"/>
            <w:gridSpan w:val="2"/>
            <w:tcBorders>
              <w:left w:val="nil"/>
            </w:tcBorders>
            <w:shd w:val="clear" w:color="auto" w:fill="auto"/>
            <w:tcMar>
              <w:top w:w="85" w:type="dxa"/>
              <w:left w:w="0" w:type="dxa"/>
              <w:bottom w:w="85" w:type="dxa"/>
              <w:right w:w="0" w:type="dxa"/>
            </w:tcMar>
            <w:vAlign w:val="center"/>
          </w:tcPr>
          <w:p w14:paraId="003AAAF2"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3,143</w:t>
            </w:r>
          </w:p>
        </w:tc>
      </w:tr>
      <w:tr w:rsidR="00891B3A" w:rsidRPr="00755BD6" w14:paraId="1D6BE44C" w14:textId="77777777" w:rsidTr="00016656">
        <w:tblPrEx>
          <w:tblCellMar>
            <w:bottom w:w="0" w:type="dxa"/>
          </w:tblCellMar>
        </w:tblPrEx>
        <w:trPr>
          <w:gridBefore w:val="1"/>
          <w:wBefore w:w="4" w:type="pct"/>
          <w:trHeight w:val="60"/>
        </w:trPr>
        <w:tc>
          <w:tcPr>
            <w:tcW w:w="1636" w:type="pct"/>
            <w:shd w:val="clear" w:color="auto" w:fill="auto"/>
            <w:tcMar>
              <w:top w:w="85" w:type="dxa"/>
              <w:left w:w="0" w:type="dxa"/>
              <w:bottom w:w="85" w:type="dxa"/>
              <w:right w:w="0" w:type="dxa"/>
            </w:tcMar>
            <w:vAlign w:val="bottom"/>
          </w:tcPr>
          <w:p w14:paraId="160F6CC3"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Northbridge</w:t>
            </w:r>
          </w:p>
        </w:tc>
        <w:tc>
          <w:tcPr>
            <w:tcW w:w="1719" w:type="pct"/>
            <w:gridSpan w:val="2"/>
            <w:shd w:val="clear" w:color="auto" w:fill="auto"/>
            <w:tcMar>
              <w:top w:w="85" w:type="dxa"/>
              <w:left w:w="0" w:type="dxa"/>
              <w:bottom w:w="85" w:type="dxa"/>
              <w:right w:w="0" w:type="dxa"/>
            </w:tcMar>
            <w:vAlign w:val="bottom"/>
          </w:tcPr>
          <w:p w14:paraId="68CC23F8"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UK technology</w:t>
            </w:r>
          </w:p>
        </w:tc>
        <w:tc>
          <w:tcPr>
            <w:tcW w:w="157" w:type="pct"/>
            <w:shd w:val="clear" w:color="auto" w:fill="auto"/>
          </w:tcPr>
          <w:p w14:paraId="7A8CC498"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shd w:val="clear" w:color="auto" w:fill="auto"/>
            <w:tcMar>
              <w:top w:w="85" w:type="dxa"/>
              <w:left w:w="0" w:type="dxa"/>
              <w:bottom w:w="85" w:type="dxa"/>
              <w:right w:w="0" w:type="dxa"/>
            </w:tcMar>
            <w:vAlign w:val="center"/>
          </w:tcPr>
          <w:p w14:paraId="055F03D1"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w:t>
            </w:r>
          </w:p>
        </w:tc>
        <w:tc>
          <w:tcPr>
            <w:tcW w:w="781" w:type="pct"/>
            <w:gridSpan w:val="2"/>
            <w:tcBorders>
              <w:left w:val="nil"/>
            </w:tcBorders>
            <w:shd w:val="clear" w:color="auto" w:fill="auto"/>
            <w:tcMar>
              <w:top w:w="85" w:type="dxa"/>
              <w:left w:w="0" w:type="dxa"/>
              <w:bottom w:w="85" w:type="dxa"/>
              <w:right w:w="0" w:type="dxa"/>
            </w:tcMar>
            <w:vAlign w:val="center"/>
          </w:tcPr>
          <w:p w14:paraId="29222180"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755</w:t>
            </w:r>
          </w:p>
        </w:tc>
      </w:tr>
      <w:tr w:rsidR="00891B3A" w:rsidRPr="00755BD6" w14:paraId="632A39A0" w14:textId="77777777" w:rsidTr="00016656">
        <w:tblPrEx>
          <w:tblCellMar>
            <w:bottom w:w="0" w:type="dxa"/>
          </w:tblCellMar>
        </w:tblPrEx>
        <w:trPr>
          <w:gridBefore w:val="1"/>
          <w:wBefore w:w="4" w:type="pct"/>
          <w:trHeight w:val="60"/>
        </w:trPr>
        <w:tc>
          <w:tcPr>
            <w:tcW w:w="1636" w:type="pct"/>
            <w:shd w:val="clear" w:color="auto" w:fill="auto"/>
            <w:tcMar>
              <w:top w:w="85" w:type="dxa"/>
              <w:left w:w="0" w:type="dxa"/>
              <w:bottom w:w="85" w:type="dxa"/>
              <w:right w:w="0" w:type="dxa"/>
            </w:tcMar>
          </w:tcPr>
          <w:p w14:paraId="4F22054F"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proofErr w:type="spellStart"/>
            <w:r w:rsidRPr="00AC0617">
              <w:rPr>
                <w:rFonts w:ascii="Arial" w:eastAsia="Times New Roman" w:hAnsi="Arial" w:cs="Arial"/>
                <w:color w:val="000000"/>
                <w:sz w:val="20"/>
                <w:szCs w:val="20"/>
                <w:lang w:val="en-GB" w:eastAsia="en-GB"/>
              </w:rPr>
              <w:t>Elateral</w:t>
            </w:r>
            <w:proofErr w:type="spellEnd"/>
          </w:p>
        </w:tc>
        <w:tc>
          <w:tcPr>
            <w:tcW w:w="1719" w:type="pct"/>
            <w:gridSpan w:val="2"/>
            <w:shd w:val="clear" w:color="auto" w:fill="auto"/>
            <w:tcMar>
              <w:top w:w="85" w:type="dxa"/>
              <w:left w:w="0" w:type="dxa"/>
              <w:bottom w:w="85" w:type="dxa"/>
              <w:right w:w="0" w:type="dxa"/>
            </w:tcMar>
          </w:tcPr>
          <w:p w14:paraId="67328F66"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UK technology</w:t>
            </w:r>
          </w:p>
        </w:tc>
        <w:tc>
          <w:tcPr>
            <w:tcW w:w="157" w:type="pct"/>
            <w:shd w:val="clear" w:color="auto" w:fill="auto"/>
          </w:tcPr>
          <w:p w14:paraId="19B424E2"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shd w:val="clear" w:color="auto" w:fill="auto"/>
            <w:tcMar>
              <w:top w:w="85" w:type="dxa"/>
              <w:left w:w="0" w:type="dxa"/>
              <w:bottom w:w="85" w:type="dxa"/>
              <w:right w:w="0" w:type="dxa"/>
            </w:tcMar>
            <w:vAlign w:val="center"/>
          </w:tcPr>
          <w:p w14:paraId="2EF7AA00"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399</w:t>
            </w:r>
          </w:p>
        </w:tc>
        <w:tc>
          <w:tcPr>
            <w:tcW w:w="781" w:type="pct"/>
            <w:gridSpan w:val="2"/>
            <w:tcBorders>
              <w:left w:val="nil"/>
            </w:tcBorders>
            <w:shd w:val="clear" w:color="auto" w:fill="auto"/>
            <w:tcMar>
              <w:top w:w="85" w:type="dxa"/>
              <w:left w:w="0" w:type="dxa"/>
              <w:bottom w:w="85" w:type="dxa"/>
              <w:right w:w="0" w:type="dxa"/>
            </w:tcMar>
            <w:vAlign w:val="center"/>
          </w:tcPr>
          <w:p w14:paraId="6E4188CE"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hAnsi="Arial" w:cs="Arial"/>
                <w:color w:val="000000"/>
                <w:sz w:val="20"/>
                <w:szCs w:val="20"/>
                <w:lang w:val="en-GB"/>
              </w:rPr>
            </w:pPr>
            <w:r w:rsidRPr="00AC0617">
              <w:rPr>
                <w:rFonts w:ascii="Arial" w:eastAsia="Times New Roman" w:hAnsi="Arial" w:cs="Arial"/>
                <w:color w:val="000000"/>
                <w:sz w:val="20"/>
                <w:szCs w:val="20"/>
                <w:lang w:val="en-GB" w:eastAsia="en-GB"/>
              </w:rPr>
              <w:t>399</w:t>
            </w:r>
          </w:p>
        </w:tc>
      </w:tr>
      <w:tr w:rsidR="00891B3A" w:rsidRPr="00755BD6" w14:paraId="73A22676" w14:textId="77777777" w:rsidTr="00016656">
        <w:tblPrEx>
          <w:tblCellMar>
            <w:bottom w:w="0" w:type="dxa"/>
          </w:tblCellMar>
        </w:tblPrEx>
        <w:trPr>
          <w:gridBefore w:val="1"/>
          <w:wBefore w:w="4" w:type="pct"/>
          <w:trHeight w:val="60"/>
        </w:trPr>
        <w:tc>
          <w:tcPr>
            <w:tcW w:w="1636" w:type="pct"/>
            <w:shd w:val="clear" w:color="auto" w:fill="auto"/>
            <w:tcMar>
              <w:top w:w="85" w:type="dxa"/>
              <w:left w:w="0" w:type="dxa"/>
              <w:bottom w:w="85" w:type="dxa"/>
              <w:right w:w="0" w:type="dxa"/>
            </w:tcMar>
            <w:vAlign w:val="bottom"/>
          </w:tcPr>
          <w:p w14:paraId="65F19374" w14:textId="736D1943"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IDE Group</w:t>
            </w:r>
            <w:r w:rsidR="003C174A">
              <w:rPr>
                <w:rFonts w:ascii="Arial" w:eastAsia="Times New Roman" w:hAnsi="Arial" w:cs="Arial"/>
                <w:color w:val="000000"/>
                <w:sz w:val="20"/>
                <w:szCs w:val="20"/>
                <w:lang w:val="en-GB" w:eastAsia="en-GB"/>
              </w:rPr>
              <w:t xml:space="preserve"> Holdings</w:t>
            </w:r>
          </w:p>
        </w:tc>
        <w:tc>
          <w:tcPr>
            <w:tcW w:w="1719" w:type="pct"/>
            <w:gridSpan w:val="2"/>
            <w:shd w:val="clear" w:color="auto" w:fill="auto"/>
            <w:tcMar>
              <w:top w:w="85" w:type="dxa"/>
              <w:left w:w="0" w:type="dxa"/>
              <w:bottom w:w="85" w:type="dxa"/>
              <w:right w:w="0" w:type="dxa"/>
            </w:tcMar>
            <w:vAlign w:val="bottom"/>
          </w:tcPr>
          <w:p w14:paraId="7FB2AB4B"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UK technology</w:t>
            </w:r>
          </w:p>
        </w:tc>
        <w:tc>
          <w:tcPr>
            <w:tcW w:w="157" w:type="pct"/>
            <w:shd w:val="clear" w:color="auto" w:fill="auto"/>
          </w:tcPr>
          <w:p w14:paraId="04625A81"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shd w:val="clear" w:color="auto" w:fill="auto"/>
            <w:tcMar>
              <w:top w:w="85" w:type="dxa"/>
              <w:left w:w="0" w:type="dxa"/>
              <w:bottom w:w="85" w:type="dxa"/>
              <w:right w:w="0" w:type="dxa"/>
            </w:tcMar>
            <w:vAlign w:val="center"/>
          </w:tcPr>
          <w:p w14:paraId="4C36BCE3"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118</w:t>
            </w:r>
          </w:p>
        </w:tc>
        <w:tc>
          <w:tcPr>
            <w:tcW w:w="781" w:type="pct"/>
            <w:gridSpan w:val="2"/>
            <w:tcBorders>
              <w:left w:val="nil"/>
            </w:tcBorders>
            <w:shd w:val="clear" w:color="auto" w:fill="auto"/>
            <w:tcMar>
              <w:top w:w="85" w:type="dxa"/>
              <w:left w:w="0" w:type="dxa"/>
              <w:bottom w:w="85" w:type="dxa"/>
              <w:right w:w="0" w:type="dxa"/>
            </w:tcMar>
            <w:vAlign w:val="center"/>
          </w:tcPr>
          <w:p w14:paraId="6AF928E1"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73</w:t>
            </w:r>
          </w:p>
        </w:tc>
      </w:tr>
      <w:tr w:rsidR="00891B3A" w:rsidRPr="00755BD6" w:rsidDel="008F09B1" w14:paraId="664BFC8B" w14:textId="77777777" w:rsidTr="00016656">
        <w:tblPrEx>
          <w:tblCellMar>
            <w:bottom w:w="0" w:type="dxa"/>
          </w:tblCellMar>
        </w:tblPrEx>
        <w:trPr>
          <w:gridBefore w:val="1"/>
          <w:wBefore w:w="4" w:type="pct"/>
          <w:trHeight w:val="60"/>
        </w:trPr>
        <w:tc>
          <w:tcPr>
            <w:tcW w:w="1636" w:type="pct"/>
            <w:shd w:val="clear" w:color="auto" w:fill="auto"/>
            <w:tcMar>
              <w:top w:w="85" w:type="dxa"/>
              <w:left w:w="0" w:type="dxa"/>
              <w:bottom w:w="85" w:type="dxa"/>
              <w:right w:w="0" w:type="dxa"/>
            </w:tcMar>
            <w:vAlign w:val="bottom"/>
          </w:tcPr>
          <w:p w14:paraId="2EAA7E45"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Yes To*</w:t>
            </w:r>
          </w:p>
        </w:tc>
        <w:tc>
          <w:tcPr>
            <w:tcW w:w="1719" w:type="pct"/>
            <w:gridSpan w:val="2"/>
            <w:shd w:val="clear" w:color="auto" w:fill="auto"/>
            <w:tcMar>
              <w:top w:w="85" w:type="dxa"/>
              <w:left w:w="0" w:type="dxa"/>
              <w:bottom w:w="85" w:type="dxa"/>
              <w:right w:w="0" w:type="dxa"/>
            </w:tcMar>
            <w:vAlign w:val="bottom"/>
          </w:tcPr>
          <w:p w14:paraId="5DBAEB37"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US consumer</w:t>
            </w:r>
          </w:p>
        </w:tc>
        <w:tc>
          <w:tcPr>
            <w:tcW w:w="157" w:type="pct"/>
            <w:shd w:val="clear" w:color="auto" w:fill="auto"/>
          </w:tcPr>
          <w:p w14:paraId="66DE8820"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shd w:val="clear" w:color="auto" w:fill="auto"/>
            <w:tcMar>
              <w:top w:w="85" w:type="dxa"/>
              <w:left w:w="0" w:type="dxa"/>
              <w:bottom w:w="85" w:type="dxa"/>
              <w:right w:w="0" w:type="dxa"/>
            </w:tcMar>
            <w:vAlign w:val="center"/>
          </w:tcPr>
          <w:p w14:paraId="02192A17" w14:textId="77777777" w:rsidR="00891B3A" w:rsidRPr="00AC0617" w:rsidDel="008F09B1"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65</w:t>
            </w:r>
          </w:p>
        </w:tc>
        <w:tc>
          <w:tcPr>
            <w:tcW w:w="781" w:type="pct"/>
            <w:gridSpan w:val="2"/>
            <w:tcBorders>
              <w:left w:val="nil"/>
            </w:tcBorders>
            <w:shd w:val="clear" w:color="auto" w:fill="auto"/>
            <w:tcMar>
              <w:top w:w="85" w:type="dxa"/>
              <w:left w:w="0" w:type="dxa"/>
              <w:bottom w:w="85" w:type="dxa"/>
              <w:right w:w="0" w:type="dxa"/>
            </w:tcMar>
            <w:vAlign w:val="center"/>
          </w:tcPr>
          <w:p w14:paraId="1A706E81" w14:textId="77777777" w:rsidR="00891B3A" w:rsidRPr="00AC0617" w:rsidDel="008F09B1"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64</w:t>
            </w:r>
          </w:p>
        </w:tc>
      </w:tr>
      <w:tr w:rsidR="00891B3A" w:rsidRPr="00755BD6" w:rsidDel="008F09B1" w14:paraId="27C8C750" w14:textId="77777777" w:rsidTr="00016656">
        <w:tblPrEx>
          <w:tblCellMar>
            <w:bottom w:w="0" w:type="dxa"/>
          </w:tblCellMar>
        </w:tblPrEx>
        <w:trPr>
          <w:gridBefore w:val="1"/>
          <w:wBefore w:w="4" w:type="pct"/>
          <w:trHeight w:val="60"/>
        </w:trPr>
        <w:tc>
          <w:tcPr>
            <w:tcW w:w="1636" w:type="pct"/>
            <w:tcBorders>
              <w:top w:val="single" w:sz="4" w:space="0" w:color="auto"/>
              <w:bottom w:val="single" w:sz="4" w:space="0" w:color="auto"/>
            </w:tcBorders>
            <w:shd w:val="clear" w:color="auto" w:fill="auto"/>
            <w:tcMar>
              <w:top w:w="85" w:type="dxa"/>
              <w:left w:w="0" w:type="dxa"/>
              <w:bottom w:w="85" w:type="dxa"/>
              <w:right w:w="0" w:type="dxa"/>
            </w:tcMar>
            <w:vAlign w:val="bottom"/>
          </w:tcPr>
          <w:p w14:paraId="0C243B63"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u w:val="single"/>
                <w:lang w:val="en-GB" w:eastAsia="en-GB"/>
              </w:rPr>
            </w:pPr>
          </w:p>
        </w:tc>
        <w:tc>
          <w:tcPr>
            <w:tcW w:w="1719" w:type="pct"/>
            <w:gridSpan w:val="2"/>
            <w:tcBorders>
              <w:top w:val="single" w:sz="4" w:space="0" w:color="auto"/>
              <w:bottom w:val="single" w:sz="4" w:space="0" w:color="auto"/>
            </w:tcBorders>
            <w:shd w:val="clear" w:color="auto" w:fill="auto"/>
            <w:tcMar>
              <w:top w:w="85" w:type="dxa"/>
              <w:left w:w="0" w:type="dxa"/>
              <w:bottom w:w="85" w:type="dxa"/>
              <w:right w:w="0" w:type="dxa"/>
            </w:tcMar>
            <w:vAlign w:val="bottom"/>
          </w:tcPr>
          <w:p w14:paraId="6507051A"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p>
        </w:tc>
        <w:tc>
          <w:tcPr>
            <w:tcW w:w="157" w:type="pct"/>
            <w:tcBorders>
              <w:top w:val="single" w:sz="4" w:space="0" w:color="auto"/>
              <w:bottom w:val="single" w:sz="4" w:space="0" w:color="auto"/>
            </w:tcBorders>
            <w:shd w:val="clear" w:color="auto" w:fill="auto"/>
          </w:tcPr>
          <w:p w14:paraId="595BA2DE"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tcBorders>
              <w:top w:val="single" w:sz="4" w:space="0" w:color="auto"/>
              <w:bottom w:val="single" w:sz="4" w:space="0" w:color="auto"/>
            </w:tcBorders>
            <w:shd w:val="clear" w:color="auto" w:fill="auto"/>
            <w:tcMar>
              <w:top w:w="85" w:type="dxa"/>
              <w:left w:w="0" w:type="dxa"/>
              <w:bottom w:w="85" w:type="dxa"/>
              <w:right w:w="0" w:type="dxa"/>
            </w:tcMar>
            <w:vAlign w:val="center"/>
          </w:tcPr>
          <w:p w14:paraId="2B83F21F" w14:textId="77777777" w:rsidR="00891B3A" w:rsidRPr="00AC0617" w:rsidDel="005240B4"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7,568</w:t>
            </w:r>
          </w:p>
        </w:tc>
        <w:tc>
          <w:tcPr>
            <w:tcW w:w="781" w:type="pct"/>
            <w:gridSpan w:val="2"/>
            <w:tcBorders>
              <w:top w:val="single" w:sz="4" w:space="0" w:color="auto"/>
              <w:left w:val="nil"/>
              <w:bottom w:val="single" w:sz="4" w:space="0" w:color="auto"/>
            </w:tcBorders>
            <w:shd w:val="clear" w:color="auto" w:fill="auto"/>
            <w:tcMar>
              <w:top w:w="85" w:type="dxa"/>
              <w:left w:w="0" w:type="dxa"/>
              <w:bottom w:w="85" w:type="dxa"/>
              <w:right w:w="0" w:type="dxa"/>
            </w:tcMar>
            <w:vAlign w:val="center"/>
          </w:tcPr>
          <w:p w14:paraId="7FEC5012"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10,138</w:t>
            </w:r>
          </w:p>
        </w:tc>
      </w:tr>
      <w:tr w:rsidR="00891B3A" w:rsidRPr="00755BD6" w:rsidDel="008F09B1" w14:paraId="1550364D" w14:textId="77777777" w:rsidTr="00016656">
        <w:tblPrEx>
          <w:tblCellMar>
            <w:bottom w:w="0" w:type="dxa"/>
          </w:tblCellMar>
        </w:tblPrEx>
        <w:trPr>
          <w:gridBefore w:val="1"/>
          <w:wBefore w:w="4" w:type="pct"/>
          <w:trHeight w:val="60"/>
        </w:trPr>
        <w:tc>
          <w:tcPr>
            <w:tcW w:w="1636" w:type="pct"/>
            <w:tcBorders>
              <w:top w:val="single" w:sz="4" w:space="0" w:color="auto"/>
            </w:tcBorders>
            <w:shd w:val="clear" w:color="auto" w:fill="auto"/>
            <w:tcMar>
              <w:top w:w="85" w:type="dxa"/>
              <w:left w:w="0" w:type="dxa"/>
              <w:bottom w:w="85" w:type="dxa"/>
              <w:right w:w="0" w:type="dxa"/>
            </w:tcMar>
            <w:vAlign w:val="bottom"/>
          </w:tcPr>
          <w:p w14:paraId="5C931CCE" w14:textId="77777777" w:rsidR="00891B3A" w:rsidRPr="00AC0617" w:rsidRDefault="00891B3A" w:rsidP="00891B3A">
            <w:pPr>
              <w:autoSpaceDE w:val="0"/>
              <w:adjustRightInd w:val="0"/>
              <w:spacing w:after="0" w:line="240" w:lineRule="auto"/>
              <w:jc w:val="both"/>
              <w:textAlignment w:val="center"/>
              <w:rPr>
                <w:rFonts w:ascii="Arial" w:eastAsia="Times New Roman" w:hAnsi="Arial" w:cs="Arial"/>
                <w:color w:val="000000"/>
                <w:sz w:val="20"/>
                <w:szCs w:val="20"/>
                <w:u w:val="single"/>
                <w:lang w:val="en-GB" w:eastAsia="en-GB"/>
              </w:rPr>
            </w:pPr>
          </w:p>
        </w:tc>
        <w:tc>
          <w:tcPr>
            <w:tcW w:w="1719" w:type="pct"/>
            <w:gridSpan w:val="2"/>
            <w:tcBorders>
              <w:top w:val="single" w:sz="4" w:space="0" w:color="auto"/>
            </w:tcBorders>
            <w:shd w:val="clear" w:color="auto" w:fill="auto"/>
            <w:tcMar>
              <w:top w:w="85" w:type="dxa"/>
              <w:left w:w="0" w:type="dxa"/>
              <w:bottom w:w="85" w:type="dxa"/>
              <w:right w:w="0" w:type="dxa"/>
            </w:tcMar>
            <w:vAlign w:val="bottom"/>
          </w:tcPr>
          <w:p w14:paraId="12C4F563"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szCs w:val="20"/>
                <w:lang w:val="en-GB" w:eastAsia="en-GB"/>
              </w:rPr>
            </w:pPr>
          </w:p>
        </w:tc>
        <w:tc>
          <w:tcPr>
            <w:tcW w:w="157" w:type="pct"/>
            <w:tcBorders>
              <w:top w:val="single" w:sz="4" w:space="0" w:color="auto"/>
            </w:tcBorders>
            <w:shd w:val="clear" w:color="auto" w:fill="auto"/>
          </w:tcPr>
          <w:p w14:paraId="290695AE" w14:textId="77777777" w:rsidR="00891B3A" w:rsidRPr="00AC0617" w:rsidRDefault="00891B3A" w:rsidP="00891B3A">
            <w:pPr>
              <w:tabs>
                <w:tab w:val="left" w:pos="794"/>
              </w:tabs>
              <w:autoSpaceDE w:val="0"/>
              <w:adjustRightInd w:val="0"/>
              <w:spacing w:after="0" w:line="240" w:lineRule="auto"/>
              <w:ind w:right="57"/>
              <w:jc w:val="both"/>
              <w:textAlignment w:val="center"/>
              <w:rPr>
                <w:rFonts w:ascii="Arial" w:eastAsia="Times New Roman" w:hAnsi="Arial" w:cs="Arial"/>
                <w:b/>
                <w:bCs/>
                <w:color w:val="000000"/>
                <w:sz w:val="20"/>
                <w:szCs w:val="20"/>
                <w:lang w:val="en-GB" w:eastAsia="en-GB"/>
              </w:rPr>
            </w:pPr>
          </w:p>
        </w:tc>
        <w:tc>
          <w:tcPr>
            <w:tcW w:w="703" w:type="pct"/>
            <w:tcBorders>
              <w:top w:val="single" w:sz="4" w:space="0" w:color="auto"/>
            </w:tcBorders>
            <w:shd w:val="clear" w:color="auto" w:fill="auto"/>
            <w:tcMar>
              <w:top w:w="85" w:type="dxa"/>
              <w:left w:w="0" w:type="dxa"/>
              <w:bottom w:w="85" w:type="dxa"/>
              <w:right w:w="0" w:type="dxa"/>
            </w:tcMar>
            <w:vAlign w:val="center"/>
          </w:tcPr>
          <w:p w14:paraId="7CA90F52"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b/>
                <w:bCs/>
                <w:color w:val="000000"/>
                <w:sz w:val="20"/>
                <w:szCs w:val="20"/>
                <w:lang w:val="en-GB" w:eastAsia="en-GB"/>
              </w:rPr>
            </w:pPr>
          </w:p>
        </w:tc>
        <w:tc>
          <w:tcPr>
            <w:tcW w:w="781" w:type="pct"/>
            <w:gridSpan w:val="2"/>
            <w:tcBorders>
              <w:top w:val="single" w:sz="4" w:space="0" w:color="auto"/>
              <w:left w:val="nil"/>
            </w:tcBorders>
            <w:shd w:val="clear" w:color="auto" w:fill="auto"/>
            <w:tcMar>
              <w:top w:w="85" w:type="dxa"/>
              <w:left w:w="0" w:type="dxa"/>
              <w:bottom w:w="85" w:type="dxa"/>
              <w:right w:w="0" w:type="dxa"/>
            </w:tcMar>
            <w:vAlign w:val="center"/>
          </w:tcPr>
          <w:p w14:paraId="7CBDB831" w14:textId="77777777" w:rsidR="00891B3A" w:rsidRPr="00AC0617" w:rsidRDefault="00891B3A" w:rsidP="00891B3A">
            <w:pPr>
              <w:tabs>
                <w:tab w:val="left" w:pos="794"/>
              </w:tabs>
              <w:autoSpaceDE w:val="0"/>
              <w:adjustRightInd w:val="0"/>
              <w:spacing w:after="0" w:line="240" w:lineRule="auto"/>
              <w:ind w:right="57"/>
              <w:jc w:val="right"/>
              <w:textAlignment w:val="center"/>
              <w:rPr>
                <w:rFonts w:ascii="Arial" w:eastAsia="Times New Roman" w:hAnsi="Arial" w:cs="Arial"/>
                <w:color w:val="000000"/>
                <w:sz w:val="20"/>
                <w:szCs w:val="20"/>
                <w:lang w:val="en-GB" w:eastAsia="en-GB"/>
              </w:rPr>
            </w:pPr>
          </w:p>
        </w:tc>
      </w:tr>
    </w:tbl>
    <w:p w14:paraId="413FDD3F" w14:textId="77777777" w:rsidR="00891B3A" w:rsidRPr="00AC0617" w:rsidRDefault="00891B3A" w:rsidP="00891B3A">
      <w:pPr>
        <w:widowControl/>
        <w:spacing w:after="0"/>
        <w:jc w:val="both"/>
        <w:rPr>
          <w:rFonts w:ascii="Arial" w:hAnsi="Arial" w:cs="Arial"/>
          <w:lang w:val="en-GB"/>
        </w:rPr>
      </w:pPr>
      <w:r w:rsidRPr="00AC0617">
        <w:rPr>
          <w:rFonts w:ascii="Arial" w:eastAsia="Georgia" w:hAnsi="Arial" w:cs="Arial"/>
          <w:i/>
          <w:lang w:val="en-GB" w:eastAsia="en-GB"/>
        </w:rPr>
        <w:t>*These are</w:t>
      </w:r>
      <w:r w:rsidRPr="00AC0617">
        <w:rPr>
          <w:rFonts w:ascii="Arial" w:eastAsia="Georgia" w:hAnsi="Arial" w:cs="Arial"/>
          <w:i/>
          <w:spacing w:val="8"/>
          <w:lang w:val="en-GB" w:eastAsia="en-GB"/>
        </w:rPr>
        <w:t xml:space="preserve"> </w:t>
      </w:r>
      <w:r w:rsidRPr="00AC0617">
        <w:rPr>
          <w:rFonts w:ascii="Arial" w:eastAsia="Georgia" w:hAnsi="Arial" w:cs="Arial"/>
          <w:i/>
          <w:lang w:val="en-GB" w:eastAsia="en-GB"/>
        </w:rPr>
        <w:t>co-investments</w:t>
      </w:r>
      <w:r w:rsidRPr="00AC0617">
        <w:rPr>
          <w:rFonts w:ascii="Arial" w:eastAsia="Georgia" w:hAnsi="Arial" w:cs="Arial"/>
          <w:i/>
          <w:spacing w:val="-4"/>
          <w:lang w:val="en-GB" w:eastAsia="en-GB"/>
        </w:rPr>
        <w:t xml:space="preserve"> </w:t>
      </w:r>
      <w:r w:rsidRPr="00AC0617">
        <w:rPr>
          <w:rFonts w:ascii="Arial" w:eastAsia="Georgia" w:hAnsi="Arial" w:cs="Arial"/>
          <w:i/>
          <w:lang w:val="en-GB" w:eastAsia="en-GB"/>
        </w:rPr>
        <w:t>with SFEP</w:t>
      </w:r>
    </w:p>
    <w:p w14:paraId="4A179958" w14:textId="3BD2AE99" w:rsidR="00891B3A" w:rsidRDefault="00891B3A" w:rsidP="00891B3A">
      <w:pPr>
        <w:widowControl/>
        <w:spacing w:after="0"/>
        <w:jc w:val="both"/>
        <w:rPr>
          <w:rFonts w:ascii="Arial" w:hAnsi="Arial" w:cs="Arial"/>
          <w:lang w:val="en-GB"/>
        </w:rPr>
      </w:pPr>
    </w:p>
    <w:p w14:paraId="1E0DEA2F" w14:textId="77777777" w:rsidR="00891B3A" w:rsidRDefault="00891B3A" w:rsidP="00891B3A">
      <w:pPr>
        <w:widowControl/>
        <w:spacing w:after="0"/>
        <w:jc w:val="both"/>
        <w:rPr>
          <w:rFonts w:ascii="Arial" w:hAnsi="Arial" w:cs="Arial"/>
          <w:lang w:val="en-GB"/>
        </w:rPr>
      </w:pPr>
      <w:r w:rsidRPr="00AC0617">
        <w:rPr>
          <w:rFonts w:ascii="Arial" w:hAnsi="Arial" w:cs="Arial"/>
          <w:lang w:val="en-GB"/>
        </w:rPr>
        <w:t xml:space="preserve">The net </w:t>
      </w:r>
      <w:r>
        <w:rPr>
          <w:rFonts w:ascii="Arial" w:hAnsi="Arial" w:cs="Arial"/>
          <w:lang w:val="en-GB"/>
        </w:rPr>
        <w:t>losses</w:t>
      </w:r>
      <w:r w:rsidRPr="00AC0617">
        <w:rPr>
          <w:rFonts w:ascii="Arial" w:hAnsi="Arial" w:cs="Arial"/>
          <w:lang w:val="en-GB"/>
        </w:rPr>
        <w:t xml:space="preserve"> on the unquoted portfolio arose as follows:</w:t>
      </w:r>
    </w:p>
    <w:p w14:paraId="16DDE0FF" w14:textId="77777777" w:rsidR="00891B3A" w:rsidRPr="00AC0617" w:rsidRDefault="00891B3A" w:rsidP="00891B3A">
      <w:pPr>
        <w:widowControl/>
        <w:spacing w:after="0"/>
        <w:jc w:val="both"/>
        <w:rPr>
          <w:rFonts w:ascii="Arial" w:hAnsi="Arial" w:cs="Arial"/>
          <w:color w:val="000000"/>
          <w:lang w:val="en-GB"/>
        </w:rPr>
      </w:pPr>
    </w:p>
    <w:tbl>
      <w:tblPr>
        <w:tblW w:w="4866" w:type="pct"/>
        <w:tblCellMar>
          <w:left w:w="0" w:type="dxa"/>
          <w:right w:w="0" w:type="dxa"/>
        </w:tblCellMar>
        <w:tblLook w:val="0000" w:firstRow="0" w:lastRow="0" w:firstColumn="0" w:lastColumn="0" w:noHBand="0" w:noVBand="0"/>
      </w:tblPr>
      <w:tblGrid>
        <w:gridCol w:w="5697"/>
        <w:gridCol w:w="1566"/>
        <w:gridCol w:w="1564"/>
      </w:tblGrid>
      <w:tr w:rsidR="00891B3A" w:rsidRPr="00F7307A" w14:paraId="6B3ACE26" w14:textId="77777777" w:rsidTr="00891B3A">
        <w:trPr>
          <w:trHeight w:val="113"/>
        </w:trPr>
        <w:tc>
          <w:tcPr>
            <w:tcW w:w="3227" w:type="pct"/>
            <w:tcMar>
              <w:top w:w="85" w:type="dxa"/>
              <w:left w:w="0" w:type="dxa"/>
              <w:bottom w:w="85" w:type="dxa"/>
              <w:right w:w="0" w:type="dxa"/>
            </w:tcMar>
            <w:vAlign w:val="bottom"/>
          </w:tcPr>
          <w:p w14:paraId="590D5AE5" w14:textId="77777777" w:rsidR="00891B3A" w:rsidRPr="00AC0617" w:rsidRDefault="00891B3A" w:rsidP="00891B3A">
            <w:pPr>
              <w:autoSpaceDE w:val="0"/>
              <w:adjustRightInd w:val="0"/>
              <w:spacing w:after="0" w:line="240" w:lineRule="auto"/>
              <w:ind w:right="57"/>
              <w:jc w:val="both"/>
              <w:textAlignment w:val="center"/>
              <w:rPr>
                <w:rFonts w:ascii="Arial" w:eastAsia="Times New Roman" w:hAnsi="Arial" w:cs="Arial"/>
                <w:b/>
                <w:bCs/>
                <w:color w:val="000000"/>
                <w:sz w:val="20"/>
                <w:szCs w:val="20"/>
              </w:rPr>
            </w:pPr>
          </w:p>
        </w:tc>
        <w:tc>
          <w:tcPr>
            <w:tcW w:w="1773" w:type="pct"/>
            <w:gridSpan w:val="2"/>
            <w:tcBorders>
              <w:bottom w:val="single" w:sz="4" w:space="0" w:color="auto"/>
            </w:tcBorders>
            <w:vAlign w:val="bottom"/>
          </w:tcPr>
          <w:p w14:paraId="7064EF3C" w14:textId="77777777" w:rsidR="00891B3A" w:rsidRPr="00AC0617" w:rsidRDefault="00891B3A" w:rsidP="00891B3A">
            <w:pPr>
              <w:autoSpaceDE w:val="0"/>
              <w:adjustRightInd w:val="0"/>
              <w:spacing w:after="0" w:line="240" w:lineRule="auto"/>
              <w:ind w:right="57"/>
              <w:jc w:val="center"/>
              <w:textAlignment w:val="center"/>
              <w:rPr>
                <w:rFonts w:ascii="Arial" w:hAnsi="Arial" w:cs="Arial"/>
                <w:b/>
                <w:color w:val="000000"/>
                <w:sz w:val="20"/>
                <w:szCs w:val="20"/>
              </w:rPr>
            </w:pPr>
            <w:r w:rsidRPr="00AC0617">
              <w:rPr>
                <w:rFonts w:ascii="Arial" w:hAnsi="Arial" w:cs="Arial"/>
                <w:b/>
                <w:color w:val="000000"/>
                <w:sz w:val="20"/>
                <w:szCs w:val="20"/>
              </w:rPr>
              <w:t>Six months ended 30 June</w:t>
            </w:r>
          </w:p>
        </w:tc>
      </w:tr>
      <w:tr w:rsidR="00891B3A" w:rsidRPr="00F7307A" w14:paraId="0D5405CE" w14:textId="77777777" w:rsidTr="00741A54">
        <w:trPr>
          <w:trHeight w:val="20"/>
        </w:trPr>
        <w:tc>
          <w:tcPr>
            <w:tcW w:w="3227" w:type="pct"/>
            <w:tcBorders>
              <w:bottom w:val="single" w:sz="4" w:space="0" w:color="auto"/>
            </w:tcBorders>
            <w:tcMar>
              <w:top w:w="85" w:type="dxa"/>
              <w:left w:w="0" w:type="dxa"/>
              <w:bottom w:w="85" w:type="dxa"/>
              <w:right w:w="0" w:type="dxa"/>
            </w:tcMar>
            <w:vAlign w:val="bottom"/>
          </w:tcPr>
          <w:p w14:paraId="4A0383A9" w14:textId="77777777" w:rsidR="00891B3A" w:rsidRPr="00AC0617" w:rsidRDefault="00891B3A" w:rsidP="00891B3A">
            <w:pPr>
              <w:autoSpaceDE w:val="0"/>
              <w:adjustRightInd w:val="0"/>
              <w:spacing w:after="0" w:line="240" w:lineRule="auto"/>
              <w:jc w:val="both"/>
              <w:textAlignment w:val="center"/>
              <w:rPr>
                <w:rFonts w:ascii="Arial" w:eastAsia="Times New Roman" w:hAnsi="Arial" w:cs="Arial"/>
                <w:b/>
                <w:bCs/>
                <w:color w:val="000000"/>
                <w:sz w:val="20"/>
                <w:szCs w:val="20"/>
              </w:rPr>
            </w:pPr>
          </w:p>
        </w:tc>
        <w:tc>
          <w:tcPr>
            <w:tcW w:w="887" w:type="pct"/>
            <w:tcBorders>
              <w:top w:val="single" w:sz="4" w:space="0" w:color="auto"/>
              <w:bottom w:val="single" w:sz="4" w:space="0" w:color="auto"/>
            </w:tcBorders>
            <w:tcMar>
              <w:top w:w="85" w:type="dxa"/>
              <w:left w:w="0" w:type="dxa"/>
              <w:bottom w:w="85" w:type="dxa"/>
              <w:right w:w="0" w:type="dxa"/>
            </w:tcMar>
            <w:vAlign w:val="center"/>
          </w:tcPr>
          <w:p w14:paraId="03DECDFA" w14:textId="77777777" w:rsidR="00891B3A" w:rsidRPr="00AC0617" w:rsidRDefault="00891B3A" w:rsidP="00891B3A">
            <w:pPr>
              <w:autoSpaceDE w:val="0"/>
              <w:adjustRightInd w:val="0"/>
              <w:spacing w:after="0" w:line="240" w:lineRule="auto"/>
              <w:ind w:right="57"/>
              <w:jc w:val="right"/>
              <w:textAlignment w:val="center"/>
              <w:rPr>
                <w:rFonts w:ascii="Arial" w:hAnsi="Arial" w:cs="Arial"/>
                <w:b/>
                <w:bCs/>
                <w:color w:val="000000"/>
                <w:sz w:val="20"/>
                <w:szCs w:val="20"/>
              </w:rPr>
            </w:pPr>
            <w:r w:rsidRPr="00AC0617">
              <w:rPr>
                <w:rFonts w:ascii="Arial" w:eastAsia="Times New Roman" w:hAnsi="Arial" w:cs="Arial"/>
                <w:b/>
                <w:bCs/>
                <w:color w:val="000000"/>
                <w:sz w:val="20"/>
                <w:szCs w:val="20"/>
              </w:rPr>
              <w:t>2021</w:t>
            </w:r>
          </w:p>
          <w:p w14:paraId="1590B2A9" w14:textId="77777777" w:rsidR="00891B3A" w:rsidRPr="00AC0617" w:rsidRDefault="00891B3A" w:rsidP="00891B3A">
            <w:pPr>
              <w:autoSpaceDE w:val="0"/>
              <w:adjustRightInd w:val="0"/>
              <w:spacing w:after="0" w:line="240" w:lineRule="auto"/>
              <w:ind w:right="57"/>
              <w:jc w:val="right"/>
              <w:textAlignment w:val="center"/>
              <w:rPr>
                <w:rFonts w:ascii="Arial" w:eastAsia="Times New Roman" w:hAnsi="Arial" w:cs="Arial"/>
                <w:b/>
                <w:bCs/>
                <w:color w:val="000000"/>
                <w:sz w:val="20"/>
                <w:szCs w:val="20"/>
              </w:rPr>
            </w:pPr>
            <w:r w:rsidRPr="00AC0617">
              <w:rPr>
                <w:rFonts w:ascii="Arial" w:hAnsi="Arial" w:cs="Arial"/>
                <w:b/>
                <w:bCs/>
                <w:color w:val="000000"/>
                <w:sz w:val="20"/>
                <w:szCs w:val="20"/>
              </w:rPr>
              <w:t>£’000</w:t>
            </w:r>
          </w:p>
        </w:tc>
        <w:tc>
          <w:tcPr>
            <w:tcW w:w="886" w:type="pct"/>
            <w:tcBorders>
              <w:top w:val="single" w:sz="4" w:space="0" w:color="auto"/>
              <w:bottom w:val="single" w:sz="4" w:space="0" w:color="auto"/>
            </w:tcBorders>
            <w:vAlign w:val="center"/>
          </w:tcPr>
          <w:p w14:paraId="6B22B1C4" w14:textId="77777777" w:rsidR="00891B3A" w:rsidRPr="00AC0617" w:rsidRDefault="00891B3A" w:rsidP="00891B3A">
            <w:pPr>
              <w:autoSpaceDE w:val="0"/>
              <w:adjustRightInd w:val="0"/>
              <w:spacing w:after="0" w:line="240" w:lineRule="auto"/>
              <w:ind w:right="57"/>
              <w:jc w:val="right"/>
              <w:textAlignment w:val="center"/>
              <w:rPr>
                <w:rFonts w:ascii="Arial" w:hAnsi="Arial" w:cs="Arial"/>
                <w:b/>
                <w:color w:val="000000"/>
                <w:sz w:val="20"/>
                <w:szCs w:val="20"/>
              </w:rPr>
            </w:pPr>
            <w:r w:rsidRPr="00AC0617">
              <w:rPr>
                <w:rFonts w:ascii="Arial" w:eastAsia="Times New Roman" w:hAnsi="Arial" w:cs="Arial"/>
                <w:b/>
                <w:bCs/>
                <w:color w:val="000000"/>
                <w:sz w:val="20"/>
                <w:szCs w:val="20"/>
              </w:rPr>
              <w:t>2020</w:t>
            </w:r>
          </w:p>
          <w:p w14:paraId="2D0AAB22" w14:textId="77777777" w:rsidR="00891B3A" w:rsidRPr="00AC0617" w:rsidRDefault="00891B3A" w:rsidP="00891B3A">
            <w:pPr>
              <w:autoSpaceDE w:val="0"/>
              <w:adjustRightInd w:val="0"/>
              <w:spacing w:after="0" w:line="240" w:lineRule="auto"/>
              <w:ind w:right="57"/>
              <w:jc w:val="right"/>
              <w:textAlignment w:val="center"/>
              <w:rPr>
                <w:rFonts w:ascii="Arial" w:eastAsia="Times New Roman" w:hAnsi="Arial" w:cs="Arial"/>
                <w:b/>
                <w:bCs/>
                <w:color w:val="000000"/>
                <w:sz w:val="20"/>
                <w:szCs w:val="20"/>
              </w:rPr>
            </w:pPr>
            <w:r w:rsidRPr="00AC0617">
              <w:rPr>
                <w:rFonts w:ascii="Arial" w:hAnsi="Arial" w:cs="Arial"/>
                <w:b/>
                <w:color w:val="000000"/>
                <w:sz w:val="20"/>
                <w:szCs w:val="20"/>
              </w:rPr>
              <w:t>£’000</w:t>
            </w:r>
          </w:p>
        </w:tc>
      </w:tr>
      <w:tr w:rsidR="00891B3A" w:rsidRPr="00F7307A" w14:paraId="3C040E7C" w14:textId="77777777" w:rsidTr="00AD5414">
        <w:trPr>
          <w:trHeight w:val="77"/>
        </w:trPr>
        <w:tc>
          <w:tcPr>
            <w:tcW w:w="3227" w:type="pct"/>
            <w:tcBorders>
              <w:top w:val="single" w:sz="4" w:space="0" w:color="auto"/>
            </w:tcBorders>
            <w:tcMar>
              <w:top w:w="85" w:type="dxa"/>
              <w:left w:w="0" w:type="dxa"/>
              <w:bottom w:w="85" w:type="dxa"/>
              <w:right w:w="0" w:type="dxa"/>
            </w:tcMar>
          </w:tcPr>
          <w:p w14:paraId="6B6F6A21"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szCs w:val="20"/>
              </w:rPr>
            </w:pPr>
            <w:proofErr w:type="spellStart"/>
            <w:r w:rsidRPr="00AC0617">
              <w:rPr>
                <w:rFonts w:ascii="Arial" w:eastAsia="Times New Roman" w:hAnsi="Arial" w:cs="Arial"/>
                <w:b/>
                <w:bCs/>
                <w:color w:val="000000"/>
                <w:sz w:val="20"/>
                <w:szCs w:val="20"/>
              </w:rPr>
              <w:t>Realised</w:t>
            </w:r>
            <w:proofErr w:type="spellEnd"/>
            <w:r w:rsidRPr="00AC0617">
              <w:rPr>
                <w:rFonts w:ascii="Arial" w:eastAsia="Times New Roman" w:hAnsi="Arial" w:cs="Arial"/>
                <w:b/>
                <w:bCs/>
                <w:color w:val="000000"/>
                <w:sz w:val="20"/>
                <w:szCs w:val="20"/>
              </w:rPr>
              <w:t xml:space="preserve"> </w:t>
            </w:r>
          </w:p>
        </w:tc>
        <w:tc>
          <w:tcPr>
            <w:tcW w:w="887" w:type="pct"/>
            <w:tcBorders>
              <w:top w:val="single" w:sz="4" w:space="0" w:color="auto"/>
            </w:tcBorders>
            <w:tcMar>
              <w:top w:w="85" w:type="dxa"/>
              <w:left w:w="0" w:type="dxa"/>
              <w:bottom w:w="85" w:type="dxa"/>
              <w:right w:w="0" w:type="dxa"/>
            </w:tcMar>
            <w:vAlign w:val="center"/>
          </w:tcPr>
          <w:p w14:paraId="2C4759F8" w14:textId="77777777" w:rsidR="00891B3A" w:rsidRPr="00AC0617" w:rsidRDefault="00891B3A" w:rsidP="00891B3A">
            <w:pPr>
              <w:autoSpaceDE w:val="0"/>
              <w:adjustRightInd w:val="0"/>
              <w:spacing w:after="0" w:line="240" w:lineRule="auto"/>
              <w:ind w:right="57"/>
              <w:jc w:val="right"/>
              <w:textAlignment w:val="center"/>
              <w:rPr>
                <w:rFonts w:ascii="Arial" w:hAnsi="Arial" w:cs="Arial"/>
                <w:b/>
                <w:bCs/>
                <w:color w:val="000000"/>
                <w:sz w:val="20"/>
                <w:szCs w:val="20"/>
              </w:rPr>
            </w:pPr>
          </w:p>
        </w:tc>
        <w:tc>
          <w:tcPr>
            <w:tcW w:w="886" w:type="pct"/>
            <w:tcBorders>
              <w:top w:val="single" w:sz="4" w:space="0" w:color="auto"/>
            </w:tcBorders>
            <w:vAlign w:val="center"/>
          </w:tcPr>
          <w:p w14:paraId="48533AD0" w14:textId="77777777" w:rsidR="00891B3A" w:rsidRPr="00AC0617" w:rsidRDefault="00891B3A" w:rsidP="00891B3A">
            <w:pPr>
              <w:autoSpaceDE w:val="0"/>
              <w:adjustRightInd w:val="0"/>
              <w:spacing w:after="0" w:line="240" w:lineRule="auto"/>
              <w:ind w:right="57"/>
              <w:jc w:val="right"/>
              <w:textAlignment w:val="center"/>
              <w:rPr>
                <w:rFonts w:ascii="Arial" w:hAnsi="Arial" w:cs="Arial"/>
                <w:b/>
                <w:color w:val="000000"/>
                <w:sz w:val="20"/>
                <w:szCs w:val="20"/>
              </w:rPr>
            </w:pPr>
          </w:p>
        </w:tc>
      </w:tr>
      <w:tr w:rsidR="00AD5414" w:rsidRPr="00F7307A" w14:paraId="12375479" w14:textId="77777777" w:rsidTr="00AD5414">
        <w:trPr>
          <w:trHeight w:val="77"/>
        </w:trPr>
        <w:tc>
          <w:tcPr>
            <w:tcW w:w="3227" w:type="pct"/>
            <w:tcMar>
              <w:top w:w="85" w:type="dxa"/>
              <w:left w:w="0" w:type="dxa"/>
              <w:bottom w:w="85" w:type="dxa"/>
              <w:right w:w="0" w:type="dxa"/>
            </w:tcMar>
          </w:tcPr>
          <w:p w14:paraId="2D4F1979" w14:textId="567E648F"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b/>
                <w:bCs/>
                <w:color w:val="000000"/>
                <w:sz w:val="20"/>
                <w:szCs w:val="20"/>
              </w:rPr>
            </w:pPr>
            <w:r w:rsidRPr="00063CBC">
              <w:rPr>
                <w:rFonts w:ascii="Arial" w:eastAsia="Times New Roman" w:hAnsi="Arial" w:cs="Arial"/>
                <w:color w:val="000000"/>
                <w:sz w:val="20"/>
                <w:szCs w:val="20"/>
              </w:rPr>
              <w:t>Northbridge</w:t>
            </w:r>
          </w:p>
        </w:tc>
        <w:tc>
          <w:tcPr>
            <w:tcW w:w="887" w:type="pct"/>
            <w:tcMar>
              <w:top w:w="85" w:type="dxa"/>
              <w:left w:w="0" w:type="dxa"/>
              <w:bottom w:w="85" w:type="dxa"/>
              <w:right w:w="0" w:type="dxa"/>
            </w:tcMar>
            <w:vAlign w:val="bottom"/>
          </w:tcPr>
          <w:p w14:paraId="4E90F885" w14:textId="7617EE6D" w:rsidR="00AD5414" w:rsidRPr="00AC0617" w:rsidRDefault="00AD5414" w:rsidP="00AD5414">
            <w:pPr>
              <w:autoSpaceDE w:val="0"/>
              <w:adjustRightInd w:val="0"/>
              <w:spacing w:after="0" w:line="240" w:lineRule="auto"/>
              <w:ind w:right="57"/>
              <w:jc w:val="right"/>
              <w:textAlignment w:val="center"/>
              <w:rPr>
                <w:rFonts w:ascii="Arial" w:hAnsi="Arial" w:cs="Arial"/>
                <w:b/>
                <w:bCs/>
                <w:color w:val="000000"/>
                <w:sz w:val="20"/>
                <w:szCs w:val="20"/>
              </w:rPr>
            </w:pPr>
            <w:r w:rsidRPr="00AC0617">
              <w:rPr>
                <w:rFonts w:ascii="Arial" w:hAnsi="Arial" w:cs="Arial"/>
                <w:b/>
                <w:bCs/>
                <w:color w:val="000000"/>
                <w:sz w:val="20"/>
                <w:szCs w:val="20"/>
              </w:rPr>
              <w:t>(5)</w:t>
            </w:r>
          </w:p>
        </w:tc>
        <w:tc>
          <w:tcPr>
            <w:tcW w:w="886" w:type="pct"/>
            <w:vAlign w:val="bottom"/>
          </w:tcPr>
          <w:p w14:paraId="2A9ADDAF" w14:textId="0F22B5A0" w:rsidR="00AD5414" w:rsidRPr="00AC0617" w:rsidRDefault="00AD5414" w:rsidP="00AD5414">
            <w:pPr>
              <w:autoSpaceDE w:val="0"/>
              <w:adjustRightInd w:val="0"/>
              <w:spacing w:after="0" w:line="240" w:lineRule="auto"/>
              <w:ind w:right="57"/>
              <w:jc w:val="right"/>
              <w:textAlignment w:val="center"/>
              <w:rPr>
                <w:rFonts w:ascii="Arial" w:hAnsi="Arial" w:cs="Arial"/>
                <w:b/>
                <w:color w:val="000000"/>
                <w:sz w:val="20"/>
                <w:szCs w:val="20"/>
              </w:rPr>
            </w:pPr>
            <w:r>
              <w:rPr>
                <w:rFonts w:ascii="Arial" w:hAnsi="Arial" w:cs="Arial"/>
                <w:b/>
                <w:color w:val="000000"/>
                <w:sz w:val="20"/>
                <w:szCs w:val="20"/>
              </w:rPr>
              <w:t>-</w:t>
            </w:r>
          </w:p>
        </w:tc>
      </w:tr>
      <w:tr w:rsidR="00AD5414" w:rsidRPr="00F7307A" w14:paraId="78B1D4E1" w14:textId="77777777" w:rsidTr="00AD5414">
        <w:trPr>
          <w:trHeight w:val="77"/>
        </w:trPr>
        <w:tc>
          <w:tcPr>
            <w:tcW w:w="3227" w:type="pct"/>
            <w:tcBorders>
              <w:bottom w:val="single" w:sz="4" w:space="0" w:color="auto"/>
            </w:tcBorders>
            <w:tcMar>
              <w:top w:w="85" w:type="dxa"/>
              <w:left w:w="0" w:type="dxa"/>
              <w:bottom w:w="85" w:type="dxa"/>
              <w:right w:w="0" w:type="dxa"/>
            </w:tcMar>
          </w:tcPr>
          <w:p w14:paraId="02AC8B7C"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b/>
                <w:bCs/>
                <w:color w:val="000000"/>
                <w:sz w:val="20"/>
                <w:szCs w:val="20"/>
              </w:rPr>
            </w:pPr>
            <w:r w:rsidRPr="00AC0617">
              <w:rPr>
                <w:rFonts w:ascii="Arial" w:eastAsia="Times New Roman" w:hAnsi="Arial" w:cs="Arial"/>
                <w:color w:val="000000"/>
                <w:sz w:val="20"/>
                <w:szCs w:val="20"/>
              </w:rPr>
              <w:t>Other</w:t>
            </w:r>
          </w:p>
        </w:tc>
        <w:tc>
          <w:tcPr>
            <w:tcW w:w="887" w:type="pct"/>
            <w:tcBorders>
              <w:bottom w:val="single" w:sz="4" w:space="0" w:color="auto"/>
            </w:tcBorders>
            <w:tcMar>
              <w:top w:w="85" w:type="dxa"/>
              <w:left w:w="0" w:type="dxa"/>
              <w:bottom w:w="85" w:type="dxa"/>
              <w:right w:w="0" w:type="dxa"/>
            </w:tcMar>
            <w:vAlign w:val="bottom"/>
          </w:tcPr>
          <w:p w14:paraId="306FBEC2" w14:textId="05F49C17" w:rsidR="00AD5414" w:rsidRPr="00AC0617" w:rsidRDefault="00AD5414" w:rsidP="00AD5414">
            <w:pPr>
              <w:autoSpaceDE w:val="0"/>
              <w:adjustRightInd w:val="0"/>
              <w:spacing w:after="0" w:line="240" w:lineRule="auto"/>
              <w:ind w:right="57"/>
              <w:jc w:val="right"/>
              <w:textAlignment w:val="center"/>
              <w:rPr>
                <w:rFonts w:ascii="Arial" w:hAnsi="Arial" w:cs="Arial"/>
                <w:b/>
                <w:bCs/>
                <w:color w:val="000000"/>
                <w:sz w:val="20"/>
                <w:szCs w:val="20"/>
              </w:rPr>
            </w:pPr>
            <w:r>
              <w:rPr>
                <w:rFonts w:ascii="Arial" w:hAnsi="Arial" w:cs="Arial"/>
                <w:b/>
                <w:bCs/>
                <w:color w:val="000000"/>
                <w:sz w:val="20"/>
                <w:szCs w:val="20"/>
              </w:rPr>
              <w:t>-</w:t>
            </w:r>
          </w:p>
        </w:tc>
        <w:tc>
          <w:tcPr>
            <w:tcW w:w="886" w:type="pct"/>
            <w:tcBorders>
              <w:bottom w:val="single" w:sz="4" w:space="0" w:color="auto"/>
            </w:tcBorders>
            <w:vAlign w:val="bottom"/>
          </w:tcPr>
          <w:p w14:paraId="49F5E07C" w14:textId="77777777" w:rsidR="00AD5414" w:rsidRPr="00AC0617" w:rsidRDefault="00AD5414" w:rsidP="00AD5414">
            <w:pPr>
              <w:autoSpaceDE w:val="0"/>
              <w:adjustRightInd w:val="0"/>
              <w:spacing w:after="0" w:line="240" w:lineRule="auto"/>
              <w:ind w:right="57"/>
              <w:jc w:val="right"/>
              <w:textAlignment w:val="center"/>
              <w:rPr>
                <w:rFonts w:ascii="Arial" w:hAnsi="Arial" w:cs="Arial"/>
                <w:b/>
                <w:color w:val="000000"/>
                <w:sz w:val="20"/>
                <w:szCs w:val="20"/>
              </w:rPr>
            </w:pPr>
            <w:r w:rsidRPr="00AC0617">
              <w:rPr>
                <w:rFonts w:ascii="Arial" w:hAnsi="Arial" w:cs="Arial"/>
                <w:b/>
                <w:color w:val="000000"/>
                <w:sz w:val="20"/>
                <w:szCs w:val="20"/>
              </w:rPr>
              <w:t>6</w:t>
            </w:r>
          </w:p>
        </w:tc>
      </w:tr>
      <w:tr w:rsidR="00AD5414" w:rsidRPr="00F7307A" w14:paraId="386BAC53" w14:textId="77777777" w:rsidTr="00AD5414">
        <w:trPr>
          <w:trHeight w:val="77"/>
        </w:trPr>
        <w:tc>
          <w:tcPr>
            <w:tcW w:w="3227" w:type="pct"/>
            <w:tcBorders>
              <w:top w:val="single" w:sz="4" w:space="0" w:color="auto"/>
              <w:bottom w:val="single" w:sz="4" w:space="0" w:color="auto"/>
            </w:tcBorders>
            <w:tcMar>
              <w:top w:w="85" w:type="dxa"/>
              <w:left w:w="0" w:type="dxa"/>
              <w:bottom w:w="85" w:type="dxa"/>
              <w:right w:w="0" w:type="dxa"/>
            </w:tcMar>
            <w:vAlign w:val="bottom"/>
          </w:tcPr>
          <w:p w14:paraId="5940A1CA"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b/>
                <w:bCs/>
                <w:color w:val="000000"/>
                <w:sz w:val="20"/>
                <w:szCs w:val="20"/>
              </w:rPr>
            </w:pPr>
          </w:p>
        </w:tc>
        <w:tc>
          <w:tcPr>
            <w:tcW w:w="887" w:type="pct"/>
            <w:tcBorders>
              <w:top w:val="single" w:sz="4" w:space="0" w:color="auto"/>
              <w:bottom w:val="single" w:sz="4" w:space="0" w:color="auto"/>
            </w:tcBorders>
            <w:tcMar>
              <w:top w:w="85" w:type="dxa"/>
              <w:left w:w="0" w:type="dxa"/>
              <w:bottom w:w="85" w:type="dxa"/>
              <w:right w:w="0" w:type="dxa"/>
            </w:tcMar>
            <w:vAlign w:val="bottom"/>
          </w:tcPr>
          <w:p w14:paraId="1F8BAB82" w14:textId="77777777" w:rsidR="00AD5414" w:rsidRPr="00AC0617" w:rsidRDefault="00AD5414" w:rsidP="00AD5414">
            <w:pPr>
              <w:autoSpaceDE w:val="0"/>
              <w:adjustRightInd w:val="0"/>
              <w:spacing w:after="0" w:line="240" w:lineRule="auto"/>
              <w:ind w:right="57"/>
              <w:jc w:val="right"/>
              <w:textAlignment w:val="center"/>
              <w:rPr>
                <w:rFonts w:ascii="Arial" w:hAnsi="Arial" w:cs="Arial"/>
                <w:b/>
                <w:bCs/>
                <w:color w:val="000000"/>
                <w:sz w:val="20"/>
                <w:szCs w:val="20"/>
              </w:rPr>
            </w:pPr>
            <w:r w:rsidRPr="00AC0617">
              <w:rPr>
                <w:rFonts w:ascii="Arial" w:hAnsi="Arial" w:cs="Arial"/>
                <w:b/>
                <w:bCs/>
                <w:color w:val="000000"/>
                <w:sz w:val="20"/>
                <w:szCs w:val="20"/>
              </w:rPr>
              <w:t>(5)</w:t>
            </w:r>
          </w:p>
        </w:tc>
        <w:tc>
          <w:tcPr>
            <w:tcW w:w="886" w:type="pct"/>
            <w:tcBorders>
              <w:top w:val="single" w:sz="4" w:space="0" w:color="auto"/>
              <w:bottom w:val="single" w:sz="4" w:space="0" w:color="auto"/>
            </w:tcBorders>
            <w:vAlign w:val="bottom"/>
          </w:tcPr>
          <w:p w14:paraId="4C3F6DFF" w14:textId="77777777" w:rsidR="00AD5414" w:rsidRPr="00AC0617" w:rsidRDefault="00AD5414" w:rsidP="00AD5414">
            <w:pPr>
              <w:autoSpaceDE w:val="0"/>
              <w:adjustRightInd w:val="0"/>
              <w:spacing w:after="0" w:line="240" w:lineRule="auto"/>
              <w:ind w:right="57"/>
              <w:jc w:val="right"/>
              <w:textAlignment w:val="center"/>
              <w:rPr>
                <w:rFonts w:ascii="Arial" w:hAnsi="Arial" w:cs="Arial"/>
                <w:b/>
                <w:color w:val="000000"/>
                <w:sz w:val="20"/>
                <w:szCs w:val="20"/>
              </w:rPr>
            </w:pPr>
            <w:r w:rsidRPr="00AC0617">
              <w:rPr>
                <w:rFonts w:ascii="Arial" w:hAnsi="Arial" w:cs="Arial"/>
                <w:b/>
                <w:color w:val="000000"/>
                <w:sz w:val="20"/>
                <w:szCs w:val="20"/>
              </w:rPr>
              <w:t>6</w:t>
            </w:r>
          </w:p>
        </w:tc>
      </w:tr>
      <w:tr w:rsidR="00AD5414" w:rsidRPr="00F7307A" w14:paraId="5989B952" w14:textId="77777777" w:rsidTr="00741A54">
        <w:tc>
          <w:tcPr>
            <w:tcW w:w="3227" w:type="pct"/>
            <w:tcBorders>
              <w:top w:val="single" w:sz="4" w:space="0" w:color="auto"/>
            </w:tcBorders>
            <w:tcMar>
              <w:top w:w="85" w:type="dxa"/>
              <w:left w:w="0" w:type="dxa"/>
              <w:bottom w:w="85" w:type="dxa"/>
              <w:right w:w="0" w:type="dxa"/>
            </w:tcMar>
          </w:tcPr>
          <w:p w14:paraId="15BEBA15"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b/>
                <w:bCs/>
                <w:color w:val="000000"/>
                <w:sz w:val="20"/>
                <w:szCs w:val="20"/>
              </w:rPr>
            </w:pPr>
            <w:proofErr w:type="spellStart"/>
            <w:r w:rsidRPr="00AC0617">
              <w:rPr>
                <w:rFonts w:ascii="Arial" w:eastAsia="Times New Roman" w:hAnsi="Arial" w:cs="Arial"/>
                <w:b/>
                <w:bCs/>
                <w:color w:val="000000"/>
                <w:sz w:val="20"/>
                <w:szCs w:val="20"/>
              </w:rPr>
              <w:t>Unrealised</w:t>
            </w:r>
            <w:proofErr w:type="spellEnd"/>
          </w:p>
        </w:tc>
        <w:tc>
          <w:tcPr>
            <w:tcW w:w="887" w:type="pct"/>
            <w:tcBorders>
              <w:top w:val="single" w:sz="4" w:space="0" w:color="auto"/>
            </w:tcBorders>
            <w:tcMar>
              <w:top w:w="85" w:type="dxa"/>
              <w:left w:w="0" w:type="dxa"/>
              <w:bottom w:w="85" w:type="dxa"/>
              <w:right w:w="0" w:type="dxa"/>
            </w:tcMar>
          </w:tcPr>
          <w:p w14:paraId="50F56782" w14:textId="77777777" w:rsidR="00AD5414" w:rsidRPr="00AC0617" w:rsidRDefault="00AD5414" w:rsidP="00AD5414">
            <w:pPr>
              <w:autoSpaceDE w:val="0"/>
              <w:adjustRightInd w:val="0"/>
              <w:spacing w:after="0" w:line="240" w:lineRule="auto"/>
              <w:ind w:right="113"/>
              <w:jc w:val="right"/>
              <w:rPr>
                <w:rFonts w:ascii="Arial" w:hAnsi="Arial" w:cs="Arial"/>
                <w:b/>
                <w:bCs/>
                <w:sz w:val="20"/>
                <w:szCs w:val="20"/>
              </w:rPr>
            </w:pPr>
          </w:p>
        </w:tc>
        <w:tc>
          <w:tcPr>
            <w:tcW w:w="886" w:type="pct"/>
            <w:tcBorders>
              <w:top w:val="single" w:sz="4" w:space="0" w:color="auto"/>
            </w:tcBorders>
          </w:tcPr>
          <w:p w14:paraId="7190C2AF" w14:textId="77777777" w:rsidR="00AD5414" w:rsidRPr="00AC0617" w:rsidRDefault="00AD5414" w:rsidP="00AD5414">
            <w:pPr>
              <w:autoSpaceDE w:val="0"/>
              <w:adjustRightInd w:val="0"/>
              <w:spacing w:after="0" w:line="240" w:lineRule="auto"/>
              <w:ind w:right="113"/>
              <w:jc w:val="right"/>
              <w:rPr>
                <w:rFonts w:ascii="Arial" w:hAnsi="Arial" w:cs="Arial"/>
                <w:bCs/>
                <w:sz w:val="20"/>
                <w:szCs w:val="20"/>
              </w:rPr>
            </w:pPr>
          </w:p>
        </w:tc>
      </w:tr>
      <w:tr w:rsidR="00AD5414" w:rsidRPr="00F7307A" w14:paraId="133FB6AD" w14:textId="77777777" w:rsidTr="00741A54">
        <w:tc>
          <w:tcPr>
            <w:tcW w:w="3227" w:type="pct"/>
            <w:tcMar>
              <w:top w:w="85" w:type="dxa"/>
              <w:left w:w="0" w:type="dxa"/>
              <w:bottom w:w="85" w:type="dxa"/>
              <w:right w:w="0" w:type="dxa"/>
            </w:tcMar>
          </w:tcPr>
          <w:p w14:paraId="13976179"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b/>
                <w:bCs/>
                <w:color w:val="000000"/>
                <w:sz w:val="20"/>
                <w:szCs w:val="20"/>
              </w:rPr>
            </w:pPr>
            <w:r w:rsidRPr="00AC0617">
              <w:rPr>
                <w:rFonts w:ascii="Arial" w:eastAsia="Times New Roman" w:hAnsi="Arial" w:cs="Arial"/>
                <w:color w:val="000000"/>
                <w:sz w:val="20"/>
                <w:szCs w:val="20"/>
              </w:rPr>
              <w:t>IDE Group</w:t>
            </w:r>
          </w:p>
        </w:tc>
        <w:tc>
          <w:tcPr>
            <w:tcW w:w="887" w:type="pct"/>
            <w:tcMar>
              <w:top w:w="85" w:type="dxa"/>
              <w:left w:w="0" w:type="dxa"/>
              <w:bottom w:w="85" w:type="dxa"/>
              <w:right w:w="0" w:type="dxa"/>
            </w:tcMar>
          </w:tcPr>
          <w:p w14:paraId="31831AE7" w14:textId="77777777" w:rsidR="00AD5414" w:rsidRPr="00AC0617" w:rsidRDefault="00AD5414" w:rsidP="00AD5414">
            <w:pPr>
              <w:autoSpaceDE w:val="0"/>
              <w:adjustRightInd w:val="0"/>
              <w:spacing w:after="0" w:line="240" w:lineRule="auto"/>
              <w:ind w:right="113"/>
              <w:jc w:val="right"/>
              <w:rPr>
                <w:rFonts w:ascii="Arial" w:hAnsi="Arial" w:cs="Arial"/>
                <w:b/>
                <w:bCs/>
                <w:sz w:val="20"/>
                <w:szCs w:val="20"/>
              </w:rPr>
            </w:pPr>
            <w:r w:rsidRPr="00AC0617">
              <w:rPr>
                <w:rFonts w:ascii="Arial" w:eastAsia="Times New Roman" w:hAnsi="Arial" w:cs="Arial"/>
                <w:b/>
                <w:bCs/>
                <w:sz w:val="20"/>
                <w:szCs w:val="20"/>
              </w:rPr>
              <w:t>45</w:t>
            </w:r>
          </w:p>
        </w:tc>
        <w:tc>
          <w:tcPr>
            <w:tcW w:w="886" w:type="pct"/>
          </w:tcPr>
          <w:p w14:paraId="0DABCF63" w14:textId="77777777" w:rsidR="00AD5414" w:rsidRPr="00AC0617" w:rsidRDefault="00AD5414" w:rsidP="00AD5414">
            <w:pPr>
              <w:autoSpaceDE w:val="0"/>
              <w:adjustRightInd w:val="0"/>
              <w:spacing w:after="0" w:line="240" w:lineRule="auto"/>
              <w:ind w:right="113"/>
              <w:jc w:val="right"/>
              <w:rPr>
                <w:rFonts w:ascii="Arial" w:hAnsi="Arial" w:cs="Arial"/>
                <w:bCs/>
                <w:sz w:val="20"/>
                <w:szCs w:val="20"/>
              </w:rPr>
            </w:pPr>
            <w:r w:rsidRPr="00AC0617">
              <w:rPr>
                <w:rFonts w:ascii="Arial" w:eastAsia="Times New Roman" w:hAnsi="Arial" w:cs="Arial"/>
                <w:bCs/>
                <w:sz w:val="20"/>
                <w:szCs w:val="20"/>
              </w:rPr>
              <w:t>31</w:t>
            </w:r>
          </w:p>
        </w:tc>
      </w:tr>
      <w:tr w:rsidR="00AD5414" w:rsidRPr="00F7307A" w14:paraId="5C6DD68A" w14:textId="77777777" w:rsidTr="00741A54">
        <w:tc>
          <w:tcPr>
            <w:tcW w:w="3227" w:type="pct"/>
            <w:tcMar>
              <w:top w:w="85" w:type="dxa"/>
              <w:left w:w="0" w:type="dxa"/>
              <w:bottom w:w="85" w:type="dxa"/>
              <w:right w:w="0" w:type="dxa"/>
            </w:tcMar>
          </w:tcPr>
          <w:p w14:paraId="0E4FB6AF"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ICU Eyewear</w:t>
            </w:r>
          </w:p>
        </w:tc>
        <w:tc>
          <w:tcPr>
            <w:tcW w:w="887" w:type="pct"/>
            <w:tcMar>
              <w:top w:w="85" w:type="dxa"/>
              <w:left w:w="0" w:type="dxa"/>
              <w:bottom w:w="85" w:type="dxa"/>
              <w:right w:w="0" w:type="dxa"/>
            </w:tcMar>
          </w:tcPr>
          <w:p w14:paraId="23201504" w14:textId="48D1474E" w:rsidR="00AD5414" w:rsidRPr="00AC0617" w:rsidRDefault="00A306FD" w:rsidP="00AD5414">
            <w:pPr>
              <w:tabs>
                <w:tab w:val="decimal" w:pos="1134"/>
              </w:tabs>
              <w:autoSpaceDE w:val="0"/>
              <w:adjustRightInd w:val="0"/>
              <w:spacing w:after="0" w:line="240" w:lineRule="auto"/>
              <w:ind w:right="113"/>
              <w:jc w:val="right"/>
              <w:textAlignment w:val="center"/>
              <w:rPr>
                <w:rFonts w:ascii="Arial" w:hAnsi="Arial" w:cs="Arial"/>
                <w:b/>
                <w:bCs/>
                <w:sz w:val="20"/>
                <w:szCs w:val="20"/>
              </w:rPr>
            </w:pPr>
            <w:r>
              <w:rPr>
                <w:rFonts w:ascii="Arial" w:hAnsi="Arial" w:cs="Arial"/>
                <w:b/>
                <w:bCs/>
                <w:sz w:val="20"/>
                <w:szCs w:val="20"/>
              </w:rPr>
              <w:t>(361)</w:t>
            </w:r>
          </w:p>
        </w:tc>
        <w:tc>
          <w:tcPr>
            <w:tcW w:w="886" w:type="pct"/>
          </w:tcPr>
          <w:p w14:paraId="20D31232"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Cs/>
                <w:sz w:val="20"/>
                <w:szCs w:val="20"/>
              </w:rPr>
            </w:pPr>
            <w:r w:rsidRPr="00AC0617">
              <w:rPr>
                <w:rFonts w:ascii="Arial" w:hAnsi="Arial" w:cs="Arial"/>
                <w:bCs/>
                <w:sz w:val="20"/>
                <w:szCs w:val="20"/>
              </w:rPr>
              <w:t>871</w:t>
            </w:r>
          </w:p>
        </w:tc>
      </w:tr>
      <w:tr w:rsidR="00AD5414" w:rsidRPr="00F7307A" w14:paraId="2E77810F" w14:textId="77777777" w:rsidTr="00741A54">
        <w:tc>
          <w:tcPr>
            <w:tcW w:w="3227" w:type="pct"/>
            <w:tcMar>
              <w:top w:w="85" w:type="dxa"/>
              <w:left w:w="0" w:type="dxa"/>
              <w:bottom w:w="85" w:type="dxa"/>
              <w:right w:w="0" w:type="dxa"/>
            </w:tcMar>
          </w:tcPr>
          <w:p w14:paraId="7CCC45D2"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color w:val="000000"/>
                <w:sz w:val="20"/>
                <w:szCs w:val="20"/>
              </w:rPr>
            </w:pPr>
            <w:proofErr w:type="spellStart"/>
            <w:r w:rsidRPr="00AC0617">
              <w:rPr>
                <w:rFonts w:ascii="Arial" w:eastAsia="Times New Roman" w:hAnsi="Arial" w:cs="Arial"/>
                <w:color w:val="000000"/>
                <w:sz w:val="20"/>
                <w:szCs w:val="20"/>
              </w:rPr>
              <w:t>YesTo</w:t>
            </w:r>
            <w:proofErr w:type="spellEnd"/>
          </w:p>
        </w:tc>
        <w:tc>
          <w:tcPr>
            <w:tcW w:w="887" w:type="pct"/>
            <w:tcMar>
              <w:top w:w="85" w:type="dxa"/>
              <w:left w:w="0" w:type="dxa"/>
              <w:bottom w:w="85" w:type="dxa"/>
              <w:right w:w="0" w:type="dxa"/>
            </w:tcMar>
          </w:tcPr>
          <w:p w14:paraId="439F7363"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2</w:t>
            </w:r>
          </w:p>
        </w:tc>
        <w:tc>
          <w:tcPr>
            <w:tcW w:w="886" w:type="pct"/>
          </w:tcPr>
          <w:p w14:paraId="571A7E98"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Cs/>
                <w:sz w:val="20"/>
                <w:szCs w:val="20"/>
              </w:rPr>
            </w:pPr>
            <w:r w:rsidRPr="00AC0617">
              <w:rPr>
                <w:rFonts w:ascii="Arial" w:eastAsia="Times New Roman" w:hAnsi="Arial" w:cs="Arial"/>
                <w:bCs/>
                <w:sz w:val="20"/>
                <w:szCs w:val="20"/>
              </w:rPr>
              <w:t>(269)</w:t>
            </w:r>
          </w:p>
        </w:tc>
      </w:tr>
      <w:tr w:rsidR="00AD5414" w:rsidRPr="00F7307A" w14:paraId="67AA67FC" w14:textId="77777777" w:rsidTr="00741A54">
        <w:tc>
          <w:tcPr>
            <w:tcW w:w="3227" w:type="pct"/>
            <w:tcMar>
              <w:top w:w="85" w:type="dxa"/>
              <w:left w:w="0" w:type="dxa"/>
              <w:bottom w:w="85" w:type="dxa"/>
              <w:right w:w="0" w:type="dxa"/>
            </w:tcMar>
          </w:tcPr>
          <w:p w14:paraId="399EEF3F" w14:textId="761B4918"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color w:val="000000"/>
                <w:sz w:val="20"/>
                <w:szCs w:val="20"/>
              </w:rPr>
            </w:pPr>
            <w:r w:rsidRPr="00063CBC">
              <w:rPr>
                <w:rFonts w:ascii="Arial" w:eastAsia="Times New Roman" w:hAnsi="Arial" w:cs="Arial"/>
                <w:color w:val="000000"/>
                <w:sz w:val="20"/>
                <w:szCs w:val="20"/>
              </w:rPr>
              <w:t>Northbridge Industrial Services</w:t>
            </w:r>
          </w:p>
        </w:tc>
        <w:tc>
          <w:tcPr>
            <w:tcW w:w="887" w:type="pct"/>
            <w:tcMar>
              <w:top w:w="85" w:type="dxa"/>
              <w:left w:w="0" w:type="dxa"/>
              <w:bottom w:w="85" w:type="dxa"/>
              <w:right w:w="0" w:type="dxa"/>
            </w:tcMar>
          </w:tcPr>
          <w:p w14:paraId="214D12B7"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w:t>
            </w:r>
          </w:p>
        </w:tc>
        <w:tc>
          <w:tcPr>
            <w:tcW w:w="886" w:type="pct"/>
          </w:tcPr>
          <w:p w14:paraId="24D3AD41"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Cs/>
                <w:sz w:val="20"/>
                <w:szCs w:val="20"/>
              </w:rPr>
            </w:pPr>
            <w:r w:rsidRPr="00AC0617">
              <w:rPr>
                <w:rFonts w:ascii="Arial" w:eastAsia="Times New Roman" w:hAnsi="Arial" w:cs="Arial"/>
                <w:bCs/>
                <w:sz w:val="20"/>
                <w:szCs w:val="20"/>
              </w:rPr>
              <w:t>(111)</w:t>
            </w:r>
          </w:p>
        </w:tc>
      </w:tr>
      <w:tr w:rsidR="00AD5414" w:rsidRPr="00F7307A" w14:paraId="1139B8B5" w14:textId="77777777" w:rsidTr="00741A54">
        <w:tc>
          <w:tcPr>
            <w:tcW w:w="3227" w:type="pct"/>
            <w:tcMar>
              <w:top w:w="85" w:type="dxa"/>
              <w:left w:w="0" w:type="dxa"/>
              <w:bottom w:w="85" w:type="dxa"/>
              <w:right w:w="0" w:type="dxa"/>
            </w:tcMar>
          </w:tcPr>
          <w:p w14:paraId="0F64126E"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color w:val="000000"/>
                <w:sz w:val="20"/>
                <w:szCs w:val="20"/>
              </w:rPr>
            </w:pPr>
            <w:proofErr w:type="spellStart"/>
            <w:r w:rsidRPr="00AC0617">
              <w:rPr>
                <w:rFonts w:ascii="Arial" w:eastAsia="Times New Roman" w:hAnsi="Arial" w:cs="Arial"/>
                <w:color w:val="000000"/>
                <w:sz w:val="20"/>
                <w:szCs w:val="20"/>
              </w:rPr>
              <w:t>Elateral</w:t>
            </w:r>
            <w:proofErr w:type="spellEnd"/>
          </w:p>
        </w:tc>
        <w:tc>
          <w:tcPr>
            <w:tcW w:w="887" w:type="pct"/>
            <w:tcMar>
              <w:top w:w="85" w:type="dxa"/>
              <w:left w:w="0" w:type="dxa"/>
              <w:bottom w:w="85" w:type="dxa"/>
              <w:right w:w="0" w:type="dxa"/>
            </w:tcMar>
          </w:tcPr>
          <w:p w14:paraId="0D23BE4F"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w:t>
            </w:r>
          </w:p>
        </w:tc>
        <w:tc>
          <w:tcPr>
            <w:tcW w:w="886" w:type="pct"/>
          </w:tcPr>
          <w:p w14:paraId="2F48A6F4"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Cs/>
                <w:sz w:val="20"/>
                <w:szCs w:val="20"/>
              </w:rPr>
            </w:pPr>
            <w:r w:rsidRPr="00AC0617">
              <w:rPr>
                <w:rFonts w:ascii="Arial" w:eastAsia="Times New Roman" w:hAnsi="Arial" w:cs="Arial"/>
                <w:bCs/>
                <w:sz w:val="20"/>
                <w:szCs w:val="20"/>
              </w:rPr>
              <w:t>(1,433)</w:t>
            </w:r>
          </w:p>
        </w:tc>
      </w:tr>
      <w:tr w:rsidR="00AD5414" w:rsidRPr="00F7307A" w14:paraId="526FEE39" w14:textId="77777777" w:rsidTr="00741A54">
        <w:tc>
          <w:tcPr>
            <w:tcW w:w="3227" w:type="pct"/>
            <w:tcMar>
              <w:top w:w="85" w:type="dxa"/>
              <w:left w:w="0" w:type="dxa"/>
              <w:bottom w:w="85" w:type="dxa"/>
              <w:right w:w="0" w:type="dxa"/>
            </w:tcMar>
          </w:tcPr>
          <w:p w14:paraId="6E6FB7F7"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color w:val="000000"/>
                <w:sz w:val="20"/>
                <w:szCs w:val="20"/>
              </w:rPr>
            </w:pPr>
            <w:proofErr w:type="spellStart"/>
            <w:r w:rsidRPr="00AC0617">
              <w:rPr>
                <w:rFonts w:ascii="Arial" w:eastAsia="Times New Roman" w:hAnsi="Arial" w:cs="Arial"/>
                <w:color w:val="000000"/>
                <w:sz w:val="20"/>
                <w:szCs w:val="20"/>
              </w:rPr>
              <w:t>Medhost</w:t>
            </w:r>
            <w:proofErr w:type="spellEnd"/>
          </w:p>
        </w:tc>
        <w:tc>
          <w:tcPr>
            <w:tcW w:w="887" w:type="pct"/>
            <w:tcMar>
              <w:top w:w="85" w:type="dxa"/>
              <w:left w:w="0" w:type="dxa"/>
              <w:bottom w:w="85" w:type="dxa"/>
              <w:right w:w="0" w:type="dxa"/>
            </w:tcMar>
          </w:tcPr>
          <w:p w14:paraId="4EF1721F"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(320)</w:t>
            </w:r>
          </w:p>
        </w:tc>
        <w:tc>
          <w:tcPr>
            <w:tcW w:w="886" w:type="pct"/>
          </w:tcPr>
          <w:p w14:paraId="1FB3DE9D"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Cs/>
                <w:sz w:val="20"/>
                <w:szCs w:val="20"/>
              </w:rPr>
            </w:pPr>
            <w:r w:rsidRPr="00AC0617">
              <w:rPr>
                <w:rFonts w:ascii="Arial" w:eastAsia="Times New Roman" w:hAnsi="Arial" w:cs="Arial"/>
                <w:bCs/>
                <w:sz w:val="20"/>
                <w:szCs w:val="20"/>
              </w:rPr>
              <w:t>(764)</w:t>
            </w:r>
          </w:p>
        </w:tc>
      </w:tr>
      <w:tr w:rsidR="00AD5414" w:rsidRPr="00F7307A" w14:paraId="47D9432C" w14:textId="77777777" w:rsidTr="00741A54">
        <w:tc>
          <w:tcPr>
            <w:tcW w:w="3227" w:type="pct"/>
            <w:tcBorders>
              <w:bottom w:val="single" w:sz="4" w:space="0" w:color="auto"/>
            </w:tcBorders>
            <w:tcMar>
              <w:top w:w="85" w:type="dxa"/>
              <w:left w:w="0" w:type="dxa"/>
              <w:bottom w:w="85" w:type="dxa"/>
              <w:right w:w="0" w:type="dxa"/>
            </w:tcMar>
          </w:tcPr>
          <w:p w14:paraId="2B12DB99"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color w:val="000000"/>
                <w:sz w:val="20"/>
                <w:szCs w:val="20"/>
              </w:rPr>
            </w:pPr>
            <w:proofErr w:type="spellStart"/>
            <w:r w:rsidRPr="00AC0617">
              <w:rPr>
                <w:rFonts w:ascii="Arial" w:eastAsia="Times New Roman" w:hAnsi="Arial" w:cs="Arial"/>
                <w:color w:val="000000"/>
                <w:sz w:val="20"/>
                <w:szCs w:val="20"/>
              </w:rPr>
              <w:t>Unrealised</w:t>
            </w:r>
            <w:proofErr w:type="spellEnd"/>
            <w:r w:rsidRPr="00AC0617">
              <w:rPr>
                <w:rFonts w:ascii="Arial" w:eastAsia="Times New Roman" w:hAnsi="Arial" w:cs="Arial"/>
                <w:color w:val="000000"/>
                <w:sz w:val="20"/>
                <w:szCs w:val="20"/>
              </w:rPr>
              <w:t xml:space="preserve"> foreign currency (losses)</w:t>
            </w:r>
            <w:r w:rsidRPr="00F7307A">
              <w:rPr>
                <w:rFonts w:ascii="Arial" w:eastAsia="Times New Roman" w:hAnsi="Arial" w:cs="Arial"/>
                <w:color w:val="000000"/>
                <w:sz w:val="20"/>
                <w:szCs w:val="20"/>
              </w:rPr>
              <w:t>/ gains</w:t>
            </w:r>
          </w:p>
        </w:tc>
        <w:tc>
          <w:tcPr>
            <w:tcW w:w="887" w:type="pct"/>
            <w:tcBorders>
              <w:bottom w:val="single" w:sz="4" w:space="0" w:color="auto"/>
            </w:tcBorders>
            <w:tcMar>
              <w:top w:w="85" w:type="dxa"/>
              <w:left w:w="0" w:type="dxa"/>
              <w:bottom w:w="85" w:type="dxa"/>
              <w:right w:w="0" w:type="dxa"/>
            </w:tcMar>
          </w:tcPr>
          <w:p w14:paraId="0D7F3CB9"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(111)</w:t>
            </w:r>
          </w:p>
        </w:tc>
        <w:tc>
          <w:tcPr>
            <w:tcW w:w="886" w:type="pct"/>
            <w:tcBorders>
              <w:bottom w:val="single" w:sz="4" w:space="0" w:color="auto"/>
            </w:tcBorders>
          </w:tcPr>
          <w:p w14:paraId="65494B43"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Cs/>
                <w:sz w:val="20"/>
                <w:szCs w:val="20"/>
              </w:rPr>
            </w:pPr>
            <w:r w:rsidRPr="00AC0617">
              <w:rPr>
                <w:rFonts w:ascii="Arial" w:eastAsia="Times New Roman" w:hAnsi="Arial" w:cs="Arial"/>
                <w:bCs/>
                <w:sz w:val="20"/>
                <w:szCs w:val="20"/>
              </w:rPr>
              <w:t>504</w:t>
            </w:r>
          </w:p>
        </w:tc>
      </w:tr>
      <w:tr w:rsidR="00AD5414" w:rsidRPr="00F7307A" w14:paraId="00C8C3D1" w14:textId="77777777" w:rsidTr="00741A54">
        <w:tc>
          <w:tcPr>
            <w:tcW w:w="3227" w:type="pct"/>
            <w:tcBorders>
              <w:top w:val="single" w:sz="4" w:space="0" w:color="auto"/>
              <w:bottom w:val="single" w:sz="4" w:space="0" w:color="auto"/>
            </w:tcBorders>
            <w:tcMar>
              <w:top w:w="85" w:type="dxa"/>
              <w:left w:w="0" w:type="dxa"/>
              <w:bottom w:w="85" w:type="dxa"/>
              <w:right w:w="0" w:type="dxa"/>
            </w:tcMar>
          </w:tcPr>
          <w:p w14:paraId="74F2D628" w14:textId="77777777" w:rsidR="00AD5414" w:rsidRPr="00AC0617" w:rsidRDefault="00AD5414" w:rsidP="00AD5414">
            <w:pPr>
              <w:autoSpaceDE w:val="0"/>
              <w:adjustRightInd w:val="0"/>
              <w:spacing w:after="0" w:line="240" w:lineRule="auto"/>
              <w:jc w:val="both"/>
              <w:rPr>
                <w:rFonts w:ascii="Arial" w:eastAsia="Times New Roman" w:hAnsi="Arial" w:cs="Arial"/>
                <w:sz w:val="20"/>
                <w:szCs w:val="20"/>
              </w:rPr>
            </w:pPr>
          </w:p>
        </w:tc>
        <w:tc>
          <w:tcPr>
            <w:tcW w:w="887" w:type="pct"/>
            <w:tcBorders>
              <w:top w:val="single" w:sz="4" w:space="0" w:color="auto"/>
              <w:bottom w:val="single" w:sz="4" w:space="0" w:color="auto"/>
            </w:tcBorders>
            <w:tcMar>
              <w:top w:w="85" w:type="dxa"/>
              <w:left w:w="0" w:type="dxa"/>
              <w:bottom w:w="85" w:type="dxa"/>
              <w:right w:w="0" w:type="dxa"/>
            </w:tcMar>
          </w:tcPr>
          <w:p w14:paraId="230EC14E" w14:textId="3DBFA1C9" w:rsidR="00AD5414" w:rsidRPr="00AC0617" w:rsidRDefault="00AD5414" w:rsidP="00AD5414">
            <w:pPr>
              <w:tabs>
                <w:tab w:val="decimal" w:pos="1134"/>
              </w:tabs>
              <w:autoSpaceDE w:val="0"/>
              <w:adjustRightInd w:val="0"/>
              <w:spacing w:after="0" w:line="240" w:lineRule="auto"/>
              <w:ind w:right="113"/>
              <w:jc w:val="right"/>
              <w:textAlignment w:val="center"/>
              <w:rPr>
                <w:rFonts w:ascii="Arial" w:hAnsi="Arial" w:cs="Arial"/>
                <w:b/>
                <w:bCs/>
                <w:sz w:val="20"/>
                <w:szCs w:val="20"/>
              </w:rPr>
            </w:pPr>
            <w:r w:rsidRPr="00AC0617">
              <w:rPr>
                <w:rFonts w:ascii="Arial" w:hAnsi="Arial" w:cs="Arial"/>
                <w:b/>
                <w:bCs/>
                <w:sz w:val="20"/>
                <w:szCs w:val="20"/>
              </w:rPr>
              <w:t>(</w:t>
            </w:r>
            <w:r w:rsidR="00A306FD">
              <w:rPr>
                <w:rFonts w:ascii="Arial" w:hAnsi="Arial" w:cs="Arial"/>
                <w:b/>
                <w:bCs/>
                <w:sz w:val="20"/>
                <w:szCs w:val="20"/>
              </w:rPr>
              <w:t>7</w:t>
            </w:r>
            <w:r w:rsidRPr="00AC0617">
              <w:rPr>
                <w:rFonts w:ascii="Arial" w:hAnsi="Arial" w:cs="Arial"/>
                <w:b/>
                <w:bCs/>
                <w:sz w:val="20"/>
                <w:szCs w:val="20"/>
              </w:rPr>
              <w:t>45)</w:t>
            </w:r>
          </w:p>
        </w:tc>
        <w:tc>
          <w:tcPr>
            <w:tcW w:w="886" w:type="pct"/>
            <w:tcBorders>
              <w:top w:val="single" w:sz="4" w:space="0" w:color="auto"/>
              <w:bottom w:val="single" w:sz="4" w:space="0" w:color="auto"/>
            </w:tcBorders>
          </w:tcPr>
          <w:p w14:paraId="081AA215"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hAnsi="Arial" w:cs="Arial"/>
                <w:bCs/>
                <w:sz w:val="20"/>
                <w:szCs w:val="20"/>
                <w:lang w:val="en-GB"/>
              </w:rPr>
            </w:pPr>
            <w:r w:rsidRPr="00AC0617">
              <w:rPr>
                <w:rFonts w:ascii="Arial" w:hAnsi="Arial" w:cs="Arial"/>
                <w:bCs/>
                <w:sz w:val="20"/>
                <w:szCs w:val="20"/>
                <w:lang w:val="en-GB"/>
              </w:rPr>
              <w:t>(1,171)</w:t>
            </w:r>
          </w:p>
        </w:tc>
      </w:tr>
      <w:tr w:rsidR="00AD5414" w:rsidRPr="00F7307A" w14:paraId="44F33C36" w14:textId="77777777" w:rsidTr="00741A54">
        <w:tc>
          <w:tcPr>
            <w:tcW w:w="3227" w:type="pct"/>
            <w:tcBorders>
              <w:top w:val="single" w:sz="4" w:space="0" w:color="auto"/>
              <w:bottom w:val="single" w:sz="4" w:space="0" w:color="auto"/>
            </w:tcBorders>
            <w:tcMar>
              <w:top w:w="85" w:type="dxa"/>
              <w:left w:w="0" w:type="dxa"/>
              <w:bottom w:w="85" w:type="dxa"/>
              <w:right w:w="0" w:type="dxa"/>
            </w:tcMar>
            <w:vAlign w:val="bottom"/>
          </w:tcPr>
          <w:p w14:paraId="310CE7A4" w14:textId="77777777" w:rsidR="00AD5414" w:rsidRPr="00AC0617" w:rsidRDefault="00AD5414" w:rsidP="00AD5414">
            <w:pPr>
              <w:autoSpaceDE w:val="0"/>
              <w:adjustRightInd w:val="0"/>
              <w:spacing w:after="0" w:line="240" w:lineRule="auto"/>
              <w:ind w:left="71"/>
              <w:jc w:val="both"/>
              <w:textAlignment w:val="center"/>
              <w:rPr>
                <w:rFonts w:ascii="Arial" w:eastAsia="Times New Roman" w:hAnsi="Arial" w:cs="Arial"/>
                <w:color w:val="000000"/>
                <w:sz w:val="20"/>
                <w:szCs w:val="20"/>
              </w:rPr>
            </w:pPr>
            <w:r w:rsidRPr="00AC0617">
              <w:rPr>
                <w:rFonts w:ascii="Arial" w:eastAsia="Times New Roman" w:hAnsi="Arial" w:cs="Arial"/>
                <w:color w:val="000000"/>
                <w:sz w:val="20"/>
                <w:szCs w:val="20"/>
              </w:rPr>
              <w:t>Total net los</w:t>
            </w:r>
            <w:r w:rsidRPr="00F7307A">
              <w:rPr>
                <w:rFonts w:ascii="Arial" w:eastAsia="Times New Roman" w:hAnsi="Arial" w:cs="Arial"/>
                <w:color w:val="000000"/>
                <w:sz w:val="20"/>
                <w:szCs w:val="20"/>
              </w:rPr>
              <w:t>ses</w:t>
            </w:r>
          </w:p>
        </w:tc>
        <w:tc>
          <w:tcPr>
            <w:tcW w:w="887" w:type="pct"/>
            <w:tcBorders>
              <w:top w:val="single" w:sz="4" w:space="0" w:color="auto"/>
              <w:bottom w:val="single" w:sz="4" w:space="0" w:color="auto"/>
            </w:tcBorders>
            <w:tcMar>
              <w:top w:w="85" w:type="dxa"/>
              <w:left w:w="0" w:type="dxa"/>
              <w:bottom w:w="85" w:type="dxa"/>
              <w:right w:w="0" w:type="dxa"/>
            </w:tcMar>
            <w:vAlign w:val="bottom"/>
          </w:tcPr>
          <w:p w14:paraId="571F59B1" w14:textId="6FFA7E6F"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
                <w:bCs/>
                <w:sz w:val="20"/>
                <w:szCs w:val="20"/>
              </w:rPr>
            </w:pPr>
            <w:r w:rsidRPr="00AC0617">
              <w:rPr>
                <w:rFonts w:ascii="Arial" w:eastAsia="Times New Roman" w:hAnsi="Arial" w:cs="Arial"/>
                <w:b/>
                <w:bCs/>
                <w:sz w:val="20"/>
                <w:szCs w:val="20"/>
              </w:rPr>
              <w:t>(</w:t>
            </w:r>
            <w:r w:rsidR="00A306FD">
              <w:rPr>
                <w:rFonts w:ascii="Arial" w:eastAsia="Times New Roman" w:hAnsi="Arial" w:cs="Arial"/>
                <w:b/>
                <w:bCs/>
                <w:sz w:val="20"/>
                <w:szCs w:val="20"/>
              </w:rPr>
              <w:t>7</w:t>
            </w:r>
            <w:r w:rsidRPr="00AC0617">
              <w:rPr>
                <w:rFonts w:ascii="Arial" w:eastAsia="Times New Roman" w:hAnsi="Arial" w:cs="Arial"/>
                <w:b/>
                <w:bCs/>
                <w:sz w:val="20"/>
                <w:szCs w:val="20"/>
              </w:rPr>
              <w:t>50)</w:t>
            </w:r>
          </w:p>
        </w:tc>
        <w:tc>
          <w:tcPr>
            <w:tcW w:w="886" w:type="pct"/>
            <w:tcBorders>
              <w:top w:val="single" w:sz="4" w:space="0" w:color="auto"/>
              <w:bottom w:val="single" w:sz="4" w:space="0" w:color="auto"/>
            </w:tcBorders>
            <w:vAlign w:val="bottom"/>
          </w:tcPr>
          <w:p w14:paraId="68C0BBD8" w14:textId="77777777" w:rsidR="00AD5414" w:rsidRPr="00AC0617" w:rsidRDefault="00AD5414" w:rsidP="00AD5414">
            <w:pPr>
              <w:tabs>
                <w:tab w:val="decimal" w:pos="1134"/>
              </w:tabs>
              <w:autoSpaceDE w:val="0"/>
              <w:adjustRightInd w:val="0"/>
              <w:spacing w:after="0" w:line="240" w:lineRule="auto"/>
              <w:ind w:right="113"/>
              <w:jc w:val="right"/>
              <w:textAlignment w:val="center"/>
              <w:rPr>
                <w:rFonts w:ascii="Arial" w:eastAsia="Times New Roman" w:hAnsi="Arial" w:cs="Arial"/>
                <w:bCs/>
                <w:sz w:val="20"/>
                <w:szCs w:val="20"/>
              </w:rPr>
            </w:pPr>
            <w:r w:rsidRPr="00AC0617">
              <w:rPr>
                <w:rFonts w:ascii="Arial" w:eastAsia="Times New Roman" w:hAnsi="Arial" w:cs="Arial"/>
                <w:bCs/>
                <w:sz w:val="20"/>
                <w:szCs w:val="20"/>
              </w:rPr>
              <w:t>(1,165)</w:t>
            </w:r>
          </w:p>
        </w:tc>
      </w:tr>
    </w:tbl>
    <w:p w14:paraId="5B5E436B" w14:textId="401E0FA7" w:rsidR="00016656" w:rsidRDefault="00016656" w:rsidP="00891B3A">
      <w:pPr>
        <w:widowControl/>
        <w:spacing w:after="0"/>
        <w:jc w:val="both"/>
        <w:rPr>
          <w:rFonts w:ascii="Arial" w:eastAsia="Times New Roman" w:hAnsi="Arial" w:cs="Arial"/>
          <w:lang w:val="en-GB" w:eastAsia="en-GB"/>
        </w:rPr>
      </w:pPr>
    </w:p>
    <w:p w14:paraId="5C4B584D" w14:textId="51876B9F" w:rsidR="00AD5414" w:rsidRDefault="00AD5414" w:rsidP="00891B3A">
      <w:pPr>
        <w:widowControl/>
        <w:spacing w:after="0"/>
        <w:jc w:val="both"/>
        <w:rPr>
          <w:rFonts w:ascii="Arial" w:eastAsia="Times New Roman" w:hAnsi="Arial" w:cs="Arial"/>
          <w:lang w:val="en-GB" w:eastAsia="en-GB"/>
        </w:rPr>
      </w:pPr>
    </w:p>
    <w:p w14:paraId="533890F2" w14:textId="3C1D7A1E" w:rsidR="00AD5414" w:rsidRDefault="00AD5414" w:rsidP="00891B3A">
      <w:pPr>
        <w:widowControl/>
        <w:spacing w:after="0"/>
        <w:jc w:val="both"/>
        <w:rPr>
          <w:rFonts w:ascii="Arial" w:eastAsia="Times New Roman" w:hAnsi="Arial" w:cs="Arial"/>
          <w:lang w:val="en-GB" w:eastAsia="en-GB"/>
        </w:rPr>
      </w:pPr>
    </w:p>
    <w:p w14:paraId="51E2A172" w14:textId="77777777" w:rsidR="00AD5414" w:rsidRPr="00AC0617" w:rsidRDefault="00AD5414" w:rsidP="00891B3A">
      <w:pPr>
        <w:widowControl/>
        <w:spacing w:after="0"/>
        <w:jc w:val="both"/>
        <w:rPr>
          <w:rFonts w:ascii="Arial" w:eastAsia="Times New Roman" w:hAnsi="Arial" w:cs="Arial"/>
          <w:lang w:val="en-GB" w:eastAsia="en-GB"/>
        </w:rPr>
      </w:pPr>
    </w:p>
    <w:p w14:paraId="0A722466" w14:textId="77777777" w:rsidR="00891B3A" w:rsidRPr="00AC0617"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lastRenderedPageBreak/>
        <w:t>Valuations are sensitive to changes in the following two inputs:</w:t>
      </w:r>
    </w:p>
    <w:p w14:paraId="57EB20B7" w14:textId="77777777" w:rsidR="00891B3A" w:rsidRPr="00AC0617" w:rsidRDefault="00891B3A" w:rsidP="00891B3A">
      <w:pPr>
        <w:widowControl/>
        <w:numPr>
          <w:ilvl w:val="0"/>
          <w:numId w:val="17"/>
        </w:numPr>
        <w:suppressAutoHyphens w:val="0"/>
        <w:autoSpaceDN/>
        <w:spacing w:after="0"/>
        <w:ind w:left="360"/>
        <w:contextualSpacing/>
        <w:jc w:val="both"/>
        <w:textAlignment w:val="auto"/>
        <w:rPr>
          <w:rFonts w:ascii="Arial" w:eastAsia="Times New Roman" w:hAnsi="Arial" w:cs="Arial"/>
          <w:lang w:val="en-GB" w:eastAsia="en-GB"/>
        </w:rPr>
      </w:pPr>
      <w:r w:rsidRPr="00AC0617">
        <w:rPr>
          <w:rFonts w:ascii="Arial" w:eastAsia="Times New Roman" w:hAnsi="Arial" w:cs="Arial"/>
          <w:lang w:val="en-GB" w:eastAsia="en-GB"/>
        </w:rPr>
        <w:t>The operating performance of the individual businesses within the portfolio; and</w:t>
      </w:r>
    </w:p>
    <w:p w14:paraId="7252E724" w14:textId="77777777" w:rsidR="00891B3A" w:rsidRPr="00AC0617" w:rsidRDefault="00891B3A" w:rsidP="00891B3A">
      <w:pPr>
        <w:widowControl/>
        <w:numPr>
          <w:ilvl w:val="0"/>
          <w:numId w:val="17"/>
        </w:numPr>
        <w:suppressAutoHyphens w:val="0"/>
        <w:autoSpaceDN/>
        <w:spacing w:after="0"/>
        <w:ind w:left="360"/>
        <w:contextualSpacing/>
        <w:jc w:val="both"/>
        <w:textAlignment w:val="auto"/>
        <w:rPr>
          <w:rFonts w:ascii="Arial" w:eastAsia="Times New Roman" w:hAnsi="Arial" w:cs="Arial"/>
          <w:lang w:val="en-GB" w:eastAsia="en-GB"/>
        </w:rPr>
      </w:pPr>
      <w:r w:rsidRPr="00AC0617">
        <w:rPr>
          <w:rFonts w:ascii="Arial" w:eastAsia="Times New Roman" w:hAnsi="Arial" w:cs="Arial"/>
          <w:lang w:val="en-GB" w:eastAsia="en-GB"/>
        </w:rPr>
        <w:t>Changes in the revenue and profitability multiples and transaction prices of comparable businesses, which are used in the underlying calculations.</w:t>
      </w:r>
    </w:p>
    <w:p w14:paraId="717A4809" w14:textId="77777777" w:rsidR="00891B3A" w:rsidRPr="00AC0617" w:rsidRDefault="00891B3A" w:rsidP="00891B3A">
      <w:pPr>
        <w:widowControl/>
        <w:spacing w:after="0"/>
        <w:jc w:val="both"/>
        <w:rPr>
          <w:rFonts w:ascii="Arial" w:eastAsia="Times New Roman" w:hAnsi="Arial" w:cs="Arial"/>
          <w:lang w:val="en-GB" w:eastAsia="en-GB"/>
        </w:rPr>
      </w:pPr>
    </w:p>
    <w:p w14:paraId="7B2A7A20" w14:textId="77777777" w:rsidR="00891B3A" w:rsidRPr="00AC0617"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t>Comments on individual companies are set out below.</w:t>
      </w:r>
      <w:r w:rsidRPr="00AC0617">
        <w:rPr>
          <w:rFonts w:ascii="Arial" w:eastAsia="Times New Roman" w:hAnsi="Arial" w:cs="Arial"/>
          <w:lang w:val="en-GB" w:eastAsia="en-GB"/>
        </w:rPr>
        <w:tab/>
      </w:r>
      <w:r w:rsidRPr="00AC0617">
        <w:rPr>
          <w:rFonts w:ascii="Arial" w:eastAsia="Times New Roman" w:hAnsi="Arial" w:cs="Arial"/>
          <w:lang w:val="en-GB" w:eastAsia="en-GB"/>
        </w:rPr>
        <w:tab/>
      </w:r>
    </w:p>
    <w:p w14:paraId="279C1D61" w14:textId="77777777" w:rsidR="00891B3A" w:rsidRPr="00AC0617" w:rsidRDefault="00891B3A" w:rsidP="00891B3A">
      <w:pPr>
        <w:widowControl/>
        <w:spacing w:after="0"/>
        <w:jc w:val="both"/>
        <w:rPr>
          <w:rFonts w:ascii="Arial" w:eastAsia="Times New Roman" w:hAnsi="Arial" w:cs="Arial"/>
          <w:i/>
          <w:lang w:val="en-GB" w:eastAsia="en-GB"/>
        </w:rPr>
      </w:pPr>
    </w:p>
    <w:p w14:paraId="2B1FE08A" w14:textId="77777777" w:rsidR="00891B3A" w:rsidRPr="00AC0617" w:rsidRDefault="00891B3A" w:rsidP="00891B3A">
      <w:pPr>
        <w:widowControl/>
        <w:spacing w:after="0"/>
        <w:jc w:val="both"/>
        <w:rPr>
          <w:rFonts w:ascii="Arial" w:eastAsia="Times New Roman" w:hAnsi="Arial" w:cs="Arial"/>
          <w:i/>
          <w:lang w:val="en-GB" w:eastAsia="en-GB"/>
        </w:rPr>
      </w:pPr>
      <w:proofErr w:type="spellStart"/>
      <w:r w:rsidRPr="00AC0617">
        <w:rPr>
          <w:rFonts w:ascii="Arial" w:eastAsia="Times New Roman" w:hAnsi="Arial" w:cs="Arial"/>
          <w:i/>
          <w:lang w:val="en-GB" w:eastAsia="en-GB"/>
        </w:rPr>
        <w:t>Medhost</w:t>
      </w:r>
      <w:proofErr w:type="spellEnd"/>
    </w:p>
    <w:p w14:paraId="00F5E0DC" w14:textId="49E494D2" w:rsidR="00891B3A" w:rsidRPr="00AC0617" w:rsidRDefault="00891B3A" w:rsidP="00891B3A">
      <w:pPr>
        <w:widowControl/>
        <w:shd w:val="clear" w:color="auto" w:fill="FFFFFF"/>
        <w:spacing w:after="0"/>
        <w:jc w:val="both"/>
        <w:rPr>
          <w:rFonts w:ascii="Arial" w:eastAsia="Times New Roman" w:hAnsi="Arial" w:cs="Arial"/>
          <w:lang w:val="en-GB" w:eastAsia="en-GB"/>
        </w:rPr>
      </w:pPr>
      <w:proofErr w:type="spellStart"/>
      <w:r w:rsidRPr="00AC0617">
        <w:rPr>
          <w:rFonts w:ascii="Arial" w:eastAsia="Times New Roman" w:hAnsi="Arial" w:cs="Arial"/>
          <w:lang w:val="en-GB" w:eastAsia="en-GB"/>
        </w:rPr>
        <w:t>Medhost</w:t>
      </w:r>
      <w:proofErr w:type="spellEnd"/>
      <w:r w:rsidRPr="00AC0617">
        <w:rPr>
          <w:rFonts w:ascii="Arial" w:eastAsia="Times New Roman" w:hAnsi="Arial" w:cs="Arial"/>
          <w:lang w:val="en-GB" w:eastAsia="en-GB"/>
        </w:rPr>
        <w:t xml:space="preserve"> is a co-investment with the funds of Primus Capital. </w:t>
      </w:r>
      <w:proofErr w:type="spellStart"/>
      <w:r w:rsidRPr="00AC0617">
        <w:rPr>
          <w:rFonts w:ascii="Arial" w:eastAsia="Times New Roman" w:hAnsi="Arial" w:cs="Arial"/>
          <w:lang w:val="en-GB" w:eastAsia="en-GB"/>
        </w:rPr>
        <w:t>Medhost’s</w:t>
      </w:r>
      <w:proofErr w:type="spellEnd"/>
      <w:r w:rsidRPr="00AC0617">
        <w:rPr>
          <w:rFonts w:ascii="Arial" w:eastAsia="Times New Roman" w:hAnsi="Arial" w:cs="Arial"/>
          <w:lang w:val="en-GB" w:eastAsia="en-GB"/>
        </w:rPr>
        <w:t xml:space="preserve"> financial performance in 2021 is expected to be profitable and cash generative but broadly flat</w:t>
      </w:r>
      <w:r w:rsidR="00C95CE3">
        <w:rPr>
          <w:rFonts w:ascii="Arial" w:eastAsia="Times New Roman" w:hAnsi="Arial" w:cs="Arial"/>
          <w:lang w:val="en-GB" w:eastAsia="en-GB"/>
        </w:rPr>
        <w:t xml:space="preserve"> compared</w:t>
      </w:r>
      <w:r w:rsidRPr="00AC0617">
        <w:rPr>
          <w:rFonts w:ascii="Arial" w:eastAsia="Times New Roman" w:hAnsi="Arial" w:cs="Arial"/>
          <w:lang w:val="en-GB" w:eastAsia="en-GB"/>
        </w:rPr>
        <w:t xml:space="preserve"> </w:t>
      </w:r>
      <w:r w:rsidR="00600399">
        <w:rPr>
          <w:rFonts w:ascii="Arial" w:eastAsia="Times New Roman" w:hAnsi="Arial" w:cs="Arial"/>
          <w:lang w:val="en-GB" w:eastAsia="en-GB"/>
        </w:rPr>
        <w:t>to</w:t>
      </w:r>
      <w:r w:rsidRPr="00AC0617">
        <w:rPr>
          <w:rFonts w:ascii="Arial" w:eastAsia="Times New Roman" w:hAnsi="Arial" w:cs="Arial"/>
          <w:lang w:val="en-GB" w:eastAsia="en-GB"/>
        </w:rPr>
        <w:t xml:space="preserve"> 2020. The valuation reflects movements in the valuation of quoted comparable companies adopted by the fund manager Primus Capital.</w:t>
      </w:r>
    </w:p>
    <w:p w14:paraId="0DCB702B" w14:textId="77777777" w:rsidR="00891B3A" w:rsidRPr="00AC0617" w:rsidRDefault="00891B3A" w:rsidP="00891B3A">
      <w:pPr>
        <w:widowControl/>
        <w:spacing w:after="0"/>
        <w:jc w:val="both"/>
        <w:rPr>
          <w:rFonts w:ascii="Arial" w:eastAsia="Times New Roman" w:hAnsi="Arial" w:cs="Arial"/>
          <w:i/>
          <w:lang w:val="en-GB" w:eastAsia="en-GB"/>
        </w:rPr>
      </w:pPr>
    </w:p>
    <w:p w14:paraId="509AD492" w14:textId="77777777" w:rsidR="00891B3A" w:rsidRPr="00AC0617" w:rsidRDefault="00891B3A" w:rsidP="00891B3A">
      <w:pPr>
        <w:widowControl/>
        <w:spacing w:after="0"/>
        <w:jc w:val="both"/>
        <w:rPr>
          <w:rFonts w:ascii="Arial" w:eastAsia="Times New Roman" w:hAnsi="Arial" w:cs="Arial"/>
          <w:i/>
          <w:lang w:val="en-GB" w:eastAsia="en-GB"/>
        </w:rPr>
      </w:pPr>
      <w:r w:rsidRPr="00AC0617">
        <w:rPr>
          <w:rFonts w:ascii="Arial" w:eastAsia="Times New Roman" w:hAnsi="Arial" w:cs="Arial"/>
          <w:i/>
          <w:lang w:val="en-GB" w:eastAsia="en-GB"/>
        </w:rPr>
        <w:t>ICU Eyewear</w:t>
      </w:r>
    </w:p>
    <w:p w14:paraId="2E3DE1E8" w14:textId="612E1215" w:rsidR="00D67632" w:rsidRPr="00AC0617" w:rsidRDefault="00D67632" w:rsidP="00D67632">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t>During 2020</w:t>
      </w:r>
      <w:r>
        <w:rPr>
          <w:rFonts w:ascii="Arial" w:eastAsia="Times New Roman" w:hAnsi="Arial" w:cs="Arial"/>
          <w:lang w:val="en-GB" w:eastAsia="en-GB"/>
        </w:rPr>
        <w:t>,</w:t>
      </w:r>
      <w:r w:rsidRPr="00AC0617">
        <w:rPr>
          <w:rFonts w:ascii="Arial" w:eastAsia="Times New Roman" w:hAnsi="Arial" w:cs="Arial"/>
          <w:lang w:val="en-GB" w:eastAsia="en-GB"/>
        </w:rPr>
        <w:t xml:space="preserve"> ICU was able to generate surplus cash flow from the U.S. distribution of </w:t>
      </w:r>
      <w:r>
        <w:rPr>
          <w:rFonts w:ascii="Arial" w:eastAsia="Times New Roman" w:hAnsi="Arial" w:cs="Arial"/>
          <w:lang w:val="en-GB" w:eastAsia="en-GB"/>
        </w:rPr>
        <w:t xml:space="preserve">PPE </w:t>
      </w:r>
      <w:r w:rsidRPr="00AC0617">
        <w:rPr>
          <w:rFonts w:ascii="Arial" w:eastAsia="Times New Roman" w:hAnsi="Arial" w:cs="Arial"/>
          <w:lang w:val="en-GB" w:eastAsia="en-GB"/>
        </w:rPr>
        <w:t>manufactured by one of its international suppliers. This was a “one</w:t>
      </w:r>
      <w:r>
        <w:rPr>
          <w:rFonts w:ascii="Arial" w:eastAsia="Times New Roman" w:hAnsi="Arial" w:cs="Arial"/>
          <w:lang w:val="en-GB" w:eastAsia="en-GB"/>
        </w:rPr>
        <w:t>-</w:t>
      </w:r>
      <w:r w:rsidRPr="00AC0617">
        <w:rPr>
          <w:rFonts w:ascii="Arial" w:eastAsia="Times New Roman" w:hAnsi="Arial" w:cs="Arial"/>
          <w:lang w:val="en-GB" w:eastAsia="en-GB"/>
        </w:rPr>
        <w:t>off” opportunity from which the company was able to benefit. The cash generated was used to repay shareholder debt to LMS of £0.8 million in Q3 2020 and a further cash distribution of £1.</w:t>
      </w:r>
      <w:r>
        <w:rPr>
          <w:rFonts w:ascii="Arial" w:eastAsia="Times New Roman" w:hAnsi="Arial" w:cs="Arial"/>
          <w:lang w:val="en-GB" w:eastAsia="en-GB"/>
        </w:rPr>
        <w:t>5</w:t>
      </w:r>
      <w:r w:rsidRPr="00AC0617">
        <w:rPr>
          <w:rFonts w:ascii="Arial" w:eastAsia="Times New Roman" w:hAnsi="Arial" w:cs="Arial"/>
          <w:lang w:val="en-GB" w:eastAsia="en-GB"/>
        </w:rPr>
        <w:t xml:space="preserve"> million</w:t>
      </w:r>
      <w:r w:rsidR="005B561F">
        <w:rPr>
          <w:rFonts w:ascii="Arial" w:eastAsia="Times New Roman" w:hAnsi="Arial" w:cs="Arial"/>
          <w:lang w:val="en-GB" w:eastAsia="en-GB"/>
        </w:rPr>
        <w:t xml:space="preserve"> </w:t>
      </w:r>
      <w:r w:rsidRPr="00AC0617">
        <w:rPr>
          <w:rFonts w:ascii="Arial" w:eastAsia="Times New Roman" w:hAnsi="Arial" w:cs="Arial"/>
          <w:lang w:val="en-GB" w:eastAsia="en-GB"/>
        </w:rPr>
        <w:t>in the first half of 2021. The PPE business for ICU was an opportunistic response to the situation in 2020 and the ICU Board has decided that this does not represent an ongoing line of business for the company, and further activity will cease. The reduction in carrying value arises principally from the distribution of £1.</w:t>
      </w:r>
      <w:r>
        <w:rPr>
          <w:rFonts w:ascii="Arial" w:eastAsia="Times New Roman" w:hAnsi="Arial" w:cs="Arial"/>
          <w:lang w:val="en-GB" w:eastAsia="en-GB"/>
        </w:rPr>
        <w:t xml:space="preserve">5 </w:t>
      </w:r>
      <w:r w:rsidRPr="00AC0617">
        <w:rPr>
          <w:rFonts w:ascii="Arial" w:eastAsia="Times New Roman" w:hAnsi="Arial" w:cs="Arial"/>
          <w:lang w:val="en-GB" w:eastAsia="en-GB"/>
        </w:rPr>
        <w:t>m</w:t>
      </w:r>
      <w:r>
        <w:rPr>
          <w:rFonts w:ascii="Arial" w:eastAsia="Times New Roman" w:hAnsi="Arial" w:cs="Arial"/>
          <w:lang w:val="en-GB" w:eastAsia="en-GB"/>
        </w:rPr>
        <w:t>illion</w:t>
      </w:r>
      <w:r w:rsidRPr="00AC0617">
        <w:rPr>
          <w:rFonts w:ascii="Arial" w:eastAsia="Times New Roman" w:hAnsi="Arial" w:cs="Arial"/>
          <w:lang w:val="en-GB" w:eastAsia="en-GB"/>
        </w:rPr>
        <w:t>, reflected in the December 2020 valuation and received in early 2021. The unrealised loss for the period reflects a valuation reduction following cessation of PPE activities, partly offset by an uplift in valuation of the eyewear business.</w:t>
      </w:r>
    </w:p>
    <w:p w14:paraId="65736D44" w14:textId="77777777" w:rsidR="00891B3A" w:rsidRPr="00AC0617" w:rsidRDefault="00891B3A" w:rsidP="00891B3A">
      <w:pPr>
        <w:widowControl/>
        <w:spacing w:after="0"/>
        <w:jc w:val="both"/>
        <w:rPr>
          <w:rFonts w:ascii="Arial" w:eastAsia="Times New Roman" w:hAnsi="Arial" w:cs="Arial"/>
          <w:lang w:val="en-GB" w:eastAsia="en-GB"/>
        </w:rPr>
      </w:pPr>
    </w:p>
    <w:p w14:paraId="1833BBAC" w14:textId="77777777" w:rsidR="00891B3A" w:rsidRPr="00AC0617" w:rsidRDefault="00891B3A" w:rsidP="00891B3A">
      <w:pPr>
        <w:widowControl/>
        <w:spacing w:after="0"/>
        <w:jc w:val="both"/>
        <w:rPr>
          <w:rFonts w:ascii="Arial" w:eastAsia="Times New Roman" w:hAnsi="Arial" w:cs="Arial"/>
          <w:i/>
          <w:iCs/>
          <w:lang w:val="en-GB" w:eastAsia="en-GB"/>
        </w:rPr>
      </w:pPr>
      <w:r w:rsidRPr="00AC0617">
        <w:rPr>
          <w:rFonts w:ascii="Arial" w:eastAsia="Times New Roman" w:hAnsi="Arial" w:cs="Arial"/>
          <w:i/>
          <w:iCs/>
          <w:lang w:val="en-GB" w:eastAsia="en-GB"/>
        </w:rPr>
        <w:t>Northbridge</w:t>
      </w:r>
    </w:p>
    <w:p w14:paraId="7960F77C" w14:textId="5322909B" w:rsidR="00016656"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t xml:space="preserve">During the first half of 2021, Northbridge offered its convertible debt holders the option to  redeem the outstanding principal at </w:t>
      </w:r>
      <w:r w:rsidRPr="000B1CBF">
        <w:rPr>
          <w:rFonts w:ascii="Arial" w:eastAsia="Times New Roman" w:hAnsi="Arial" w:cs="Arial"/>
          <w:lang w:val="en-GB" w:eastAsia="en-GB"/>
        </w:rPr>
        <w:t>a 2</w:t>
      </w:r>
      <w:r w:rsidR="000B1CBF" w:rsidRPr="000B1CBF">
        <w:rPr>
          <w:rFonts w:ascii="Arial" w:eastAsia="Times New Roman" w:hAnsi="Arial" w:cs="Arial"/>
          <w:lang w:val="en-GB" w:eastAsia="en-GB"/>
        </w:rPr>
        <w:t>5</w:t>
      </w:r>
      <w:r w:rsidRPr="000B1CBF">
        <w:rPr>
          <w:rFonts w:ascii="Arial" w:eastAsia="Times New Roman" w:hAnsi="Arial" w:cs="Arial"/>
          <w:lang w:val="en-GB" w:eastAsia="en-GB"/>
        </w:rPr>
        <w:t xml:space="preserve">% </w:t>
      </w:r>
      <w:r w:rsidR="00D86863">
        <w:rPr>
          <w:rFonts w:ascii="Arial" w:eastAsia="Times New Roman" w:hAnsi="Arial" w:cs="Arial"/>
          <w:lang w:val="en-GB" w:eastAsia="en-GB"/>
        </w:rPr>
        <w:t>premium</w:t>
      </w:r>
      <w:r w:rsidRPr="000B1CBF">
        <w:rPr>
          <w:rFonts w:ascii="Arial" w:eastAsia="Times New Roman" w:hAnsi="Arial" w:cs="Arial"/>
          <w:lang w:val="en-GB" w:eastAsia="en-GB"/>
        </w:rPr>
        <w:t>.</w:t>
      </w:r>
      <w:r w:rsidRPr="00AC0617">
        <w:rPr>
          <w:rFonts w:ascii="Arial" w:eastAsia="Times New Roman" w:hAnsi="Arial" w:cs="Arial"/>
          <w:lang w:val="en-GB" w:eastAsia="en-GB"/>
        </w:rPr>
        <w:t xml:space="preserve"> The Company elected to redeem its convertible debt</w:t>
      </w:r>
      <w:r w:rsidR="00CA7589">
        <w:rPr>
          <w:rFonts w:ascii="Arial" w:eastAsia="Times New Roman" w:hAnsi="Arial" w:cs="Arial"/>
          <w:lang w:val="en-GB" w:eastAsia="en-GB"/>
        </w:rPr>
        <w:t xml:space="preserve">, receiving </w:t>
      </w:r>
      <w:r w:rsidRPr="00AC0617">
        <w:rPr>
          <w:rFonts w:ascii="Arial" w:eastAsia="Times New Roman" w:hAnsi="Arial" w:cs="Arial"/>
          <w:lang w:val="en-GB" w:eastAsia="en-GB"/>
        </w:rPr>
        <w:t>proceeds of £0.</w:t>
      </w:r>
      <w:r w:rsidR="00D67632">
        <w:rPr>
          <w:rFonts w:ascii="Arial" w:eastAsia="Times New Roman" w:hAnsi="Arial" w:cs="Arial"/>
          <w:lang w:val="en-GB" w:eastAsia="en-GB"/>
        </w:rPr>
        <w:t>8</w:t>
      </w:r>
      <w:r w:rsidRPr="00AC0617">
        <w:rPr>
          <w:rFonts w:ascii="Arial" w:eastAsia="Times New Roman" w:hAnsi="Arial" w:cs="Arial"/>
          <w:lang w:val="en-GB" w:eastAsia="en-GB"/>
        </w:rPr>
        <w:t xml:space="preserve"> million</w:t>
      </w:r>
      <w:r w:rsidR="00D86863">
        <w:rPr>
          <w:rFonts w:ascii="Arial" w:eastAsia="Times New Roman" w:hAnsi="Arial" w:cs="Arial"/>
          <w:lang w:val="en-GB" w:eastAsia="en-GB"/>
        </w:rPr>
        <w:t xml:space="preserve"> and</w:t>
      </w:r>
      <w:r w:rsidR="00B03744">
        <w:rPr>
          <w:rFonts w:ascii="Arial" w:eastAsia="Times New Roman" w:hAnsi="Arial" w:cs="Arial"/>
          <w:lang w:val="en-GB" w:eastAsia="en-GB"/>
        </w:rPr>
        <w:t xml:space="preserve"> recognising a </w:t>
      </w:r>
      <w:r w:rsidR="002A2200">
        <w:rPr>
          <w:rFonts w:ascii="Arial" w:eastAsia="Times New Roman" w:hAnsi="Arial" w:cs="Arial"/>
          <w:lang w:val="en-GB" w:eastAsia="en-GB"/>
        </w:rPr>
        <w:t xml:space="preserve">nominal </w:t>
      </w:r>
      <w:r w:rsidR="00D86863">
        <w:rPr>
          <w:rFonts w:ascii="Arial" w:eastAsia="Times New Roman" w:hAnsi="Arial" w:cs="Arial"/>
          <w:lang w:val="en-GB" w:eastAsia="en-GB"/>
        </w:rPr>
        <w:t>realised los</w:t>
      </w:r>
      <w:r w:rsidR="002A2200">
        <w:rPr>
          <w:rFonts w:ascii="Arial" w:eastAsia="Times New Roman" w:hAnsi="Arial" w:cs="Arial"/>
          <w:lang w:val="en-GB" w:eastAsia="en-GB"/>
        </w:rPr>
        <w:t>s on the conversion.</w:t>
      </w:r>
    </w:p>
    <w:p w14:paraId="5450C481" w14:textId="664B4BC1" w:rsidR="00016656" w:rsidRDefault="00016656" w:rsidP="00891B3A">
      <w:pPr>
        <w:widowControl/>
        <w:spacing w:after="0"/>
        <w:jc w:val="both"/>
        <w:rPr>
          <w:rFonts w:ascii="Arial" w:eastAsia="Times New Roman" w:hAnsi="Arial" w:cs="Arial"/>
          <w:lang w:val="en-GB" w:eastAsia="en-GB"/>
        </w:rPr>
      </w:pPr>
    </w:p>
    <w:p w14:paraId="71A61BBA" w14:textId="0C82AF00" w:rsidR="00AD5414" w:rsidRDefault="00AD5414" w:rsidP="00891B3A">
      <w:pPr>
        <w:widowControl/>
        <w:spacing w:after="0"/>
        <w:jc w:val="both"/>
        <w:rPr>
          <w:rFonts w:ascii="Arial" w:eastAsia="Times New Roman" w:hAnsi="Arial" w:cs="Arial"/>
          <w:lang w:val="en-GB" w:eastAsia="en-GB"/>
        </w:rPr>
      </w:pPr>
    </w:p>
    <w:p w14:paraId="0C80535E" w14:textId="320AF1C0" w:rsidR="00AD5414" w:rsidRDefault="00AD5414" w:rsidP="00891B3A">
      <w:pPr>
        <w:widowControl/>
        <w:spacing w:after="0"/>
        <w:jc w:val="both"/>
        <w:rPr>
          <w:rFonts w:ascii="Arial" w:eastAsia="Times New Roman" w:hAnsi="Arial" w:cs="Arial"/>
          <w:lang w:val="en-GB" w:eastAsia="en-GB"/>
        </w:rPr>
      </w:pPr>
    </w:p>
    <w:p w14:paraId="68E919DB" w14:textId="5191CEDC" w:rsidR="00AD5414" w:rsidRDefault="00AD5414" w:rsidP="00891B3A">
      <w:pPr>
        <w:widowControl/>
        <w:spacing w:after="0"/>
        <w:jc w:val="both"/>
        <w:rPr>
          <w:rFonts w:ascii="Arial" w:eastAsia="Times New Roman" w:hAnsi="Arial" w:cs="Arial"/>
          <w:lang w:val="en-GB" w:eastAsia="en-GB"/>
        </w:rPr>
      </w:pPr>
    </w:p>
    <w:p w14:paraId="61B9A1C4" w14:textId="297FBFDC" w:rsidR="00AD5414" w:rsidRDefault="00AD5414" w:rsidP="00891B3A">
      <w:pPr>
        <w:widowControl/>
        <w:spacing w:after="0"/>
        <w:jc w:val="both"/>
        <w:rPr>
          <w:rFonts w:ascii="Arial" w:eastAsia="Times New Roman" w:hAnsi="Arial" w:cs="Arial"/>
          <w:lang w:val="en-GB" w:eastAsia="en-GB"/>
        </w:rPr>
      </w:pPr>
    </w:p>
    <w:p w14:paraId="24F024BA" w14:textId="2BBDCA30" w:rsidR="00AD5414" w:rsidRDefault="00AD5414" w:rsidP="00891B3A">
      <w:pPr>
        <w:widowControl/>
        <w:spacing w:after="0"/>
        <w:jc w:val="both"/>
        <w:rPr>
          <w:rFonts w:ascii="Arial" w:eastAsia="Times New Roman" w:hAnsi="Arial" w:cs="Arial"/>
          <w:lang w:val="en-GB" w:eastAsia="en-GB"/>
        </w:rPr>
      </w:pPr>
    </w:p>
    <w:p w14:paraId="2B026C61" w14:textId="17049005" w:rsidR="00AD5414" w:rsidRDefault="00AD5414" w:rsidP="00891B3A">
      <w:pPr>
        <w:widowControl/>
        <w:spacing w:after="0"/>
        <w:jc w:val="both"/>
        <w:rPr>
          <w:rFonts w:ascii="Arial" w:eastAsia="Times New Roman" w:hAnsi="Arial" w:cs="Arial"/>
          <w:lang w:val="en-GB" w:eastAsia="en-GB"/>
        </w:rPr>
      </w:pPr>
    </w:p>
    <w:p w14:paraId="2515CDEF" w14:textId="1D1DE9B1" w:rsidR="00AD5414" w:rsidRDefault="00AD5414" w:rsidP="00891B3A">
      <w:pPr>
        <w:widowControl/>
        <w:spacing w:after="0"/>
        <w:jc w:val="both"/>
        <w:rPr>
          <w:rFonts w:ascii="Arial" w:eastAsia="Times New Roman" w:hAnsi="Arial" w:cs="Arial"/>
          <w:lang w:val="en-GB" w:eastAsia="en-GB"/>
        </w:rPr>
      </w:pPr>
    </w:p>
    <w:p w14:paraId="1F9AF81B" w14:textId="77777777" w:rsidR="004E3F5F" w:rsidRDefault="004E3F5F" w:rsidP="00891B3A">
      <w:pPr>
        <w:widowControl/>
        <w:spacing w:after="0"/>
        <w:jc w:val="both"/>
        <w:rPr>
          <w:rFonts w:ascii="Arial" w:eastAsia="Times New Roman" w:hAnsi="Arial" w:cs="Arial"/>
          <w:lang w:val="en-GB" w:eastAsia="en-GB"/>
        </w:rPr>
      </w:pPr>
    </w:p>
    <w:p w14:paraId="5C1CFE3C" w14:textId="5F5220DB" w:rsidR="00AD5414" w:rsidRDefault="00AD5414" w:rsidP="00891B3A">
      <w:pPr>
        <w:widowControl/>
        <w:spacing w:after="0"/>
        <w:jc w:val="both"/>
        <w:rPr>
          <w:rFonts w:ascii="Arial" w:eastAsia="Times New Roman" w:hAnsi="Arial" w:cs="Arial"/>
          <w:lang w:val="en-GB" w:eastAsia="en-GB"/>
        </w:rPr>
      </w:pPr>
    </w:p>
    <w:p w14:paraId="6CC36253" w14:textId="1E9FF228" w:rsidR="00AD5414" w:rsidRDefault="00AD5414" w:rsidP="00891B3A">
      <w:pPr>
        <w:widowControl/>
        <w:spacing w:after="0"/>
        <w:jc w:val="both"/>
        <w:rPr>
          <w:rFonts w:ascii="Arial" w:eastAsia="Times New Roman" w:hAnsi="Arial" w:cs="Arial"/>
          <w:lang w:val="en-GB" w:eastAsia="en-GB"/>
        </w:rPr>
      </w:pPr>
    </w:p>
    <w:p w14:paraId="7919A080" w14:textId="672F42A3" w:rsidR="00AD5414" w:rsidRDefault="00AD5414" w:rsidP="00891B3A">
      <w:pPr>
        <w:widowControl/>
        <w:spacing w:after="0"/>
        <w:jc w:val="both"/>
        <w:rPr>
          <w:rFonts w:ascii="Arial" w:eastAsia="Times New Roman" w:hAnsi="Arial" w:cs="Arial"/>
          <w:lang w:val="en-GB" w:eastAsia="en-GB"/>
        </w:rPr>
      </w:pPr>
    </w:p>
    <w:p w14:paraId="1B1C5609" w14:textId="291D638C" w:rsidR="00AD5414" w:rsidRDefault="00AD5414" w:rsidP="00891B3A">
      <w:pPr>
        <w:widowControl/>
        <w:spacing w:after="0"/>
        <w:jc w:val="both"/>
        <w:rPr>
          <w:rFonts w:ascii="Arial" w:eastAsia="Times New Roman" w:hAnsi="Arial" w:cs="Arial"/>
          <w:lang w:val="en-GB" w:eastAsia="en-GB"/>
        </w:rPr>
      </w:pPr>
    </w:p>
    <w:p w14:paraId="6780C840" w14:textId="528F29A6" w:rsidR="00AD5414" w:rsidRDefault="00AD5414" w:rsidP="00891B3A">
      <w:pPr>
        <w:widowControl/>
        <w:spacing w:after="0"/>
        <w:jc w:val="both"/>
        <w:rPr>
          <w:rFonts w:ascii="Arial" w:eastAsia="Times New Roman" w:hAnsi="Arial" w:cs="Arial"/>
          <w:lang w:val="en-GB" w:eastAsia="en-GB"/>
        </w:rPr>
      </w:pPr>
    </w:p>
    <w:p w14:paraId="593D9C72" w14:textId="2BA7A4C5" w:rsidR="00AD5414" w:rsidRDefault="00AD5414" w:rsidP="00891B3A">
      <w:pPr>
        <w:widowControl/>
        <w:spacing w:after="0"/>
        <w:jc w:val="both"/>
        <w:rPr>
          <w:rFonts w:ascii="Arial" w:eastAsia="Times New Roman" w:hAnsi="Arial" w:cs="Arial"/>
          <w:lang w:val="en-GB" w:eastAsia="en-GB"/>
        </w:rPr>
      </w:pPr>
    </w:p>
    <w:p w14:paraId="5968EDDC" w14:textId="2979F806" w:rsidR="00AD5414" w:rsidRDefault="00AD5414" w:rsidP="00891B3A">
      <w:pPr>
        <w:widowControl/>
        <w:spacing w:after="0"/>
        <w:jc w:val="both"/>
        <w:rPr>
          <w:rFonts w:ascii="Arial" w:eastAsia="Times New Roman" w:hAnsi="Arial" w:cs="Arial"/>
          <w:lang w:val="en-GB" w:eastAsia="en-GB"/>
        </w:rPr>
      </w:pPr>
    </w:p>
    <w:p w14:paraId="472CD59F" w14:textId="1E0C0DA1" w:rsidR="00AD5414" w:rsidRDefault="00AD5414" w:rsidP="00891B3A">
      <w:pPr>
        <w:widowControl/>
        <w:spacing w:after="0"/>
        <w:jc w:val="both"/>
        <w:rPr>
          <w:rFonts w:ascii="Arial" w:eastAsia="Times New Roman" w:hAnsi="Arial" w:cs="Arial"/>
          <w:lang w:val="en-GB" w:eastAsia="en-GB"/>
        </w:rPr>
      </w:pPr>
    </w:p>
    <w:tbl>
      <w:tblPr>
        <w:tblW w:w="5000" w:type="pct"/>
        <w:tblCellMar>
          <w:left w:w="0" w:type="dxa"/>
          <w:right w:w="0" w:type="dxa"/>
        </w:tblCellMar>
        <w:tblLook w:val="0000" w:firstRow="0" w:lastRow="0" w:firstColumn="0" w:lastColumn="0" w:noHBand="0" w:noVBand="0"/>
      </w:tblPr>
      <w:tblGrid>
        <w:gridCol w:w="2973"/>
        <w:gridCol w:w="3120"/>
        <w:gridCol w:w="283"/>
        <w:gridCol w:w="1174"/>
        <w:gridCol w:w="1520"/>
      </w:tblGrid>
      <w:tr w:rsidR="00891B3A" w:rsidRPr="00755BD6" w14:paraId="37DBFE0C" w14:textId="77777777" w:rsidTr="00891B3A">
        <w:trPr>
          <w:trHeight w:val="60"/>
        </w:trPr>
        <w:tc>
          <w:tcPr>
            <w:tcW w:w="1639" w:type="pct"/>
            <w:shd w:val="clear" w:color="auto" w:fill="auto"/>
            <w:tcMar>
              <w:top w:w="85" w:type="dxa"/>
              <w:left w:w="0" w:type="dxa"/>
              <w:bottom w:w="85" w:type="dxa"/>
              <w:right w:w="0" w:type="dxa"/>
            </w:tcMar>
            <w:vAlign w:val="bottom"/>
          </w:tcPr>
          <w:p w14:paraId="1C81E69C" w14:textId="77777777" w:rsidR="00891B3A" w:rsidRPr="00AC0617" w:rsidRDefault="00891B3A" w:rsidP="00891B3A">
            <w:pPr>
              <w:autoSpaceDE w:val="0"/>
              <w:adjustRightInd w:val="0"/>
              <w:spacing w:after="0"/>
              <w:jc w:val="both"/>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i/>
                <w:lang w:val="en-GB" w:eastAsia="en-GB"/>
              </w:rPr>
              <w:lastRenderedPageBreak/>
              <w:t>Fund interests</w:t>
            </w:r>
          </w:p>
        </w:tc>
        <w:tc>
          <w:tcPr>
            <w:tcW w:w="1720" w:type="pct"/>
            <w:shd w:val="clear" w:color="auto" w:fill="auto"/>
            <w:tcMar>
              <w:top w:w="85" w:type="dxa"/>
              <w:left w:w="0" w:type="dxa"/>
              <w:bottom w:w="85" w:type="dxa"/>
              <w:right w:w="0" w:type="dxa"/>
            </w:tcMar>
            <w:vAlign w:val="bottom"/>
          </w:tcPr>
          <w:p w14:paraId="3E78A4FF"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p>
        </w:tc>
        <w:tc>
          <w:tcPr>
            <w:tcW w:w="156" w:type="pct"/>
          </w:tcPr>
          <w:p w14:paraId="355E9890"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c>
          <w:tcPr>
            <w:tcW w:w="1485" w:type="pct"/>
            <w:gridSpan w:val="2"/>
            <w:shd w:val="clear" w:color="auto" w:fill="auto"/>
            <w:tcMar>
              <w:top w:w="85" w:type="dxa"/>
              <w:left w:w="0" w:type="dxa"/>
              <w:bottom w:w="85" w:type="dxa"/>
              <w:right w:w="0" w:type="dxa"/>
            </w:tcMar>
            <w:vAlign w:val="bottom"/>
          </w:tcPr>
          <w:p w14:paraId="090FA28F"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r>
      <w:tr w:rsidR="00891B3A" w:rsidRPr="00755BD6" w14:paraId="1DD9830D" w14:textId="77777777" w:rsidTr="00891B3A">
        <w:trPr>
          <w:trHeight w:val="60"/>
        </w:trPr>
        <w:tc>
          <w:tcPr>
            <w:tcW w:w="1639" w:type="pct"/>
            <w:tcBorders>
              <w:bottom w:val="single" w:sz="8" w:space="0" w:color="000000"/>
            </w:tcBorders>
            <w:shd w:val="clear" w:color="auto" w:fill="auto"/>
            <w:tcMar>
              <w:top w:w="85" w:type="dxa"/>
              <w:left w:w="0" w:type="dxa"/>
              <w:bottom w:w="85" w:type="dxa"/>
              <w:right w:w="0" w:type="dxa"/>
            </w:tcMar>
            <w:vAlign w:val="bottom"/>
          </w:tcPr>
          <w:p w14:paraId="0DADF1BF"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p>
        </w:tc>
        <w:tc>
          <w:tcPr>
            <w:tcW w:w="1720" w:type="pct"/>
            <w:tcBorders>
              <w:bottom w:val="single" w:sz="8" w:space="0" w:color="000000"/>
            </w:tcBorders>
            <w:shd w:val="clear" w:color="auto" w:fill="auto"/>
            <w:tcMar>
              <w:top w:w="85" w:type="dxa"/>
              <w:left w:w="0" w:type="dxa"/>
              <w:bottom w:w="85" w:type="dxa"/>
              <w:right w:w="0" w:type="dxa"/>
            </w:tcMar>
            <w:vAlign w:val="bottom"/>
          </w:tcPr>
          <w:p w14:paraId="651FE8A1"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p>
        </w:tc>
        <w:tc>
          <w:tcPr>
            <w:tcW w:w="156" w:type="pct"/>
            <w:tcBorders>
              <w:bottom w:val="single" w:sz="4" w:space="0" w:color="auto"/>
            </w:tcBorders>
          </w:tcPr>
          <w:p w14:paraId="142C43D4" w14:textId="77777777" w:rsidR="00891B3A" w:rsidRPr="00AC0617" w:rsidRDefault="00891B3A" w:rsidP="00891B3A">
            <w:pPr>
              <w:autoSpaceDE w:val="0"/>
              <w:adjustRightInd w:val="0"/>
              <w:spacing w:after="0"/>
              <w:ind w:left="113" w:right="57"/>
              <w:jc w:val="both"/>
              <w:textAlignment w:val="center"/>
              <w:rPr>
                <w:rFonts w:ascii="Arial" w:eastAsia="Times New Roman" w:hAnsi="Arial" w:cs="Arial"/>
                <w:b/>
                <w:bCs/>
                <w:color w:val="000000"/>
                <w:sz w:val="20"/>
                <w:szCs w:val="20"/>
                <w:lang w:val="en-GB" w:eastAsia="en-GB"/>
              </w:rPr>
            </w:pPr>
          </w:p>
        </w:tc>
        <w:tc>
          <w:tcPr>
            <w:tcW w:w="647" w:type="pct"/>
            <w:tcBorders>
              <w:bottom w:val="single" w:sz="4" w:space="0" w:color="auto"/>
            </w:tcBorders>
            <w:shd w:val="clear" w:color="auto" w:fill="auto"/>
            <w:tcMar>
              <w:top w:w="85" w:type="dxa"/>
              <w:left w:w="0" w:type="dxa"/>
              <w:bottom w:w="85" w:type="dxa"/>
              <w:right w:w="0" w:type="dxa"/>
            </w:tcMar>
            <w:vAlign w:val="bottom"/>
          </w:tcPr>
          <w:p w14:paraId="0132DF9B" w14:textId="77777777" w:rsidR="00891B3A" w:rsidRPr="00AC0617" w:rsidRDefault="00891B3A" w:rsidP="00891B3A">
            <w:pPr>
              <w:autoSpaceDE w:val="0"/>
              <w:adjustRightInd w:val="0"/>
              <w:spacing w:after="0"/>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 xml:space="preserve">30 June </w:t>
            </w:r>
          </w:p>
          <w:p w14:paraId="17B8EAA5" w14:textId="77777777" w:rsidR="00891B3A" w:rsidRPr="00AC0617" w:rsidRDefault="00891B3A" w:rsidP="00891B3A">
            <w:pPr>
              <w:autoSpaceDE w:val="0"/>
              <w:adjustRightInd w:val="0"/>
              <w:spacing w:after="0"/>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2021</w:t>
            </w:r>
          </w:p>
        </w:tc>
        <w:tc>
          <w:tcPr>
            <w:tcW w:w="838" w:type="pct"/>
            <w:tcBorders>
              <w:bottom w:val="single" w:sz="4" w:space="0" w:color="auto"/>
            </w:tcBorders>
            <w:shd w:val="clear" w:color="auto" w:fill="auto"/>
            <w:vAlign w:val="bottom"/>
          </w:tcPr>
          <w:p w14:paraId="2C0E6B4C" w14:textId="77777777" w:rsidR="00891B3A" w:rsidRPr="00AC0617" w:rsidRDefault="00891B3A" w:rsidP="00891B3A">
            <w:pPr>
              <w:autoSpaceDE w:val="0"/>
              <w:adjustRightInd w:val="0"/>
              <w:spacing w:after="0"/>
              <w:ind w:left="113"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31 December</w:t>
            </w:r>
          </w:p>
          <w:p w14:paraId="40372028" w14:textId="77777777" w:rsidR="00891B3A" w:rsidRPr="00AC0617" w:rsidRDefault="00891B3A" w:rsidP="00891B3A">
            <w:pPr>
              <w:autoSpaceDE w:val="0"/>
              <w:adjustRightInd w:val="0"/>
              <w:spacing w:after="0"/>
              <w:ind w:left="113" w:right="57"/>
              <w:jc w:val="right"/>
              <w:textAlignment w:val="center"/>
              <w:rPr>
                <w:rFonts w:ascii="Arial" w:hAnsi="Arial" w:cs="Arial"/>
                <w:b/>
                <w:color w:val="000000"/>
                <w:sz w:val="20"/>
                <w:szCs w:val="20"/>
                <w:lang w:val="en-GB"/>
              </w:rPr>
            </w:pPr>
            <w:r w:rsidRPr="00AC0617">
              <w:rPr>
                <w:rFonts w:ascii="Arial" w:eastAsia="Times New Roman" w:hAnsi="Arial" w:cs="Arial"/>
                <w:b/>
                <w:bCs/>
                <w:color w:val="000000"/>
                <w:sz w:val="20"/>
                <w:szCs w:val="20"/>
                <w:lang w:val="en-GB" w:eastAsia="en-GB"/>
              </w:rPr>
              <w:t>2020</w:t>
            </w:r>
          </w:p>
        </w:tc>
      </w:tr>
      <w:tr w:rsidR="00891B3A" w:rsidRPr="00755BD6" w14:paraId="6411CE14" w14:textId="77777777" w:rsidTr="00891B3A">
        <w:trPr>
          <w:trHeight w:val="60"/>
        </w:trPr>
        <w:tc>
          <w:tcPr>
            <w:tcW w:w="1639" w:type="pct"/>
            <w:tcBorders>
              <w:top w:val="single" w:sz="8" w:space="0" w:color="000000"/>
              <w:bottom w:val="single" w:sz="4" w:space="0" w:color="auto"/>
            </w:tcBorders>
            <w:shd w:val="clear" w:color="auto" w:fill="auto"/>
            <w:vAlign w:val="bottom"/>
          </w:tcPr>
          <w:p w14:paraId="3C8543B8"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General partner</w:t>
            </w:r>
          </w:p>
        </w:tc>
        <w:tc>
          <w:tcPr>
            <w:tcW w:w="1720" w:type="pct"/>
            <w:tcBorders>
              <w:top w:val="single" w:sz="8" w:space="0" w:color="000000"/>
              <w:bottom w:val="single" w:sz="4" w:space="0" w:color="auto"/>
            </w:tcBorders>
            <w:shd w:val="clear" w:color="auto" w:fill="auto"/>
            <w:vAlign w:val="bottom"/>
          </w:tcPr>
          <w:p w14:paraId="5F83B3F2" w14:textId="77777777" w:rsidR="00891B3A" w:rsidRPr="00AC0617" w:rsidRDefault="00891B3A" w:rsidP="00891B3A">
            <w:pPr>
              <w:autoSpaceDE w:val="0"/>
              <w:adjustRightInd w:val="0"/>
              <w:spacing w:after="0"/>
              <w:ind w:left="71"/>
              <w:jc w:val="both"/>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Sector</w:t>
            </w:r>
          </w:p>
        </w:tc>
        <w:tc>
          <w:tcPr>
            <w:tcW w:w="156" w:type="pct"/>
            <w:tcBorders>
              <w:top w:val="single" w:sz="4" w:space="0" w:color="auto"/>
              <w:bottom w:val="single" w:sz="4" w:space="0" w:color="auto"/>
            </w:tcBorders>
          </w:tcPr>
          <w:p w14:paraId="5A9B3D67" w14:textId="77777777" w:rsidR="00891B3A" w:rsidRPr="00AC0617" w:rsidRDefault="00891B3A" w:rsidP="00891B3A">
            <w:pPr>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tcBorders>
              <w:top w:val="single" w:sz="4" w:space="0" w:color="auto"/>
              <w:bottom w:val="single" w:sz="4" w:space="0" w:color="auto"/>
            </w:tcBorders>
            <w:shd w:val="clear" w:color="auto" w:fill="auto"/>
            <w:tcMar>
              <w:top w:w="85" w:type="dxa"/>
              <w:left w:w="0" w:type="dxa"/>
              <w:bottom w:w="85" w:type="dxa"/>
              <w:right w:w="0" w:type="dxa"/>
            </w:tcMar>
            <w:vAlign w:val="bottom"/>
          </w:tcPr>
          <w:p w14:paraId="108F873D" w14:textId="77777777" w:rsidR="00891B3A" w:rsidRPr="00AC0617" w:rsidRDefault="00891B3A" w:rsidP="00891B3A">
            <w:pPr>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£’000</w:t>
            </w:r>
          </w:p>
        </w:tc>
        <w:tc>
          <w:tcPr>
            <w:tcW w:w="838" w:type="pct"/>
            <w:tcBorders>
              <w:top w:val="single" w:sz="4" w:space="0" w:color="auto"/>
              <w:left w:val="nil"/>
              <w:bottom w:val="single" w:sz="4" w:space="0" w:color="auto"/>
            </w:tcBorders>
            <w:tcMar>
              <w:top w:w="85" w:type="dxa"/>
              <w:left w:w="0" w:type="dxa"/>
              <w:bottom w:w="85" w:type="dxa"/>
              <w:right w:w="0" w:type="dxa"/>
            </w:tcMar>
            <w:vAlign w:val="bottom"/>
          </w:tcPr>
          <w:p w14:paraId="6D43FB6F" w14:textId="77777777" w:rsidR="00891B3A" w:rsidRPr="00AC0617" w:rsidRDefault="00891B3A" w:rsidP="00891B3A">
            <w:pPr>
              <w:autoSpaceDE w:val="0"/>
              <w:adjustRightInd w:val="0"/>
              <w:spacing w:after="0"/>
              <w:ind w:right="57"/>
              <w:jc w:val="right"/>
              <w:textAlignment w:val="center"/>
              <w:rPr>
                <w:rFonts w:ascii="Arial" w:hAnsi="Arial" w:cs="Arial"/>
                <w:b/>
                <w:color w:val="000000"/>
                <w:sz w:val="20"/>
                <w:szCs w:val="20"/>
                <w:lang w:val="en-GB"/>
              </w:rPr>
            </w:pPr>
            <w:r w:rsidRPr="00AC0617">
              <w:rPr>
                <w:rFonts w:ascii="Arial" w:hAnsi="Arial" w:cs="Arial"/>
                <w:b/>
                <w:color w:val="000000"/>
                <w:sz w:val="20"/>
                <w:szCs w:val="20"/>
                <w:lang w:val="en-GB"/>
              </w:rPr>
              <w:t>£’000</w:t>
            </w:r>
          </w:p>
        </w:tc>
      </w:tr>
      <w:tr w:rsidR="00891B3A" w:rsidRPr="00755BD6" w14:paraId="059CEA4F" w14:textId="77777777" w:rsidTr="00891B3A">
        <w:trPr>
          <w:trHeight w:val="60"/>
        </w:trPr>
        <w:tc>
          <w:tcPr>
            <w:tcW w:w="1639" w:type="pct"/>
            <w:shd w:val="clear" w:color="auto" w:fill="auto"/>
            <w:tcMar>
              <w:top w:w="85" w:type="dxa"/>
              <w:left w:w="0" w:type="dxa"/>
              <w:bottom w:w="85" w:type="dxa"/>
              <w:right w:w="0" w:type="dxa"/>
            </w:tcMar>
          </w:tcPr>
          <w:p w14:paraId="1A1BBFBE"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Brockton Capital Fund 1</w:t>
            </w:r>
          </w:p>
        </w:tc>
        <w:tc>
          <w:tcPr>
            <w:tcW w:w="1720" w:type="pct"/>
            <w:shd w:val="clear" w:color="auto" w:fill="auto"/>
            <w:tcMar>
              <w:top w:w="85" w:type="dxa"/>
              <w:left w:w="0" w:type="dxa"/>
              <w:bottom w:w="85" w:type="dxa"/>
              <w:right w:w="0" w:type="dxa"/>
            </w:tcMar>
          </w:tcPr>
          <w:p w14:paraId="359793C5" w14:textId="70127920"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 xml:space="preserve">UK </w:t>
            </w:r>
            <w:r w:rsidR="00F32F9B">
              <w:rPr>
                <w:rFonts w:ascii="Arial" w:eastAsia="Times New Roman" w:hAnsi="Arial" w:cs="Arial"/>
                <w:color w:val="000000"/>
                <w:sz w:val="20"/>
                <w:szCs w:val="20"/>
                <w:lang w:val="en-GB" w:eastAsia="en-GB"/>
              </w:rPr>
              <w:t>real estate</w:t>
            </w:r>
          </w:p>
        </w:tc>
        <w:tc>
          <w:tcPr>
            <w:tcW w:w="156" w:type="pct"/>
          </w:tcPr>
          <w:p w14:paraId="130CCBCE"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tcPr>
          <w:p w14:paraId="6CF34C24"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4,900</w:t>
            </w:r>
          </w:p>
        </w:tc>
        <w:tc>
          <w:tcPr>
            <w:tcW w:w="838" w:type="pct"/>
            <w:tcBorders>
              <w:left w:val="nil"/>
            </w:tcBorders>
            <w:tcMar>
              <w:top w:w="85" w:type="dxa"/>
              <w:left w:w="0" w:type="dxa"/>
              <w:bottom w:w="85" w:type="dxa"/>
              <w:right w:w="0" w:type="dxa"/>
            </w:tcMar>
          </w:tcPr>
          <w:p w14:paraId="4CBCE4A8" w14:textId="77777777" w:rsidR="00891B3A" w:rsidRPr="00AC0617" w:rsidRDefault="00891B3A" w:rsidP="00891B3A">
            <w:pPr>
              <w:tabs>
                <w:tab w:val="left" w:pos="794"/>
              </w:tabs>
              <w:autoSpaceDE w:val="0"/>
              <w:adjustRightInd w:val="0"/>
              <w:spacing w:after="0"/>
              <w:ind w:right="57"/>
              <w:jc w:val="right"/>
              <w:textAlignment w:val="center"/>
              <w:rPr>
                <w:rFonts w:ascii="Arial" w:hAnsi="Arial" w:cs="Arial"/>
                <w:bCs/>
                <w:color w:val="000000"/>
                <w:sz w:val="20"/>
                <w:szCs w:val="20"/>
                <w:lang w:val="en-GB"/>
              </w:rPr>
            </w:pPr>
            <w:r w:rsidRPr="00AC0617">
              <w:rPr>
                <w:rFonts w:ascii="Arial" w:eastAsia="Times New Roman" w:hAnsi="Arial" w:cs="Arial"/>
                <w:bCs/>
                <w:color w:val="000000"/>
                <w:sz w:val="20"/>
                <w:szCs w:val="20"/>
                <w:lang w:val="en-GB" w:eastAsia="en-GB"/>
              </w:rPr>
              <w:t>4.107</w:t>
            </w:r>
          </w:p>
        </w:tc>
      </w:tr>
      <w:tr w:rsidR="00891B3A" w:rsidRPr="00755BD6" w14:paraId="101CD1CF" w14:textId="77777777" w:rsidTr="00891B3A">
        <w:trPr>
          <w:trHeight w:val="60"/>
        </w:trPr>
        <w:tc>
          <w:tcPr>
            <w:tcW w:w="1639" w:type="pct"/>
            <w:shd w:val="clear" w:color="auto" w:fill="auto"/>
            <w:tcMar>
              <w:top w:w="85" w:type="dxa"/>
              <w:left w:w="0" w:type="dxa"/>
              <w:bottom w:w="85" w:type="dxa"/>
              <w:right w:w="0" w:type="dxa"/>
            </w:tcMar>
          </w:tcPr>
          <w:p w14:paraId="6FD5940A"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Opus Capital Venture Partners</w:t>
            </w:r>
          </w:p>
        </w:tc>
        <w:tc>
          <w:tcPr>
            <w:tcW w:w="1720" w:type="pct"/>
            <w:shd w:val="clear" w:color="auto" w:fill="auto"/>
            <w:tcMar>
              <w:top w:w="85" w:type="dxa"/>
              <w:left w:w="0" w:type="dxa"/>
              <w:bottom w:w="85" w:type="dxa"/>
              <w:right w:w="0" w:type="dxa"/>
            </w:tcMar>
          </w:tcPr>
          <w:p w14:paraId="6F9D3E70"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US venture capital</w:t>
            </w:r>
          </w:p>
        </w:tc>
        <w:tc>
          <w:tcPr>
            <w:tcW w:w="156" w:type="pct"/>
          </w:tcPr>
          <w:p w14:paraId="7E7143CC"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tcPr>
          <w:p w14:paraId="5A42E5B7"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3,886</w:t>
            </w:r>
          </w:p>
        </w:tc>
        <w:tc>
          <w:tcPr>
            <w:tcW w:w="838" w:type="pct"/>
            <w:tcBorders>
              <w:left w:val="nil"/>
            </w:tcBorders>
            <w:tcMar>
              <w:top w:w="85" w:type="dxa"/>
              <w:left w:w="0" w:type="dxa"/>
              <w:bottom w:w="85" w:type="dxa"/>
              <w:right w:w="0" w:type="dxa"/>
            </w:tcMar>
          </w:tcPr>
          <w:p w14:paraId="53737A04" w14:textId="77777777" w:rsidR="00891B3A" w:rsidRPr="00AC0617" w:rsidRDefault="00891B3A" w:rsidP="00891B3A">
            <w:pPr>
              <w:tabs>
                <w:tab w:val="left" w:pos="794"/>
              </w:tabs>
              <w:autoSpaceDE w:val="0"/>
              <w:adjustRightInd w:val="0"/>
              <w:spacing w:after="0"/>
              <w:ind w:right="57"/>
              <w:jc w:val="right"/>
              <w:textAlignment w:val="center"/>
              <w:rPr>
                <w:rFonts w:ascii="Arial" w:hAnsi="Arial" w:cs="Arial"/>
                <w:bCs/>
                <w:color w:val="000000"/>
                <w:sz w:val="20"/>
                <w:szCs w:val="20"/>
                <w:lang w:val="en-GB"/>
              </w:rPr>
            </w:pPr>
            <w:r w:rsidRPr="00AC0617">
              <w:rPr>
                <w:rFonts w:ascii="Arial" w:eastAsia="Times New Roman" w:hAnsi="Arial" w:cs="Arial"/>
                <w:bCs/>
                <w:color w:val="000000"/>
                <w:sz w:val="20"/>
                <w:szCs w:val="20"/>
                <w:lang w:val="en-GB" w:eastAsia="en-GB"/>
              </w:rPr>
              <w:t>3,505</w:t>
            </w:r>
          </w:p>
        </w:tc>
      </w:tr>
      <w:tr w:rsidR="00891B3A" w:rsidRPr="00755BD6" w14:paraId="2D6F965E" w14:textId="77777777" w:rsidTr="00891B3A">
        <w:trPr>
          <w:trHeight w:val="60"/>
        </w:trPr>
        <w:tc>
          <w:tcPr>
            <w:tcW w:w="1639" w:type="pct"/>
            <w:shd w:val="clear" w:color="auto" w:fill="auto"/>
            <w:tcMar>
              <w:top w:w="85" w:type="dxa"/>
              <w:left w:w="0" w:type="dxa"/>
              <w:bottom w:w="85" w:type="dxa"/>
              <w:right w:w="0" w:type="dxa"/>
            </w:tcMar>
            <w:vAlign w:val="bottom"/>
          </w:tcPr>
          <w:p w14:paraId="3CA9AA52"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Weber Capital Partners</w:t>
            </w:r>
          </w:p>
        </w:tc>
        <w:tc>
          <w:tcPr>
            <w:tcW w:w="1720" w:type="pct"/>
            <w:shd w:val="clear" w:color="auto" w:fill="auto"/>
            <w:tcMar>
              <w:top w:w="85" w:type="dxa"/>
              <w:left w:w="0" w:type="dxa"/>
              <w:bottom w:w="85" w:type="dxa"/>
              <w:right w:w="0" w:type="dxa"/>
            </w:tcMar>
            <w:vAlign w:val="bottom"/>
          </w:tcPr>
          <w:p w14:paraId="53F7E780"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US micro-cap quoted stocks</w:t>
            </w:r>
          </w:p>
        </w:tc>
        <w:tc>
          <w:tcPr>
            <w:tcW w:w="156" w:type="pct"/>
          </w:tcPr>
          <w:p w14:paraId="6878FFED"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vAlign w:val="bottom"/>
          </w:tcPr>
          <w:p w14:paraId="04FF0C8E"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2,343</w:t>
            </w:r>
          </w:p>
        </w:tc>
        <w:tc>
          <w:tcPr>
            <w:tcW w:w="838" w:type="pct"/>
            <w:tcBorders>
              <w:left w:val="nil"/>
            </w:tcBorders>
            <w:tcMar>
              <w:top w:w="85" w:type="dxa"/>
              <w:left w:w="0" w:type="dxa"/>
              <w:bottom w:w="85" w:type="dxa"/>
              <w:right w:w="0" w:type="dxa"/>
            </w:tcMar>
            <w:vAlign w:val="bottom"/>
          </w:tcPr>
          <w:p w14:paraId="479154D0"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Cs/>
                <w:color w:val="000000"/>
                <w:sz w:val="20"/>
                <w:szCs w:val="20"/>
                <w:lang w:val="en-GB" w:eastAsia="en-GB"/>
              </w:rPr>
            </w:pPr>
            <w:r w:rsidRPr="00AC0617">
              <w:rPr>
                <w:rFonts w:ascii="Arial" w:eastAsia="Times New Roman" w:hAnsi="Arial" w:cs="Arial"/>
                <w:bCs/>
                <w:color w:val="000000"/>
                <w:sz w:val="20"/>
                <w:szCs w:val="20"/>
                <w:lang w:val="en-GB" w:eastAsia="en-GB"/>
              </w:rPr>
              <w:t>1,813</w:t>
            </w:r>
          </w:p>
        </w:tc>
      </w:tr>
      <w:tr w:rsidR="00891B3A" w:rsidRPr="00755BD6" w14:paraId="5EE3FE06" w14:textId="77777777" w:rsidTr="00891B3A">
        <w:trPr>
          <w:trHeight w:val="60"/>
        </w:trPr>
        <w:tc>
          <w:tcPr>
            <w:tcW w:w="1639" w:type="pct"/>
            <w:shd w:val="clear" w:color="auto" w:fill="auto"/>
            <w:tcMar>
              <w:top w:w="85" w:type="dxa"/>
              <w:left w:w="0" w:type="dxa"/>
              <w:bottom w:w="85" w:type="dxa"/>
              <w:right w:w="0" w:type="dxa"/>
            </w:tcMar>
            <w:vAlign w:val="bottom"/>
          </w:tcPr>
          <w:p w14:paraId="2CE84FB8"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EMAC ILF</w:t>
            </w:r>
          </w:p>
        </w:tc>
        <w:tc>
          <w:tcPr>
            <w:tcW w:w="1720" w:type="pct"/>
            <w:shd w:val="clear" w:color="auto" w:fill="auto"/>
            <w:tcMar>
              <w:top w:w="85" w:type="dxa"/>
              <w:left w:w="0" w:type="dxa"/>
              <w:bottom w:w="85" w:type="dxa"/>
              <w:right w:w="0" w:type="dxa"/>
            </w:tcMar>
            <w:vAlign w:val="bottom"/>
          </w:tcPr>
          <w:p w14:paraId="674708D4" w14:textId="0FBDB345"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 xml:space="preserve">UK </w:t>
            </w:r>
            <w:r w:rsidR="00F32F9B">
              <w:rPr>
                <w:rFonts w:ascii="Arial" w:eastAsia="Times New Roman" w:hAnsi="Arial" w:cs="Arial"/>
                <w:color w:val="000000"/>
                <w:sz w:val="20"/>
                <w:szCs w:val="20"/>
                <w:lang w:val="en-GB" w:eastAsia="en-GB"/>
              </w:rPr>
              <w:t>real estate</w:t>
            </w:r>
          </w:p>
        </w:tc>
        <w:tc>
          <w:tcPr>
            <w:tcW w:w="156" w:type="pct"/>
          </w:tcPr>
          <w:p w14:paraId="2B2A95B1"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vAlign w:val="bottom"/>
          </w:tcPr>
          <w:p w14:paraId="1BBD77A0"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bCs/>
                <w:color w:val="000000"/>
                <w:sz w:val="20"/>
                <w:szCs w:val="20"/>
                <w:lang w:val="en-GB" w:eastAsia="en-GB"/>
              </w:rPr>
              <w:t>805</w:t>
            </w:r>
          </w:p>
        </w:tc>
        <w:tc>
          <w:tcPr>
            <w:tcW w:w="838" w:type="pct"/>
            <w:tcBorders>
              <w:left w:val="nil"/>
            </w:tcBorders>
            <w:tcMar>
              <w:top w:w="85" w:type="dxa"/>
              <w:left w:w="0" w:type="dxa"/>
              <w:bottom w:w="85" w:type="dxa"/>
              <w:right w:w="0" w:type="dxa"/>
            </w:tcMar>
            <w:vAlign w:val="bottom"/>
          </w:tcPr>
          <w:p w14:paraId="4EA3042C"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Cs/>
                <w:color w:val="000000"/>
                <w:sz w:val="20"/>
                <w:szCs w:val="20"/>
                <w:lang w:val="en-GB" w:eastAsia="en-GB"/>
              </w:rPr>
            </w:pPr>
            <w:r w:rsidRPr="00AC0617">
              <w:rPr>
                <w:rFonts w:ascii="Arial" w:eastAsia="Times New Roman" w:hAnsi="Arial" w:cs="Arial"/>
                <w:bCs/>
                <w:color w:val="000000"/>
                <w:sz w:val="20"/>
                <w:szCs w:val="20"/>
                <w:lang w:val="en-GB" w:eastAsia="en-GB"/>
              </w:rPr>
              <w:t>839</w:t>
            </w:r>
          </w:p>
        </w:tc>
      </w:tr>
      <w:tr w:rsidR="00891B3A" w:rsidRPr="00755BD6" w14:paraId="709D5BBD" w14:textId="77777777" w:rsidTr="00891B3A">
        <w:trPr>
          <w:trHeight w:val="60"/>
        </w:trPr>
        <w:tc>
          <w:tcPr>
            <w:tcW w:w="1639" w:type="pct"/>
            <w:shd w:val="clear" w:color="auto" w:fill="auto"/>
            <w:tcMar>
              <w:top w:w="85" w:type="dxa"/>
              <w:left w:w="0" w:type="dxa"/>
              <w:bottom w:w="85" w:type="dxa"/>
              <w:right w:w="0" w:type="dxa"/>
            </w:tcMar>
          </w:tcPr>
          <w:p w14:paraId="6B95178D"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San Francisco Equity Partners</w:t>
            </w:r>
          </w:p>
        </w:tc>
        <w:tc>
          <w:tcPr>
            <w:tcW w:w="1720" w:type="pct"/>
            <w:shd w:val="clear" w:color="auto" w:fill="auto"/>
            <w:tcMar>
              <w:top w:w="85" w:type="dxa"/>
              <w:left w:w="0" w:type="dxa"/>
              <w:bottom w:w="85" w:type="dxa"/>
              <w:right w:w="0" w:type="dxa"/>
            </w:tcMar>
          </w:tcPr>
          <w:p w14:paraId="51B5613A" w14:textId="7B930E3E"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US consumer</w:t>
            </w:r>
          </w:p>
        </w:tc>
        <w:tc>
          <w:tcPr>
            <w:tcW w:w="156" w:type="pct"/>
          </w:tcPr>
          <w:p w14:paraId="365FC237"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tcPr>
          <w:p w14:paraId="12AA9126"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color w:val="000000"/>
                <w:sz w:val="20"/>
                <w:szCs w:val="20"/>
                <w:lang w:val="en-GB" w:eastAsia="en-GB"/>
              </w:rPr>
            </w:pPr>
            <w:r w:rsidRPr="00AC0617">
              <w:rPr>
                <w:rFonts w:ascii="Arial" w:eastAsia="Times New Roman" w:hAnsi="Arial" w:cs="Arial"/>
                <w:b/>
                <w:color w:val="000000"/>
                <w:sz w:val="20"/>
                <w:szCs w:val="20"/>
                <w:lang w:val="en-GB" w:eastAsia="en-GB"/>
              </w:rPr>
              <w:t>717</w:t>
            </w:r>
          </w:p>
        </w:tc>
        <w:tc>
          <w:tcPr>
            <w:tcW w:w="838" w:type="pct"/>
            <w:tcBorders>
              <w:left w:val="nil"/>
            </w:tcBorders>
            <w:tcMar>
              <w:top w:w="85" w:type="dxa"/>
              <w:left w:w="0" w:type="dxa"/>
              <w:bottom w:w="85" w:type="dxa"/>
              <w:right w:w="0" w:type="dxa"/>
            </w:tcMar>
          </w:tcPr>
          <w:p w14:paraId="348F1820"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Cs/>
                <w:color w:val="000000"/>
                <w:sz w:val="20"/>
                <w:szCs w:val="20"/>
                <w:lang w:val="en-GB" w:eastAsia="en-GB"/>
              </w:rPr>
            </w:pPr>
            <w:r w:rsidRPr="00AC0617">
              <w:rPr>
                <w:rFonts w:ascii="Arial" w:eastAsia="Times New Roman" w:hAnsi="Arial" w:cs="Arial"/>
                <w:bCs/>
                <w:color w:val="000000"/>
                <w:sz w:val="20"/>
                <w:szCs w:val="20"/>
                <w:lang w:val="en-GB" w:eastAsia="en-GB"/>
              </w:rPr>
              <w:t>699</w:t>
            </w:r>
          </w:p>
        </w:tc>
      </w:tr>
      <w:tr w:rsidR="00891B3A" w:rsidRPr="00755BD6" w14:paraId="61B86CAE" w14:textId="77777777" w:rsidTr="00891B3A">
        <w:trPr>
          <w:trHeight w:val="60"/>
        </w:trPr>
        <w:tc>
          <w:tcPr>
            <w:tcW w:w="1639" w:type="pct"/>
            <w:shd w:val="clear" w:color="auto" w:fill="auto"/>
            <w:tcMar>
              <w:top w:w="85" w:type="dxa"/>
              <w:left w:w="0" w:type="dxa"/>
              <w:bottom w:w="85" w:type="dxa"/>
              <w:right w:w="0" w:type="dxa"/>
            </w:tcMar>
          </w:tcPr>
          <w:p w14:paraId="5FD552E0"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Eden Ventures</w:t>
            </w:r>
          </w:p>
        </w:tc>
        <w:tc>
          <w:tcPr>
            <w:tcW w:w="1720" w:type="pct"/>
            <w:shd w:val="clear" w:color="auto" w:fill="auto"/>
            <w:tcMar>
              <w:top w:w="85" w:type="dxa"/>
              <w:left w:w="0" w:type="dxa"/>
              <w:bottom w:w="85" w:type="dxa"/>
              <w:right w:w="0" w:type="dxa"/>
            </w:tcMar>
          </w:tcPr>
          <w:p w14:paraId="15D946E6"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UK venture capital</w:t>
            </w:r>
          </w:p>
        </w:tc>
        <w:tc>
          <w:tcPr>
            <w:tcW w:w="156" w:type="pct"/>
          </w:tcPr>
          <w:p w14:paraId="4B81B222"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tcPr>
          <w:p w14:paraId="499B8E41"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497</w:t>
            </w:r>
          </w:p>
        </w:tc>
        <w:tc>
          <w:tcPr>
            <w:tcW w:w="838" w:type="pct"/>
            <w:tcBorders>
              <w:left w:val="nil"/>
            </w:tcBorders>
            <w:tcMar>
              <w:top w:w="85" w:type="dxa"/>
              <w:left w:w="0" w:type="dxa"/>
              <w:bottom w:w="85" w:type="dxa"/>
              <w:right w:w="0" w:type="dxa"/>
            </w:tcMar>
          </w:tcPr>
          <w:p w14:paraId="6FAD2D86" w14:textId="77777777" w:rsidR="00891B3A" w:rsidRPr="00AC0617" w:rsidRDefault="00891B3A" w:rsidP="00891B3A">
            <w:pPr>
              <w:tabs>
                <w:tab w:val="left" w:pos="794"/>
              </w:tabs>
              <w:autoSpaceDE w:val="0"/>
              <w:adjustRightInd w:val="0"/>
              <w:spacing w:after="0"/>
              <w:ind w:right="57"/>
              <w:jc w:val="right"/>
              <w:textAlignment w:val="center"/>
              <w:rPr>
                <w:rFonts w:ascii="Arial" w:hAnsi="Arial" w:cs="Arial"/>
                <w:bCs/>
                <w:color w:val="000000"/>
                <w:sz w:val="20"/>
                <w:szCs w:val="20"/>
                <w:lang w:val="en-GB"/>
              </w:rPr>
            </w:pPr>
            <w:r w:rsidRPr="00AC0617">
              <w:rPr>
                <w:rFonts w:ascii="Arial" w:eastAsia="Times New Roman" w:hAnsi="Arial" w:cs="Arial"/>
                <w:bCs/>
                <w:color w:val="000000"/>
                <w:sz w:val="20"/>
                <w:szCs w:val="20"/>
                <w:lang w:val="en-GB" w:eastAsia="en-GB"/>
              </w:rPr>
              <w:t>501</w:t>
            </w:r>
          </w:p>
        </w:tc>
      </w:tr>
      <w:tr w:rsidR="00891B3A" w:rsidRPr="00755BD6" w14:paraId="5C3A4428" w14:textId="77777777" w:rsidTr="00891B3A">
        <w:trPr>
          <w:trHeight w:val="60"/>
        </w:trPr>
        <w:tc>
          <w:tcPr>
            <w:tcW w:w="1639" w:type="pct"/>
            <w:shd w:val="clear" w:color="auto" w:fill="auto"/>
            <w:tcMar>
              <w:top w:w="85" w:type="dxa"/>
              <w:left w:w="0" w:type="dxa"/>
              <w:bottom w:w="85" w:type="dxa"/>
              <w:right w:w="0" w:type="dxa"/>
            </w:tcMar>
            <w:vAlign w:val="bottom"/>
          </w:tcPr>
          <w:p w14:paraId="7B2E4AEA"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Simmons</w:t>
            </w:r>
          </w:p>
        </w:tc>
        <w:tc>
          <w:tcPr>
            <w:tcW w:w="1720" w:type="pct"/>
            <w:shd w:val="clear" w:color="auto" w:fill="auto"/>
            <w:tcMar>
              <w:top w:w="85" w:type="dxa"/>
              <w:left w:w="0" w:type="dxa"/>
              <w:bottom w:w="85" w:type="dxa"/>
              <w:right w:w="0" w:type="dxa"/>
            </w:tcMar>
            <w:vAlign w:val="bottom"/>
          </w:tcPr>
          <w:p w14:paraId="39FCEEF1"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UK energy</w:t>
            </w:r>
          </w:p>
        </w:tc>
        <w:tc>
          <w:tcPr>
            <w:tcW w:w="156" w:type="pct"/>
          </w:tcPr>
          <w:p w14:paraId="376757D0"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vAlign w:val="bottom"/>
          </w:tcPr>
          <w:p w14:paraId="12A08C40"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382</w:t>
            </w:r>
          </w:p>
        </w:tc>
        <w:tc>
          <w:tcPr>
            <w:tcW w:w="838" w:type="pct"/>
            <w:tcBorders>
              <w:left w:val="nil"/>
            </w:tcBorders>
            <w:tcMar>
              <w:top w:w="85" w:type="dxa"/>
              <w:left w:w="0" w:type="dxa"/>
              <w:bottom w:w="85" w:type="dxa"/>
              <w:right w:w="0" w:type="dxa"/>
            </w:tcMar>
            <w:vAlign w:val="bottom"/>
          </w:tcPr>
          <w:p w14:paraId="343123E1"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Cs/>
                <w:color w:val="000000"/>
                <w:sz w:val="20"/>
                <w:szCs w:val="20"/>
                <w:lang w:val="en-GB" w:eastAsia="en-GB"/>
              </w:rPr>
            </w:pPr>
            <w:r w:rsidRPr="00AC0617">
              <w:rPr>
                <w:rFonts w:ascii="Arial" w:eastAsia="Times New Roman" w:hAnsi="Arial" w:cs="Arial"/>
                <w:bCs/>
                <w:color w:val="000000"/>
                <w:sz w:val="20"/>
                <w:szCs w:val="20"/>
                <w:lang w:val="en-GB" w:eastAsia="en-GB"/>
              </w:rPr>
              <w:t>361</w:t>
            </w:r>
          </w:p>
        </w:tc>
      </w:tr>
      <w:tr w:rsidR="00891B3A" w:rsidRPr="00755BD6" w14:paraId="4F981596" w14:textId="77777777" w:rsidTr="00891B3A">
        <w:trPr>
          <w:trHeight w:val="60"/>
        </w:trPr>
        <w:tc>
          <w:tcPr>
            <w:tcW w:w="1639" w:type="pct"/>
            <w:shd w:val="clear" w:color="auto" w:fill="auto"/>
            <w:tcMar>
              <w:top w:w="85" w:type="dxa"/>
              <w:left w:w="0" w:type="dxa"/>
              <w:bottom w:w="85" w:type="dxa"/>
              <w:right w:w="0" w:type="dxa"/>
            </w:tcMar>
            <w:vAlign w:val="bottom"/>
          </w:tcPr>
          <w:p w14:paraId="42558F11"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Other interests</w:t>
            </w:r>
          </w:p>
        </w:tc>
        <w:tc>
          <w:tcPr>
            <w:tcW w:w="1720" w:type="pct"/>
            <w:shd w:val="clear" w:color="auto" w:fill="auto"/>
            <w:tcMar>
              <w:top w:w="85" w:type="dxa"/>
              <w:left w:w="0" w:type="dxa"/>
              <w:bottom w:w="85" w:type="dxa"/>
              <w:right w:w="0" w:type="dxa"/>
            </w:tcMar>
            <w:vAlign w:val="bottom"/>
          </w:tcPr>
          <w:p w14:paraId="675E6587"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r w:rsidRPr="00AC0617">
              <w:rPr>
                <w:rFonts w:ascii="Arial" w:eastAsia="Times New Roman" w:hAnsi="Arial" w:cs="Arial"/>
                <w:color w:val="000000"/>
                <w:sz w:val="20"/>
                <w:szCs w:val="20"/>
                <w:lang w:val="en-GB" w:eastAsia="en-GB"/>
              </w:rPr>
              <w:t>-</w:t>
            </w:r>
          </w:p>
        </w:tc>
        <w:tc>
          <w:tcPr>
            <w:tcW w:w="156" w:type="pct"/>
          </w:tcPr>
          <w:p w14:paraId="2B69CA87"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shd w:val="clear" w:color="auto" w:fill="auto"/>
            <w:tcMar>
              <w:top w:w="85" w:type="dxa"/>
              <w:left w:w="0" w:type="dxa"/>
              <w:bottom w:w="85" w:type="dxa"/>
              <w:right w:w="0" w:type="dxa"/>
            </w:tcMar>
            <w:vAlign w:val="bottom"/>
          </w:tcPr>
          <w:p w14:paraId="148B78C2" w14:textId="77777777"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32</w:t>
            </w:r>
          </w:p>
        </w:tc>
        <w:tc>
          <w:tcPr>
            <w:tcW w:w="838" w:type="pct"/>
            <w:tcBorders>
              <w:left w:val="nil"/>
            </w:tcBorders>
            <w:tcMar>
              <w:top w:w="85" w:type="dxa"/>
              <w:left w:w="0" w:type="dxa"/>
              <w:bottom w:w="85" w:type="dxa"/>
              <w:right w:w="0" w:type="dxa"/>
            </w:tcMar>
            <w:vAlign w:val="bottom"/>
          </w:tcPr>
          <w:p w14:paraId="45A46A8A" w14:textId="77777777" w:rsidR="00891B3A" w:rsidRPr="00AC0617" w:rsidRDefault="00891B3A" w:rsidP="00891B3A">
            <w:pPr>
              <w:tabs>
                <w:tab w:val="left" w:pos="794"/>
              </w:tabs>
              <w:autoSpaceDE w:val="0"/>
              <w:adjustRightInd w:val="0"/>
              <w:spacing w:after="0"/>
              <w:ind w:right="57"/>
              <w:jc w:val="right"/>
              <w:textAlignment w:val="center"/>
              <w:rPr>
                <w:rFonts w:ascii="Arial" w:hAnsi="Arial" w:cs="Arial"/>
                <w:bCs/>
                <w:color w:val="000000"/>
                <w:sz w:val="20"/>
                <w:szCs w:val="20"/>
                <w:lang w:val="en-GB"/>
              </w:rPr>
            </w:pPr>
            <w:r w:rsidRPr="00AC0617">
              <w:rPr>
                <w:rFonts w:ascii="Arial" w:eastAsia="Times New Roman" w:hAnsi="Arial" w:cs="Arial"/>
                <w:bCs/>
                <w:color w:val="000000"/>
                <w:sz w:val="20"/>
                <w:szCs w:val="20"/>
                <w:lang w:val="en-GB" w:eastAsia="en-GB"/>
              </w:rPr>
              <w:t>33</w:t>
            </w:r>
          </w:p>
        </w:tc>
      </w:tr>
      <w:tr w:rsidR="00891B3A" w:rsidRPr="00755BD6" w14:paraId="1E214032" w14:textId="77777777" w:rsidTr="00891B3A">
        <w:trPr>
          <w:trHeight w:val="60"/>
        </w:trPr>
        <w:tc>
          <w:tcPr>
            <w:tcW w:w="1639" w:type="pct"/>
            <w:tcBorders>
              <w:top w:val="single" w:sz="4" w:space="0" w:color="auto"/>
              <w:bottom w:val="single" w:sz="8" w:space="0" w:color="000000"/>
            </w:tcBorders>
            <w:shd w:val="clear" w:color="auto" w:fill="auto"/>
            <w:tcMar>
              <w:top w:w="85" w:type="dxa"/>
              <w:left w:w="0" w:type="dxa"/>
              <w:bottom w:w="85" w:type="dxa"/>
              <w:right w:w="0" w:type="dxa"/>
            </w:tcMar>
            <w:vAlign w:val="bottom"/>
          </w:tcPr>
          <w:p w14:paraId="1C7A88EA" w14:textId="77777777" w:rsidR="00891B3A" w:rsidRPr="00AC0617" w:rsidRDefault="00891B3A" w:rsidP="00B16B2F">
            <w:pPr>
              <w:autoSpaceDE w:val="0"/>
              <w:adjustRightInd w:val="0"/>
              <w:spacing w:after="0"/>
              <w:jc w:val="both"/>
              <w:textAlignment w:val="center"/>
              <w:rPr>
                <w:rFonts w:ascii="Arial" w:eastAsia="Times New Roman" w:hAnsi="Arial" w:cs="Arial"/>
                <w:color w:val="000000"/>
                <w:sz w:val="20"/>
                <w:szCs w:val="20"/>
                <w:lang w:val="en-GB" w:eastAsia="en-GB"/>
              </w:rPr>
            </w:pPr>
          </w:p>
        </w:tc>
        <w:tc>
          <w:tcPr>
            <w:tcW w:w="1720" w:type="pct"/>
            <w:tcBorders>
              <w:top w:val="single" w:sz="4" w:space="0" w:color="auto"/>
              <w:bottom w:val="single" w:sz="8" w:space="0" w:color="000000"/>
            </w:tcBorders>
            <w:shd w:val="clear" w:color="auto" w:fill="auto"/>
            <w:tcMar>
              <w:top w:w="85" w:type="dxa"/>
              <w:left w:w="0" w:type="dxa"/>
              <w:bottom w:w="85" w:type="dxa"/>
              <w:right w:w="0" w:type="dxa"/>
            </w:tcMar>
            <w:vAlign w:val="bottom"/>
          </w:tcPr>
          <w:p w14:paraId="23E344B0" w14:textId="77777777" w:rsidR="00891B3A" w:rsidRPr="00AC0617" w:rsidRDefault="00891B3A" w:rsidP="00891B3A">
            <w:pPr>
              <w:autoSpaceDE w:val="0"/>
              <w:adjustRightInd w:val="0"/>
              <w:spacing w:after="0"/>
              <w:ind w:left="71"/>
              <w:jc w:val="both"/>
              <w:textAlignment w:val="center"/>
              <w:rPr>
                <w:rFonts w:ascii="Arial" w:eastAsia="Times New Roman" w:hAnsi="Arial" w:cs="Arial"/>
                <w:color w:val="000000"/>
                <w:sz w:val="20"/>
                <w:szCs w:val="20"/>
                <w:lang w:val="en-GB" w:eastAsia="en-GB"/>
              </w:rPr>
            </w:pPr>
          </w:p>
        </w:tc>
        <w:tc>
          <w:tcPr>
            <w:tcW w:w="156" w:type="pct"/>
            <w:tcBorders>
              <w:top w:val="single" w:sz="4" w:space="0" w:color="auto"/>
              <w:bottom w:val="single" w:sz="8" w:space="0" w:color="000000"/>
            </w:tcBorders>
          </w:tcPr>
          <w:p w14:paraId="60CED8F2" w14:textId="77777777" w:rsidR="00891B3A" w:rsidRPr="00AC0617" w:rsidRDefault="00891B3A" w:rsidP="00891B3A">
            <w:pPr>
              <w:tabs>
                <w:tab w:val="left" w:pos="794"/>
              </w:tabs>
              <w:autoSpaceDE w:val="0"/>
              <w:adjustRightInd w:val="0"/>
              <w:spacing w:after="0"/>
              <w:ind w:right="57"/>
              <w:jc w:val="both"/>
              <w:textAlignment w:val="center"/>
              <w:rPr>
                <w:rFonts w:ascii="Arial" w:eastAsia="Times New Roman" w:hAnsi="Arial" w:cs="Arial"/>
                <w:b/>
                <w:bCs/>
                <w:color w:val="000000"/>
                <w:sz w:val="20"/>
                <w:szCs w:val="20"/>
                <w:lang w:val="en-GB" w:eastAsia="en-GB"/>
              </w:rPr>
            </w:pPr>
          </w:p>
        </w:tc>
        <w:tc>
          <w:tcPr>
            <w:tcW w:w="647" w:type="pct"/>
            <w:tcBorders>
              <w:top w:val="single" w:sz="4" w:space="0" w:color="auto"/>
              <w:bottom w:val="single" w:sz="8" w:space="0" w:color="000000"/>
            </w:tcBorders>
            <w:shd w:val="clear" w:color="auto" w:fill="auto"/>
            <w:tcMar>
              <w:top w:w="85" w:type="dxa"/>
              <w:left w:w="0" w:type="dxa"/>
              <w:bottom w:w="85" w:type="dxa"/>
              <w:right w:w="0" w:type="dxa"/>
            </w:tcMar>
            <w:vAlign w:val="bottom"/>
          </w:tcPr>
          <w:p w14:paraId="7A65A0EA" w14:textId="0AB39BC3" w:rsidR="00891B3A" w:rsidRPr="00AC0617" w:rsidRDefault="00891B3A" w:rsidP="00891B3A">
            <w:pPr>
              <w:tabs>
                <w:tab w:val="left" w:pos="794"/>
              </w:tabs>
              <w:autoSpaceDE w:val="0"/>
              <w:adjustRightInd w:val="0"/>
              <w:spacing w:after="0"/>
              <w:ind w:right="57"/>
              <w:jc w:val="right"/>
              <w:textAlignment w:val="center"/>
              <w:rPr>
                <w:rFonts w:ascii="Arial" w:eastAsia="Times New Roman" w:hAnsi="Arial" w:cs="Arial"/>
                <w:b/>
                <w:bCs/>
                <w:color w:val="000000"/>
                <w:sz w:val="20"/>
                <w:szCs w:val="20"/>
                <w:lang w:val="en-GB" w:eastAsia="en-GB"/>
              </w:rPr>
            </w:pPr>
            <w:r w:rsidRPr="00AC0617">
              <w:rPr>
                <w:rFonts w:ascii="Arial" w:eastAsia="Times New Roman" w:hAnsi="Arial" w:cs="Arial"/>
                <w:b/>
                <w:bCs/>
                <w:color w:val="000000"/>
                <w:sz w:val="20"/>
                <w:szCs w:val="20"/>
                <w:lang w:val="en-GB" w:eastAsia="en-GB"/>
              </w:rPr>
              <w:t>13,</w:t>
            </w:r>
            <w:r w:rsidR="00B16B2F">
              <w:rPr>
                <w:rFonts w:ascii="Arial" w:eastAsia="Times New Roman" w:hAnsi="Arial" w:cs="Arial"/>
                <w:b/>
                <w:bCs/>
                <w:color w:val="000000"/>
                <w:sz w:val="20"/>
                <w:szCs w:val="20"/>
                <w:lang w:val="en-GB" w:eastAsia="en-GB"/>
              </w:rPr>
              <w:t>562</w:t>
            </w:r>
          </w:p>
        </w:tc>
        <w:tc>
          <w:tcPr>
            <w:tcW w:w="838" w:type="pct"/>
            <w:tcBorders>
              <w:top w:val="single" w:sz="4" w:space="0" w:color="auto"/>
              <w:left w:val="nil"/>
              <w:bottom w:val="single" w:sz="8" w:space="0" w:color="000000"/>
            </w:tcBorders>
            <w:tcMar>
              <w:top w:w="85" w:type="dxa"/>
              <w:left w:w="0" w:type="dxa"/>
              <w:bottom w:w="85" w:type="dxa"/>
              <w:right w:w="0" w:type="dxa"/>
            </w:tcMar>
            <w:vAlign w:val="bottom"/>
          </w:tcPr>
          <w:p w14:paraId="27DB2B84" w14:textId="77777777" w:rsidR="00891B3A" w:rsidRPr="00AC0617" w:rsidRDefault="00891B3A" w:rsidP="00891B3A">
            <w:pPr>
              <w:tabs>
                <w:tab w:val="left" w:pos="794"/>
              </w:tabs>
              <w:autoSpaceDE w:val="0"/>
              <w:adjustRightInd w:val="0"/>
              <w:spacing w:after="0"/>
              <w:ind w:right="57"/>
              <w:jc w:val="right"/>
              <w:textAlignment w:val="center"/>
              <w:rPr>
                <w:rFonts w:ascii="Arial" w:hAnsi="Arial" w:cs="Arial"/>
                <w:bCs/>
                <w:color w:val="000000"/>
                <w:sz w:val="20"/>
                <w:szCs w:val="20"/>
                <w:lang w:val="en-GB"/>
              </w:rPr>
            </w:pPr>
            <w:r w:rsidRPr="00AC0617">
              <w:rPr>
                <w:rFonts w:ascii="Arial" w:eastAsia="Times New Roman" w:hAnsi="Arial" w:cs="Arial"/>
                <w:bCs/>
                <w:color w:val="000000"/>
                <w:sz w:val="20"/>
                <w:szCs w:val="20"/>
                <w:lang w:val="en-GB" w:eastAsia="en-GB"/>
              </w:rPr>
              <w:t>11,858</w:t>
            </w:r>
          </w:p>
        </w:tc>
      </w:tr>
    </w:tbl>
    <w:p w14:paraId="727EBE41" w14:textId="77777777" w:rsidR="00016656" w:rsidRDefault="00016656" w:rsidP="00891B3A">
      <w:pPr>
        <w:widowControl/>
        <w:spacing w:after="0"/>
        <w:jc w:val="both"/>
        <w:rPr>
          <w:rFonts w:ascii="Arial" w:hAnsi="Arial" w:cs="Arial"/>
          <w:lang w:val="en-GB"/>
        </w:rPr>
      </w:pPr>
    </w:p>
    <w:p w14:paraId="7EFB2A60" w14:textId="02546C3E" w:rsidR="00891B3A" w:rsidRPr="00AC0617" w:rsidRDefault="00891B3A" w:rsidP="00891B3A">
      <w:pPr>
        <w:widowControl/>
        <w:spacing w:after="0"/>
        <w:jc w:val="both"/>
        <w:rPr>
          <w:rFonts w:ascii="Arial" w:hAnsi="Arial" w:cs="Arial"/>
          <w:lang w:val="en-GB"/>
        </w:rPr>
      </w:pPr>
      <w:r>
        <w:rPr>
          <w:rFonts w:ascii="Arial" w:hAnsi="Arial" w:cs="Arial"/>
          <w:lang w:val="en-GB"/>
        </w:rPr>
        <w:t xml:space="preserve">Net </w:t>
      </w:r>
      <w:r w:rsidR="00B16067">
        <w:rPr>
          <w:rFonts w:ascii="Arial" w:hAnsi="Arial" w:cs="Arial"/>
          <w:lang w:val="en-GB"/>
        </w:rPr>
        <w:t>g</w:t>
      </w:r>
      <w:r>
        <w:rPr>
          <w:rFonts w:ascii="Arial" w:hAnsi="Arial" w:cs="Arial"/>
          <w:lang w:val="en-GB"/>
        </w:rPr>
        <w:t>ains/(l</w:t>
      </w:r>
      <w:r w:rsidRPr="00AC0617">
        <w:rPr>
          <w:rFonts w:ascii="Arial" w:hAnsi="Arial" w:cs="Arial"/>
          <w:lang w:val="en-GB"/>
        </w:rPr>
        <w:t>osses</w:t>
      </w:r>
      <w:r>
        <w:rPr>
          <w:rFonts w:ascii="Arial" w:hAnsi="Arial" w:cs="Arial"/>
          <w:lang w:val="en-GB"/>
        </w:rPr>
        <w:t>)</w:t>
      </w:r>
      <w:r w:rsidRPr="00AC0617">
        <w:rPr>
          <w:rFonts w:ascii="Arial" w:hAnsi="Arial" w:cs="Arial"/>
          <w:lang w:val="en-GB"/>
        </w:rPr>
        <w:t xml:space="preserve"> on the Company’s </w:t>
      </w:r>
      <w:proofErr w:type="spellStart"/>
      <w:r w:rsidRPr="00AC0617">
        <w:rPr>
          <w:rFonts w:ascii="Arial" w:hAnsi="Arial" w:cs="Arial"/>
          <w:lang w:val="en-GB"/>
        </w:rPr>
        <w:t>funds</w:t>
      </w:r>
      <w:proofErr w:type="spellEnd"/>
      <w:r w:rsidRPr="00AC0617">
        <w:rPr>
          <w:rFonts w:ascii="Arial" w:hAnsi="Arial" w:cs="Arial"/>
          <w:lang w:val="en-GB"/>
        </w:rPr>
        <w:t xml:space="preserve"> portfolio for the six months ended 30 June 202</w:t>
      </w:r>
      <w:r w:rsidR="00016656">
        <w:rPr>
          <w:rFonts w:ascii="Arial" w:hAnsi="Arial" w:cs="Arial"/>
          <w:lang w:val="en-GB"/>
        </w:rPr>
        <w:t>1</w:t>
      </w:r>
      <w:r w:rsidRPr="00AC0617">
        <w:rPr>
          <w:rFonts w:ascii="Arial" w:hAnsi="Arial" w:cs="Arial"/>
          <w:lang w:val="en-GB"/>
        </w:rPr>
        <w:t xml:space="preserve"> were as follows:  </w:t>
      </w:r>
    </w:p>
    <w:tbl>
      <w:tblPr>
        <w:tblW w:w="5000" w:type="pct"/>
        <w:tblCellMar>
          <w:left w:w="0" w:type="dxa"/>
          <w:bottom w:w="57" w:type="dxa"/>
          <w:right w:w="0" w:type="dxa"/>
        </w:tblCellMar>
        <w:tblLook w:val="0000" w:firstRow="0" w:lastRow="0" w:firstColumn="0" w:lastColumn="0" w:noHBand="0" w:noVBand="0"/>
      </w:tblPr>
      <w:tblGrid>
        <w:gridCol w:w="5353"/>
        <w:gridCol w:w="1785"/>
        <w:gridCol w:w="1932"/>
      </w:tblGrid>
      <w:tr w:rsidR="00891B3A" w:rsidRPr="00755BD6" w14:paraId="2DABE719" w14:textId="77777777" w:rsidTr="00891B3A">
        <w:trPr>
          <w:trHeight w:val="187"/>
        </w:trPr>
        <w:tc>
          <w:tcPr>
            <w:tcW w:w="2951" w:type="pct"/>
            <w:tcMar>
              <w:top w:w="85" w:type="dxa"/>
              <w:left w:w="0" w:type="dxa"/>
              <w:bottom w:w="85" w:type="dxa"/>
              <w:right w:w="0" w:type="dxa"/>
            </w:tcMar>
            <w:vAlign w:val="bottom"/>
          </w:tcPr>
          <w:p w14:paraId="0495963F" w14:textId="77777777" w:rsidR="00891B3A" w:rsidRPr="00AC0617" w:rsidRDefault="00891B3A" w:rsidP="00891B3A">
            <w:pPr>
              <w:autoSpaceDE w:val="0"/>
              <w:adjustRightInd w:val="0"/>
              <w:spacing w:after="0" w:line="240" w:lineRule="auto"/>
              <w:ind w:right="57"/>
              <w:jc w:val="both"/>
              <w:textAlignment w:val="center"/>
              <w:rPr>
                <w:rFonts w:ascii="Arial" w:eastAsia="Times New Roman" w:hAnsi="Arial" w:cs="Arial"/>
                <w:b/>
                <w:bCs/>
                <w:color w:val="000000"/>
                <w:sz w:val="20"/>
              </w:rPr>
            </w:pPr>
          </w:p>
        </w:tc>
        <w:tc>
          <w:tcPr>
            <w:tcW w:w="2049" w:type="pct"/>
            <w:gridSpan w:val="2"/>
            <w:tcBorders>
              <w:bottom w:val="single" w:sz="4" w:space="0" w:color="auto"/>
            </w:tcBorders>
            <w:vAlign w:val="bottom"/>
          </w:tcPr>
          <w:p w14:paraId="79B19B9E" w14:textId="77777777" w:rsidR="00891B3A" w:rsidRPr="00AC0617" w:rsidRDefault="00891B3A" w:rsidP="00891B3A">
            <w:pPr>
              <w:autoSpaceDE w:val="0"/>
              <w:adjustRightInd w:val="0"/>
              <w:spacing w:after="0" w:line="240" w:lineRule="auto"/>
              <w:ind w:right="57"/>
              <w:jc w:val="right"/>
              <w:textAlignment w:val="center"/>
              <w:rPr>
                <w:rFonts w:ascii="Arial" w:eastAsia="Times New Roman" w:hAnsi="Arial" w:cs="Arial"/>
                <w:b/>
                <w:bCs/>
                <w:color w:val="000000"/>
                <w:sz w:val="20"/>
              </w:rPr>
            </w:pPr>
            <w:r w:rsidRPr="00AC0617">
              <w:rPr>
                <w:rFonts w:ascii="Arial" w:eastAsia="Times New Roman" w:hAnsi="Arial" w:cs="Arial"/>
                <w:b/>
                <w:bCs/>
                <w:color w:val="000000"/>
                <w:sz w:val="20"/>
              </w:rPr>
              <w:t>Six months ended 30 June</w:t>
            </w:r>
          </w:p>
        </w:tc>
      </w:tr>
      <w:tr w:rsidR="00891B3A" w:rsidRPr="00755BD6" w14:paraId="5A0CDF67" w14:textId="77777777" w:rsidTr="00891B3A">
        <w:trPr>
          <w:trHeight w:val="187"/>
        </w:trPr>
        <w:tc>
          <w:tcPr>
            <w:tcW w:w="2951" w:type="pct"/>
            <w:tcBorders>
              <w:bottom w:val="single" w:sz="4" w:space="0" w:color="auto"/>
            </w:tcBorders>
            <w:tcMar>
              <w:top w:w="85" w:type="dxa"/>
              <w:left w:w="0" w:type="dxa"/>
              <w:bottom w:w="85" w:type="dxa"/>
              <w:right w:w="0" w:type="dxa"/>
            </w:tcMar>
            <w:vAlign w:val="bottom"/>
          </w:tcPr>
          <w:p w14:paraId="36CD76BC"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rPr>
            </w:pPr>
          </w:p>
        </w:tc>
        <w:tc>
          <w:tcPr>
            <w:tcW w:w="984" w:type="pct"/>
            <w:tcBorders>
              <w:top w:val="single" w:sz="4" w:space="0" w:color="auto"/>
              <w:bottom w:val="single" w:sz="4" w:space="0" w:color="auto"/>
            </w:tcBorders>
            <w:tcMar>
              <w:top w:w="85" w:type="dxa"/>
              <w:left w:w="0" w:type="dxa"/>
              <w:bottom w:w="85" w:type="dxa"/>
              <w:right w:w="0" w:type="dxa"/>
            </w:tcMar>
            <w:vAlign w:val="bottom"/>
          </w:tcPr>
          <w:p w14:paraId="0350DD2C" w14:textId="77777777" w:rsidR="00891B3A" w:rsidRPr="00AC0617" w:rsidRDefault="00891B3A" w:rsidP="00891B3A">
            <w:pPr>
              <w:autoSpaceDE w:val="0"/>
              <w:adjustRightInd w:val="0"/>
              <w:spacing w:after="0" w:line="240" w:lineRule="auto"/>
              <w:ind w:right="57"/>
              <w:jc w:val="right"/>
              <w:textAlignment w:val="center"/>
              <w:rPr>
                <w:rFonts w:ascii="Arial" w:eastAsia="Times New Roman" w:hAnsi="Arial" w:cs="Arial"/>
                <w:b/>
                <w:bCs/>
                <w:color w:val="000000"/>
                <w:sz w:val="20"/>
              </w:rPr>
            </w:pPr>
            <w:r w:rsidRPr="00AC0617">
              <w:rPr>
                <w:rFonts w:ascii="Arial" w:eastAsia="Times New Roman" w:hAnsi="Arial" w:cs="Arial"/>
                <w:b/>
                <w:bCs/>
                <w:color w:val="000000"/>
                <w:sz w:val="20"/>
              </w:rPr>
              <w:t>2021</w:t>
            </w:r>
          </w:p>
          <w:p w14:paraId="5041906A" w14:textId="77777777" w:rsidR="00891B3A" w:rsidRPr="00AC0617" w:rsidRDefault="00891B3A" w:rsidP="00891B3A">
            <w:pPr>
              <w:autoSpaceDE w:val="0"/>
              <w:adjustRightInd w:val="0"/>
              <w:spacing w:after="0" w:line="240" w:lineRule="auto"/>
              <w:ind w:right="57"/>
              <w:jc w:val="right"/>
              <w:textAlignment w:val="center"/>
              <w:rPr>
                <w:rFonts w:ascii="Arial" w:hAnsi="Arial" w:cs="Arial"/>
                <w:b/>
                <w:color w:val="000000"/>
                <w:sz w:val="20"/>
              </w:rPr>
            </w:pPr>
            <w:r w:rsidRPr="00AC0617">
              <w:rPr>
                <w:rFonts w:ascii="Arial" w:hAnsi="Arial" w:cs="Arial"/>
                <w:b/>
                <w:color w:val="000000"/>
                <w:sz w:val="20"/>
              </w:rPr>
              <w:t>£’000</w:t>
            </w:r>
          </w:p>
        </w:tc>
        <w:tc>
          <w:tcPr>
            <w:tcW w:w="1065" w:type="pct"/>
            <w:tcBorders>
              <w:top w:val="single" w:sz="4" w:space="0" w:color="auto"/>
              <w:bottom w:val="single" w:sz="4" w:space="0" w:color="auto"/>
            </w:tcBorders>
          </w:tcPr>
          <w:p w14:paraId="7E4E0B86" w14:textId="77777777" w:rsidR="00891B3A" w:rsidRPr="00AC0617" w:rsidRDefault="00891B3A" w:rsidP="00891B3A">
            <w:pPr>
              <w:autoSpaceDE w:val="0"/>
              <w:adjustRightInd w:val="0"/>
              <w:spacing w:after="0" w:line="240" w:lineRule="auto"/>
              <w:ind w:right="57"/>
              <w:jc w:val="right"/>
              <w:textAlignment w:val="center"/>
              <w:rPr>
                <w:rFonts w:ascii="Arial" w:hAnsi="Arial" w:cs="Arial"/>
                <w:b/>
                <w:color w:val="000000"/>
                <w:sz w:val="20"/>
              </w:rPr>
            </w:pPr>
            <w:r w:rsidRPr="00AC0617">
              <w:rPr>
                <w:rFonts w:ascii="Arial" w:eastAsia="Times New Roman" w:hAnsi="Arial" w:cs="Arial"/>
                <w:b/>
                <w:bCs/>
                <w:color w:val="000000"/>
                <w:sz w:val="20"/>
              </w:rPr>
              <w:t>2020</w:t>
            </w:r>
          </w:p>
          <w:p w14:paraId="131CFC6F" w14:textId="77777777" w:rsidR="00891B3A" w:rsidRPr="00AC0617" w:rsidRDefault="00891B3A" w:rsidP="00891B3A">
            <w:pPr>
              <w:autoSpaceDE w:val="0"/>
              <w:adjustRightInd w:val="0"/>
              <w:spacing w:after="0" w:line="240" w:lineRule="auto"/>
              <w:ind w:right="57"/>
              <w:jc w:val="right"/>
              <w:textAlignment w:val="center"/>
              <w:rPr>
                <w:rFonts w:ascii="Arial" w:eastAsia="Times New Roman" w:hAnsi="Arial" w:cs="Arial"/>
                <w:b/>
                <w:bCs/>
                <w:color w:val="000000"/>
                <w:sz w:val="20"/>
              </w:rPr>
            </w:pPr>
            <w:r w:rsidRPr="00AC0617">
              <w:rPr>
                <w:rFonts w:ascii="Arial" w:hAnsi="Arial" w:cs="Arial"/>
                <w:b/>
                <w:color w:val="000000"/>
                <w:sz w:val="20"/>
              </w:rPr>
              <w:t>£’000</w:t>
            </w:r>
          </w:p>
        </w:tc>
      </w:tr>
      <w:tr w:rsidR="00891B3A" w:rsidRPr="00755BD6" w14:paraId="57B73641" w14:textId="77777777" w:rsidTr="00891B3A">
        <w:trPr>
          <w:trHeight w:val="187"/>
        </w:trPr>
        <w:tc>
          <w:tcPr>
            <w:tcW w:w="2951" w:type="pct"/>
            <w:tcBorders>
              <w:top w:val="single" w:sz="4" w:space="0" w:color="auto"/>
            </w:tcBorders>
            <w:tcMar>
              <w:top w:w="85" w:type="dxa"/>
              <w:left w:w="0" w:type="dxa"/>
              <w:bottom w:w="85" w:type="dxa"/>
              <w:right w:w="0" w:type="dxa"/>
            </w:tcMar>
          </w:tcPr>
          <w:p w14:paraId="3AE34B49"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rPr>
            </w:pPr>
            <w:proofErr w:type="spellStart"/>
            <w:r w:rsidRPr="00AC0617">
              <w:rPr>
                <w:rFonts w:ascii="Arial" w:eastAsia="Times New Roman" w:hAnsi="Arial" w:cs="Arial"/>
                <w:b/>
                <w:bCs/>
                <w:color w:val="000000"/>
                <w:sz w:val="20"/>
              </w:rPr>
              <w:t>Realised</w:t>
            </w:r>
            <w:proofErr w:type="spellEnd"/>
            <w:r w:rsidRPr="00AC0617">
              <w:rPr>
                <w:rFonts w:ascii="Arial" w:eastAsia="Times New Roman" w:hAnsi="Arial" w:cs="Arial"/>
                <w:b/>
                <w:bCs/>
                <w:color w:val="000000"/>
                <w:sz w:val="20"/>
              </w:rPr>
              <w:t xml:space="preserve"> </w:t>
            </w:r>
          </w:p>
        </w:tc>
        <w:tc>
          <w:tcPr>
            <w:tcW w:w="984" w:type="pct"/>
            <w:tcBorders>
              <w:top w:val="single" w:sz="4" w:space="0" w:color="auto"/>
            </w:tcBorders>
            <w:tcMar>
              <w:top w:w="85" w:type="dxa"/>
              <w:left w:w="0" w:type="dxa"/>
              <w:bottom w:w="85" w:type="dxa"/>
              <w:right w:w="0" w:type="dxa"/>
            </w:tcMar>
          </w:tcPr>
          <w:p w14:paraId="3CCBF355" w14:textId="77777777" w:rsidR="00891B3A" w:rsidRPr="00AC0617" w:rsidRDefault="00891B3A" w:rsidP="00891B3A">
            <w:pPr>
              <w:autoSpaceDE w:val="0"/>
              <w:adjustRightInd w:val="0"/>
              <w:spacing w:after="0" w:line="240" w:lineRule="auto"/>
              <w:jc w:val="right"/>
              <w:rPr>
                <w:rFonts w:ascii="Arial" w:hAnsi="Arial" w:cs="Arial"/>
                <w:b/>
                <w:sz w:val="20"/>
              </w:rPr>
            </w:pPr>
          </w:p>
        </w:tc>
        <w:tc>
          <w:tcPr>
            <w:tcW w:w="1065" w:type="pct"/>
            <w:tcBorders>
              <w:top w:val="single" w:sz="4" w:space="0" w:color="auto"/>
            </w:tcBorders>
          </w:tcPr>
          <w:p w14:paraId="7742C61D" w14:textId="77777777" w:rsidR="00891B3A" w:rsidRPr="00AC0617" w:rsidRDefault="00891B3A" w:rsidP="00891B3A">
            <w:pPr>
              <w:autoSpaceDE w:val="0"/>
              <w:adjustRightInd w:val="0"/>
              <w:spacing w:after="0" w:line="240" w:lineRule="auto"/>
              <w:jc w:val="right"/>
              <w:rPr>
                <w:rFonts w:ascii="Arial" w:hAnsi="Arial" w:cs="Arial"/>
                <w:sz w:val="20"/>
              </w:rPr>
            </w:pPr>
          </w:p>
        </w:tc>
      </w:tr>
      <w:tr w:rsidR="00891B3A" w:rsidRPr="00755BD6" w14:paraId="399E5506" w14:textId="77777777" w:rsidTr="00891B3A">
        <w:trPr>
          <w:trHeight w:val="187"/>
        </w:trPr>
        <w:tc>
          <w:tcPr>
            <w:tcW w:w="2951" w:type="pct"/>
            <w:tcBorders>
              <w:bottom w:val="single" w:sz="4" w:space="0" w:color="auto"/>
            </w:tcBorders>
            <w:tcMar>
              <w:top w:w="85" w:type="dxa"/>
              <w:left w:w="0" w:type="dxa"/>
              <w:bottom w:w="85" w:type="dxa"/>
              <w:right w:w="0" w:type="dxa"/>
            </w:tcMar>
          </w:tcPr>
          <w:p w14:paraId="2AA92EDC"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r w:rsidRPr="00AC0617">
              <w:rPr>
                <w:rFonts w:ascii="Arial" w:eastAsia="Times New Roman" w:hAnsi="Arial" w:cs="Arial"/>
                <w:color w:val="000000"/>
                <w:sz w:val="20"/>
              </w:rPr>
              <w:t>Other funds</w:t>
            </w:r>
          </w:p>
        </w:tc>
        <w:tc>
          <w:tcPr>
            <w:tcW w:w="984" w:type="pct"/>
            <w:tcBorders>
              <w:bottom w:val="single" w:sz="4" w:space="0" w:color="auto"/>
            </w:tcBorders>
            <w:tcMar>
              <w:top w:w="85" w:type="dxa"/>
              <w:left w:w="0" w:type="dxa"/>
              <w:bottom w:w="85" w:type="dxa"/>
              <w:right w:w="0" w:type="dxa"/>
            </w:tcMar>
          </w:tcPr>
          <w:p w14:paraId="37778032"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r w:rsidRPr="00AC0617">
              <w:rPr>
                <w:rFonts w:ascii="Arial" w:eastAsia="Times New Roman" w:hAnsi="Arial" w:cs="Arial"/>
                <w:sz w:val="20"/>
              </w:rPr>
              <w:t>-</w:t>
            </w:r>
          </w:p>
        </w:tc>
        <w:tc>
          <w:tcPr>
            <w:tcW w:w="1065" w:type="pct"/>
            <w:tcBorders>
              <w:bottom w:val="single" w:sz="4" w:space="0" w:color="auto"/>
            </w:tcBorders>
          </w:tcPr>
          <w:p w14:paraId="7E7DC292"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r w:rsidRPr="00AC0617">
              <w:rPr>
                <w:rFonts w:ascii="Arial" w:eastAsia="Times New Roman" w:hAnsi="Arial" w:cs="Arial"/>
                <w:sz w:val="20"/>
              </w:rPr>
              <w:t>-</w:t>
            </w:r>
          </w:p>
        </w:tc>
      </w:tr>
      <w:tr w:rsidR="00891B3A" w:rsidRPr="00755BD6" w14:paraId="11ECEAB1" w14:textId="77777777" w:rsidTr="00891B3A">
        <w:trPr>
          <w:trHeight w:val="187"/>
        </w:trPr>
        <w:tc>
          <w:tcPr>
            <w:tcW w:w="2951" w:type="pct"/>
            <w:tcBorders>
              <w:bottom w:val="single" w:sz="4" w:space="0" w:color="auto"/>
            </w:tcBorders>
            <w:tcMar>
              <w:top w:w="85" w:type="dxa"/>
              <w:left w:w="0" w:type="dxa"/>
              <w:bottom w:w="85" w:type="dxa"/>
              <w:right w:w="0" w:type="dxa"/>
            </w:tcMar>
          </w:tcPr>
          <w:p w14:paraId="0A3095EF" w14:textId="77777777" w:rsidR="00891B3A" w:rsidRPr="009A1DD8"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p>
        </w:tc>
        <w:tc>
          <w:tcPr>
            <w:tcW w:w="984" w:type="pct"/>
            <w:tcBorders>
              <w:bottom w:val="single" w:sz="4" w:space="0" w:color="auto"/>
            </w:tcBorders>
            <w:tcMar>
              <w:top w:w="85" w:type="dxa"/>
              <w:left w:w="0" w:type="dxa"/>
              <w:bottom w:w="85" w:type="dxa"/>
              <w:right w:w="0" w:type="dxa"/>
            </w:tcMar>
          </w:tcPr>
          <w:p w14:paraId="04F4A1A2"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r w:rsidRPr="00AC0617">
              <w:rPr>
                <w:rFonts w:ascii="Arial" w:eastAsia="Times New Roman" w:hAnsi="Arial" w:cs="Arial"/>
                <w:sz w:val="20"/>
              </w:rPr>
              <w:t>-</w:t>
            </w:r>
          </w:p>
        </w:tc>
        <w:tc>
          <w:tcPr>
            <w:tcW w:w="1065" w:type="pct"/>
            <w:tcBorders>
              <w:bottom w:val="single" w:sz="4" w:space="0" w:color="auto"/>
            </w:tcBorders>
          </w:tcPr>
          <w:p w14:paraId="37E972FB"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r w:rsidRPr="00AC0617">
              <w:rPr>
                <w:rFonts w:ascii="Arial" w:eastAsia="Times New Roman" w:hAnsi="Arial" w:cs="Arial"/>
                <w:sz w:val="20"/>
              </w:rPr>
              <w:t>-</w:t>
            </w:r>
          </w:p>
        </w:tc>
      </w:tr>
      <w:tr w:rsidR="00891B3A" w:rsidRPr="00755BD6" w14:paraId="1C0DF533" w14:textId="77777777" w:rsidTr="00891B3A">
        <w:trPr>
          <w:trHeight w:val="170"/>
        </w:trPr>
        <w:tc>
          <w:tcPr>
            <w:tcW w:w="2951" w:type="pct"/>
            <w:tcBorders>
              <w:top w:val="single" w:sz="4" w:space="0" w:color="auto"/>
            </w:tcBorders>
            <w:tcMar>
              <w:top w:w="85" w:type="dxa"/>
              <w:left w:w="0" w:type="dxa"/>
              <w:bottom w:w="85" w:type="dxa"/>
              <w:right w:w="0" w:type="dxa"/>
            </w:tcMar>
          </w:tcPr>
          <w:p w14:paraId="48F4442B"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b/>
                <w:bCs/>
                <w:color w:val="000000"/>
                <w:sz w:val="20"/>
              </w:rPr>
            </w:pPr>
            <w:proofErr w:type="spellStart"/>
            <w:r w:rsidRPr="00AC0617">
              <w:rPr>
                <w:rFonts w:ascii="Arial" w:eastAsia="Times New Roman" w:hAnsi="Arial" w:cs="Arial"/>
                <w:b/>
                <w:bCs/>
                <w:color w:val="000000"/>
                <w:sz w:val="20"/>
              </w:rPr>
              <w:t>Unrealised</w:t>
            </w:r>
            <w:proofErr w:type="spellEnd"/>
          </w:p>
        </w:tc>
        <w:tc>
          <w:tcPr>
            <w:tcW w:w="984" w:type="pct"/>
            <w:tcBorders>
              <w:top w:val="single" w:sz="4" w:space="0" w:color="auto"/>
            </w:tcBorders>
          </w:tcPr>
          <w:p w14:paraId="5DE8047B"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p>
        </w:tc>
        <w:tc>
          <w:tcPr>
            <w:tcW w:w="1065" w:type="pct"/>
            <w:tcBorders>
              <w:top w:val="single" w:sz="4" w:space="0" w:color="auto"/>
            </w:tcBorders>
            <w:tcMar>
              <w:top w:w="85" w:type="dxa"/>
              <w:left w:w="0" w:type="dxa"/>
              <w:bottom w:w="85" w:type="dxa"/>
              <w:right w:w="0" w:type="dxa"/>
            </w:tcMar>
          </w:tcPr>
          <w:p w14:paraId="2900BAE0"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p>
        </w:tc>
      </w:tr>
      <w:tr w:rsidR="00891B3A" w:rsidRPr="00755BD6" w14:paraId="4DC7251E" w14:textId="77777777" w:rsidTr="00891B3A">
        <w:trPr>
          <w:trHeight w:val="170"/>
        </w:trPr>
        <w:tc>
          <w:tcPr>
            <w:tcW w:w="2951" w:type="pct"/>
            <w:tcMar>
              <w:top w:w="85" w:type="dxa"/>
              <w:left w:w="0" w:type="dxa"/>
              <w:bottom w:w="85" w:type="dxa"/>
              <w:right w:w="0" w:type="dxa"/>
            </w:tcMar>
          </w:tcPr>
          <w:p w14:paraId="5E84667D" w14:textId="2E1761FB" w:rsidR="00891B3A" w:rsidRPr="00AC0617" w:rsidRDefault="00BB5E30" w:rsidP="00891B3A">
            <w:pPr>
              <w:autoSpaceDE w:val="0"/>
              <w:adjustRightInd w:val="0"/>
              <w:spacing w:after="0" w:line="240" w:lineRule="auto"/>
              <w:jc w:val="both"/>
              <w:textAlignment w:val="center"/>
              <w:rPr>
                <w:rFonts w:ascii="Arial" w:eastAsia="Times New Roman" w:hAnsi="Arial" w:cs="Arial"/>
                <w:b/>
                <w:bCs/>
                <w:color w:val="000000"/>
                <w:sz w:val="20"/>
              </w:rPr>
            </w:pPr>
            <w:r>
              <w:rPr>
                <w:rFonts w:ascii="Arial" w:eastAsia="Times New Roman" w:hAnsi="Arial" w:cs="Arial"/>
                <w:color w:val="000000"/>
                <w:sz w:val="20"/>
              </w:rPr>
              <w:t xml:space="preserve"> </w:t>
            </w:r>
            <w:r w:rsidR="00891B3A" w:rsidRPr="00AC0617">
              <w:rPr>
                <w:rFonts w:ascii="Arial" w:eastAsia="Times New Roman" w:hAnsi="Arial" w:cs="Arial"/>
                <w:color w:val="000000"/>
                <w:sz w:val="20"/>
              </w:rPr>
              <w:t>Weber Capital Partners</w:t>
            </w:r>
          </w:p>
        </w:tc>
        <w:tc>
          <w:tcPr>
            <w:tcW w:w="984" w:type="pct"/>
          </w:tcPr>
          <w:p w14:paraId="185CB5C2"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r w:rsidRPr="00AC0617">
              <w:rPr>
                <w:rFonts w:ascii="Arial" w:hAnsi="Arial" w:cs="Arial"/>
                <w:b/>
                <w:bCs/>
                <w:sz w:val="20"/>
              </w:rPr>
              <w:t xml:space="preserve">552             </w:t>
            </w:r>
          </w:p>
        </w:tc>
        <w:tc>
          <w:tcPr>
            <w:tcW w:w="1065" w:type="pct"/>
            <w:tcMar>
              <w:top w:w="85" w:type="dxa"/>
              <w:left w:w="0" w:type="dxa"/>
              <w:bottom w:w="85" w:type="dxa"/>
              <w:right w:w="0" w:type="dxa"/>
            </w:tcMar>
          </w:tcPr>
          <w:p w14:paraId="37B59FFB" w14:textId="77777777" w:rsidR="00891B3A" w:rsidRPr="00AC0617" w:rsidRDefault="00891B3A" w:rsidP="00891B3A">
            <w:pPr>
              <w:autoSpaceDE w:val="0"/>
              <w:adjustRightInd w:val="0"/>
              <w:spacing w:after="0" w:line="240" w:lineRule="auto"/>
              <w:ind w:right="113"/>
              <w:jc w:val="right"/>
              <w:rPr>
                <w:rFonts w:ascii="Arial" w:eastAsia="Times New Roman" w:hAnsi="Arial" w:cs="Arial"/>
                <w:sz w:val="20"/>
              </w:rPr>
            </w:pPr>
            <w:r w:rsidRPr="00AC0617">
              <w:rPr>
                <w:rFonts w:ascii="Arial" w:eastAsia="Times New Roman" w:hAnsi="Arial" w:cs="Arial"/>
                <w:sz w:val="20"/>
              </w:rPr>
              <w:t>195</w:t>
            </w:r>
          </w:p>
        </w:tc>
      </w:tr>
      <w:tr w:rsidR="00891B3A" w:rsidRPr="00755BD6" w14:paraId="62CE1F63" w14:textId="77777777" w:rsidTr="00891B3A">
        <w:trPr>
          <w:trHeight w:val="170"/>
        </w:trPr>
        <w:tc>
          <w:tcPr>
            <w:tcW w:w="2951" w:type="pct"/>
            <w:tcMar>
              <w:top w:w="85" w:type="dxa"/>
              <w:left w:w="0" w:type="dxa"/>
              <w:bottom w:w="85" w:type="dxa"/>
              <w:right w:w="0" w:type="dxa"/>
            </w:tcMar>
          </w:tcPr>
          <w:p w14:paraId="6BE7CDEE" w14:textId="52169740" w:rsidR="00891B3A" w:rsidRPr="00AC0617" w:rsidRDefault="00BB5E30" w:rsidP="00891B3A">
            <w:pPr>
              <w:autoSpaceDE w:val="0"/>
              <w:adjustRightInd w:val="0"/>
              <w:spacing w:after="0" w:line="240" w:lineRule="auto"/>
              <w:jc w:val="both"/>
              <w:textAlignment w:val="center"/>
              <w:rPr>
                <w:rFonts w:ascii="Arial" w:eastAsia="Times New Roman" w:hAnsi="Arial" w:cs="Arial"/>
                <w:color w:val="000000"/>
                <w:sz w:val="20"/>
              </w:rPr>
            </w:pPr>
            <w:r>
              <w:rPr>
                <w:rFonts w:ascii="Arial" w:eastAsia="Times New Roman" w:hAnsi="Arial" w:cs="Arial"/>
                <w:color w:val="000000"/>
                <w:sz w:val="20"/>
              </w:rPr>
              <w:t xml:space="preserve"> </w:t>
            </w:r>
            <w:r w:rsidR="00891B3A" w:rsidRPr="00AC0617">
              <w:rPr>
                <w:rFonts w:ascii="Arial" w:eastAsia="Times New Roman" w:hAnsi="Arial" w:cs="Arial"/>
                <w:color w:val="000000"/>
                <w:sz w:val="20"/>
              </w:rPr>
              <w:t>Opus Capital Venture Partners</w:t>
            </w:r>
          </w:p>
        </w:tc>
        <w:tc>
          <w:tcPr>
            <w:tcW w:w="984" w:type="pct"/>
          </w:tcPr>
          <w:p w14:paraId="36D42217" w14:textId="77777777" w:rsidR="00891B3A" w:rsidRPr="00AC0617" w:rsidRDefault="00891B3A" w:rsidP="00891B3A">
            <w:pPr>
              <w:autoSpaceDE w:val="0"/>
              <w:adjustRightInd w:val="0"/>
              <w:spacing w:after="0" w:line="240" w:lineRule="auto"/>
              <w:ind w:right="113"/>
              <w:jc w:val="right"/>
              <w:rPr>
                <w:rFonts w:ascii="Arial" w:hAnsi="Arial" w:cs="Arial"/>
                <w:b/>
                <w:bCs/>
                <w:sz w:val="20"/>
              </w:rPr>
            </w:pPr>
            <w:r w:rsidRPr="00AC0617">
              <w:rPr>
                <w:rFonts w:ascii="Arial" w:hAnsi="Arial" w:cs="Arial"/>
                <w:b/>
                <w:bCs/>
                <w:sz w:val="20"/>
              </w:rPr>
              <w:t>422</w:t>
            </w:r>
          </w:p>
        </w:tc>
        <w:tc>
          <w:tcPr>
            <w:tcW w:w="1065" w:type="pct"/>
            <w:tcMar>
              <w:top w:w="85" w:type="dxa"/>
              <w:left w:w="0" w:type="dxa"/>
              <w:bottom w:w="85" w:type="dxa"/>
              <w:right w:w="0" w:type="dxa"/>
            </w:tcMar>
          </w:tcPr>
          <w:p w14:paraId="032CA54D" w14:textId="77777777" w:rsidR="00891B3A" w:rsidRPr="00AC0617" w:rsidRDefault="00891B3A" w:rsidP="00891B3A">
            <w:pPr>
              <w:autoSpaceDE w:val="0"/>
              <w:adjustRightInd w:val="0"/>
              <w:spacing w:after="0" w:line="240" w:lineRule="auto"/>
              <w:ind w:right="113"/>
              <w:jc w:val="right"/>
              <w:rPr>
                <w:rFonts w:ascii="Arial" w:eastAsia="Times New Roman" w:hAnsi="Arial" w:cs="Arial"/>
                <w:bCs/>
                <w:sz w:val="20"/>
              </w:rPr>
            </w:pPr>
            <w:r w:rsidRPr="00AC0617">
              <w:rPr>
                <w:rFonts w:ascii="Arial" w:eastAsia="Times New Roman" w:hAnsi="Arial" w:cs="Arial"/>
                <w:bCs/>
                <w:sz w:val="20"/>
              </w:rPr>
              <w:t>130</w:t>
            </w:r>
          </w:p>
        </w:tc>
      </w:tr>
      <w:tr w:rsidR="00891B3A" w:rsidRPr="00755BD6" w14:paraId="19606301" w14:textId="77777777" w:rsidTr="00891B3A">
        <w:trPr>
          <w:trHeight w:val="170"/>
        </w:trPr>
        <w:tc>
          <w:tcPr>
            <w:tcW w:w="2951" w:type="pct"/>
            <w:tcMar>
              <w:top w:w="85" w:type="dxa"/>
              <w:left w:w="0" w:type="dxa"/>
              <w:bottom w:w="85" w:type="dxa"/>
              <w:right w:w="0" w:type="dxa"/>
            </w:tcMar>
          </w:tcPr>
          <w:p w14:paraId="1896FD73"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r w:rsidRPr="00AC0617">
              <w:rPr>
                <w:rFonts w:ascii="Arial" w:eastAsia="Times New Roman" w:hAnsi="Arial" w:cs="Arial"/>
                <w:color w:val="000000"/>
                <w:sz w:val="20"/>
              </w:rPr>
              <w:t>Simmons Parallel Energy</w:t>
            </w:r>
          </w:p>
        </w:tc>
        <w:tc>
          <w:tcPr>
            <w:tcW w:w="984" w:type="pct"/>
          </w:tcPr>
          <w:p w14:paraId="7385DF25"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eastAsia="Times New Roman" w:hAnsi="Arial" w:cs="Arial"/>
                <w:b/>
                <w:sz w:val="20"/>
              </w:rPr>
            </w:pPr>
            <w:r w:rsidRPr="00AC0617">
              <w:rPr>
                <w:rFonts w:ascii="Arial" w:eastAsia="Times New Roman" w:hAnsi="Arial" w:cs="Arial"/>
                <w:b/>
                <w:sz w:val="20"/>
              </w:rPr>
              <w:t>48</w:t>
            </w:r>
          </w:p>
        </w:tc>
        <w:tc>
          <w:tcPr>
            <w:tcW w:w="1065" w:type="pct"/>
            <w:tcMar>
              <w:top w:w="85" w:type="dxa"/>
              <w:left w:w="0" w:type="dxa"/>
              <w:bottom w:w="85" w:type="dxa"/>
              <w:right w:w="0" w:type="dxa"/>
            </w:tcMar>
          </w:tcPr>
          <w:p w14:paraId="71CE7B62"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hAnsi="Arial" w:cs="Arial"/>
                <w:bCs/>
                <w:sz w:val="20"/>
              </w:rPr>
            </w:pPr>
            <w:r w:rsidRPr="00AC0617">
              <w:rPr>
                <w:rFonts w:ascii="Arial" w:eastAsia="Times New Roman" w:hAnsi="Arial" w:cs="Arial"/>
                <w:bCs/>
                <w:sz w:val="20"/>
              </w:rPr>
              <w:t>(89)</w:t>
            </w:r>
          </w:p>
        </w:tc>
      </w:tr>
      <w:tr w:rsidR="00891B3A" w:rsidRPr="00755BD6" w14:paraId="256203BF" w14:textId="77777777" w:rsidTr="00891B3A">
        <w:trPr>
          <w:trHeight w:val="170"/>
        </w:trPr>
        <w:tc>
          <w:tcPr>
            <w:tcW w:w="2951" w:type="pct"/>
            <w:tcMar>
              <w:top w:w="85" w:type="dxa"/>
              <w:left w:w="0" w:type="dxa"/>
              <w:bottom w:w="85" w:type="dxa"/>
              <w:right w:w="0" w:type="dxa"/>
            </w:tcMar>
          </w:tcPr>
          <w:p w14:paraId="21C2CF58"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r w:rsidRPr="00AC0617">
              <w:rPr>
                <w:rFonts w:ascii="Arial" w:eastAsia="Times New Roman" w:hAnsi="Arial" w:cs="Arial"/>
                <w:color w:val="000000"/>
                <w:sz w:val="20"/>
              </w:rPr>
              <w:t>Eden Ventures</w:t>
            </w:r>
          </w:p>
        </w:tc>
        <w:tc>
          <w:tcPr>
            <w:tcW w:w="984" w:type="pct"/>
          </w:tcPr>
          <w:p w14:paraId="49991C5D"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hAnsi="Arial" w:cs="Arial"/>
                <w:b/>
                <w:sz w:val="20"/>
              </w:rPr>
            </w:pPr>
            <w:r w:rsidRPr="00AC0617">
              <w:rPr>
                <w:rFonts w:ascii="Arial" w:hAnsi="Arial" w:cs="Arial"/>
                <w:b/>
                <w:sz w:val="20"/>
              </w:rPr>
              <w:t>122</w:t>
            </w:r>
          </w:p>
        </w:tc>
        <w:tc>
          <w:tcPr>
            <w:tcW w:w="1065" w:type="pct"/>
            <w:tcMar>
              <w:top w:w="85" w:type="dxa"/>
              <w:left w:w="0" w:type="dxa"/>
              <w:bottom w:w="85" w:type="dxa"/>
              <w:right w:w="0" w:type="dxa"/>
            </w:tcMar>
          </w:tcPr>
          <w:p w14:paraId="11E1FADF"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eastAsia="Times New Roman" w:hAnsi="Arial" w:cs="Arial"/>
                <w:bCs/>
                <w:sz w:val="20"/>
              </w:rPr>
            </w:pPr>
            <w:r w:rsidRPr="00AC0617">
              <w:rPr>
                <w:rFonts w:ascii="Arial" w:eastAsia="Times New Roman" w:hAnsi="Arial" w:cs="Arial"/>
                <w:bCs/>
                <w:sz w:val="20"/>
              </w:rPr>
              <w:t>(152)</w:t>
            </w:r>
          </w:p>
        </w:tc>
      </w:tr>
      <w:tr w:rsidR="00891B3A" w:rsidRPr="00755BD6" w14:paraId="3AA42595" w14:textId="77777777" w:rsidTr="00891B3A">
        <w:trPr>
          <w:trHeight w:val="170"/>
        </w:trPr>
        <w:tc>
          <w:tcPr>
            <w:tcW w:w="2951" w:type="pct"/>
            <w:tcMar>
              <w:top w:w="85" w:type="dxa"/>
              <w:left w:w="0" w:type="dxa"/>
              <w:bottom w:w="85" w:type="dxa"/>
              <w:right w:w="0" w:type="dxa"/>
            </w:tcMar>
          </w:tcPr>
          <w:p w14:paraId="3C367BD9"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r w:rsidRPr="00AC0617">
              <w:rPr>
                <w:rFonts w:ascii="Arial" w:eastAsia="Times New Roman" w:hAnsi="Arial" w:cs="Arial"/>
                <w:color w:val="000000"/>
                <w:sz w:val="20"/>
              </w:rPr>
              <w:t>Brockton Capital Fund I</w:t>
            </w:r>
          </w:p>
        </w:tc>
        <w:tc>
          <w:tcPr>
            <w:tcW w:w="984" w:type="pct"/>
          </w:tcPr>
          <w:p w14:paraId="1139F5EC"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eastAsia="Times New Roman" w:hAnsi="Arial" w:cs="Arial"/>
                <w:b/>
                <w:sz w:val="20"/>
              </w:rPr>
            </w:pPr>
            <w:r w:rsidRPr="00AC0617">
              <w:rPr>
                <w:rFonts w:ascii="Arial" w:eastAsia="Times New Roman" w:hAnsi="Arial" w:cs="Arial"/>
                <w:b/>
                <w:sz w:val="20"/>
              </w:rPr>
              <w:t>792</w:t>
            </w:r>
          </w:p>
        </w:tc>
        <w:tc>
          <w:tcPr>
            <w:tcW w:w="1065" w:type="pct"/>
            <w:tcMar>
              <w:top w:w="85" w:type="dxa"/>
              <w:left w:w="0" w:type="dxa"/>
              <w:bottom w:w="85" w:type="dxa"/>
              <w:right w:w="0" w:type="dxa"/>
            </w:tcMar>
          </w:tcPr>
          <w:p w14:paraId="779C1A26"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hAnsi="Arial" w:cs="Arial"/>
                <w:bCs/>
                <w:sz w:val="20"/>
              </w:rPr>
            </w:pPr>
            <w:r w:rsidRPr="00AC0617">
              <w:rPr>
                <w:rFonts w:ascii="Arial" w:eastAsia="Times New Roman" w:hAnsi="Arial" w:cs="Arial"/>
                <w:bCs/>
                <w:sz w:val="20"/>
              </w:rPr>
              <w:t>(1,669)</w:t>
            </w:r>
          </w:p>
        </w:tc>
      </w:tr>
      <w:tr w:rsidR="00891B3A" w:rsidRPr="00755BD6" w14:paraId="47442D15" w14:textId="77777777" w:rsidTr="00891B3A">
        <w:trPr>
          <w:trHeight w:val="170"/>
        </w:trPr>
        <w:tc>
          <w:tcPr>
            <w:tcW w:w="2951" w:type="pct"/>
            <w:tcMar>
              <w:top w:w="85" w:type="dxa"/>
              <w:left w:w="0" w:type="dxa"/>
              <w:bottom w:w="85" w:type="dxa"/>
              <w:right w:w="0" w:type="dxa"/>
            </w:tcMar>
          </w:tcPr>
          <w:p w14:paraId="46428FAF"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r w:rsidRPr="00AC0617">
              <w:rPr>
                <w:rFonts w:ascii="Arial" w:eastAsia="Times New Roman" w:hAnsi="Arial" w:cs="Arial"/>
                <w:color w:val="000000"/>
                <w:sz w:val="20"/>
              </w:rPr>
              <w:t>San Francisco Equity Partners</w:t>
            </w:r>
          </w:p>
        </w:tc>
        <w:tc>
          <w:tcPr>
            <w:tcW w:w="984" w:type="pct"/>
          </w:tcPr>
          <w:p w14:paraId="028EFC27" w14:textId="58290B31" w:rsidR="00891B3A" w:rsidRPr="00AC0617" w:rsidRDefault="00891B3A" w:rsidP="00891B3A">
            <w:pPr>
              <w:tabs>
                <w:tab w:val="decimal" w:pos="1134"/>
              </w:tabs>
              <w:autoSpaceDE w:val="0"/>
              <w:adjustRightInd w:val="0"/>
              <w:spacing w:after="0" w:line="240" w:lineRule="auto"/>
              <w:ind w:right="113"/>
              <w:jc w:val="right"/>
              <w:textAlignment w:val="center"/>
              <w:rPr>
                <w:rFonts w:ascii="Arial" w:eastAsia="Times New Roman" w:hAnsi="Arial" w:cs="Arial"/>
                <w:b/>
                <w:sz w:val="20"/>
              </w:rPr>
            </w:pPr>
            <w:r w:rsidRPr="00AC0617">
              <w:rPr>
                <w:rFonts w:ascii="Arial" w:eastAsia="Times New Roman" w:hAnsi="Arial" w:cs="Arial"/>
                <w:b/>
                <w:sz w:val="20"/>
              </w:rPr>
              <w:t>6</w:t>
            </w:r>
            <w:r w:rsidR="004A65A8">
              <w:rPr>
                <w:rFonts w:ascii="Arial" w:eastAsia="Times New Roman" w:hAnsi="Arial" w:cs="Arial"/>
                <w:b/>
                <w:sz w:val="20"/>
              </w:rPr>
              <w:t>4</w:t>
            </w:r>
          </w:p>
        </w:tc>
        <w:tc>
          <w:tcPr>
            <w:tcW w:w="1065" w:type="pct"/>
            <w:tcMar>
              <w:top w:w="85" w:type="dxa"/>
              <w:left w:w="0" w:type="dxa"/>
              <w:bottom w:w="85" w:type="dxa"/>
              <w:right w:w="0" w:type="dxa"/>
            </w:tcMar>
          </w:tcPr>
          <w:p w14:paraId="426C13E6"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hAnsi="Arial" w:cs="Arial"/>
                <w:bCs/>
                <w:sz w:val="20"/>
              </w:rPr>
            </w:pPr>
            <w:r w:rsidRPr="00AC0617">
              <w:rPr>
                <w:rFonts w:ascii="Arial" w:eastAsia="Times New Roman" w:hAnsi="Arial" w:cs="Arial"/>
                <w:bCs/>
                <w:sz w:val="20"/>
              </w:rPr>
              <w:t>(1,992)</w:t>
            </w:r>
          </w:p>
        </w:tc>
      </w:tr>
      <w:tr w:rsidR="00891B3A" w:rsidRPr="00755BD6" w14:paraId="047C21B1" w14:textId="77777777" w:rsidTr="00891B3A">
        <w:trPr>
          <w:trHeight w:val="170"/>
        </w:trPr>
        <w:tc>
          <w:tcPr>
            <w:tcW w:w="2951" w:type="pct"/>
            <w:tcMar>
              <w:top w:w="85" w:type="dxa"/>
              <w:left w:w="0" w:type="dxa"/>
              <w:bottom w:w="85" w:type="dxa"/>
              <w:right w:w="0" w:type="dxa"/>
            </w:tcMar>
          </w:tcPr>
          <w:p w14:paraId="1D8256E6"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r w:rsidRPr="00AC0617">
              <w:rPr>
                <w:rFonts w:ascii="Arial" w:eastAsia="Times New Roman" w:hAnsi="Arial" w:cs="Arial"/>
                <w:color w:val="000000"/>
                <w:sz w:val="20"/>
              </w:rPr>
              <w:t>Others (net)</w:t>
            </w:r>
          </w:p>
        </w:tc>
        <w:tc>
          <w:tcPr>
            <w:tcW w:w="984" w:type="pct"/>
          </w:tcPr>
          <w:p w14:paraId="2C4C67FC" w14:textId="6ADE7EC0" w:rsidR="00891B3A" w:rsidRPr="00AC0617" w:rsidRDefault="00891B3A" w:rsidP="00891B3A">
            <w:pPr>
              <w:tabs>
                <w:tab w:val="decimal" w:pos="1134"/>
              </w:tabs>
              <w:autoSpaceDE w:val="0"/>
              <w:adjustRightInd w:val="0"/>
              <w:spacing w:after="0" w:line="240" w:lineRule="auto"/>
              <w:ind w:right="113"/>
              <w:jc w:val="right"/>
              <w:textAlignment w:val="center"/>
              <w:rPr>
                <w:rFonts w:ascii="Arial" w:eastAsia="Times New Roman" w:hAnsi="Arial" w:cs="Arial"/>
                <w:b/>
                <w:sz w:val="20"/>
              </w:rPr>
            </w:pPr>
            <w:r w:rsidRPr="00AC0617">
              <w:rPr>
                <w:rFonts w:ascii="Arial" w:eastAsia="Times New Roman" w:hAnsi="Arial" w:cs="Arial"/>
                <w:b/>
                <w:sz w:val="20"/>
              </w:rPr>
              <w:t>(</w:t>
            </w:r>
            <w:r w:rsidR="00D67632">
              <w:rPr>
                <w:rFonts w:ascii="Arial" w:eastAsia="Times New Roman" w:hAnsi="Arial" w:cs="Arial"/>
                <w:b/>
                <w:sz w:val="20"/>
              </w:rPr>
              <w:t>4</w:t>
            </w:r>
            <w:r w:rsidRPr="00AC0617">
              <w:rPr>
                <w:rFonts w:ascii="Arial" w:eastAsia="Times New Roman" w:hAnsi="Arial" w:cs="Arial"/>
                <w:b/>
                <w:sz w:val="20"/>
              </w:rPr>
              <w:t>)</w:t>
            </w:r>
          </w:p>
        </w:tc>
        <w:tc>
          <w:tcPr>
            <w:tcW w:w="1065" w:type="pct"/>
            <w:tcMar>
              <w:top w:w="85" w:type="dxa"/>
              <w:left w:w="0" w:type="dxa"/>
              <w:bottom w:w="85" w:type="dxa"/>
              <w:right w:w="0" w:type="dxa"/>
            </w:tcMar>
          </w:tcPr>
          <w:p w14:paraId="0A3DEB64"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hAnsi="Arial" w:cs="Arial"/>
                <w:bCs/>
                <w:sz w:val="20"/>
              </w:rPr>
            </w:pPr>
            <w:r w:rsidRPr="00AC0617">
              <w:rPr>
                <w:rFonts w:ascii="Arial" w:eastAsia="Times New Roman" w:hAnsi="Arial" w:cs="Arial"/>
                <w:bCs/>
                <w:sz w:val="20"/>
              </w:rPr>
              <w:t>(375)</w:t>
            </w:r>
          </w:p>
        </w:tc>
      </w:tr>
      <w:tr w:rsidR="00891B3A" w:rsidRPr="00755BD6" w14:paraId="4AA547DD" w14:textId="77777777" w:rsidTr="00891B3A">
        <w:trPr>
          <w:trHeight w:val="170"/>
        </w:trPr>
        <w:tc>
          <w:tcPr>
            <w:tcW w:w="2951" w:type="pct"/>
            <w:tcBorders>
              <w:bottom w:val="single" w:sz="4" w:space="0" w:color="auto"/>
            </w:tcBorders>
            <w:tcMar>
              <w:top w:w="85" w:type="dxa"/>
              <w:left w:w="0" w:type="dxa"/>
              <w:bottom w:w="85" w:type="dxa"/>
              <w:right w:w="0" w:type="dxa"/>
            </w:tcMar>
          </w:tcPr>
          <w:p w14:paraId="292525EB" w14:textId="77777777"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proofErr w:type="spellStart"/>
            <w:r w:rsidRPr="00AC0617">
              <w:rPr>
                <w:rFonts w:ascii="Arial" w:eastAsia="Times New Roman" w:hAnsi="Arial" w:cs="Arial"/>
                <w:color w:val="000000"/>
                <w:sz w:val="20"/>
              </w:rPr>
              <w:t>Unrealised</w:t>
            </w:r>
            <w:proofErr w:type="spellEnd"/>
            <w:r w:rsidRPr="00AC0617">
              <w:rPr>
                <w:rFonts w:ascii="Arial" w:eastAsia="Times New Roman" w:hAnsi="Arial" w:cs="Arial"/>
                <w:color w:val="000000"/>
                <w:sz w:val="20"/>
              </w:rPr>
              <w:t xml:space="preserve"> foreign currency </w:t>
            </w:r>
            <w:r>
              <w:rPr>
                <w:rFonts w:ascii="Arial" w:eastAsia="Times New Roman" w:hAnsi="Arial" w:cs="Arial"/>
                <w:color w:val="000000"/>
                <w:sz w:val="20"/>
              </w:rPr>
              <w:t>(losses)/</w:t>
            </w:r>
            <w:r w:rsidRPr="00AC0617">
              <w:rPr>
                <w:rFonts w:ascii="Arial" w:eastAsia="Times New Roman" w:hAnsi="Arial" w:cs="Arial"/>
                <w:color w:val="000000"/>
                <w:sz w:val="20"/>
              </w:rPr>
              <w:t>gains</w:t>
            </w:r>
          </w:p>
        </w:tc>
        <w:tc>
          <w:tcPr>
            <w:tcW w:w="984" w:type="pct"/>
            <w:tcBorders>
              <w:bottom w:val="single" w:sz="4" w:space="0" w:color="auto"/>
            </w:tcBorders>
          </w:tcPr>
          <w:p w14:paraId="112C7F11"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eastAsia="Times New Roman" w:hAnsi="Arial" w:cs="Arial"/>
                <w:b/>
                <w:sz w:val="20"/>
              </w:rPr>
            </w:pPr>
            <w:r w:rsidRPr="00AC0617">
              <w:rPr>
                <w:rFonts w:ascii="Arial" w:eastAsia="Times New Roman" w:hAnsi="Arial" w:cs="Arial"/>
                <w:b/>
                <w:sz w:val="20"/>
              </w:rPr>
              <w:t>(119)</w:t>
            </w:r>
          </w:p>
        </w:tc>
        <w:tc>
          <w:tcPr>
            <w:tcW w:w="1065" w:type="pct"/>
            <w:tcBorders>
              <w:bottom w:val="single" w:sz="4" w:space="0" w:color="auto"/>
            </w:tcBorders>
            <w:tcMar>
              <w:top w:w="85" w:type="dxa"/>
              <w:left w:w="0" w:type="dxa"/>
              <w:bottom w:w="85" w:type="dxa"/>
              <w:right w:w="0" w:type="dxa"/>
            </w:tcMar>
          </w:tcPr>
          <w:p w14:paraId="731368B8"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hAnsi="Arial" w:cs="Arial"/>
                <w:bCs/>
                <w:sz w:val="20"/>
              </w:rPr>
            </w:pPr>
            <w:r w:rsidRPr="00AC0617">
              <w:rPr>
                <w:rFonts w:ascii="Arial" w:eastAsia="Times New Roman" w:hAnsi="Arial" w:cs="Arial"/>
                <w:bCs/>
                <w:sz w:val="20"/>
              </w:rPr>
              <w:t>502</w:t>
            </w:r>
          </w:p>
        </w:tc>
      </w:tr>
      <w:tr w:rsidR="00891B3A" w:rsidRPr="00755BD6" w14:paraId="60D4C7C9" w14:textId="77777777" w:rsidTr="00891B3A">
        <w:trPr>
          <w:trHeight w:val="170"/>
        </w:trPr>
        <w:tc>
          <w:tcPr>
            <w:tcW w:w="2951" w:type="pct"/>
            <w:tcBorders>
              <w:top w:val="single" w:sz="4" w:space="0" w:color="auto"/>
              <w:bottom w:val="single" w:sz="4" w:space="0" w:color="auto"/>
            </w:tcBorders>
            <w:tcMar>
              <w:top w:w="85" w:type="dxa"/>
              <w:left w:w="0" w:type="dxa"/>
              <w:bottom w:w="85" w:type="dxa"/>
              <w:right w:w="0" w:type="dxa"/>
            </w:tcMar>
            <w:vAlign w:val="bottom"/>
          </w:tcPr>
          <w:p w14:paraId="41C2CE37" w14:textId="311CF334" w:rsidR="00891B3A" w:rsidRPr="00AC0617" w:rsidRDefault="00891B3A" w:rsidP="00891B3A">
            <w:pPr>
              <w:autoSpaceDE w:val="0"/>
              <w:adjustRightInd w:val="0"/>
              <w:spacing w:after="0" w:line="240" w:lineRule="auto"/>
              <w:rPr>
                <w:rFonts w:ascii="Arial" w:eastAsia="Times New Roman" w:hAnsi="Arial" w:cs="Arial"/>
                <w:sz w:val="20"/>
              </w:rPr>
            </w:pPr>
          </w:p>
        </w:tc>
        <w:tc>
          <w:tcPr>
            <w:tcW w:w="984" w:type="pct"/>
            <w:tcBorders>
              <w:top w:val="single" w:sz="4" w:space="0" w:color="auto"/>
              <w:bottom w:val="single" w:sz="4" w:space="0" w:color="auto"/>
            </w:tcBorders>
          </w:tcPr>
          <w:p w14:paraId="376398D1" w14:textId="52EBC3F1" w:rsidR="00891B3A" w:rsidRPr="00AC0617" w:rsidRDefault="00B16B2F" w:rsidP="00B16B2F">
            <w:pPr>
              <w:tabs>
                <w:tab w:val="decimal" w:pos="1134"/>
              </w:tabs>
              <w:autoSpaceDE w:val="0"/>
              <w:adjustRightInd w:val="0"/>
              <w:spacing w:after="0" w:line="240" w:lineRule="auto"/>
              <w:ind w:right="113"/>
              <w:jc w:val="right"/>
              <w:textAlignment w:val="center"/>
              <w:rPr>
                <w:rFonts w:ascii="Arial" w:eastAsia="Times New Roman" w:hAnsi="Arial" w:cs="Arial"/>
                <w:b/>
                <w:sz w:val="20"/>
              </w:rPr>
            </w:pPr>
            <w:r w:rsidRPr="00AC0617">
              <w:rPr>
                <w:rFonts w:ascii="Arial" w:eastAsia="Times New Roman" w:hAnsi="Arial" w:cs="Arial"/>
                <w:b/>
                <w:sz w:val="20"/>
              </w:rPr>
              <w:t>1,</w:t>
            </w:r>
            <w:r w:rsidR="00D67632">
              <w:rPr>
                <w:rFonts w:ascii="Arial" w:eastAsia="Times New Roman" w:hAnsi="Arial" w:cs="Arial"/>
                <w:b/>
                <w:sz w:val="20"/>
              </w:rPr>
              <w:t>8</w:t>
            </w:r>
            <w:r>
              <w:rPr>
                <w:rFonts w:ascii="Arial" w:eastAsia="Times New Roman" w:hAnsi="Arial" w:cs="Arial"/>
                <w:b/>
                <w:sz w:val="20"/>
              </w:rPr>
              <w:t>77</w:t>
            </w:r>
          </w:p>
        </w:tc>
        <w:tc>
          <w:tcPr>
            <w:tcW w:w="1065" w:type="pct"/>
            <w:tcBorders>
              <w:top w:val="single" w:sz="4" w:space="0" w:color="auto"/>
              <w:bottom w:val="single" w:sz="4" w:space="0" w:color="auto"/>
            </w:tcBorders>
            <w:tcMar>
              <w:top w:w="85" w:type="dxa"/>
              <w:left w:w="0" w:type="dxa"/>
              <w:bottom w:w="85" w:type="dxa"/>
              <w:right w:w="0" w:type="dxa"/>
            </w:tcMar>
          </w:tcPr>
          <w:p w14:paraId="75D3FE6E" w14:textId="3B14AC70" w:rsidR="00891B3A" w:rsidRPr="00B16B2F" w:rsidRDefault="00891B3A" w:rsidP="00B16B2F">
            <w:pPr>
              <w:tabs>
                <w:tab w:val="decimal" w:pos="1134"/>
              </w:tabs>
              <w:autoSpaceDE w:val="0"/>
              <w:adjustRightInd w:val="0"/>
              <w:spacing w:after="0" w:line="240" w:lineRule="auto"/>
              <w:ind w:right="113"/>
              <w:jc w:val="right"/>
              <w:textAlignment w:val="center"/>
              <w:rPr>
                <w:rFonts w:ascii="Arial" w:eastAsia="Times New Roman" w:hAnsi="Arial" w:cs="Arial"/>
                <w:bCs/>
                <w:sz w:val="20"/>
              </w:rPr>
            </w:pPr>
            <w:r w:rsidRPr="00AC0617">
              <w:rPr>
                <w:rFonts w:ascii="Arial" w:eastAsia="Times New Roman" w:hAnsi="Arial" w:cs="Arial"/>
                <w:bCs/>
                <w:sz w:val="20"/>
              </w:rPr>
              <w:t>(3,450)</w:t>
            </w:r>
          </w:p>
        </w:tc>
      </w:tr>
      <w:tr w:rsidR="00891B3A" w:rsidRPr="00755BD6" w14:paraId="7B55502F" w14:textId="77777777" w:rsidTr="00B16067">
        <w:trPr>
          <w:trHeight w:val="19"/>
        </w:trPr>
        <w:tc>
          <w:tcPr>
            <w:tcW w:w="2951" w:type="pct"/>
            <w:tcBorders>
              <w:top w:val="single" w:sz="4" w:space="0" w:color="auto"/>
              <w:bottom w:val="single" w:sz="4" w:space="0" w:color="auto"/>
            </w:tcBorders>
            <w:tcMar>
              <w:top w:w="85" w:type="dxa"/>
              <w:left w:w="0" w:type="dxa"/>
              <w:bottom w:w="85" w:type="dxa"/>
              <w:right w:w="0" w:type="dxa"/>
            </w:tcMar>
            <w:vAlign w:val="bottom"/>
          </w:tcPr>
          <w:p w14:paraId="5E01444E" w14:textId="0B5B924A" w:rsidR="00891B3A" w:rsidRPr="00AC0617" w:rsidRDefault="00891B3A" w:rsidP="00891B3A">
            <w:pPr>
              <w:autoSpaceDE w:val="0"/>
              <w:adjustRightInd w:val="0"/>
              <w:spacing w:after="0" w:line="240" w:lineRule="auto"/>
              <w:ind w:left="71"/>
              <w:jc w:val="both"/>
              <w:textAlignment w:val="center"/>
              <w:rPr>
                <w:rFonts w:ascii="Arial" w:eastAsia="Times New Roman" w:hAnsi="Arial" w:cs="Arial"/>
                <w:color w:val="000000"/>
                <w:sz w:val="20"/>
              </w:rPr>
            </w:pPr>
            <w:r w:rsidRPr="00AC0617">
              <w:rPr>
                <w:rFonts w:ascii="Arial" w:eastAsia="Times New Roman" w:hAnsi="Arial" w:cs="Arial"/>
                <w:color w:val="000000"/>
                <w:sz w:val="20"/>
                <w:szCs w:val="20"/>
              </w:rPr>
              <w:t xml:space="preserve">Total net </w:t>
            </w:r>
            <w:r w:rsidR="00EA0E77">
              <w:rPr>
                <w:rFonts w:ascii="Arial" w:eastAsia="Times New Roman" w:hAnsi="Arial" w:cs="Arial"/>
                <w:color w:val="000000"/>
                <w:sz w:val="20"/>
                <w:szCs w:val="20"/>
              </w:rPr>
              <w:t>gain/(losses)</w:t>
            </w:r>
          </w:p>
        </w:tc>
        <w:tc>
          <w:tcPr>
            <w:tcW w:w="984" w:type="pct"/>
            <w:tcBorders>
              <w:top w:val="single" w:sz="4" w:space="0" w:color="auto"/>
              <w:bottom w:val="single" w:sz="4" w:space="0" w:color="auto"/>
            </w:tcBorders>
          </w:tcPr>
          <w:p w14:paraId="71A65FD1" w14:textId="5A9D9E06" w:rsidR="00891B3A" w:rsidRPr="00AC0617" w:rsidRDefault="00891B3A" w:rsidP="00891B3A">
            <w:pPr>
              <w:tabs>
                <w:tab w:val="decimal" w:pos="1134"/>
              </w:tabs>
              <w:autoSpaceDE w:val="0"/>
              <w:adjustRightInd w:val="0"/>
              <w:spacing w:after="0" w:line="240" w:lineRule="auto"/>
              <w:ind w:right="113"/>
              <w:jc w:val="right"/>
              <w:textAlignment w:val="center"/>
              <w:rPr>
                <w:rFonts w:ascii="Arial" w:eastAsia="Times New Roman" w:hAnsi="Arial" w:cs="Arial"/>
                <w:b/>
                <w:sz w:val="20"/>
              </w:rPr>
            </w:pPr>
            <w:r w:rsidRPr="00AC0617">
              <w:rPr>
                <w:rFonts w:ascii="Arial" w:eastAsia="Times New Roman" w:hAnsi="Arial" w:cs="Arial"/>
                <w:b/>
                <w:sz w:val="20"/>
              </w:rPr>
              <w:t>1,</w:t>
            </w:r>
            <w:r w:rsidR="00D67632">
              <w:rPr>
                <w:rFonts w:ascii="Arial" w:eastAsia="Times New Roman" w:hAnsi="Arial" w:cs="Arial"/>
                <w:b/>
                <w:sz w:val="20"/>
              </w:rPr>
              <w:t>8</w:t>
            </w:r>
            <w:r>
              <w:rPr>
                <w:rFonts w:ascii="Arial" w:eastAsia="Times New Roman" w:hAnsi="Arial" w:cs="Arial"/>
                <w:b/>
                <w:sz w:val="20"/>
              </w:rPr>
              <w:t>77</w:t>
            </w:r>
          </w:p>
        </w:tc>
        <w:tc>
          <w:tcPr>
            <w:tcW w:w="1065" w:type="pct"/>
            <w:tcBorders>
              <w:top w:val="single" w:sz="4" w:space="0" w:color="auto"/>
              <w:bottom w:val="single" w:sz="4" w:space="0" w:color="auto"/>
            </w:tcBorders>
            <w:tcMar>
              <w:top w:w="85" w:type="dxa"/>
              <w:left w:w="0" w:type="dxa"/>
              <w:bottom w:w="85" w:type="dxa"/>
              <w:right w:w="0" w:type="dxa"/>
            </w:tcMar>
            <w:vAlign w:val="center"/>
          </w:tcPr>
          <w:p w14:paraId="16B6BBF4" w14:textId="77777777" w:rsidR="00891B3A" w:rsidRPr="00AC0617" w:rsidRDefault="00891B3A" w:rsidP="00891B3A">
            <w:pPr>
              <w:tabs>
                <w:tab w:val="decimal" w:pos="1134"/>
              </w:tabs>
              <w:autoSpaceDE w:val="0"/>
              <w:adjustRightInd w:val="0"/>
              <w:spacing w:after="0" w:line="240" w:lineRule="auto"/>
              <w:ind w:right="113"/>
              <w:jc w:val="right"/>
              <w:textAlignment w:val="center"/>
              <w:rPr>
                <w:rFonts w:ascii="Arial" w:hAnsi="Arial" w:cs="Arial"/>
                <w:bCs/>
                <w:sz w:val="20"/>
              </w:rPr>
            </w:pPr>
            <w:r w:rsidRPr="00AC0617">
              <w:rPr>
                <w:rFonts w:ascii="Arial" w:eastAsia="Times New Roman" w:hAnsi="Arial" w:cs="Arial"/>
                <w:bCs/>
                <w:sz w:val="20"/>
              </w:rPr>
              <w:t>(3,450)</w:t>
            </w:r>
          </w:p>
        </w:tc>
      </w:tr>
      <w:tr w:rsidR="00B16067" w:rsidRPr="00755BD6" w14:paraId="3946295E" w14:textId="77777777" w:rsidTr="00B16067">
        <w:trPr>
          <w:trHeight w:val="19"/>
        </w:trPr>
        <w:tc>
          <w:tcPr>
            <w:tcW w:w="2951" w:type="pct"/>
            <w:tcBorders>
              <w:top w:val="single" w:sz="4" w:space="0" w:color="auto"/>
            </w:tcBorders>
            <w:tcMar>
              <w:top w:w="85" w:type="dxa"/>
              <w:left w:w="0" w:type="dxa"/>
              <w:bottom w:w="85" w:type="dxa"/>
              <w:right w:w="0" w:type="dxa"/>
            </w:tcMar>
            <w:vAlign w:val="bottom"/>
          </w:tcPr>
          <w:p w14:paraId="0DC38203" w14:textId="77777777" w:rsidR="00B16067" w:rsidRPr="00AC0617" w:rsidRDefault="00B16067" w:rsidP="00891B3A">
            <w:pPr>
              <w:autoSpaceDE w:val="0"/>
              <w:adjustRightInd w:val="0"/>
              <w:spacing w:after="0" w:line="240" w:lineRule="auto"/>
              <w:ind w:left="71"/>
              <w:jc w:val="both"/>
              <w:textAlignment w:val="center"/>
              <w:rPr>
                <w:rFonts w:ascii="Arial" w:eastAsia="Times New Roman" w:hAnsi="Arial" w:cs="Arial"/>
                <w:color w:val="000000"/>
                <w:sz w:val="20"/>
                <w:szCs w:val="20"/>
              </w:rPr>
            </w:pPr>
          </w:p>
        </w:tc>
        <w:tc>
          <w:tcPr>
            <w:tcW w:w="984" w:type="pct"/>
            <w:tcBorders>
              <w:top w:val="single" w:sz="4" w:space="0" w:color="auto"/>
            </w:tcBorders>
          </w:tcPr>
          <w:p w14:paraId="205F6909" w14:textId="77777777" w:rsidR="00B16067" w:rsidRPr="00AC0617" w:rsidRDefault="00B16067" w:rsidP="00891B3A">
            <w:pPr>
              <w:tabs>
                <w:tab w:val="decimal" w:pos="1134"/>
              </w:tabs>
              <w:autoSpaceDE w:val="0"/>
              <w:adjustRightInd w:val="0"/>
              <w:spacing w:after="0" w:line="240" w:lineRule="auto"/>
              <w:ind w:right="113"/>
              <w:jc w:val="right"/>
              <w:textAlignment w:val="center"/>
              <w:rPr>
                <w:rFonts w:ascii="Arial" w:eastAsia="Times New Roman" w:hAnsi="Arial" w:cs="Arial"/>
                <w:b/>
                <w:sz w:val="20"/>
              </w:rPr>
            </w:pPr>
          </w:p>
        </w:tc>
        <w:tc>
          <w:tcPr>
            <w:tcW w:w="1065" w:type="pct"/>
            <w:tcBorders>
              <w:top w:val="single" w:sz="4" w:space="0" w:color="auto"/>
            </w:tcBorders>
            <w:tcMar>
              <w:top w:w="85" w:type="dxa"/>
              <w:left w:w="0" w:type="dxa"/>
              <w:bottom w:w="85" w:type="dxa"/>
              <w:right w:w="0" w:type="dxa"/>
            </w:tcMar>
            <w:vAlign w:val="center"/>
          </w:tcPr>
          <w:p w14:paraId="074D3DBD" w14:textId="77777777" w:rsidR="00B16067" w:rsidRPr="00AC0617" w:rsidRDefault="00B16067" w:rsidP="00891B3A">
            <w:pPr>
              <w:tabs>
                <w:tab w:val="decimal" w:pos="1134"/>
              </w:tabs>
              <w:autoSpaceDE w:val="0"/>
              <w:adjustRightInd w:val="0"/>
              <w:spacing w:after="0" w:line="240" w:lineRule="auto"/>
              <w:ind w:right="113"/>
              <w:jc w:val="right"/>
              <w:textAlignment w:val="center"/>
              <w:rPr>
                <w:rFonts w:ascii="Arial" w:eastAsia="Times New Roman" w:hAnsi="Arial" w:cs="Arial"/>
                <w:bCs/>
                <w:sz w:val="20"/>
              </w:rPr>
            </w:pPr>
          </w:p>
        </w:tc>
      </w:tr>
    </w:tbl>
    <w:p w14:paraId="6E915327" w14:textId="77777777" w:rsidR="00891B3A" w:rsidRPr="00AC0617" w:rsidRDefault="00891B3A" w:rsidP="00891B3A">
      <w:pPr>
        <w:widowControl/>
        <w:shd w:val="clear" w:color="auto" w:fill="FFFFFF"/>
        <w:spacing w:after="0"/>
        <w:jc w:val="both"/>
        <w:rPr>
          <w:rFonts w:ascii="Arial" w:eastAsia="Times New Roman" w:hAnsi="Arial" w:cs="Arial"/>
          <w:lang w:val="en-GB" w:eastAsia="en-GB"/>
        </w:rPr>
      </w:pPr>
      <w:r w:rsidRPr="00AC0617">
        <w:rPr>
          <w:rFonts w:ascii="Arial" w:eastAsia="Times New Roman" w:hAnsi="Arial" w:cs="Arial"/>
          <w:lang w:val="en-GB" w:eastAsia="en-GB"/>
        </w:rPr>
        <w:lastRenderedPageBreak/>
        <w:t>LMS Capital is the majority investor in SFEP (as opposed to the other fund interests where the Company has only a minority stake).</w:t>
      </w:r>
    </w:p>
    <w:p w14:paraId="582FF99A" w14:textId="77777777" w:rsidR="00891B3A" w:rsidRPr="00AC0617" w:rsidRDefault="00891B3A" w:rsidP="00891B3A">
      <w:pPr>
        <w:widowControl/>
        <w:shd w:val="clear" w:color="auto" w:fill="FFFFFF"/>
        <w:spacing w:after="0"/>
        <w:jc w:val="both"/>
        <w:rPr>
          <w:rFonts w:ascii="Arial" w:eastAsia="Times New Roman" w:hAnsi="Arial" w:cs="Arial"/>
          <w:lang w:val="en-GB" w:eastAsia="en-GB"/>
        </w:rPr>
      </w:pPr>
    </w:p>
    <w:p w14:paraId="43875B4B" w14:textId="49445FAC" w:rsidR="00891B3A" w:rsidRPr="00AC0617" w:rsidRDefault="00891B3A" w:rsidP="00891B3A">
      <w:pPr>
        <w:widowControl/>
        <w:shd w:val="clear" w:color="auto" w:fill="FFFFFF"/>
        <w:spacing w:after="0"/>
        <w:jc w:val="both"/>
        <w:rPr>
          <w:rFonts w:ascii="Arial" w:eastAsia="Times New Roman" w:hAnsi="Arial" w:cs="Arial"/>
          <w:lang w:val="en-GB" w:eastAsia="en-GB"/>
        </w:rPr>
      </w:pPr>
      <w:r w:rsidRPr="00AC0617">
        <w:rPr>
          <w:rFonts w:ascii="Arial" w:eastAsia="Times New Roman" w:hAnsi="Arial" w:cs="Arial"/>
          <w:lang w:val="en-GB" w:eastAsia="en-GB"/>
        </w:rPr>
        <w:t xml:space="preserve">SFEP has one remaining investment, </w:t>
      </w:r>
      <w:proofErr w:type="spellStart"/>
      <w:r w:rsidRPr="00AC0617">
        <w:rPr>
          <w:rFonts w:ascii="Arial" w:eastAsia="Times New Roman" w:hAnsi="Arial" w:cs="Arial"/>
          <w:lang w:val="en-GB" w:eastAsia="en-GB"/>
        </w:rPr>
        <w:t>YesTo</w:t>
      </w:r>
      <w:proofErr w:type="spellEnd"/>
      <w:r w:rsidRPr="00AC0617">
        <w:rPr>
          <w:rFonts w:ascii="Arial" w:eastAsia="Times New Roman" w:hAnsi="Arial" w:cs="Arial"/>
          <w:lang w:val="en-GB" w:eastAsia="en-GB"/>
        </w:rPr>
        <w:t>.</w:t>
      </w:r>
    </w:p>
    <w:p w14:paraId="5C85249F" w14:textId="36D7AD07" w:rsidR="00891B3A" w:rsidRPr="00AC0617" w:rsidRDefault="00891B3A" w:rsidP="00891B3A">
      <w:pPr>
        <w:widowControl/>
        <w:numPr>
          <w:ilvl w:val="0"/>
          <w:numId w:val="4"/>
        </w:numPr>
        <w:shd w:val="clear" w:color="auto" w:fill="FFFFFF"/>
        <w:spacing w:after="0"/>
        <w:jc w:val="both"/>
        <w:rPr>
          <w:rFonts w:ascii="Arial" w:eastAsia="Times New Roman" w:hAnsi="Arial" w:cs="Arial"/>
          <w:lang w:val="en-GB" w:eastAsia="en-GB"/>
        </w:rPr>
      </w:pPr>
      <w:proofErr w:type="spellStart"/>
      <w:r w:rsidRPr="00AC0617">
        <w:rPr>
          <w:rFonts w:ascii="Arial" w:eastAsia="Times New Roman" w:hAnsi="Arial" w:cs="Arial"/>
          <w:lang w:val="en-GB" w:eastAsia="en-GB"/>
        </w:rPr>
        <w:t>YesTo</w:t>
      </w:r>
      <w:proofErr w:type="spellEnd"/>
      <w:r w:rsidRPr="00AC0617">
        <w:rPr>
          <w:rFonts w:ascii="Arial" w:eastAsia="Times New Roman" w:hAnsi="Arial" w:cs="Arial"/>
          <w:lang w:val="en-GB" w:eastAsia="en-GB"/>
        </w:rPr>
        <w:t xml:space="preserve"> – fund carrying value £0.7 million (31 December 2020: £0.</w:t>
      </w:r>
      <w:r w:rsidR="00F332CC">
        <w:rPr>
          <w:rFonts w:ascii="Arial" w:eastAsia="Times New Roman" w:hAnsi="Arial" w:cs="Arial"/>
          <w:lang w:val="en-GB" w:eastAsia="en-GB"/>
        </w:rPr>
        <w:t>6</w:t>
      </w:r>
      <w:r w:rsidRPr="00AC0617">
        <w:rPr>
          <w:rFonts w:ascii="Arial" w:eastAsia="Times New Roman" w:hAnsi="Arial" w:cs="Arial"/>
          <w:lang w:val="en-GB" w:eastAsia="en-GB"/>
        </w:rPr>
        <w:t xml:space="preserve"> million). A new management team was appointed in mid-2019 and is following a plan to restore growth and profitability. The company is valued primarily on a sales multiple. Based on current sales levels, LMS has attributed no value to its equity interest and has valued only its debt holding in </w:t>
      </w:r>
      <w:proofErr w:type="spellStart"/>
      <w:r w:rsidRPr="00AC0617">
        <w:rPr>
          <w:rFonts w:ascii="Arial" w:eastAsia="Times New Roman" w:hAnsi="Arial" w:cs="Arial"/>
          <w:lang w:val="en-GB" w:eastAsia="en-GB"/>
        </w:rPr>
        <w:t>YesTo</w:t>
      </w:r>
      <w:proofErr w:type="spellEnd"/>
      <w:r w:rsidRPr="00AC0617">
        <w:rPr>
          <w:rFonts w:ascii="Arial" w:eastAsia="Times New Roman" w:hAnsi="Arial" w:cs="Arial"/>
          <w:lang w:val="en-GB" w:eastAsia="en-GB"/>
        </w:rPr>
        <w:t>.</w:t>
      </w:r>
    </w:p>
    <w:p w14:paraId="7ADADD3F" w14:textId="77777777" w:rsidR="00891B3A" w:rsidRPr="00AC0617" w:rsidRDefault="00891B3A" w:rsidP="00891B3A">
      <w:pPr>
        <w:widowControl/>
        <w:shd w:val="clear" w:color="auto" w:fill="FFFFFF"/>
        <w:spacing w:after="0"/>
        <w:jc w:val="both"/>
        <w:rPr>
          <w:rFonts w:ascii="Arial" w:eastAsia="Times New Roman" w:hAnsi="Arial" w:cs="Arial"/>
          <w:lang w:val="en-GB" w:eastAsia="en-GB"/>
        </w:rPr>
      </w:pPr>
    </w:p>
    <w:p w14:paraId="53F1A849" w14:textId="0E3A2223" w:rsidR="00F332CC" w:rsidRDefault="00891B3A" w:rsidP="00F332CC">
      <w:pPr>
        <w:widowControl/>
        <w:shd w:val="clear" w:color="auto" w:fill="FFFFFF"/>
        <w:spacing w:after="0"/>
        <w:rPr>
          <w:rFonts w:ascii="Arial" w:eastAsia="Times New Roman" w:hAnsi="Arial" w:cs="Arial"/>
          <w:lang w:val="en-GB" w:eastAsia="en-GB"/>
        </w:rPr>
      </w:pPr>
      <w:r w:rsidRPr="00AC0617">
        <w:rPr>
          <w:rFonts w:ascii="Arial" w:eastAsia="Times New Roman" w:hAnsi="Arial" w:cs="Arial"/>
          <w:lang w:val="en-GB" w:eastAsia="en-GB"/>
        </w:rPr>
        <w:t>In addition</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to the</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 fund</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 investments </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noted </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above</w:t>
      </w:r>
      <w:r w:rsidR="001D5F44">
        <w:rPr>
          <w:rFonts w:ascii="Arial" w:eastAsia="Times New Roman" w:hAnsi="Arial" w:cs="Arial"/>
          <w:lang w:val="en-GB" w:eastAsia="en-GB"/>
        </w:rPr>
        <w:t>,</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 the </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Company </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has </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a </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directly </w:t>
      </w:r>
      <w:r w:rsidR="00F332CC">
        <w:rPr>
          <w:rFonts w:ascii="Arial" w:eastAsia="Times New Roman" w:hAnsi="Arial" w:cs="Arial"/>
          <w:lang w:val="en-GB" w:eastAsia="en-GB"/>
        </w:rPr>
        <w:t xml:space="preserve"> </w:t>
      </w:r>
      <w:r w:rsidRPr="00AC0617">
        <w:rPr>
          <w:rFonts w:ascii="Arial" w:eastAsia="Times New Roman" w:hAnsi="Arial" w:cs="Arial"/>
          <w:lang w:val="en-GB" w:eastAsia="en-GB"/>
        </w:rPr>
        <w:t xml:space="preserve">held </w:t>
      </w:r>
      <w:r w:rsidR="001D5F44">
        <w:rPr>
          <w:rFonts w:ascii="Arial" w:eastAsia="Times New Roman" w:hAnsi="Arial" w:cs="Arial"/>
          <w:lang w:val="en-GB" w:eastAsia="en-GB"/>
        </w:rPr>
        <w:t xml:space="preserve"> </w:t>
      </w:r>
    </w:p>
    <w:p w14:paraId="3966B2E6" w14:textId="59E134E5" w:rsidR="00891B3A" w:rsidRPr="00F332CC" w:rsidRDefault="00891B3A" w:rsidP="00F332CC">
      <w:pPr>
        <w:widowControl/>
        <w:shd w:val="clear" w:color="auto" w:fill="FFFFFF"/>
        <w:spacing w:after="0"/>
        <w:jc w:val="both"/>
        <w:rPr>
          <w:rFonts w:ascii="Arial" w:eastAsia="Times New Roman" w:hAnsi="Arial" w:cs="Arial"/>
          <w:lang w:val="en-GB" w:eastAsia="en-GB"/>
        </w:rPr>
      </w:pPr>
      <w:r w:rsidRPr="00AC0617">
        <w:rPr>
          <w:rFonts w:ascii="Arial" w:eastAsia="Times New Roman" w:hAnsi="Arial" w:cs="Arial"/>
          <w:lang w:val="en-GB" w:eastAsia="en-GB"/>
        </w:rPr>
        <w:t>co</w:t>
      </w:r>
      <w:r w:rsidR="001D5F44">
        <w:rPr>
          <w:rFonts w:ascii="Arial" w:eastAsia="Times New Roman" w:hAnsi="Arial" w:cs="Arial"/>
          <w:lang w:val="en-GB" w:eastAsia="en-GB"/>
        </w:rPr>
        <w:t>-</w:t>
      </w:r>
      <w:r w:rsidRPr="00AC0617">
        <w:rPr>
          <w:rFonts w:ascii="Arial" w:eastAsia="Times New Roman" w:hAnsi="Arial" w:cs="Arial"/>
          <w:lang w:val="en-GB" w:eastAsia="en-GB"/>
        </w:rPr>
        <w:t xml:space="preserve">investment in </w:t>
      </w:r>
      <w:proofErr w:type="spellStart"/>
      <w:r w:rsidRPr="00AC0617">
        <w:rPr>
          <w:rFonts w:ascii="Arial" w:eastAsia="Times New Roman" w:hAnsi="Arial" w:cs="Arial"/>
          <w:lang w:val="en-GB" w:eastAsia="en-GB"/>
        </w:rPr>
        <w:t>YesTo</w:t>
      </w:r>
      <w:proofErr w:type="spellEnd"/>
      <w:r w:rsidRPr="00AC0617">
        <w:rPr>
          <w:rFonts w:ascii="Arial" w:eastAsia="Times New Roman" w:hAnsi="Arial" w:cs="Arial"/>
          <w:lang w:val="en-GB" w:eastAsia="en-GB"/>
        </w:rPr>
        <w:t xml:space="preserve"> of £0.1 million (31 December 20</w:t>
      </w:r>
      <w:r w:rsidR="001D5F44">
        <w:rPr>
          <w:rFonts w:ascii="Arial" w:eastAsia="Times New Roman" w:hAnsi="Arial" w:cs="Arial"/>
          <w:lang w:val="en-GB" w:eastAsia="en-GB"/>
        </w:rPr>
        <w:t>20</w:t>
      </w:r>
      <w:r w:rsidRPr="00AC0617">
        <w:rPr>
          <w:rFonts w:ascii="Arial" w:eastAsia="Times New Roman" w:hAnsi="Arial" w:cs="Arial"/>
          <w:lang w:val="en-GB" w:eastAsia="en-GB"/>
        </w:rPr>
        <w:t xml:space="preserve">: £0.1 million). The Company’s total investment in </w:t>
      </w:r>
      <w:proofErr w:type="spellStart"/>
      <w:r w:rsidRPr="00AC0617">
        <w:rPr>
          <w:rFonts w:ascii="Arial" w:eastAsia="Times New Roman" w:hAnsi="Arial" w:cs="Arial"/>
          <w:lang w:val="en-GB" w:eastAsia="en-GB"/>
        </w:rPr>
        <w:t>YesTo</w:t>
      </w:r>
      <w:proofErr w:type="spellEnd"/>
      <w:r w:rsidRPr="00AC0617">
        <w:rPr>
          <w:rFonts w:ascii="Arial" w:eastAsia="Times New Roman" w:hAnsi="Arial" w:cs="Arial"/>
          <w:lang w:val="en-GB" w:eastAsia="en-GB"/>
        </w:rPr>
        <w:t xml:space="preserve"> at 30 June 202</w:t>
      </w:r>
      <w:r w:rsidR="001D5F44">
        <w:rPr>
          <w:rFonts w:ascii="Arial" w:eastAsia="Times New Roman" w:hAnsi="Arial" w:cs="Arial"/>
          <w:lang w:val="en-GB" w:eastAsia="en-GB"/>
        </w:rPr>
        <w:t>1</w:t>
      </w:r>
      <w:r w:rsidRPr="00AC0617">
        <w:rPr>
          <w:rFonts w:ascii="Arial" w:eastAsia="Times New Roman" w:hAnsi="Arial" w:cs="Arial"/>
          <w:lang w:val="en-GB" w:eastAsia="en-GB"/>
        </w:rPr>
        <w:t xml:space="preserve">, via its SFEP fund interest and its co-investment is £0.8 million (31 December </w:t>
      </w:r>
      <w:r w:rsidR="00EE0296">
        <w:rPr>
          <w:rFonts w:ascii="Arial" w:eastAsia="Times New Roman" w:hAnsi="Arial" w:cs="Arial"/>
          <w:lang w:val="en-GB" w:eastAsia="en-GB"/>
        </w:rPr>
        <w:t>2020</w:t>
      </w:r>
      <w:r w:rsidRPr="00AC0617">
        <w:rPr>
          <w:rFonts w:ascii="Arial" w:eastAsia="Times New Roman" w:hAnsi="Arial" w:cs="Arial"/>
          <w:lang w:val="en-GB" w:eastAsia="en-GB"/>
        </w:rPr>
        <w:t>: £0.</w:t>
      </w:r>
      <w:r w:rsidR="00EE0296">
        <w:rPr>
          <w:rFonts w:ascii="Arial" w:eastAsia="Times New Roman" w:hAnsi="Arial" w:cs="Arial"/>
          <w:lang w:val="en-GB" w:eastAsia="en-GB"/>
        </w:rPr>
        <w:t>7</w:t>
      </w:r>
      <w:r w:rsidRPr="00AC0617">
        <w:rPr>
          <w:rFonts w:ascii="Arial" w:eastAsia="Times New Roman" w:hAnsi="Arial" w:cs="Arial"/>
          <w:lang w:val="en-GB" w:eastAsia="en-GB"/>
        </w:rPr>
        <w:t xml:space="preserve"> million).</w:t>
      </w:r>
    </w:p>
    <w:p w14:paraId="33E9E285" w14:textId="77777777" w:rsidR="00891B3A" w:rsidRDefault="00891B3A" w:rsidP="00891B3A">
      <w:pPr>
        <w:widowControl/>
        <w:shd w:val="clear" w:color="auto" w:fill="FFFFFF"/>
        <w:spacing w:after="0"/>
        <w:jc w:val="both"/>
        <w:rPr>
          <w:rFonts w:ascii="Arial" w:eastAsia="Times New Roman" w:hAnsi="Arial" w:cs="Arial"/>
          <w:i/>
          <w:lang w:val="en-GB" w:eastAsia="en-GB"/>
        </w:rPr>
      </w:pPr>
    </w:p>
    <w:p w14:paraId="609F1892" w14:textId="77777777" w:rsidR="00891B3A" w:rsidRPr="00AC0617" w:rsidRDefault="00891B3A" w:rsidP="00891B3A">
      <w:pPr>
        <w:widowControl/>
        <w:shd w:val="clear" w:color="auto" w:fill="FFFFFF"/>
        <w:spacing w:after="0"/>
        <w:jc w:val="both"/>
        <w:rPr>
          <w:rFonts w:ascii="Arial" w:eastAsia="Times New Roman" w:hAnsi="Arial" w:cs="Arial"/>
          <w:i/>
          <w:lang w:val="en-GB" w:eastAsia="en-GB"/>
        </w:rPr>
      </w:pPr>
      <w:r w:rsidRPr="00AC0617">
        <w:rPr>
          <w:rFonts w:ascii="Arial" w:eastAsia="Times New Roman" w:hAnsi="Arial" w:cs="Arial"/>
          <w:i/>
          <w:lang w:val="en-GB" w:eastAsia="en-GB"/>
        </w:rPr>
        <w:t>Other fund interests</w:t>
      </w:r>
    </w:p>
    <w:p w14:paraId="527E71D4" w14:textId="77777777" w:rsidR="00891B3A" w:rsidRPr="00AC0617" w:rsidRDefault="00891B3A" w:rsidP="00891B3A">
      <w:pPr>
        <w:widowControl/>
        <w:numPr>
          <w:ilvl w:val="0"/>
          <w:numId w:val="5"/>
        </w:numPr>
        <w:shd w:val="clear" w:color="auto" w:fill="FFFFFF"/>
        <w:spacing w:after="0"/>
        <w:jc w:val="both"/>
        <w:rPr>
          <w:rFonts w:ascii="Arial" w:eastAsia="Times New Roman" w:hAnsi="Arial" w:cs="Arial"/>
          <w:lang w:val="en-GB" w:eastAsia="en-GB"/>
        </w:rPr>
      </w:pPr>
      <w:r w:rsidRPr="00AC0617">
        <w:rPr>
          <w:rFonts w:ascii="Arial" w:eastAsia="Times New Roman" w:hAnsi="Arial" w:cs="Arial"/>
          <w:lang w:val="en-GB" w:eastAsia="en-GB"/>
        </w:rPr>
        <w:t>Eden Ventures – Eden has now sold all but one of its assets. The unrealised gain reflects primarily the increase in value of its sole remaining asset;</w:t>
      </w:r>
    </w:p>
    <w:p w14:paraId="57E1B538" w14:textId="647D658B" w:rsidR="00891B3A" w:rsidRPr="00AC0617" w:rsidRDefault="00891B3A" w:rsidP="00891B3A">
      <w:pPr>
        <w:widowControl/>
        <w:numPr>
          <w:ilvl w:val="0"/>
          <w:numId w:val="6"/>
        </w:numPr>
        <w:shd w:val="clear" w:color="auto" w:fill="FFFFFF"/>
        <w:spacing w:after="0"/>
        <w:jc w:val="both"/>
        <w:rPr>
          <w:rFonts w:ascii="Arial" w:eastAsia="Times New Roman" w:hAnsi="Arial" w:cs="Arial"/>
          <w:lang w:val="en-GB" w:eastAsia="en-GB"/>
        </w:rPr>
      </w:pPr>
      <w:r w:rsidRPr="00AC0617">
        <w:rPr>
          <w:rFonts w:ascii="Arial" w:eastAsia="Times New Roman" w:hAnsi="Arial" w:cs="Arial"/>
          <w:lang w:val="en-GB" w:eastAsia="en-GB"/>
        </w:rPr>
        <w:t xml:space="preserve">Brockton Capital Fund I –The Company’s investment represents its share (via the Brockton Fund) of preferred debt investments in “High End” central London residential development. The investment showed an increase in the valuation for the six months ended 30 June 2021 primarily </w:t>
      </w:r>
      <w:r w:rsidR="00600399" w:rsidRPr="00600399">
        <w:rPr>
          <w:rFonts w:ascii="Arial" w:eastAsia="Times New Roman" w:hAnsi="Arial" w:cs="Arial"/>
          <w:lang w:val="en-GB" w:eastAsia="en-GB"/>
        </w:rPr>
        <w:t>due to the unwinding of the discount rate as the investment</w:t>
      </w:r>
      <w:r w:rsidRPr="00AC0617">
        <w:rPr>
          <w:rFonts w:ascii="Arial" w:eastAsia="Times New Roman" w:hAnsi="Arial" w:cs="Arial"/>
          <w:lang w:val="en-GB" w:eastAsia="en-GB"/>
        </w:rPr>
        <w:t xml:space="preserve"> is valued on a discounted cash flow basis;</w:t>
      </w:r>
    </w:p>
    <w:p w14:paraId="08F21212" w14:textId="39AD78BD" w:rsidR="00891B3A" w:rsidRPr="00AC0617" w:rsidRDefault="00891B3A" w:rsidP="00891B3A">
      <w:pPr>
        <w:widowControl/>
        <w:numPr>
          <w:ilvl w:val="0"/>
          <w:numId w:val="6"/>
        </w:numPr>
        <w:shd w:val="clear" w:color="auto" w:fill="FFFFFF"/>
        <w:spacing w:after="0"/>
        <w:jc w:val="both"/>
        <w:rPr>
          <w:rFonts w:ascii="Arial" w:eastAsia="Times New Roman" w:hAnsi="Arial" w:cs="Arial"/>
          <w:lang w:val="en-GB" w:eastAsia="en-GB"/>
        </w:rPr>
      </w:pPr>
      <w:r w:rsidRPr="00AC0617">
        <w:rPr>
          <w:rFonts w:ascii="Arial" w:eastAsia="Times New Roman" w:hAnsi="Arial" w:cs="Arial"/>
          <w:lang w:val="en-GB" w:eastAsia="en-GB"/>
        </w:rPr>
        <w:t xml:space="preserve">Weber Capital holds US publicly traded mid-cap securities and showed an unrealised gain of £0.6 million </w:t>
      </w:r>
      <w:r w:rsidR="00E23088">
        <w:rPr>
          <w:rFonts w:ascii="Arial" w:eastAsia="Times New Roman" w:hAnsi="Arial" w:cs="Arial"/>
          <w:lang w:val="en-GB" w:eastAsia="en-GB"/>
        </w:rPr>
        <w:t>reflecting</w:t>
      </w:r>
      <w:r w:rsidRPr="00AC0617">
        <w:rPr>
          <w:rFonts w:ascii="Arial" w:eastAsia="Times New Roman" w:hAnsi="Arial" w:cs="Arial"/>
          <w:lang w:val="en-GB" w:eastAsia="en-GB"/>
        </w:rPr>
        <w:t xml:space="preserve"> an increase in the underlying equity prices; and</w:t>
      </w:r>
    </w:p>
    <w:p w14:paraId="49ABDF28" w14:textId="77777777" w:rsidR="00891B3A" w:rsidRPr="00AC0617" w:rsidRDefault="00891B3A" w:rsidP="00891B3A">
      <w:pPr>
        <w:widowControl/>
        <w:numPr>
          <w:ilvl w:val="0"/>
          <w:numId w:val="6"/>
        </w:numPr>
        <w:shd w:val="clear" w:color="auto" w:fill="FFFFFF"/>
        <w:spacing w:after="0"/>
        <w:jc w:val="both"/>
        <w:rPr>
          <w:rFonts w:ascii="Arial" w:hAnsi="Arial" w:cs="Arial"/>
        </w:rPr>
      </w:pPr>
      <w:r w:rsidRPr="00AC0617">
        <w:rPr>
          <w:rFonts w:ascii="Arial" w:eastAsia="Times New Roman" w:hAnsi="Arial" w:cs="Arial"/>
          <w:lang w:val="en-GB" w:eastAsia="en-GB"/>
        </w:rPr>
        <w:t>Opus Capital, a US venture fund, showed an unrealised gain of £0.4 million from improvements in its main assets.</w:t>
      </w:r>
    </w:p>
    <w:p w14:paraId="619CD839" w14:textId="77777777" w:rsidR="00891B3A" w:rsidRPr="00AC0617" w:rsidRDefault="00891B3A" w:rsidP="00891B3A">
      <w:pPr>
        <w:widowControl/>
        <w:shd w:val="clear" w:color="auto" w:fill="FFFFFF"/>
        <w:spacing w:after="0"/>
        <w:ind w:left="720"/>
        <w:jc w:val="both"/>
        <w:rPr>
          <w:rFonts w:ascii="Arial" w:eastAsia="Times New Roman" w:hAnsi="Arial" w:cs="Arial"/>
          <w:i/>
          <w:lang w:val="en-GB" w:eastAsia="en-GB"/>
        </w:rPr>
      </w:pPr>
    </w:p>
    <w:p w14:paraId="591FE29D" w14:textId="77777777" w:rsidR="00891B3A" w:rsidRPr="00AC0617" w:rsidRDefault="00891B3A" w:rsidP="00891B3A">
      <w:pPr>
        <w:widowControl/>
        <w:spacing w:after="0"/>
        <w:jc w:val="both"/>
        <w:rPr>
          <w:rFonts w:ascii="Arial" w:eastAsia="Times New Roman" w:hAnsi="Arial" w:cs="Arial"/>
          <w:b/>
          <w:lang w:val="en-GB" w:eastAsia="en-GB"/>
        </w:rPr>
      </w:pPr>
      <w:r w:rsidRPr="00AC0617">
        <w:rPr>
          <w:rFonts w:ascii="Arial" w:eastAsia="Times New Roman" w:hAnsi="Arial" w:cs="Arial"/>
          <w:b/>
          <w:lang w:val="en-GB" w:eastAsia="en-GB"/>
        </w:rPr>
        <w:t>Overhead costs</w:t>
      </w:r>
    </w:p>
    <w:p w14:paraId="37458E0F" w14:textId="18E99EDE" w:rsidR="00891B3A" w:rsidRPr="00AC0617"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t xml:space="preserve">Overheads for the six months to 30 June 2021 (including amounts incurred by subsidiaries) were </w:t>
      </w:r>
      <w:bookmarkStart w:id="2" w:name="_Hlk47143504"/>
      <w:r w:rsidRPr="00AC0617">
        <w:rPr>
          <w:rFonts w:ascii="Arial" w:hAnsi="Arial" w:cs="Arial"/>
          <w:lang w:val="en-GB"/>
        </w:rPr>
        <w:t>£</w:t>
      </w:r>
      <w:bookmarkEnd w:id="2"/>
      <w:r w:rsidRPr="00AC0617">
        <w:rPr>
          <w:rFonts w:ascii="Arial" w:eastAsia="Times New Roman" w:hAnsi="Arial" w:cs="Arial"/>
          <w:lang w:val="en-GB" w:eastAsia="en-GB"/>
        </w:rPr>
        <w:t xml:space="preserve">1.0 million (six months to 30 June 2020: </w:t>
      </w:r>
      <w:r w:rsidRPr="00AC0617">
        <w:rPr>
          <w:rFonts w:ascii="Arial" w:hAnsi="Arial" w:cs="Arial"/>
          <w:lang w:val="en-GB"/>
        </w:rPr>
        <w:t>£</w:t>
      </w:r>
      <w:r w:rsidRPr="00AC0617">
        <w:rPr>
          <w:rFonts w:ascii="Arial" w:eastAsia="Times New Roman" w:hAnsi="Arial" w:cs="Arial"/>
          <w:lang w:val="en-GB" w:eastAsia="en-GB"/>
        </w:rPr>
        <w:t>0.9 million) and include £0.</w:t>
      </w:r>
      <w:r w:rsidR="00E71C3B">
        <w:rPr>
          <w:rFonts w:ascii="Arial" w:eastAsia="Times New Roman" w:hAnsi="Arial" w:cs="Arial"/>
          <w:lang w:val="en-GB" w:eastAsia="en-GB"/>
        </w:rPr>
        <w:t>9</w:t>
      </w:r>
      <w:r w:rsidRPr="00AC0617">
        <w:rPr>
          <w:rFonts w:ascii="Arial" w:eastAsia="Times New Roman" w:hAnsi="Arial" w:cs="Arial"/>
          <w:lang w:val="en-GB" w:eastAsia="en-GB"/>
        </w:rPr>
        <w:t xml:space="preserve"> million of running costs and £0.1 million of investment related costs.</w:t>
      </w:r>
    </w:p>
    <w:p w14:paraId="026793F2" w14:textId="77777777" w:rsidR="00891B3A" w:rsidRPr="00AC0617" w:rsidRDefault="00891B3A" w:rsidP="00891B3A">
      <w:pPr>
        <w:widowControl/>
        <w:spacing w:after="0"/>
        <w:jc w:val="both"/>
        <w:rPr>
          <w:rFonts w:ascii="Arial" w:eastAsia="Times New Roman" w:hAnsi="Arial" w:cs="Arial"/>
          <w:b/>
          <w:lang w:val="en-GB" w:eastAsia="en-GB"/>
        </w:rPr>
      </w:pPr>
    </w:p>
    <w:p w14:paraId="5AA34AC2" w14:textId="77777777" w:rsidR="00891B3A" w:rsidRPr="00AC0617" w:rsidRDefault="00891B3A" w:rsidP="00891B3A">
      <w:pPr>
        <w:widowControl/>
        <w:spacing w:after="0"/>
        <w:jc w:val="both"/>
        <w:rPr>
          <w:rFonts w:ascii="Arial" w:eastAsia="Times New Roman" w:hAnsi="Arial" w:cs="Arial"/>
          <w:b/>
          <w:lang w:val="en-GB" w:eastAsia="en-GB"/>
        </w:rPr>
      </w:pPr>
      <w:r w:rsidRPr="00AC0617">
        <w:rPr>
          <w:rFonts w:ascii="Arial" w:eastAsia="Times New Roman" w:hAnsi="Arial" w:cs="Arial"/>
          <w:b/>
          <w:lang w:val="en-GB" w:eastAsia="en-GB"/>
        </w:rPr>
        <w:t>Taxation</w:t>
      </w:r>
    </w:p>
    <w:p w14:paraId="4577D5E3" w14:textId="4428F658" w:rsidR="00891B3A" w:rsidRPr="00AC0617" w:rsidRDefault="00891B3A" w:rsidP="00891B3A">
      <w:pPr>
        <w:widowControl/>
        <w:spacing w:after="0"/>
        <w:jc w:val="both"/>
        <w:rPr>
          <w:rFonts w:ascii="Arial" w:eastAsia="Times New Roman" w:hAnsi="Arial" w:cs="Arial"/>
          <w:lang w:val="en-GB" w:eastAsia="en-GB"/>
        </w:rPr>
      </w:pPr>
      <w:r w:rsidRPr="00AC0617">
        <w:rPr>
          <w:rFonts w:ascii="Arial" w:eastAsia="Times New Roman" w:hAnsi="Arial" w:cs="Arial"/>
          <w:lang w:val="en-GB" w:eastAsia="en-GB"/>
        </w:rPr>
        <w:t xml:space="preserve">The Group </w:t>
      </w:r>
      <w:r w:rsidR="001C433D">
        <w:rPr>
          <w:rFonts w:ascii="Arial" w:eastAsia="Times New Roman" w:hAnsi="Arial" w:cs="Arial"/>
          <w:lang w:val="en-GB" w:eastAsia="en-GB"/>
        </w:rPr>
        <w:t xml:space="preserve">corporation </w:t>
      </w:r>
      <w:r w:rsidRPr="00AC0617">
        <w:rPr>
          <w:rFonts w:ascii="Arial" w:eastAsia="Times New Roman" w:hAnsi="Arial" w:cs="Arial"/>
          <w:lang w:val="en-GB" w:eastAsia="en-GB"/>
        </w:rPr>
        <w:t xml:space="preserve">tax charge for the </w:t>
      </w:r>
      <w:r w:rsidR="001C5014">
        <w:rPr>
          <w:rFonts w:ascii="Arial" w:eastAsia="Times New Roman" w:hAnsi="Arial" w:cs="Arial"/>
          <w:lang w:val="en-GB" w:eastAsia="en-GB"/>
        </w:rPr>
        <w:t>period</w:t>
      </w:r>
      <w:r w:rsidRPr="00AC0617">
        <w:rPr>
          <w:rFonts w:ascii="Arial" w:eastAsia="Times New Roman" w:hAnsi="Arial" w:cs="Arial"/>
          <w:lang w:val="en-GB" w:eastAsia="en-GB"/>
        </w:rPr>
        <w:t xml:space="preserve"> is £</w:t>
      </w:r>
      <w:r w:rsidR="00F82E91">
        <w:rPr>
          <w:rFonts w:ascii="Arial" w:eastAsia="Times New Roman" w:hAnsi="Arial" w:cs="Arial"/>
          <w:lang w:val="en-GB" w:eastAsia="en-GB"/>
        </w:rPr>
        <w:t>0.1</w:t>
      </w:r>
      <w:r w:rsidRPr="00AC0617">
        <w:rPr>
          <w:rFonts w:ascii="Arial" w:eastAsia="Times New Roman" w:hAnsi="Arial" w:cs="Arial"/>
          <w:lang w:val="en-GB" w:eastAsia="en-GB"/>
        </w:rPr>
        <w:t xml:space="preserve"> million (2020: £0.3 million).</w:t>
      </w:r>
    </w:p>
    <w:p w14:paraId="2155350A" w14:textId="77777777" w:rsidR="00891B3A" w:rsidRPr="00AC0617" w:rsidRDefault="00891B3A" w:rsidP="00891B3A">
      <w:pPr>
        <w:widowControl/>
        <w:spacing w:after="0"/>
        <w:jc w:val="both"/>
        <w:rPr>
          <w:rFonts w:ascii="Arial" w:eastAsia="Times New Roman" w:hAnsi="Arial" w:cs="Arial"/>
          <w:lang w:val="en-GB" w:eastAsia="en-GB"/>
        </w:rPr>
      </w:pPr>
    </w:p>
    <w:p w14:paraId="5CE096B9" w14:textId="77777777" w:rsidR="00891B3A" w:rsidRPr="00AC0617" w:rsidRDefault="00891B3A" w:rsidP="00891B3A">
      <w:pPr>
        <w:widowControl/>
        <w:spacing w:after="0"/>
        <w:jc w:val="both"/>
        <w:rPr>
          <w:rFonts w:ascii="Arial" w:hAnsi="Arial" w:cs="Arial"/>
          <w:b/>
          <w:lang w:val="en-GB"/>
        </w:rPr>
      </w:pPr>
      <w:r w:rsidRPr="00AC0617">
        <w:rPr>
          <w:rFonts w:ascii="Arial" w:hAnsi="Arial" w:cs="Arial"/>
          <w:b/>
          <w:lang w:val="en-GB"/>
        </w:rPr>
        <w:t>Financial resources and commitments</w:t>
      </w:r>
    </w:p>
    <w:p w14:paraId="2F032C19" w14:textId="2A9AF403" w:rsidR="00891B3A" w:rsidRPr="00AC0617" w:rsidRDefault="00891B3A" w:rsidP="00891B3A">
      <w:pPr>
        <w:widowControl/>
        <w:spacing w:after="0"/>
        <w:jc w:val="both"/>
        <w:rPr>
          <w:rFonts w:ascii="Arial" w:hAnsi="Arial" w:cs="Arial"/>
          <w:lang w:val="en-GB"/>
        </w:rPr>
      </w:pPr>
      <w:r w:rsidRPr="00AC0617">
        <w:rPr>
          <w:rFonts w:ascii="Arial" w:hAnsi="Arial" w:cs="Arial"/>
          <w:lang w:val="en-GB"/>
        </w:rPr>
        <w:t>At 30 June 2021 cash holdings, including cash in subsidiaries, were £21.4</w:t>
      </w:r>
      <w:r w:rsidRPr="00AC0617">
        <w:rPr>
          <w:rFonts w:ascii="Arial" w:eastAsia="Times New Roman" w:hAnsi="Arial" w:cs="Arial"/>
          <w:lang w:val="en-GB" w:eastAsia="en-GB"/>
        </w:rPr>
        <w:t xml:space="preserve"> million</w:t>
      </w:r>
      <w:r w:rsidRPr="00AC0617">
        <w:rPr>
          <w:rFonts w:ascii="Arial" w:hAnsi="Arial" w:cs="Arial"/>
          <w:lang w:val="en-GB"/>
        </w:rPr>
        <w:t xml:space="preserve"> (31</w:t>
      </w:r>
      <w:r w:rsidR="005F6830" w:rsidRPr="005F6830">
        <w:rPr>
          <w:rFonts w:ascii="Arial" w:hAnsi="Arial" w:cs="Arial"/>
          <w:color w:val="FFFFFF" w:themeColor="background1"/>
          <w:lang w:val="en-GB"/>
        </w:rPr>
        <w:t>x</w:t>
      </w:r>
      <w:r w:rsidRPr="00AC0617">
        <w:rPr>
          <w:rFonts w:ascii="Arial" w:hAnsi="Arial" w:cs="Arial"/>
          <w:lang w:val="en-GB"/>
        </w:rPr>
        <w:t>December 2020: £</w:t>
      </w:r>
      <w:r w:rsidRPr="00AC0617">
        <w:rPr>
          <w:rFonts w:ascii="Arial" w:eastAsia="Times New Roman" w:hAnsi="Arial" w:cs="Arial"/>
          <w:lang w:val="en-GB" w:eastAsia="en-GB"/>
        </w:rPr>
        <w:t>20.6 million) and neither the Company nor any of its subsidiaries had any debt.</w:t>
      </w:r>
      <w:r w:rsidRPr="00AC0617">
        <w:rPr>
          <w:rFonts w:ascii="Arial" w:hAnsi="Arial" w:cs="Arial"/>
          <w:lang w:val="en-GB"/>
        </w:rPr>
        <w:t xml:space="preserve"> </w:t>
      </w:r>
    </w:p>
    <w:p w14:paraId="27BF7C59" w14:textId="77777777" w:rsidR="00891B3A" w:rsidRPr="00AC0617" w:rsidRDefault="00891B3A" w:rsidP="00891B3A">
      <w:pPr>
        <w:widowControl/>
        <w:spacing w:after="0"/>
        <w:jc w:val="both"/>
        <w:rPr>
          <w:rFonts w:ascii="Arial" w:eastAsia="Times New Roman" w:hAnsi="Arial" w:cs="Arial"/>
          <w:lang w:val="en-GB" w:eastAsia="en-GB"/>
        </w:rPr>
      </w:pPr>
    </w:p>
    <w:p w14:paraId="78121DD2" w14:textId="77777777" w:rsidR="00891B3A" w:rsidRPr="00AC0617" w:rsidRDefault="00891B3A" w:rsidP="00891B3A">
      <w:pPr>
        <w:widowControl/>
        <w:spacing w:after="0"/>
        <w:jc w:val="both"/>
        <w:rPr>
          <w:rFonts w:ascii="Arial" w:hAnsi="Arial" w:cs="Arial"/>
          <w:lang w:val="en-GB"/>
        </w:rPr>
      </w:pPr>
      <w:r w:rsidRPr="00AC0617">
        <w:rPr>
          <w:rFonts w:ascii="Arial" w:hAnsi="Arial" w:cs="Arial"/>
          <w:lang w:val="en-GB"/>
        </w:rPr>
        <w:t>At 30 June 2021, subsidiary Companies had commitments of £2.7 million (31 December 2020: £2.7 million) to meet outstanding capital calls from fund interests.</w:t>
      </w:r>
    </w:p>
    <w:p w14:paraId="6A0F0A08" w14:textId="77777777" w:rsidR="00891B3A" w:rsidRPr="00AC0617" w:rsidRDefault="00891B3A" w:rsidP="00891B3A">
      <w:pPr>
        <w:widowControl/>
        <w:shd w:val="clear" w:color="auto" w:fill="FFFFFF"/>
        <w:spacing w:after="0"/>
        <w:jc w:val="both"/>
        <w:rPr>
          <w:rFonts w:ascii="Arial" w:eastAsia="Times New Roman" w:hAnsi="Arial" w:cs="Arial"/>
          <w:lang w:val="en-GB" w:eastAsia="en-GB"/>
        </w:rPr>
      </w:pPr>
    </w:p>
    <w:p w14:paraId="5E16C635" w14:textId="77777777" w:rsidR="00891B3A" w:rsidRPr="00AC0617" w:rsidRDefault="00891B3A" w:rsidP="00891B3A">
      <w:pPr>
        <w:widowControl/>
        <w:spacing w:after="0"/>
        <w:jc w:val="both"/>
        <w:rPr>
          <w:rFonts w:ascii="Arial" w:eastAsia="Times New Roman" w:hAnsi="Arial" w:cs="Arial"/>
          <w:lang w:val="en-GB" w:eastAsia="en-GB"/>
        </w:rPr>
      </w:pPr>
    </w:p>
    <w:p w14:paraId="2ABED412" w14:textId="77777777" w:rsidR="00891B3A" w:rsidRPr="00AC0617" w:rsidRDefault="00891B3A" w:rsidP="00891B3A">
      <w:pPr>
        <w:widowControl/>
        <w:spacing w:after="0"/>
        <w:jc w:val="both"/>
        <w:rPr>
          <w:rFonts w:ascii="Arial" w:eastAsia="Times New Roman" w:hAnsi="Arial" w:cs="Arial"/>
          <w:b/>
          <w:lang w:val="en-GB" w:eastAsia="en-GB"/>
        </w:rPr>
      </w:pPr>
      <w:r w:rsidRPr="00AC0617">
        <w:rPr>
          <w:rFonts w:ascii="Arial" w:eastAsia="Times New Roman" w:hAnsi="Arial" w:cs="Arial"/>
          <w:b/>
          <w:lang w:val="en-GB" w:eastAsia="en-GB"/>
        </w:rPr>
        <w:t>LMS Capital plc</w:t>
      </w:r>
    </w:p>
    <w:p w14:paraId="515940B2" w14:textId="2CB5E52D" w:rsidR="00891B3A" w:rsidRPr="00AD5414" w:rsidRDefault="00807F3C" w:rsidP="00AD5414">
      <w:pPr>
        <w:widowControl/>
        <w:spacing w:after="0"/>
        <w:jc w:val="both"/>
        <w:rPr>
          <w:rFonts w:ascii="Arial" w:eastAsia="Times New Roman" w:hAnsi="Arial" w:cs="Arial"/>
          <w:b/>
          <w:lang w:val="en-GB" w:eastAsia="en-GB"/>
        </w:rPr>
      </w:pPr>
      <w:r>
        <w:rPr>
          <w:rFonts w:ascii="Arial" w:eastAsia="Times New Roman" w:hAnsi="Arial" w:cs="Arial"/>
          <w:b/>
          <w:lang w:val="en-GB" w:eastAsia="en-GB"/>
        </w:rPr>
        <w:t>2</w:t>
      </w:r>
      <w:r w:rsidR="00891B3A" w:rsidRPr="00AC0617">
        <w:rPr>
          <w:rFonts w:ascii="Arial" w:eastAsia="Times New Roman" w:hAnsi="Arial" w:cs="Arial"/>
          <w:b/>
          <w:lang w:val="en-GB" w:eastAsia="en-GB"/>
        </w:rPr>
        <w:t xml:space="preserve"> August 202</w:t>
      </w:r>
      <w:r w:rsidR="00AD5414">
        <w:rPr>
          <w:rFonts w:ascii="Arial" w:eastAsia="Times New Roman" w:hAnsi="Arial" w:cs="Arial"/>
          <w:b/>
          <w:lang w:val="en-GB" w:eastAsia="en-GB"/>
        </w:rPr>
        <w:t>1</w:t>
      </w:r>
    </w:p>
    <w:p w14:paraId="5BD81BD5" w14:textId="77777777" w:rsidR="00891B3A" w:rsidRPr="00C67A93" w:rsidRDefault="00891B3A" w:rsidP="00891B3A">
      <w:pPr>
        <w:pageBreakBefore/>
        <w:widowControl/>
        <w:shd w:val="clear" w:color="auto" w:fill="FFFFFF"/>
        <w:suppressAutoHyphens w:val="0"/>
        <w:spacing w:after="160" w:line="240" w:lineRule="auto"/>
        <w:rPr>
          <w:rFonts w:ascii="Arial" w:hAnsi="Arial" w:cs="Arial"/>
          <w:sz w:val="30"/>
          <w:szCs w:val="30"/>
        </w:rPr>
      </w:pPr>
      <w:r w:rsidRPr="00C67A93">
        <w:rPr>
          <w:rFonts w:ascii="Arial" w:hAnsi="Arial" w:cs="Arial"/>
          <w:b/>
          <w:bCs/>
          <w:w w:val="125"/>
          <w:sz w:val="30"/>
          <w:szCs w:val="30"/>
        </w:rPr>
        <w:lastRenderedPageBreak/>
        <w:t>Condensed Income Statement</w:t>
      </w:r>
    </w:p>
    <w:p w14:paraId="0CB0A647" w14:textId="77777777" w:rsidR="00891B3A" w:rsidRPr="00C67A93" w:rsidRDefault="00891B3A" w:rsidP="00891B3A">
      <w:pPr>
        <w:shd w:val="clear" w:color="auto" w:fill="FFFFFF"/>
        <w:spacing w:before="10" w:line="180" w:lineRule="exact"/>
        <w:rPr>
          <w:rFonts w:ascii="Arial" w:hAnsi="Arial" w:cs="Arial"/>
        </w:rPr>
      </w:pPr>
    </w:p>
    <w:tbl>
      <w:tblPr>
        <w:tblW w:w="9134" w:type="dxa"/>
        <w:tblInd w:w="108" w:type="dxa"/>
        <w:tblLook w:val="04A0" w:firstRow="1" w:lastRow="0" w:firstColumn="1" w:lastColumn="0" w:noHBand="0" w:noVBand="1"/>
      </w:tblPr>
      <w:tblGrid>
        <w:gridCol w:w="4964"/>
        <w:gridCol w:w="863"/>
        <w:gridCol w:w="1533"/>
        <w:gridCol w:w="1774"/>
      </w:tblGrid>
      <w:tr w:rsidR="00891B3A" w:rsidRPr="00C67A93" w14:paraId="28905816" w14:textId="77777777" w:rsidTr="00891B3A">
        <w:trPr>
          <w:trHeight w:val="255"/>
        </w:trPr>
        <w:tc>
          <w:tcPr>
            <w:tcW w:w="4964" w:type="dxa"/>
            <w:tcBorders>
              <w:top w:val="nil"/>
              <w:left w:val="nil"/>
              <w:right w:val="nil"/>
            </w:tcBorders>
            <w:shd w:val="clear" w:color="000000" w:fill="FFFFFF"/>
            <w:noWrap/>
            <w:vAlign w:val="bottom"/>
            <w:hideMark/>
          </w:tcPr>
          <w:p w14:paraId="6FE7BAD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 </w:t>
            </w:r>
          </w:p>
        </w:tc>
        <w:tc>
          <w:tcPr>
            <w:tcW w:w="863" w:type="dxa"/>
            <w:tcBorders>
              <w:top w:val="nil"/>
              <w:left w:val="nil"/>
              <w:right w:val="nil"/>
            </w:tcBorders>
            <w:shd w:val="clear" w:color="000000" w:fill="FFFFFF"/>
            <w:noWrap/>
            <w:vAlign w:val="bottom"/>
            <w:hideMark/>
          </w:tcPr>
          <w:p w14:paraId="27F7F47F"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3307" w:type="dxa"/>
            <w:gridSpan w:val="2"/>
            <w:tcBorders>
              <w:top w:val="nil"/>
              <w:left w:val="nil"/>
              <w:bottom w:val="single" w:sz="4" w:space="0" w:color="auto"/>
              <w:right w:val="nil"/>
            </w:tcBorders>
            <w:shd w:val="clear" w:color="auto" w:fill="auto"/>
            <w:noWrap/>
            <w:vAlign w:val="center"/>
            <w:hideMark/>
          </w:tcPr>
          <w:p w14:paraId="6E6B61B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Six months ended 30 June</w:t>
            </w:r>
          </w:p>
        </w:tc>
      </w:tr>
      <w:tr w:rsidR="00891B3A" w:rsidRPr="00C67A93" w14:paraId="7E16A1A3" w14:textId="77777777" w:rsidTr="00891B3A">
        <w:trPr>
          <w:trHeight w:val="255"/>
        </w:trPr>
        <w:tc>
          <w:tcPr>
            <w:tcW w:w="4964" w:type="dxa"/>
            <w:tcBorders>
              <w:top w:val="nil"/>
              <w:left w:val="nil"/>
              <w:bottom w:val="nil"/>
              <w:right w:val="nil"/>
            </w:tcBorders>
            <w:shd w:val="clear" w:color="000000" w:fill="FFFFFF"/>
            <w:noWrap/>
            <w:vAlign w:val="bottom"/>
            <w:hideMark/>
          </w:tcPr>
          <w:p w14:paraId="44901D3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 </w:t>
            </w:r>
          </w:p>
        </w:tc>
        <w:tc>
          <w:tcPr>
            <w:tcW w:w="863" w:type="dxa"/>
            <w:tcBorders>
              <w:top w:val="nil"/>
              <w:left w:val="nil"/>
              <w:bottom w:val="nil"/>
              <w:right w:val="nil"/>
            </w:tcBorders>
            <w:shd w:val="clear" w:color="000000" w:fill="FFFFFF"/>
            <w:vAlign w:val="bottom"/>
            <w:hideMark/>
          </w:tcPr>
          <w:p w14:paraId="67BE471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 </w:t>
            </w:r>
          </w:p>
        </w:tc>
        <w:tc>
          <w:tcPr>
            <w:tcW w:w="1533" w:type="dxa"/>
            <w:tcBorders>
              <w:top w:val="nil"/>
              <w:left w:val="nil"/>
              <w:bottom w:val="nil"/>
              <w:right w:val="nil"/>
            </w:tcBorders>
            <w:shd w:val="clear" w:color="auto" w:fill="FDE9D9" w:themeFill="accent6" w:themeFillTint="33"/>
            <w:vAlign w:val="bottom"/>
          </w:tcPr>
          <w:p w14:paraId="09B9EAF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2021</w:t>
            </w:r>
          </w:p>
        </w:tc>
        <w:tc>
          <w:tcPr>
            <w:tcW w:w="1774" w:type="dxa"/>
            <w:tcBorders>
              <w:top w:val="nil"/>
              <w:left w:val="nil"/>
              <w:bottom w:val="nil"/>
              <w:right w:val="nil"/>
            </w:tcBorders>
            <w:shd w:val="clear" w:color="000000" w:fill="FFFFFF"/>
            <w:vAlign w:val="bottom"/>
            <w:hideMark/>
          </w:tcPr>
          <w:p w14:paraId="3C78B72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2020</w:t>
            </w:r>
          </w:p>
        </w:tc>
      </w:tr>
      <w:tr w:rsidR="00891B3A" w:rsidRPr="00C67A93" w14:paraId="36D49A48" w14:textId="77777777" w:rsidTr="00891B3A">
        <w:trPr>
          <w:trHeight w:val="255"/>
        </w:trPr>
        <w:tc>
          <w:tcPr>
            <w:tcW w:w="4964" w:type="dxa"/>
            <w:tcBorders>
              <w:top w:val="nil"/>
              <w:left w:val="nil"/>
              <w:bottom w:val="single" w:sz="4" w:space="0" w:color="auto"/>
              <w:right w:val="nil"/>
            </w:tcBorders>
            <w:shd w:val="clear" w:color="000000" w:fill="FFFFFF"/>
            <w:noWrap/>
            <w:vAlign w:val="bottom"/>
            <w:hideMark/>
          </w:tcPr>
          <w:p w14:paraId="4543E7F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63" w:type="dxa"/>
            <w:tcBorders>
              <w:top w:val="nil"/>
              <w:left w:val="nil"/>
              <w:bottom w:val="single" w:sz="4" w:space="0" w:color="auto"/>
              <w:right w:val="nil"/>
            </w:tcBorders>
            <w:shd w:val="clear" w:color="000000" w:fill="FFFFFF"/>
            <w:vAlign w:val="bottom"/>
            <w:hideMark/>
          </w:tcPr>
          <w:p w14:paraId="592600F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Notes</w:t>
            </w:r>
          </w:p>
        </w:tc>
        <w:tc>
          <w:tcPr>
            <w:tcW w:w="1533" w:type="dxa"/>
            <w:tcBorders>
              <w:top w:val="nil"/>
              <w:left w:val="nil"/>
              <w:bottom w:val="single" w:sz="4" w:space="0" w:color="auto"/>
              <w:right w:val="nil"/>
            </w:tcBorders>
            <w:shd w:val="clear" w:color="auto" w:fill="FDE9D9" w:themeFill="accent6" w:themeFillTint="33"/>
            <w:vAlign w:val="bottom"/>
          </w:tcPr>
          <w:p w14:paraId="21FFB33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£'000</w:t>
            </w:r>
          </w:p>
        </w:tc>
        <w:tc>
          <w:tcPr>
            <w:tcW w:w="1774" w:type="dxa"/>
            <w:tcBorders>
              <w:top w:val="nil"/>
              <w:left w:val="nil"/>
              <w:bottom w:val="single" w:sz="4" w:space="0" w:color="auto"/>
              <w:right w:val="nil"/>
            </w:tcBorders>
            <w:shd w:val="clear" w:color="000000" w:fill="FFFFFF"/>
            <w:vAlign w:val="bottom"/>
            <w:hideMark/>
          </w:tcPr>
          <w:p w14:paraId="698BE4C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£'000</w:t>
            </w:r>
          </w:p>
        </w:tc>
      </w:tr>
      <w:tr w:rsidR="00891B3A" w:rsidRPr="00C67A93" w14:paraId="1AB4C2D5" w14:textId="77777777" w:rsidTr="00891B3A">
        <w:trPr>
          <w:trHeight w:val="255"/>
        </w:trPr>
        <w:tc>
          <w:tcPr>
            <w:tcW w:w="4964" w:type="dxa"/>
            <w:tcBorders>
              <w:top w:val="nil"/>
              <w:left w:val="nil"/>
              <w:bottom w:val="nil"/>
              <w:right w:val="nil"/>
            </w:tcBorders>
            <w:shd w:val="clear" w:color="000000" w:fill="FFFFFF"/>
            <w:noWrap/>
            <w:vAlign w:val="bottom"/>
            <w:hideMark/>
          </w:tcPr>
          <w:p w14:paraId="152F9CE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63" w:type="dxa"/>
            <w:tcBorders>
              <w:top w:val="nil"/>
              <w:left w:val="nil"/>
              <w:bottom w:val="nil"/>
              <w:right w:val="nil"/>
            </w:tcBorders>
            <w:shd w:val="clear" w:color="000000" w:fill="FFFFFF"/>
            <w:vAlign w:val="bottom"/>
            <w:hideMark/>
          </w:tcPr>
          <w:p w14:paraId="5EA29D6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 </w:t>
            </w:r>
          </w:p>
        </w:tc>
        <w:tc>
          <w:tcPr>
            <w:tcW w:w="1533" w:type="dxa"/>
            <w:tcBorders>
              <w:top w:val="nil"/>
              <w:left w:val="nil"/>
              <w:bottom w:val="nil"/>
              <w:right w:val="nil"/>
            </w:tcBorders>
            <w:shd w:val="clear" w:color="auto" w:fill="FDE9D9" w:themeFill="accent6" w:themeFillTint="33"/>
            <w:vAlign w:val="bottom"/>
          </w:tcPr>
          <w:p w14:paraId="1F7DA30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774" w:type="dxa"/>
            <w:tcBorders>
              <w:top w:val="nil"/>
              <w:left w:val="nil"/>
              <w:bottom w:val="nil"/>
              <w:right w:val="nil"/>
            </w:tcBorders>
            <w:shd w:val="clear" w:color="000000" w:fill="FFFFFF"/>
            <w:vAlign w:val="bottom"/>
            <w:hideMark/>
          </w:tcPr>
          <w:p w14:paraId="31E4343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629C75EC" w14:textId="77777777" w:rsidTr="00891B3A">
        <w:trPr>
          <w:trHeight w:val="300"/>
        </w:trPr>
        <w:tc>
          <w:tcPr>
            <w:tcW w:w="4964" w:type="dxa"/>
            <w:tcBorders>
              <w:top w:val="nil"/>
              <w:left w:val="nil"/>
              <w:bottom w:val="nil"/>
              <w:right w:val="nil"/>
            </w:tcBorders>
            <w:shd w:val="clear" w:color="000000" w:fill="FFFFFF"/>
            <w:noWrap/>
            <w:vAlign w:val="bottom"/>
            <w:hideMark/>
          </w:tcPr>
          <w:p w14:paraId="23A32179"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Net gains/(losses) on investments</w:t>
            </w:r>
          </w:p>
        </w:tc>
        <w:tc>
          <w:tcPr>
            <w:tcW w:w="863" w:type="dxa"/>
            <w:tcBorders>
              <w:top w:val="nil"/>
              <w:left w:val="nil"/>
              <w:bottom w:val="nil"/>
              <w:right w:val="nil"/>
            </w:tcBorders>
            <w:shd w:val="clear" w:color="000000" w:fill="FFFFFF"/>
            <w:noWrap/>
            <w:vAlign w:val="bottom"/>
          </w:tcPr>
          <w:p w14:paraId="4447EC5C"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2</w:t>
            </w:r>
          </w:p>
        </w:tc>
        <w:tc>
          <w:tcPr>
            <w:tcW w:w="1533" w:type="dxa"/>
            <w:tcBorders>
              <w:top w:val="nil"/>
              <w:left w:val="nil"/>
              <w:right w:val="nil"/>
            </w:tcBorders>
            <w:shd w:val="clear" w:color="auto" w:fill="FDE9D9" w:themeFill="accent6" w:themeFillTint="33"/>
            <w:vAlign w:val="bottom"/>
          </w:tcPr>
          <w:p w14:paraId="16435141" w14:textId="6DB5E0EA"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9</w:t>
            </w:r>
            <w:r w:rsidR="00416165">
              <w:rPr>
                <w:rFonts w:ascii="Arial" w:eastAsia="Times New Roman" w:hAnsi="Arial" w:cs="Arial"/>
                <w:b/>
                <w:bCs/>
                <w:sz w:val="20"/>
                <w:szCs w:val="20"/>
                <w:lang w:val="en-SG" w:eastAsia="en-SG"/>
              </w:rPr>
              <w:t>74</w:t>
            </w:r>
          </w:p>
        </w:tc>
        <w:tc>
          <w:tcPr>
            <w:tcW w:w="1774" w:type="dxa"/>
            <w:tcBorders>
              <w:top w:val="nil"/>
              <w:left w:val="nil"/>
              <w:right w:val="nil"/>
            </w:tcBorders>
            <w:shd w:val="clear" w:color="000000" w:fill="FFFFFF"/>
            <w:vAlign w:val="bottom"/>
            <w:hideMark/>
          </w:tcPr>
          <w:p w14:paraId="2F90D73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(4,796)</w:t>
            </w:r>
          </w:p>
        </w:tc>
      </w:tr>
      <w:tr w:rsidR="00891B3A" w:rsidRPr="00C67A93" w14:paraId="7FE95A47" w14:textId="77777777" w:rsidTr="00891B3A">
        <w:trPr>
          <w:trHeight w:val="300"/>
        </w:trPr>
        <w:tc>
          <w:tcPr>
            <w:tcW w:w="4964" w:type="dxa"/>
            <w:tcBorders>
              <w:top w:val="nil"/>
              <w:left w:val="nil"/>
              <w:bottom w:val="nil"/>
              <w:right w:val="nil"/>
            </w:tcBorders>
            <w:shd w:val="clear" w:color="000000" w:fill="FFFFFF"/>
            <w:noWrap/>
            <w:vAlign w:val="bottom"/>
            <w:hideMark/>
          </w:tcPr>
          <w:p w14:paraId="2764D9F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Interest income</w:t>
            </w:r>
          </w:p>
        </w:tc>
        <w:tc>
          <w:tcPr>
            <w:tcW w:w="863" w:type="dxa"/>
            <w:tcBorders>
              <w:top w:val="nil"/>
              <w:left w:val="nil"/>
              <w:bottom w:val="nil"/>
              <w:right w:val="nil"/>
            </w:tcBorders>
            <w:shd w:val="clear" w:color="000000" w:fill="FFFFFF"/>
            <w:noWrap/>
            <w:vAlign w:val="bottom"/>
          </w:tcPr>
          <w:p w14:paraId="630BB765"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right w:val="nil"/>
            </w:tcBorders>
            <w:shd w:val="clear" w:color="auto" w:fill="FDE9D9" w:themeFill="accent6" w:themeFillTint="33"/>
            <w:vAlign w:val="bottom"/>
          </w:tcPr>
          <w:p w14:paraId="53877A8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22</w:t>
            </w:r>
          </w:p>
        </w:tc>
        <w:tc>
          <w:tcPr>
            <w:tcW w:w="1774" w:type="dxa"/>
            <w:tcBorders>
              <w:top w:val="nil"/>
              <w:left w:val="nil"/>
              <w:right w:val="nil"/>
            </w:tcBorders>
            <w:shd w:val="clear" w:color="000000" w:fill="FFFFFF"/>
            <w:vAlign w:val="bottom"/>
            <w:hideMark/>
          </w:tcPr>
          <w:p w14:paraId="0F7468E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66</w:t>
            </w:r>
          </w:p>
        </w:tc>
      </w:tr>
      <w:tr w:rsidR="00891B3A" w:rsidRPr="00C67A93" w14:paraId="4862F87C" w14:textId="77777777" w:rsidTr="00891B3A">
        <w:trPr>
          <w:trHeight w:val="300"/>
        </w:trPr>
        <w:tc>
          <w:tcPr>
            <w:tcW w:w="4964" w:type="dxa"/>
            <w:tcBorders>
              <w:top w:val="nil"/>
              <w:left w:val="nil"/>
              <w:bottom w:val="nil"/>
              <w:right w:val="nil"/>
            </w:tcBorders>
            <w:shd w:val="clear" w:color="000000" w:fill="FFFFFF"/>
            <w:noWrap/>
            <w:vAlign w:val="bottom"/>
          </w:tcPr>
          <w:p w14:paraId="3639595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Other Income</w:t>
            </w:r>
          </w:p>
        </w:tc>
        <w:tc>
          <w:tcPr>
            <w:tcW w:w="863" w:type="dxa"/>
            <w:tcBorders>
              <w:top w:val="nil"/>
              <w:left w:val="nil"/>
              <w:bottom w:val="nil"/>
              <w:right w:val="nil"/>
            </w:tcBorders>
            <w:shd w:val="clear" w:color="000000" w:fill="FFFFFF"/>
            <w:noWrap/>
            <w:vAlign w:val="bottom"/>
          </w:tcPr>
          <w:p w14:paraId="5126437D"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left w:val="nil"/>
              <w:bottom w:val="single" w:sz="4" w:space="0" w:color="auto"/>
              <w:right w:val="nil"/>
            </w:tcBorders>
            <w:shd w:val="clear" w:color="auto" w:fill="FDE9D9" w:themeFill="accent6" w:themeFillTint="33"/>
            <w:vAlign w:val="bottom"/>
          </w:tcPr>
          <w:p w14:paraId="43F7F22B" w14:textId="77777777" w:rsidR="00891B3A" w:rsidRPr="00C67A93" w:rsidDel="00421E56"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w:t>
            </w:r>
          </w:p>
        </w:tc>
        <w:tc>
          <w:tcPr>
            <w:tcW w:w="1774" w:type="dxa"/>
            <w:tcBorders>
              <w:left w:val="nil"/>
              <w:bottom w:val="single" w:sz="4" w:space="0" w:color="auto"/>
              <w:right w:val="nil"/>
            </w:tcBorders>
            <w:shd w:val="clear" w:color="000000" w:fill="FFFFFF"/>
            <w:vAlign w:val="bottom"/>
          </w:tcPr>
          <w:p w14:paraId="1A123AB5" w14:textId="77777777" w:rsidR="00891B3A" w:rsidRPr="00C67A93" w:rsidDel="000750F5"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2</w:t>
            </w:r>
          </w:p>
        </w:tc>
      </w:tr>
      <w:tr w:rsidR="00891B3A" w:rsidRPr="00C67A93" w14:paraId="7904AB94" w14:textId="77777777" w:rsidTr="00891B3A">
        <w:trPr>
          <w:trHeight w:val="300"/>
        </w:trPr>
        <w:tc>
          <w:tcPr>
            <w:tcW w:w="4964" w:type="dxa"/>
            <w:tcBorders>
              <w:top w:val="single" w:sz="4" w:space="0" w:color="auto"/>
              <w:left w:val="nil"/>
              <w:bottom w:val="nil"/>
              <w:right w:val="nil"/>
            </w:tcBorders>
            <w:shd w:val="clear" w:color="000000" w:fill="FFFFFF"/>
            <w:noWrap/>
            <w:vAlign w:val="bottom"/>
            <w:hideMark/>
          </w:tcPr>
          <w:p w14:paraId="17E398DF"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63" w:type="dxa"/>
            <w:tcBorders>
              <w:top w:val="single" w:sz="4" w:space="0" w:color="auto"/>
              <w:left w:val="nil"/>
              <w:bottom w:val="nil"/>
              <w:right w:val="nil"/>
            </w:tcBorders>
            <w:shd w:val="clear" w:color="000000" w:fill="FFFFFF"/>
            <w:noWrap/>
            <w:vAlign w:val="bottom"/>
          </w:tcPr>
          <w:p w14:paraId="116C651A"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right w:val="nil"/>
            </w:tcBorders>
            <w:shd w:val="clear" w:color="auto" w:fill="FDE9D9" w:themeFill="accent6" w:themeFillTint="33"/>
            <w:vAlign w:val="bottom"/>
          </w:tcPr>
          <w:p w14:paraId="066F51DE" w14:textId="741C352C" w:rsidR="00891B3A" w:rsidRPr="00C67A93" w:rsidRDefault="00416165"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w:t>
            </w:r>
            <w:r w:rsidR="00A4344A">
              <w:rPr>
                <w:rFonts w:ascii="Arial" w:eastAsia="Times New Roman" w:hAnsi="Arial" w:cs="Arial"/>
                <w:b/>
                <w:bCs/>
                <w:sz w:val="20"/>
                <w:szCs w:val="20"/>
                <w:lang w:val="en-SG" w:eastAsia="en-SG"/>
              </w:rPr>
              <w:t>,</w:t>
            </w:r>
            <w:r>
              <w:rPr>
                <w:rFonts w:ascii="Arial" w:eastAsia="Times New Roman" w:hAnsi="Arial" w:cs="Arial"/>
                <w:b/>
                <w:bCs/>
                <w:sz w:val="20"/>
                <w:szCs w:val="20"/>
                <w:lang w:val="en-SG" w:eastAsia="en-SG"/>
              </w:rPr>
              <w:t>0</w:t>
            </w:r>
            <w:r w:rsidR="00AD7EBE">
              <w:rPr>
                <w:rFonts w:ascii="Arial" w:eastAsia="Times New Roman" w:hAnsi="Arial" w:cs="Arial"/>
                <w:b/>
                <w:bCs/>
                <w:sz w:val="20"/>
                <w:szCs w:val="20"/>
                <w:lang w:val="en-SG" w:eastAsia="en-SG"/>
              </w:rPr>
              <w:t>0</w:t>
            </w:r>
            <w:r>
              <w:rPr>
                <w:rFonts w:ascii="Arial" w:eastAsia="Times New Roman" w:hAnsi="Arial" w:cs="Arial"/>
                <w:b/>
                <w:bCs/>
                <w:sz w:val="20"/>
                <w:szCs w:val="20"/>
                <w:lang w:val="en-SG" w:eastAsia="en-SG"/>
              </w:rPr>
              <w:t>4</w:t>
            </w:r>
          </w:p>
        </w:tc>
        <w:tc>
          <w:tcPr>
            <w:tcW w:w="1774" w:type="dxa"/>
            <w:tcBorders>
              <w:top w:val="nil"/>
              <w:left w:val="nil"/>
              <w:right w:val="nil"/>
            </w:tcBorders>
            <w:shd w:val="clear" w:color="000000" w:fill="FFFFFF"/>
            <w:vAlign w:val="bottom"/>
            <w:hideMark/>
          </w:tcPr>
          <w:p w14:paraId="77A466B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(4,728) </w:t>
            </w:r>
          </w:p>
        </w:tc>
      </w:tr>
      <w:tr w:rsidR="00891B3A" w:rsidRPr="00C67A93" w14:paraId="194BD330" w14:textId="77777777" w:rsidTr="00891B3A">
        <w:trPr>
          <w:trHeight w:val="300"/>
        </w:trPr>
        <w:tc>
          <w:tcPr>
            <w:tcW w:w="4964" w:type="dxa"/>
            <w:tcBorders>
              <w:top w:val="nil"/>
              <w:left w:val="nil"/>
              <w:bottom w:val="nil"/>
              <w:right w:val="nil"/>
            </w:tcBorders>
            <w:shd w:val="clear" w:color="000000" w:fill="FFFFFF"/>
            <w:noWrap/>
            <w:vAlign w:val="bottom"/>
            <w:hideMark/>
          </w:tcPr>
          <w:p w14:paraId="433742C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Operating expenses</w:t>
            </w:r>
          </w:p>
        </w:tc>
        <w:tc>
          <w:tcPr>
            <w:tcW w:w="863" w:type="dxa"/>
            <w:tcBorders>
              <w:top w:val="nil"/>
              <w:left w:val="nil"/>
              <w:bottom w:val="nil"/>
              <w:right w:val="nil"/>
            </w:tcBorders>
            <w:shd w:val="clear" w:color="000000" w:fill="FFFFFF"/>
            <w:noWrap/>
            <w:vAlign w:val="bottom"/>
          </w:tcPr>
          <w:p w14:paraId="3A09A96E"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right w:val="nil"/>
            </w:tcBorders>
            <w:shd w:val="clear" w:color="auto" w:fill="FDE9D9" w:themeFill="accent6" w:themeFillTint="33"/>
            <w:vAlign w:val="bottom"/>
          </w:tcPr>
          <w:p w14:paraId="1FB5B25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(938)</w:t>
            </w:r>
          </w:p>
        </w:tc>
        <w:tc>
          <w:tcPr>
            <w:tcW w:w="1774" w:type="dxa"/>
            <w:tcBorders>
              <w:top w:val="nil"/>
              <w:left w:val="nil"/>
              <w:right w:val="nil"/>
            </w:tcBorders>
            <w:shd w:val="clear" w:color="000000" w:fill="FFFFFF"/>
            <w:vAlign w:val="bottom"/>
            <w:hideMark/>
          </w:tcPr>
          <w:p w14:paraId="18874AC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(770)</w:t>
            </w:r>
          </w:p>
        </w:tc>
      </w:tr>
      <w:tr w:rsidR="00891B3A" w:rsidRPr="00C67A93" w14:paraId="22126EEA" w14:textId="77777777" w:rsidTr="00891B3A">
        <w:trPr>
          <w:trHeight w:val="300"/>
        </w:trPr>
        <w:tc>
          <w:tcPr>
            <w:tcW w:w="4964" w:type="dxa"/>
            <w:tcBorders>
              <w:top w:val="nil"/>
              <w:left w:val="nil"/>
              <w:bottom w:val="nil"/>
              <w:right w:val="nil"/>
            </w:tcBorders>
            <w:shd w:val="clear" w:color="000000" w:fill="FFFFFF"/>
            <w:noWrap/>
            <w:vAlign w:val="bottom"/>
          </w:tcPr>
          <w:p w14:paraId="0CF1A2B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Net gain/(loss) on foreign currency</w:t>
            </w:r>
          </w:p>
        </w:tc>
        <w:tc>
          <w:tcPr>
            <w:tcW w:w="863" w:type="dxa"/>
            <w:tcBorders>
              <w:top w:val="nil"/>
              <w:left w:val="nil"/>
              <w:bottom w:val="nil"/>
              <w:right w:val="nil"/>
            </w:tcBorders>
            <w:shd w:val="clear" w:color="000000" w:fill="FFFFFF"/>
            <w:noWrap/>
            <w:vAlign w:val="bottom"/>
          </w:tcPr>
          <w:p w14:paraId="2CFB3A5E"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left w:val="nil"/>
              <w:bottom w:val="single" w:sz="4" w:space="0" w:color="auto"/>
              <w:right w:val="nil"/>
            </w:tcBorders>
            <w:shd w:val="clear" w:color="auto" w:fill="FDE9D9" w:themeFill="accent6" w:themeFillTint="33"/>
            <w:vAlign w:val="bottom"/>
          </w:tcPr>
          <w:p w14:paraId="3CFAE85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72</w:t>
            </w:r>
          </w:p>
        </w:tc>
        <w:tc>
          <w:tcPr>
            <w:tcW w:w="1774" w:type="dxa"/>
            <w:tcBorders>
              <w:left w:val="nil"/>
              <w:bottom w:val="single" w:sz="4" w:space="0" w:color="auto"/>
              <w:right w:val="nil"/>
            </w:tcBorders>
            <w:shd w:val="clear" w:color="000000" w:fill="FFFFFF"/>
            <w:vAlign w:val="bottom"/>
          </w:tcPr>
          <w:p w14:paraId="00B104D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(571)</w:t>
            </w:r>
          </w:p>
        </w:tc>
      </w:tr>
      <w:tr w:rsidR="00891B3A" w:rsidRPr="00C67A93" w14:paraId="7E18C985" w14:textId="77777777" w:rsidTr="00891B3A">
        <w:trPr>
          <w:trHeight w:val="300"/>
        </w:trPr>
        <w:tc>
          <w:tcPr>
            <w:tcW w:w="4964" w:type="dxa"/>
            <w:tcBorders>
              <w:top w:val="single" w:sz="4" w:space="0" w:color="auto"/>
              <w:left w:val="nil"/>
              <w:bottom w:val="nil"/>
              <w:right w:val="nil"/>
            </w:tcBorders>
            <w:shd w:val="clear" w:color="000000" w:fill="FFFFFF"/>
            <w:noWrap/>
            <w:vAlign w:val="bottom"/>
            <w:hideMark/>
          </w:tcPr>
          <w:p w14:paraId="3835C833"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Gain/(loss) before tax</w:t>
            </w:r>
          </w:p>
        </w:tc>
        <w:tc>
          <w:tcPr>
            <w:tcW w:w="863" w:type="dxa"/>
            <w:tcBorders>
              <w:top w:val="single" w:sz="4" w:space="0" w:color="auto"/>
              <w:left w:val="nil"/>
              <w:bottom w:val="nil"/>
              <w:right w:val="nil"/>
            </w:tcBorders>
            <w:shd w:val="clear" w:color="000000" w:fill="FFFFFF"/>
            <w:noWrap/>
            <w:vAlign w:val="bottom"/>
          </w:tcPr>
          <w:p w14:paraId="024E0C8F"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bottom w:val="nil"/>
              <w:right w:val="nil"/>
            </w:tcBorders>
            <w:shd w:val="clear" w:color="auto" w:fill="FDE9D9" w:themeFill="accent6" w:themeFillTint="33"/>
            <w:vAlign w:val="bottom"/>
          </w:tcPr>
          <w:p w14:paraId="0744726A" w14:textId="4A9103F2" w:rsidR="00891B3A" w:rsidRPr="00C67A93" w:rsidRDefault="00416165"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1774" w:type="dxa"/>
            <w:tcBorders>
              <w:top w:val="nil"/>
              <w:left w:val="nil"/>
              <w:bottom w:val="nil"/>
              <w:right w:val="nil"/>
            </w:tcBorders>
            <w:shd w:val="clear" w:color="000000" w:fill="FFFFFF"/>
            <w:vAlign w:val="bottom"/>
            <w:hideMark/>
          </w:tcPr>
          <w:p w14:paraId="67E6034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2DDBF1CE" w14:textId="77777777" w:rsidTr="00891B3A">
        <w:trPr>
          <w:trHeight w:val="300"/>
        </w:trPr>
        <w:tc>
          <w:tcPr>
            <w:tcW w:w="4964" w:type="dxa"/>
            <w:tcBorders>
              <w:top w:val="nil"/>
              <w:left w:val="nil"/>
              <w:bottom w:val="nil"/>
              <w:right w:val="nil"/>
            </w:tcBorders>
            <w:shd w:val="clear" w:color="000000" w:fill="FFFFFF"/>
            <w:noWrap/>
            <w:vAlign w:val="bottom"/>
            <w:hideMark/>
          </w:tcPr>
          <w:p w14:paraId="17F7E53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Taxation</w:t>
            </w:r>
          </w:p>
        </w:tc>
        <w:tc>
          <w:tcPr>
            <w:tcW w:w="863" w:type="dxa"/>
            <w:tcBorders>
              <w:top w:val="nil"/>
              <w:left w:val="nil"/>
              <w:bottom w:val="nil"/>
              <w:right w:val="nil"/>
            </w:tcBorders>
            <w:shd w:val="clear" w:color="000000" w:fill="FFFFFF"/>
            <w:noWrap/>
            <w:vAlign w:val="bottom"/>
          </w:tcPr>
          <w:p w14:paraId="1C20FFB1"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bottom w:val="single" w:sz="4" w:space="0" w:color="auto"/>
              <w:right w:val="nil"/>
            </w:tcBorders>
            <w:shd w:val="clear" w:color="auto" w:fill="FDE9D9" w:themeFill="accent6" w:themeFillTint="33"/>
            <w:vAlign w:val="bottom"/>
          </w:tcPr>
          <w:p w14:paraId="38FDF02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p>
        </w:tc>
        <w:tc>
          <w:tcPr>
            <w:tcW w:w="1774" w:type="dxa"/>
            <w:tcBorders>
              <w:top w:val="nil"/>
              <w:left w:val="nil"/>
              <w:bottom w:val="single" w:sz="4" w:space="0" w:color="auto"/>
              <w:right w:val="nil"/>
            </w:tcBorders>
            <w:shd w:val="clear" w:color="000000" w:fill="FFFFFF"/>
            <w:vAlign w:val="bottom"/>
            <w:hideMark/>
          </w:tcPr>
          <w:p w14:paraId="00F40E7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 </w:t>
            </w:r>
          </w:p>
        </w:tc>
      </w:tr>
      <w:tr w:rsidR="00891B3A" w:rsidRPr="00C67A93" w14:paraId="145F87FF" w14:textId="77777777" w:rsidTr="00891B3A">
        <w:trPr>
          <w:trHeight w:val="300"/>
        </w:trPr>
        <w:tc>
          <w:tcPr>
            <w:tcW w:w="4964" w:type="dxa"/>
            <w:tcBorders>
              <w:top w:val="single" w:sz="4" w:space="0" w:color="auto"/>
              <w:left w:val="nil"/>
              <w:bottom w:val="nil"/>
              <w:right w:val="nil"/>
            </w:tcBorders>
            <w:shd w:val="clear" w:color="000000" w:fill="FFFFFF"/>
            <w:noWrap/>
            <w:vAlign w:val="bottom"/>
            <w:hideMark/>
          </w:tcPr>
          <w:p w14:paraId="69D8280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sz w:val="20"/>
                <w:szCs w:val="20"/>
                <w:lang w:val="en-SG" w:eastAsia="en-SG"/>
              </w:rPr>
              <w:t xml:space="preserve">Profit/(loss) </w:t>
            </w:r>
            <w:r w:rsidRPr="00C67A93">
              <w:rPr>
                <w:rFonts w:ascii="Arial" w:eastAsia="Times New Roman" w:hAnsi="Arial" w:cs="Arial"/>
                <w:b/>
                <w:bCs/>
                <w:color w:val="000000"/>
                <w:sz w:val="20"/>
                <w:szCs w:val="20"/>
                <w:lang w:val="en-SG" w:eastAsia="en-SG"/>
              </w:rPr>
              <w:t>for the period</w:t>
            </w:r>
          </w:p>
        </w:tc>
        <w:tc>
          <w:tcPr>
            <w:tcW w:w="863" w:type="dxa"/>
            <w:tcBorders>
              <w:top w:val="single" w:sz="4" w:space="0" w:color="auto"/>
              <w:left w:val="nil"/>
              <w:bottom w:val="nil"/>
              <w:right w:val="nil"/>
            </w:tcBorders>
            <w:shd w:val="clear" w:color="000000" w:fill="FFFFFF"/>
            <w:noWrap/>
            <w:vAlign w:val="bottom"/>
          </w:tcPr>
          <w:p w14:paraId="24838E3C"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bottom w:val="single" w:sz="4" w:space="0" w:color="auto"/>
              <w:right w:val="nil"/>
            </w:tcBorders>
            <w:shd w:val="clear" w:color="auto" w:fill="FDE9D9" w:themeFill="accent6" w:themeFillTint="33"/>
            <w:vAlign w:val="bottom"/>
          </w:tcPr>
          <w:p w14:paraId="65F46A1D" w14:textId="18700EC0" w:rsidR="00891B3A" w:rsidRPr="00C67A93" w:rsidRDefault="00416165"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1774" w:type="dxa"/>
            <w:tcBorders>
              <w:top w:val="nil"/>
              <w:left w:val="nil"/>
              <w:bottom w:val="single" w:sz="4" w:space="0" w:color="auto"/>
              <w:right w:val="nil"/>
            </w:tcBorders>
            <w:shd w:val="clear" w:color="000000" w:fill="FFFFFF"/>
            <w:vAlign w:val="bottom"/>
            <w:hideMark/>
          </w:tcPr>
          <w:p w14:paraId="6C97BDF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56B36821" w14:textId="77777777" w:rsidTr="00891B3A">
        <w:trPr>
          <w:trHeight w:val="135"/>
        </w:trPr>
        <w:tc>
          <w:tcPr>
            <w:tcW w:w="4964" w:type="dxa"/>
            <w:tcBorders>
              <w:top w:val="single" w:sz="4" w:space="0" w:color="auto"/>
              <w:left w:val="nil"/>
              <w:bottom w:val="nil"/>
              <w:right w:val="nil"/>
            </w:tcBorders>
            <w:shd w:val="clear" w:color="000000" w:fill="FFFFFF"/>
            <w:noWrap/>
            <w:vAlign w:val="bottom"/>
            <w:hideMark/>
          </w:tcPr>
          <w:p w14:paraId="2FF0FE6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63" w:type="dxa"/>
            <w:tcBorders>
              <w:top w:val="single" w:sz="4" w:space="0" w:color="auto"/>
              <w:left w:val="nil"/>
              <w:bottom w:val="nil"/>
              <w:right w:val="nil"/>
            </w:tcBorders>
            <w:shd w:val="clear" w:color="000000" w:fill="FFFFFF"/>
            <w:noWrap/>
            <w:vAlign w:val="bottom"/>
          </w:tcPr>
          <w:p w14:paraId="4B5C9B2C"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bottom w:val="nil"/>
              <w:right w:val="nil"/>
            </w:tcBorders>
            <w:shd w:val="clear" w:color="auto" w:fill="FDE9D9" w:themeFill="accent6" w:themeFillTint="33"/>
            <w:vAlign w:val="bottom"/>
          </w:tcPr>
          <w:p w14:paraId="3AB9B41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774" w:type="dxa"/>
            <w:tcBorders>
              <w:top w:val="nil"/>
              <w:left w:val="nil"/>
              <w:bottom w:val="nil"/>
              <w:right w:val="nil"/>
            </w:tcBorders>
            <w:shd w:val="clear" w:color="000000" w:fill="FFFFFF"/>
            <w:vAlign w:val="bottom"/>
            <w:hideMark/>
          </w:tcPr>
          <w:p w14:paraId="013E865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526135CF" w14:textId="77777777" w:rsidTr="00891B3A">
        <w:trPr>
          <w:trHeight w:val="300"/>
        </w:trPr>
        <w:tc>
          <w:tcPr>
            <w:tcW w:w="4964" w:type="dxa"/>
            <w:tcBorders>
              <w:top w:val="nil"/>
              <w:left w:val="nil"/>
              <w:bottom w:val="nil"/>
              <w:right w:val="nil"/>
            </w:tcBorders>
            <w:shd w:val="clear" w:color="000000" w:fill="FFFFFF"/>
            <w:noWrap/>
            <w:vAlign w:val="bottom"/>
            <w:hideMark/>
          </w:tcPr>
          <w:p w14:paraId="3BAE954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Attributable to:</w:t>
            </w:r>
          </w:p>
        </w:tc>
        <w:tc>
          <w:tcPr>
            <w:tcW w:w="863" w:type="dxa"/>
            <w:tcBorders>
              <w:top w:val="nil"/>
              <w:left w:val="nil"/>
              <w:bottom w:val="nil"/>
              <w:right w:val="nil"/>
            </w:tcBorders>
            <w:shd w:val="clear" w:color="000000" w:fill="FFFFFF"/>
            <w:noWrap/>
            <w:vAlign w:val="bottom"/>
          </w:tcPr>
          <w:p w14:paraId="33A0A6B2"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bottom w:val="nil"/>
              <w:right w:val="nil"/>
            </w:tcBorders>
            <w:shd w:val="clear" w:color="auto" w:fill="FDE9D9" w:themeFill="accent6" w:themeFillTint="33"/>
            <w:vAlign w:val="bottom"/>
          </w:tcPr>
          <w:p w14:paraId="3527CA7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774" w:type="dxa"/>
            <w:tcBorders>
              <w:top w:val="nil"/>
              <w:left w:val="nil"/>
              <w:bottom w:val="nil"/>
              <w:right w:val="nil"/>
            </w:tcBorders>
            <w:shd w:val="clear" w:color="000000" w:fill="FFFFFF"/>
            <w:vAlign w:val="bottom"/>
            <w:hideMark/>
          </w:tcPr>
          <w:p w14:paraId="528EFBD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0E5D310F" w14:textId="77777777" w:rsidTr="00891B3A">
        <w:trPr>
          <w:trHeight w:val="300"/>
        </w:trPr>
        <w:tc>
          <w:tcPr>
            <w:tcW w:w="4964" w:type="dxa"/>
            <w:tcBorders>
              <w:top w:val="nil"/>
              <w:left w:val="nil"/>
              <w:bottom w:val="nil"/>
              <w:right w:val="nil"/>
            </w:tcBorders>
            <w:shd w:val="clear" w:color="000000" w:fill="FFFFFF"/>
            <w:noWrap/>
            <w:vAlign w:val="bottom"/>
            <w:hideMark/>
          </w:tcPr>
          <w:p w14:paraId="765A2EF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Equity shareholders</w:t>
            </w:r>
          </w:p>
        </w:tc>
        <w:tc>
          <w:tcPr>
            <w:tcW w:w="863" w:type="dxa"/>
            <w:tcBorders>
              <w:top w:val="nil"/>
              <w:left w:val="nil"/>
              <w:bottom w:val="nil"/>
              <w:right w:val="nil"/>
            </w:tcBorders>
            <w:shd w:val="clear" w:color="000000" w:fill="FFFFFF"/>
            <w:noWrap/>
            <w:vAlign w:val="bottom"/>
          </w:tcPr>
          <w:p w14:paraId="7CC7F791"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bottom w:val="single" w:sz="4" w:space="0" w:color="auto"/>
              <w:right w:val="nil"/>
            </w:tcBorders>
            <w:shd w:val="clear" w:color="auto" w:fill="FDE9D9" w:themeFill="accent6" w:themeFillTint="33"/>
            <w:vAlign w:val="bottom"/>
          </w:tcPr>
          <w:p w14:paraId="1E71670B" w14:textId="0197E5C4" w:rsidR="00891B3A" w:rsidRPr="00C67A93" w:rsidRDefault="00416165"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1774" w:type="dxa"/>
            <w:tcBorders>
              <w:top w:val="nil"/>
              <w:left w:val="nil"/>
              <w:bottom w:val="single" w:sz="4" w:space="0" w:color="auto"/>
              <w:right w:val="nil"/>
            </w:tcBorders>
            <w:shd w:val="clear" w:color="000000" w:fill="FFFFFF"/>
            <w:vAlign w:val="bottom"/>
            <w:hideMark/>
          </w:tcPr>
          <w:p w14:paraId="7F8AE41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4314493E" w14:textId="77777777" w:rsidTr="00891B3A">
        <w:trPr>
          <w:trHeight w:val="300"/>
        </w:trPr>
        <w:tc>
          <w:tcPr>
            <w:tcW w:w="4964" w:type="dxa"/>
            <w:tcBorders>
              <w:top w:val="single" w:sz="4" w:space="0" w:color="auto"/>
              <w:left w:val="nil"/>
              <w:bottom w:val="nil"/>
              <w:right w:val="nil"/>
            </w:tcBorders>
            <w:shd w:val="clear" w:color="000000" w:fill="FFFFFF"/>
            <w:noWrap/>
            <w:vAlign w:val="bottom"/>
            <w:hideMark/>
          </w:tcPr>
          <w:p w14:paraId="282FB2BD"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63" w:type="dxa"/>
            <w:tcBorders>
              <w:top w:val="single" w:sz="4" w:space="0" w:color="auto"/>
              <w:left w:val="nil"/>
              <w:bottom w:val="nil"/>
              <w:right w:val="nil"/>
            </w:tcBorders>
            <w:shd w:val="clear" w:color="000000" w:fill="FFFFFF"/>
            <w:noWrap/>
            <w:vAlign w:val="bottom"/>
          </w:tcPr>
          <w:p w14:paraId="48E8CF88"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533" w:type="dxa"/>
            <w:tcBorders>
              <w:top w:val="nil"/>
              <w:left w:val="nil"/>
              <w:bottom w:val="nil"/>
              <w:right w:val="nil"/>
            </w:tcBorders>
            <w:shd w:val="clear" w:color="auto" w:fill="FDE9D9" w:themeFill="accent6" w:themeFillTint="33"/>
            <w:vAlign w:val="bottom"/>
          </w:tcPr>
          <w:p w14:paraId="266E6A3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774" w:type="dxa"/>
            <w:tcBorders>
              <w:top w:val="nil"/>
              <w:left w:val="nil"/>
              <w:bottom w:val="nil"/>
              <w:right w:val="nil"/>
            </w:tcBorders>
            <w:shd w:val="clear" w:color="000000" w:fill="FFFFFF"/>
            <w:noWrap/>
            <w:vAlign w:val="bottom"/>
            <w:hideMark/>
          </w:tcPr>
          <w:p w14:paraId="74ECFF8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5963DAE0" w14:textId="77777777" w:rsidTr="00891B3A">
        <w:trPr>
          <w:trHeight w:val="300"/>
        </w:trPr>
        <w:tc>
          <w:tcPr>
            <w:tcW w:w="4964" w:type="dxa"/>
            <w:tcBorders>
              <w:top w:val="nil"/>
              <w:left w:val="nil"/>
              <w:right w:val="nil"/>
            </w:tcBorders>
            <w:shd w:val="clear" w:color="000000" w:fill="FFFFFF"/>
            <w:noWrap/>
            <w:vAlign w:val="bottom"/>
            <w:hideMark/>
          </w:tcPr>
          <w:p w14:paraId="7C4AAFF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Profit/(loss) per ordinary share - basic</w:t>
            </w:r>
          </w:p>
        </w:tc>
        <w:tc>
          <w:tcPr>
            <w:tcW w:w="863" w:type="dxa"/>
            <w:tcBorders>
              <w:top w:val="nil"/>
              <w:left w:val="nil"/>
              <w:right w:val="nil"/>
            </w:tcBorders>
            <w:shd w:val="clear" w:color="000000" w:fill="FFFFFF"/>
            <w:noWrap/>
            <w:vAlign w:val="bottom"/>
          </w:tcPr>
          <w:p w14:paraId="584D1B13"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3</w:t>
            </w:r>
          </w:p>
        </w:tc>
        <w:tc>
          <w:tcPr>
            <w:tcW w:w="1533" w:type="dxa"/>
            <w:tcBorders>
              <w:top w:val="nil"/>
              <w:left w:val="nil"/>
              <w:right w:val="nil"/>
            </w:tcBorders>
            <w:shd w:val="clear" w:color="auto" w:fill="FDE9D9" w:themeFill="accent6" w:themeFillTint="33"/>
            <w:vAlign w:val="bottom"/>
          </w:tcPr>
          <w:p w14:paraId="2114966C" w14:textId="3292461A"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w:t>
            </w:r>
            <w:r w:rsidR="00252251">
              <w:rPr>
                <w:rFonts w:ascii="Arial" w:eastAsia="Times New Roman" w:hAnsi="Arial" w:cs="Arial"/>
                <w:b/>
                <w:bCs/>
                <w:sz w:val="20"/>
                <w:szCs w:val="20"/>
                <w:lang w:val="en-SG" w:eastAsia="en-SG"/>
              </w:rPr>
              <w:t>2</w:t>
            </w:r>
            <w:r w:rsidRPr="00C67A93">
              <w:rPr>
                <w:rFonts w:ascii="Arial" w:eastAsia="Times New Roman" w:hAnsi="Arial" w:cs="Arial"/>
                <w:b/>
                <w:bCs/>
                <w:sz w:val="20"/>
                <w:szCs w:val="20"/>
                <w:lang w:val="en-SG" w:eastAsia="en-SG"/>
              </w:rPr>
              <w:t>p</w:t>
            </w:r>
          </w:p>
        </w:tc>
        <w:tc>
          <w:tcPr>
            <w:tcW w:w="1774" w:type="dxa"/>
            <w:tcBorders>
              <w:top w:val="nil"/>
              <w:left w:val="nil"/>
              <w:right w:val="nil"/>
            </w:tcBorders>
            <w:shd w:val="clear" w:color="000000" w:fill="FFFFFF"/>
            <w:noWrap/>
            <w:vAlign w:val="bottom"/>
            <w:hideMark/>
          </w:tcPr>
          <w:p w14:paraId="2DDB840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(7.5p)</w:t>
            </w:r>
          </w:p>
        </w:tc>
      </w:tr>
      <w:tr w:rsidR="00891B3A" w:rsidRPr="00C67A93" w14:paraId="1E94A283" w14:textId="77777777" w:rsidTr="00891B3A">
        <w:trPr>
          <w:trHeight w:val="300"/>
        </w:trPr>
        <w:tc>
          <w:tcPr>
            <w:tcW w:w="4964" w:type="dxa"/>
            <w:tcBorders>
              <w:top w:val="nil"/>
              <w:left w:val="nil"/>
              <w:bottom w:val="single" w:sz="4" w:space="0" w:color="auto"/>
              <w:right w:val="nil"/>
            </w:tcBorders>
            <w:shd w:val="clear" w:color="000000" w:fill="FFFFFF"/>
            <w:noWrap/>
            <w:vAlign w:val="bottom"/>
            <w:hideMark/>
          </w:tcPr>
          <w:p w14:paraId="66D0AC4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Profit/(loss) per ordinary share - diluted</w:t>
            </w:r>
          </w:p>
        </w:tc>
        <w:tc>
          <w:tcPr>
            <w:tcW w:w="863" w:type="dxa"/>
            <w:tcBorders>
              <w:top w:val="nil"/>
              <w:left w:val="nil"/>
              <w:bottom w:val="single" w:sz="4" w:space="0" w:color="auto"/>
              <w:right w:val="nil"/>
            </w:tcBorders>
            <w:shd w:val="clear" w:color="000000" w:fill="FFFFFF"/>
            <w:noWrap/>
            <w:vAlign w:val="bottom"/>
          </w:tcPr>
          <w:p w14:paraId="6E6DDEA8"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3</w:t>
            </w:r>
          </w:p>
        </w:tc>
        <w:tc>
          <w:tcPr>
            <w:tcW w:w="1533" w:type="dxa"/>
            <w:tcBorders>
              <w:top w:val="nil"/>
              <w:left w:val="nil"/>
              <w:bottom w:val="single" w:sz="4" w:space="0" w:color="auto"/>
              <w:right w:val="nil"/>
            </w:tcBorders>
            <w:shd w:val="clear" w:color="auto" w:fill="FDE9D9" w:themeFill="accent6" w:themeFillTint="33"/>
            <w:vAlign w:val="bottom"/>
          </w:tcPr>
          <w:p w14:paraId="0803BC16" w14:textId="57508F3C"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w:t>
            </w:r>
            <w:r w:rsidR="00252251">
              <w:rPr>
                <w:rFonts w:ascii="Arial" w:eastAsia="Times New Roman" w:hAnsi="Arial" w:cs="Arial"/>
                <w:b/>
                <w:bCs/>
                <w:sz w:val="20"/>
                <w:szCs w:val="20"/>
                <w:lang w:val="en-SG" w:eastAsia="en-SG"/>
              </w:rPr>
              <w:t>2</w:t>
            </w:r>
            <w:r w:rsidRPr="00C67A93">
              <w:rPr>
                <w:rFonts w:ascii="Arial" w:eastAsia="Times New Roman" w:hAnsi="Arial" w:cs="Arial"/>
                <w:b/>
                <w:bCs/>
                <w:sz w:val="20"/>
                <w:szCs w:val="20"/>
                <w:lang w:val="en-SG" w:eastAsia="en-SG"/>
              </w:rPr>
              <w:t>p</w:t>
            </w:r>
          </w:p>
        </w:tc>
        <w:tc>
          <w:tcPr>
            <w:tcW w:w="1774" w:type="dxa"/>
            <w:tcBorders>
              <w:top w:val="nil"/>
              <w:left w:val="nil"/>
              <w:bottom w:val="single" w:sz="4" w:space="0" w:color="auto"/>
              <w:right w:val="nil"/>
            </w:tcBorders>
            <w:shd w:val="clear" w:color="000000" w:fill="FFFFFF"/>
            <w:noWrap/>
            <w:vAlign w:val="bottom"/>
            <w:hideMark/>
          </w:tcPr>
          <w:p w14:paraId="12533E9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(7.5p)</w:t>
            </w:r>
          </w:p>
        </w:tc>
      </w:tr>
      <w:tr w:rsidR="00891B3A" w:rsidRPr="00C67A93" w14:paraId="46ADCC66" w14:textId="77777777" w:rsidTr="00891B3A">
        <w:trPr>
          <w:trHeight w:val="300"/>
        </w:trPr>
        <w:tc>
          <w:tcPr>
            <w:tcW w:w="4964" w:type="dxa"/>
            <w:tcBorders>
              <w:top w:val="single" w:sz="4" w:space="0" w:color="auto"/>
              <w:left w:val="nil"/>
              <w:right w:val="nil"/>
            </w:tcBorders>
            <w:shd w:val="clear" w:color="000000" w:fill="FFFFFF"/>
            <w:noWrap/>
            <w:vAlign w:val="bottom"/>
          </w:tcPr>
          <w:p w14:paraId="472B40E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863" w:type="dxa"/>
            <w:tcBorders>
              <w:top w:val="single" w:sz="4" w:space="0" w:color="auto"/>
              <w:left w:val="nil"/>
              <w:right w:val="nil"/>
            </w:tcBorders>
            <w:shd w:val="clear" w:color="000000" w:fill="FFFFFF"/>
            <w:noWrap/>
            <w:vAlign w:val="bottom"/>
          </w:tcPr>
          <w:p w14:paraId="6165921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1533" w:type="dxa"/>
            <w:tcBorders>
              <w:top w:val="single" w:sz="4" w:space="0" w:color="auto"/>
              <w:left w:val="nil"/>
              <w:right w:val="nil"/>
            </w:tcBorders>
            <w:shd w:val="clear" w:color="auto" w:fill="auto"/>
            <w:vAlign w:val="bottom"/>
          </w:tcPr>
          <w:p w14:paraId="10A1803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774" w:type="dxa"/>
            <w:tcBorders>
              <w:top w:val="single" w:sz="4" w:space="0" w:color="auto"/>
              <w:left w:val="nil"/>
              <w:right w:val="nil"/>
            </w:tcBorders>
            <w:shd w:val="clear" w:color="000000" w:fill="FFFFFF"/>
            <w:noWrap/>
            <w:vAlign w:val="bottom"/>
          </w:tcPr>
          <w:p w14:paraId="1EBFFF3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bl>
    <w:p w14:paraId="1487377B" w14:textId="77777777" w:rsidR="00891B3A" w:rsidRPr="00C67A93" w:rsidRDefault="00891B3A" w:rsidP="00891B3A">
      <w:pPr>
        <w:shd w:val="clear" w:color="auto" w:fill="FFFFFF"/>
        <w:rPr>
          <w:rFonts w:ascii="Arial" w:hAnsi="Arial" w:cs="Arial"/>
        </w:rPr>
      </w:pPr>
    </w:p>
    <w:p w14:paraId="226815AB" w14:textId="0BD951D7" w:rsidR="00891B3A" w:rsidRPr="00C67A93" w:rsidRDefault="00891B3A" w:rsidP="00891B3A">
      <w:pPr>
        <w:shd w:val="clear" w:color="auto" w:fill="FFFFFF"/>
        <w:rPr>
          <w:rFonts w:ascii="Arial" w:hAnsi="Arial" w:cs="Arial"/>
        </w:rPr>
      </w:pPr>
      <w:r w:rsidRPr="00C67A93">
        <w:rPr>
          <w:rFonts w:ascii="Arial" w:hAnsi="Arial" w:cs="Arial"/>
        </w:rPr>
        <w:t xml:space="preserve">The notes on pages </w:t>
      </w:r>
      <w:r>
        <w:rPr>
          <w:rFonts w:ascii="Arial" w:hAnsi="Arial" w:cs="Arial"/>
        </w:rPr>
        <w:t>21</w:t>
      </w:r>
      <w:r w:rsidRPr="00C67A93">
        <w:rPr>
          <w:rFonts w:ascii="Arial" w:hAnsi="Arial" w:cs="Arial"/>
        </w:rPr>
        <w:t xml:space="preserve"> to </w:t>
      </w:r>
      <w:r w:rsidR="00347F0B">
        <w:rPr>
          <w:rFonts w:ascii="Arial" w:hAnsi="Arial" w:cs="Arial"/>
        </w:rPr>
        <w:t>35</w:t>
      </w:r>
      <w:r w:rsidRPr="00C67A93">
        <w:rPr>
          <w:rFonts w:ascii="Arial" w:hAnsi="Arial" w:cs="Arial"/>
        </w:rPr>
        <w:t xml:space="preserve"> form part of these Financial Statements.</w:t>
      </w:r>
    </w:p>
    <w:p w14:paraId="0E140C81" w14:textId="77777777" w:rsidR="00891B3A" w:rsidRPr="00C67A93" w:rsidRDefault="00891B3A" w:rsidP="00891B3A">
      <w:pPr>
        <w:shd w:val="clear" w:color="auto" w:fill="FFFFFF"/>
        <w:rPr>
          <w:rFonts w:ascii="Arial" w:hAnsi="Arial" w:cs="Arial"/>
        </w:rPr>
        <w:sectPr w:rsidR="00891B3A" w:rsidRPr="00C67A93" w:rsidSect="00891B3A">
          <w:footerReference w:type="first" r:id="rId14"/>
          <w:type w:val="continuous"/>
          <w:pgSz w:w="11906" w:h="16838"/>
          <w:pgMar w:top="1440" w:right="1418" w:bottom="1440" w:left="1418" w:header="720" w:footer="720" w:gutter="0"/>
          <w:cols w:space="720"/>
          <w:docGrid w:linePitch="299"/>
        </w:sectPr>
      </w:pPr>
    </w:p>
    <w:p w14:paraId="32305A00" w14:textId="77777777" w:rsidR="00891B3A" w:rsidRPr="002E2F06" w:rsidRDefault="00891B3A" w:rsidP="00891B3A">
      <w:pPr>
        <w:shd w:val="clear" w:color="auto" w:fill="FFFFFF"/>
        <w:spacing w:after="160" w:line="240" w:lineRule="auto"/>
        <w:rPr>
          <w:rFonts w:ascii="Arial" w:hAnsi="Arial" w:cs="Arial"/>
          <w:b/>
          <w:bCs/>
          <w:w w:val="125"/>
          <w:sz w:val="27"/>
          <w:szCs w:val="27"/>
        </w:rPr>
      </w:pPr>
      <w:r w:rsidRPr="002E2F06">
        <w:rPr>
          <w:rFonts w:ascii="Arial" w:hAnsi="Arial" w:cs="Arial"/>
          <w:b/>
          <w:bCs/>
          <w:w w:val="125"/>
          <w:sz w:val="27"/>
          <w:szCs w:val="27"/>
        </w:rPr>
        <w:lastRenderedPageBreak/>
        <w:t>Condensed Statement of Other Comprehensive Income</w:t>
      </w:r>
    </w:p>
    <w:p w14:paraId="03F98121" w14:textId="77777777" w:rsidR="00891B3A" w:rsidRPr="00C67A93" w:rsidRDefault="00891B3A" w:rsidP="00891B3A">
      <w:pPr>
        <w:shd w:val="clear" w:color="auto" w:fill="FFFFFF"/>
        <w:spacing w:before="10" w:line="180" w:lineRule="exact"/>
        <w:rPr>
          <w:rFonts w:ascii="Arial" w:hAnsi="Arial" w:cs="Arial"/>
        </w:rPr>
      </w:pPr>
    </w:p>
    <w:tbl>
      <w:tblPr>
        <w:tblW w:w="9072" w:type="dxa"/>
        <w:tblInd w:w="108" w:type="dxa"/>
        <w:tblLook w:val="04A0" w:firstRow="1" w:lastRow="0" w:firstColumn="1" w:lastColumn="0" w:noHBand="0" w:noVBand="1"/>
      </w:tblPr>
      <w:tblGrid>
        <w:gridCol w:w="5056"/>
        <w:gridCol w:w="876"/>
        <w:gridCol w:w="1785"/>
        <w:gridCol w:w="1355"/>
      </w:tblGrid>
      <w:tr w:rsidR="00891B3A" w:rsidRPr="00C67A93" w14:paraId="20DAAC76" w14:textId="77777777" w:rsidTr="00891B3A">
        <w:trPr>
          <w:trHeight w:val="255"/>
        </w:trPr>
        <w:tc>
          <w:tcPr>
            <w:tcW w:w="5056" w:type="dxa"/>
            <w:tcBorders>
              <w:top w:val="nil"/>
              <w:left w:val="nil"/>
              <w:right w:val="nil"/>
            </w:tcBorders>
            <w:shd w:val="clear" w:color="000000" w:fill="FFFFFF"/>
            <w:noWrap/>
            <w:vAlign w:val="bottom"/>
            <w:hideMark/>
          </w:tcPr>
          <w:p w14:paraId="15DB7B4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 </w:t>
            </w:r>
          </w:p>
        </w:tc>
        <w:tc>
          <w:tcPr>
            <w:tcW w:w="876" w:type="dxa"/>
            <w:tcBorders>
              <w:top w:val="nil"/>
              <w:left w:val="nil"/>
              <w:right w:val="nil"/>
            </w:tcBorders>
            <w:shd w:val="clear" w:color="000000" w:fill="FFFFFF"/>
            <w:noWrap/>
            <w:vAlign w:val="bottom"/>
            <w:hideMark/>
          </w:tcPr>
          <w:p w14:paraId="2014ED52"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3140" w:type="dxa"/>
            <w:gridSpan w:val="2"/>
            <w:tcBorders>
              <w:top w:val="nil"/>
              <w:left w:val="nil"/>
              <w:bottom w:val="single" w:sz="4" w:space="0" w:color="auto"/>
              <w:right w:val="nil"/>
            </w:tcBorders>
            <w:shd w:val="clear" w:color="auto" w:fill="auto"/>
            <w:noWrap/>
            <w:vAlign w:val="center"/>
            <w:hideMark/>
          </w:tcPr>
          <w:p w14:paraId="5DE121C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Six months ended 30 June</w:t>
            </w:r>
          </w:p>
        </w:tc>
      </w:tr>
      <w:tr w:rsidR="00891B3A" w:rsidRPr="00C67A93" w14:paraId="06C0ED17" w14:textId="77777777" w:rsidTr="00891B3A">
        <w:trPr>
          <w:trHeight w:val="255"/>
        </w:trPr>
        <w:tc>
          <w:tcPr>
            <w:tcW w:w="5056" w:type="dxa"/>
            <w:tcBorders>
              <w:top w:val="nil"/>
              <w:left w:val="nil"/>
              <w:bottom w:val="nil"/>
              <w:right w:val="nil"/>
            </w:tcBorders>
            <w:shd w:val="clear" w:color="000000" w:fill="FFFFFF"/>
            <w:noWrap/>
            <w:vAlign w:val="bottom"/>
            <w:hideMark/>
          </w:tcPr>
          <w:p w14:paraId="0016EF6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 </w:t>
            </w:r>
          </w:p>
        </w:tc>
        <w:tc>
          <w:tcPr>
            <w:tcW w:w="876" w:type="dxa"/>
            <w:tcBorders>
              <w:top w:val="nil"/>
              <w:left w:val="nil"/>
              <w:bottom w:val="nil"/>
              <w:right w:val="nil"/>
            </w:tcBorders>
            <w:shd w:val="clear" w:color="000000" w:fill="FFFFFF"/>
            <w:vAlign w:val="bottom"/>
            <w:hideMark/>
          </w:tcPr>
          <w:p w14:paraId="0AEC0A2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 </w:t>
            </w:r>
          </w:p>
        </w:tc>
        <w:tc>
          <w:tcPr>
            <w:tcW w:w="1785" w:type="dxa"/>
            <w:tcBorders>
              <w:top w:val="single" w:sz="4" w:space="0" w:color="auto"/>
              <w:left w:val="nil"/>
              <w:bottom w:val="nil"/>
              <w:right w:val="nil"/>
            </w:tcBorders>
            <w:shd w:val="clear" w:color="auto" w:fill="FDE9D9" w:themeFill="accent6" w:themeFillTint="33"/>
            <w:vAlign w:val="bottom"/>
            <w:hideMark/>
          </w:tcPr>
          <w:p w14:paraId="1C4E670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2021</w:t>
            </w:r>
          </w:p>
        </w:tc>
        <w:tc>
          <w:tcPr>
            <w:tcW w:w="1355" w:type="dxa"/>
            <w:tcBorders>
              <w:top w:val="single" w:sz="4" w:space="0" w:color="auto"/>
              <w:left w:val="nil"/>
              <w:bottom w:val="nil"/>
              <w:right w:val="nil"/>
            </w:tcBorders>
            <w:shd w:val="clear" w:color="000000" w:fill="FFFFFF"/>
            <w:vAlign w:val="bottom"/>
            <w:hideMark/>
          </w:tcPr>
          <w:p w14:paraId="06D3CF3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2020</w:t>
            </w:r>
          </w:p>
        </w:tc>
      </w:tr>
      <w:tr w:rsidR="00891B3A" w:rsidRPr="00C67A93" w14:paraId="72437D75" w14:textId="77777777" w:rsidTr="00891B3A">
        <w:trPr>
          <w:trHeight w:val="255"/>
        </w:trPr>
        <w:tc>
          <w:tcPr>
            <w:tcW w:w="5056" w:type="dxa"/>
            <w:tcBorders>
              <w:top w:val="nil"/>
              <w:left w:val="nil"/>
              <w:bottom w:val="single" w:sz="4" w:space="0" w:color="auto"/>
              <w:right w:val="nil"/>
            </w:tcBorders>
            <w:shd w:val="clear" w:color="000000" w:fill="FFFFFF"/>
            <w:noWrap/>
            <w:vAlign w:val="bottom"/>
            <w:hideMark/>
          </w:tcPr>
          <w:p w14:paraId="32542DC0"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76" w:type="dxa"/>
            <w:tcBorders>
              <w:top w:val="nil"/>
              <w:left w:val="nil"/>
              <w:bottom w:val="single" w:sz="4" w:space="0" w:color="auto"/>
              <w:right w:val="nil"/>
            </w:tcBorders>
            <w:shd w:val="clear" w:color="000000" w:fill="FFFFFF"/>
            <w:vAlign w:val="bottom"/>
            <w:hideMark/>
          </w:tcPr>
          <w:p w14:paraId="626BE08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 </w:t>
            </w:r>
          </w:p>
        </w:tc>
        <w:tc>
          <w:tcPr>
            <w:tcW w:w="1785" w:type="dxa"/>
            <w:tcBorders>
              <w:top w:val="nil"/>
              <w:left w:val="nil"/>
              <w:bottom w:val="single" w:sz="4" w:space="0" w:color="auto"/>
              <w:right w:val="nil"/>
            </w:tcBorders>
            <w:shd w:val="clear" w:color="auto" w:fill="FDE9D9" w:themeFill="accent6" w:themeFillTint="33"/>
            <w:vAlign w:val="bottom"/>
            <w:hideMark/>
          </w:tcPr>
          <w:p w14:paraId="5F91D40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£'000</w:t>
            </w:r>
          </w:p>
        </w:tc>
        <w:tc>
          <w:tcPr>
            <w:tcW w:w="1355" w:type="dxa"/>
            <w:tcBorders>
              <w:top w:val="nil"/>
              <w:left w:val="nil"/>
              <w:bottom w:val="single" w:sz="4" w:space="0" w:color="auto"/>
              <w:right w:val="nil"/>
            </w:tcBorders>
            <w:shd w:val="clear" w:color="000000" w:fill="FFFFFF"/>
            <w:vAlign w:val="bottom"/>
            <w:hideMark/>
          </w:tcPr>
          <w:p w14:paraId="78806F8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£'000</w:t>
            </w:r>
          </w:p>
        </w:tc>
      </w:tr>
      <w:tr w:rsidR="00891B3A" w:rsidRPr="00C67A93" w14:paraId="20A185DC" w14:textId="77777777" w:rsidTr="00891B3A">
        <w:trPr>
          <w:trHeight w:val="255"/>
        </w:trPr>
        <w:tc>
          <w:tcPr>
            <w:tcW w:w="5056" w:type="dxa"/>
            <w:tcBorders>
              <w:top w:val="nil"/>
              <w:left w:val="nil"/>
              <w:bottom w:val="nil"/>
              <w:right w:val="nil"/>
            </w:tcBorders>
            <w:shd w:val="clear" w:color="000000" w:fill="FFFFFF"/>
            <w:noWrap/>
            <w:vAlign w:val="bottom"/>
            <w:hideMark/>
          </w:tcPr>
          <w:p w14:paraId="2230F59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76" w:type="dxa"/>
            <w:tcBorders>
              <w:top w:val="nil"/>
              <w:left w:val="nil"/>
              <w:bottom w:val="nil"/>
              <w:right w:val="nil"/>
            </w:tcBorders>
            <w:shd w:val="clear" w:color="000000" w:fill="FFFFFF"/>
            <w:vAlign w:val="bottom"/>
            <w:hideMark/>
          </w:tcPr>
          <w:p w14:paraId="4B4AF7C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 </w:t>
            </w:r>
          </w:p>
        </w:tc>
        <w:tc>
          <w:tcPr>
            <w:tcW w:w="1785" w:type="dxa"/>
            <w:tcBorders>
              <w:top w:val="nil"/>
              <w:left w:val="nil"/>
              <w:bottom w:val="nil"/>
              <w:right w:val="nil"/>
            </w:tcBorders>
            <w:shd w:val="clear" w:color="auto" w:fill="FDE9D9" w:themeFill="accent6" w:themeFillTint="33"/>
            <w:vAlign w:val="bottom"/>
            <w:hideMark/>
          </w:tcPr>
          <w:p w14:paraId="1610572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55" w:type="dxa"/>
            <w:tcBorders>
              <w:top w:val="nil"/>
              <w:left w:val="nil"/>
              <w:bottom w:val="nil"/>
              <w:right w:val="nil"/>
            </w:tcBorders>
            <w:shd w:val="clear" w:color="000000" w:fill="FFFFFF"/>
            <w:vAlign w:val="bottom"/>
            <w:hideMark/>
          </w:tcPr>
          <w:p w14:paraId="0BED109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r>
      <w:tr w:rsidR="00891B3A" w:rsidRPr="00C67A93" w14:paraId="249E145B" w14:textId="77777777" w:rsidTr="00891B3A">
        <w:trPr>
          <w:trHeight w:val="300"/>
        </w:trPr>
        <w:tc>
          <w:tcPr>
            <w:tcW w:w="5056" w:type="dxa"/>
            <w:tcBorders>
              <w:top w:val="nil"/>
              <w:left w:val="nil"/>
              <w:bottom w:val="nil"/>
              <w:right w:val="nil"/>
            </w:tcBorders>
            <w:shd w:val="clear" w:color="000000" w:fill="FFFFFF"/>
            <w:noWrap/>
            <w:vAlign w:val="bottom"/>
            <w:hideMark/>
          </w:tcPr>
          <w:p w14:paraId="6F991413"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Profit/(loss) for the period</w:t>
            </w:r>
          </w:p>
        </w:tc>
        <w:tc>
          <w:tcPr>
            <w:tcW w:w="876" w:type="dxa"/>
            <w:tcBorders>
              <w:top w:val="nil"/>
              <w:left w:val="nil"/>
              <w:bottom w:val="nil"/>
              <w:right w:val="nil"/>
            </w:tcBorders>
            <w:shd w:val="clear" w:color="000000" w:fill="FFFFFF"/>
            <w:noWrap/>
            <w:vAlign w:val="bottom"/>
            <w:hideMark/>
          </w:tcPr>
          <w:p w14:paraId="5EA3FDD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85" w:type="dxa"/>
            <w:tcBorders>
              <w:top w:val="nil"/>
              <w:left w:val="nil"/>
              <w:bottom w:val="nil"/>
              <w:right w:val="nil"/>
            </w:tcBorders>
            <w:shd w:val="clear" w:color="auto" w:fill="FDE9D9" w:themeFill="accent6" w:themeFillTint="33"/>
            <w:vAlign w:val="bottom"/>
          </w:tcPr>
          <w:p w14:paraId="544EBC8F" w14:textId="4A17E6D4" w:rsidR="00891B3A" w:rsidRPr="00C67A93" w:rsidRDefault="00A712DE"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1355" w:type="dxa"/>
            <w:tcBorders>
              <w:top w:val="nil"/>
              <w:left w:val="nil"/>
              <w:bottom w:val="nil"/>
              <w:right w:val="nil"/>
            </w:tcBorders>
            <w:shd w:val="clear" w:color="000000" w:fill="FFFFFF"/>
            <w:vAlign w:val="bottom"/>
            <w:hideMark/>
          </w:tcPr>
          <w:p w14:paraId="6BA4996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3CA0B9ED" w14:textId="77777777" w:rsidTr="00891B3A">
        <w:trPr>
          <w:trHeight w:val="300"/>
        </w:trPr>
        <w:tc>
          <w:tcPr>
            <w:tcW w:w="5056" w:type="dxa"/>
            <w:tcBorders>
              <w:top w:val="nil"/>
              <w:left w:val="nil"/>
              <w:bottom w:val="nil"/>
              <w:right w:val="nil"/>
            </w:tcBorders>
            <w:shd w:val="clear" w:color="000000" w:fill="FFFFFF"/>
            <w:noWrap/>
            <w:vAlign w:val="bottom"/>
            <w:hideMark/>
          </w:tcPr>
          <w:p w14:paraId="5F7FBE59"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Other comprehensive income</w:t>
            </w:r>
          </w:p>
        </w:tc>
        <w:tc>
          <w:tcPr>
            <w:tcW w:w="876" w:type="dxa"/>
            <w:tcBorders>
              <w:top w:val="nil"/>
              <w:left w:val="nil"/>
              <w:bottom w:val="nil"/>
              <w:right w:val="nil"/>
            </w:tcBorders>
            <w:shd w:val="clear" w:color="000000" w:fill="FFFFFF"/>
            <w:noWrap/>
            <w:vAlign w:val="bottom"/>
            <w:hideMark/>
          </w:tcPr>
          <w:p w14:paraId="42B64DA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85" w:type="dxa"/>
            <w:tcBorders>
              <w:top w:val="nil"/>
              <w:left w:val="nil"/>
              <w:bottom w:val="single" w:sz="4" w:space="0" w:color="auto"/>
              <w:right w:val="nil"/>
            </w:tcBorders>
            <w:shd w:val="clear" w:color="auto" w:fill="FDE9D9" w:themeFill="accent6" w:themeFillTint="33"/>
            <w:vAlign w:val="bottom"/>
          </w:tcPr>
          <w:p w14:paraId="66CCBF2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p>
        </w:tc>
        <w:tc>
          <w:tcPr>
            <w:tcW w:w="1355" w:type="dxa"/>
            <w:tcBorders>
              <w:top w:val="nil"/>
              <w:left w:val="nil"/>
              <w:bottom w:val="single" w:sz="4" w:space="0" w:color="auto"/>
              <w:right w:val="nil"/>
            </w:tcBorders>
            <w:shd w:val="clear" w:color="000000" w:fill="FFFFFF"/>
            <w:vAlign w:val="bottom"/>
            <w:hideMark/>
          </w:tcPr>
          <w:p w14:paraId="57CF093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                       -   </w:t>
            </w:r>
          </w:p>
        </w:tc>
      </w:tr>
      <w:tr w:rsidR="00891B3A" w:rsidRPr="00C67A93" w14:paraId="018236A8" w14:textId="77777777" w:rsidTr="00891B3A">
        <w:trPr>
          <w:trHeight w:val="300"/>
        </w:trPr>
        <w:tc>
          <w:tcPr>
            <w:tcW w:w="5056" w:type="dxa"/>
            <w:tcBorders>
              <w:top w:val="single" w:sz="4" w:space="0" w:color="auto"/>
              <w:left w:val="nil"/>
              <w:bottom w:val="single" w:sz="4" w:space="0" w:color="auto"/>
              <w:right w:val="nil"/>
            </w:tcBorders>
            <w:shd w:val="clear" w:color="000000" w:fill="FFFFFF"/>
            <w:noWrap/>
            <w:vAlign w:val="bottom"/>
            <w:hideMark/>
          </w:tcPr>
          <w:p w14:paraId="7D098F1D"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Total comprehensive profit/(loss) for the period</w:t>
            </w:r>
          </w:p>
        </w:tc>
        <w:tc>
          <w:tcPr>
            <w:tcW w:w="876" w:type="dxa"/>
            <w:tcBorders>
              <w:top w:val="single" w:sz="4" w:space="0" w:color="auto"/>
              <w:left w:val="nil"/>
              <w:bottom w:val="single" w:sz="4" w:space="0" w:color="auto"/>
              <w:right w:val="nil"/>
            </w:tcBorders>
            <w:shd w:val="clear" w:color="000000" w:fill="FFFFFF"/>
            <w:noWrap/>
            <w:vAlign w:val="bottom"/>
            <w:hideMark/>
          </w:tcPr>
          <w:p w14:paraId="72C4397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85" w:type="dxa"/>
            <w:tcBorders>
              <w:top w:val="nil"/>
              <w:left w:val="nil"/>
              <w:bottom w:val="single" w:sz="4" w:space="0" w:color="auto"/>
              <w:right w:val="nil"/>
            </w:tcBorders>
            <w:shd w:val="clear" w:color="auto" w:fill="FDE9D9" w:themeFill="accent6" w:themeFillTint="33"/>
            <w:vAlign w:val="bottom"/>
          </w:tcPr>
          <w:p w14:paraId="6CDD02F6" w14:textId="072BEAEE" w:rsidR="00891B3A" w:rsidRPr="00C67A93" w:rsidRDefault="00A712DE"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1355" w:type="dxa"/>
            <w:tcBorders>
              <w:top w:val="nil"/>
              <w:left w:val="nil"/>
              <w:bottom w:val="single" w:sz="4" w:space="0" w:color="auto"/>
              <w:right w:val="nil"/>
            </w:tcBorders>
            <w:shd w:val="clear" w:color="000000" w:fill="FFFFFF"/>
            <w:vAlign w:val="bottom"/>
            <w:hideMark/>
          </w:tcPr>
          <w:p w14:paraId="75C77FE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26171222" w14:textId="77777777" w:rsidTr="00891B3A">
        <w:trPr>
          <w:trHeight w:val="135"/>
        </w:trPr>
        <w:tc>
          <w:tcPr>
            <w:tcW w:w="5056" w:type="dxa"/>
            <w:tcBorders>
              <w:top w:val="nil"/>
              <w:left w:val="nil"/>
              <w:bottom w:val="nil"/>
              <w:right w:val="nil"/>
            </w:tcBorders>
            <w:shd w:val="clear" w:color="000000" w:fill="FFFFFF"/>
            <w:noWrap/>
            <w:vAlign w:val="bottom"/>
            <w:hideMark/>
          </w:tcPr>
          <w:p w14:paraId="7B778300"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76" w:type="dxa"/>
            <w:tcBorders>
              <w:top w:val="nil"/>
              <w:left w:val="nil"/>
              <w:bottom w:val="nil"/>
              <w:right w:val="nil"/>
            </w:tcBorders>
            <w:shd w:val="clear" w:color="000000" w:fill="FFFFFF"/>
            <w:noWrap/>
            <w:vAlign w:val="bottom"/>
            <w:hideMark/>
          </w:tcPr>
          <w:p w14:paraId="32E98B2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85" w:type="dxa"/>
            <w:tcBorders>
              <w:top w:val="nil"/>
              <w:left w:val="nil"/>
              <w:bottom w:val="nil"/>
              <w:right w:val="nil"/>
            </w:tcBorders>
            <w:shd w:val="clear" w:color="auto" w:fill="FDE9D9" w:themeFill="accent6" w:themeFillTint="33"/>
            <w:vAlign w:val="bottom"/>
          </w:tcPr>
          <w:p w14:paraId="448BB7E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55" w:type="dxa"/>
            <w:tcBorders>
              <w:top w:val="nil"/>
              <w:left w:val="nil"/>
              <w:bottom w:val="nil"/>
              <w:right w:val="nil"/>
            </w:tcBorders>
            <w:shd w:val="clear" w:color="000000" w:fill="FFFFFF"/>
            <w:vAlign w:val="bottom"/>
            <w:hideMark/>
          </w:tcPr>
          <w:p w14:paraId="3F1BBC6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3CA1FC94" w14:textId="77777777" w:rsidTr="00891B3A">
        <w:trPr>
          <w:trHeight w:val="300"/>
        </w:trPr>
        <w:tc>
          <w:tcPr>
            <w:tcW w:w="5056" w:type="dxa"/>
            <w:tcBorders>
              <w:top w:val="nil"/>
              <w:left w:val="nil"/>
              <w:bottom w:val="nil"/>
              <w:right w:val="nil"/>
            </w:tcBorders>
            <w:shd w:val="clear" w:color="000000" w:fill="FFFFFF"/>
            <w:noWrap/>
            <w:vAlign w:val="bottom"/>
            <w:hideMark/>
          </w:tcPr>
          <w:p w14:paraId="5E1F78F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Attributable to:</w:t>
            </w:r>
          </w:p>
        </w:tc>
        <w:tc>
          <w:tcPr>
            <w:tcW w:w="876" w:type="dxa"/>
            <w:tcBorders>
              <w:top w:val="nil"/>
              <w:left w:val="nil"/>
              <w:bottom w:val="nil"/>
              <w:right w:val="nil"/>
            </w:tcBorders>
            <w:shd w:val="clear" w:color="000000" w:fill="FFFFFF"/>
            <w:noWrap/>
            <w:vAlign w:val="bottom"/>
            <w:hideMark/>
          </w:tcPr>
          <w:p w14:paraId="78709B0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85" w:type="dxa"/>
            <w:tcBorders>
              <w:top w:val="nil"/>
              <w:left w:val="nil"/>
              <w:bottom w:val="nil"/>
              <w:right w:val="nil"/>
            </w:tcBorders>
            <w:shd w:val="clear" w:color="auto" w:fill="FDE9D9" w:themeFill="accent6" w:themeFillTint="33"/>
            <w:vAlign w:val="bottom"/>
          </w:tcPr>
          <w:p w14:paraId="12F8730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55" w:type="dxa"/>
            <w:tcBorders>
              <w:top w:val="nil"/>
              <w:left w:val="nil"/>
              <w:bottom w:val="nil"/>
              <w:right w:val="nil"/>
            </w:tcBorders>
            <w:shd w:val="clear" w:color="000000" w:fill="FFFFFF"/>
            <w:vAlign w:val="bottom"/>
            <w:hideMark/>
          </w:tcPr>
          <w:p w14:paraId="606277F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29543878" w14:textId="77777777" w:rsidTr="00891B3A">
        <w:trPr>
          <w:trHeight w:val="447"/>
        </w:trPr>
        <w:tc>
          <w:tcPr>
            <w:tcW w:w="5056" w:type="dxa"/>
            <w:tcBorders>
              <w:top w:val="nil"/>
              <w:left w:val="nil"/>
              <w:bottom w:val="single" w:sz="4" w:space="0" w:color="auto"/>
              <w:right w:val="nil"/>
            </w:tcBorders>
            <w:shd w:val="clear" w:color="000000" w:fill="FFFFFF"/>
            <w:noWrap/>
            <w:vAlign w:val="bottom"/>
            <w:hideMark/>
          </w:tcPr>
          <w:p w14:paraId="2D63812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Equity shareholders</w:t>
            </w:r>
          </w:p>
        </w:tc>
        <w:tc>
          <w:tcPr>
            <w:tcW w:w="876" w:type="dxa"/>
            <w:tcBorders>
              <w:top w:val="nil"/>
              <w:left w:val="nil"/>
              <w:bottom w:val="single" w:sz="4" w:space="0" w:color="auto"/>
              <w:right w:val="nil"/>
            </w:tcBorders>
            <w:shd w:val="clear" w:color="000000" w:fill="FFFFFF"/>
            <w:noWrap/>
            <w:vAlign w:val="bottom"/>
            <w:hideMark/>
          </w:tcPr>
          <w:p w14:paraId="5D5F52C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85" w:type="dxa"/>
            <w:tcBorders>
              <w:top w:val="nil"/>
              <w:left w:val="nil"/>
              <w:bottom w:val="single" w:sz="4" w:space="0" w:color="auto"/>
              <w:right w:val="nil"/>
            </w:tcBorders>
            <w:shd w:val="clear" w:color="auto" w:fill="FDE9D9" w:themeFill="accent6" w:themeFillTint="33"/>
            <w:vAlign w:val="bottom"/>
          </w:tcPr>
          <w:p w14:paraId="2CF81F79" w14:textId="4D8263B6" w:rsidR="00891B3A" w:rsidRPr="00C67A93" w:rsidRDefault="00A712DE"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1355" w:type="dxa"/>
            <w:tcBorders>
              <w:top w:val="nil"/>
              <w:left w:val="nil"/>
              <w:bottom w:val="single" w:sz="4" w:space="0" w:color="auto"/>
              <w:right w:val="nil"/>
            </w:tcBorders>
            <w:shd w:val="clear" w:color="000000" w:fill="FFFFFF"/>
            <w:vAlign w:val="bottom"/>
            <w:hideMark/>
          </w:tcPr>
          <w:p w14:paraId="45DC23B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1119B227" w14:textId="77777777" w:rsidTr="00891B3A">
        <w:trPr>
          <w:trHeight w:val="447"/>
        </w:trPr>
        <w:tc>
          <w:tcPr>
            <w:tcW w:w="5056" w:type="dxa"/>
            <w:tcBorders>
              <w:top w:val="single" w:sz="4" w:space="0" w:color="auto"/>
              <w:left w:val="nil"/>
              <w:right w:val="nil"/>
            </w:tcBorders>
            <w:shd w:val="clear" w:color="000000" w:fill="FFFFFF"/>
            <w:noWrap/>
            <w:vAlign w:val="center"/>
          </w:tcPr>
          <w:p w14:paraId="1F07248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876" w:type="dxa"/>
            <w:tcBorders>
              <w:top w:val="single" w:sz="4" w:space="0" w:color="auto"/>
              <w:left w:val="nil"/>
              <w:right w:val="nil"/>
            </w:tcBorders>
            <w:shd w:val="clear" w:color="000000" w:fill="FFFFFF"/>
            <w:noWrap/>
            <w:vAlign w:val="bottom"/>
          </w:tcPr>
          <w:p w14:paraId="7010BC6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1785" w:type="dxa"/>
            <w:tcBorders>
              <w:top w:val="single" w:sz="4" w:space="0" w:color="auto"/>
              <w:left w:val="nil"/>
              <w:right w:val="nil"/>
            </w:tcBorders>
            <w:shd w:val="clear" w:color="auto" w:fill="auto"/>
            <w:vAlign w:val="bottom"/>
          </w:tcPr>
          <w:p w14:paraId="4D17F30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55" w:type="dxa"/>
            <w:tcBorders>
              <w:top w:val="single" w:sz="4" w:space="0" w:color="auto"/>
              <w:left w:val="nil"/>
              <w:right w:val="nil"/>
            </w:tcBorders>
            <w:shd w:val="clear" w:color="000000" w:fill="FFFFFF"/>
            <w:vAlign w:val="bottom"/>
          </w:tcPr>
          <w:p w14:paraId="2AD38EC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bl>
    <w:p w14:paraId="21D442AF" w14:textId="77777777" w:rsidR="00891B3A" w:rsidRPr="00C67A93" w:rsidRDefault="00891B3A" w:rsidP="00891B3A">
      <w:pPr>
        <w:shd w:val="clear" w:color="auto" w:fill="FFFFFF"/>
        <w:rPr>
          <w:rFonts w:ascii="Arial" w:hAnsi="Arial" w:cs="Arial"/>
        </w:rPr>
      </w:pPr>
    </w:p>
    <w:p w14:paraId="670EF61C" w14:textId="5E8ECC4A" w:rsidR="00891B3A" w:rsidRPr="00C67A93" w:rsidRDefault="00891B3A" w:rsidP="00891B3A">
      <w:pPr>
        <w:shd w:val="clear" w:color="auto" w:fill="FFFFFF"/>
        <w:rPr>
          <w:rFonts w:ascii="Arial" w:hAnsi="Arial" w:cs="Arial"/>
        </w:rPr>
        <w:sectPr w:rsidR="00891B3A" w:rsidRPr="00C67A93" w:rsidSect="00B07AC1">
          <w:pgSz w:w="11906" w:h="16838"/>
          <w:pgMar w:top="1440" w:right="1418" w:bottom="1440" w:left="1418" w:header="720" w:footer="720" w:gutter="0"/>
          <w:cols w:space="720"/>
        </w:sectPr>
      </w:pPr>
      <w:r w:rsidRPr="00C67A93">
        <w:rPr>
          <w:rFonts w:ascii="Arial" w:hAnsi="Arial" w:cs="Arial"/>
        </w:rPr>
        <w:t xml:space="preserve">The notes </w:t>
      </w:r>
      <w:r w:rsidR="00347F0B">
        <w:rPr>
          <w:rFonts w:ascii="Arial" w:hAnsi="Arial" w:cs="Arial"/>
        </w:rPr>
        <w:t xml:space="preserve">on pages 21 to 35 form </w:t>
      </w:r>
      <w:r w:rsidRPr="00C67A93">
        <w:rPr>
          <w:rFonts w:ascii="Arial" w:hAnsi="Arial" w:cs="Arial"/>
        </w:rPr>
        <w:t>part of these Financial Statements.</w:t>
      </w:r>
    </w:p>
    <w:p w14:paraId="44047566" w14:textId="77777777" w:rsidR="00891B3A" w:rsidRPr="00C67A93" w:rsidRDefault="00891B3A" w:rsidP="00891B3A">
      <w:pPr>
        <w:shd w:val="clear" w:color="auto" w:fill="FFFFFF"/>
        <w:spacing w:after="160" w:line="240" w:lineRule="auto"/>
        <w:rPr>
          <w:rFonts w:ascii="Arial" w:hAnsi="Arial" w:cs="Arial"/>
          <w:sz w:val="20"/>
          <w:szCs w:val="20"/>
        </w:rPr>
      </w:pPr>
      <w:r w:rsidRPr="00C67A93">
        <w:rPr>
          <w:rFonts w:ascii="Arial" w:hAnsi="Arial" w:cs="Arial"/>
          <w:b/>
          <w:bCs/>
          <w:w w:val="125"/>
          <w:sz w:val="30"/>
          <w:szCs w:val="30"/>
        </w:rPr>
        <w:lastRenderedPageBreak/>
        <w:t>Condensed Statement of Financial Position</w:t>
      </w:r>
    </w:p>
    <w:p w14:paraId="7A18B31A" w14:textId="77777777" w:rsidR="00891B3A" w:rsidRPr="00C67A93" w:rsidRDefault="00891B3A" w:rsidP="00891B3A">
      <w:pPr>
        <w:shd w:val="clear" w:color="auto" w:fill="FFFFFF"/>
        <w:spacing w:before="10" w:line="180" w:lineRule="exact"/>
        <w:rPr>
          <w:rFonts w:ascii="Arial" w:hAnsi="Arial" w:cs="Arial"/>
        </w:rPr>
      </w:pPr>
    </w:p>
    <w:tbl>
      <w:tblPr>
        <w:tblW w:w="5000" w:type="pct"/>
        <w:tblCellMar>
          <w:left w:w="0" w:type="dxa"/>
        </w:tblCellMar>
        <w:tblLook w:val="04A0" w:firstRow="1" w:lastRow="0" w:firstColumn="1" w:lastColumn="0" w:noHBand="0" w:noVBand="1"/>
      </w:tblPr>
      <w:tblGrid>
        <w:gridCol w:w="5785"/>
        <w:gridCol w:w="778"/>
        <w:gridCol w:w="1332"/>
        <w:gridCol w:w="1459"/>
      </w:tblGrid>
      <w:tr w:rsidR="00891B3A" w:rsidRPr="00C67A93" w14:paraId="75913A37" w14:textId="77777777" w:rsidTr="00891B3A">
        <w:trPr>
          <w:trHeight w:val="255"/>
        </w:trPr>
        <w:tc>
          <w:tcPr>
            <w:tcW w:w="3092" w:type="pct"/>
            <w:tcBorders>
              <w:top w:val="nil"/>
              <w:left w:val="nil"/>
              <w:right w:val="nil"/>
            </w:tcBorders>
            <w:shd w:val="clear" w:color="auto" w:fill="auto"/>
            <w:noWrap/>
            <w:vAlign w:val="bottom"/>
            <w:hideMark/>
          </w:tcPr>
          <w:p w14:paraId="209BDF9D" w14:textId="77777777" w:rsidR="00891B3A" w:rsidRPr="00C67A93" w:rsidRDefault="00891B3A" w:rsidP="00891B3A">
            <w:pPr>
              <w:widowControl/>
              <w:spacing w:after="0" w:line="240" w:lineRule="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 </w:t>
            </w:r>
          </w:p>
        </w:tc>
        <w:tc>
          <w:tcPr>
            <w:tcW w:w="416" w:type="pct"/>
            <w:tcBorders>
              <w:top w:val="nil"/>
              <w:left w:val="nil"/>
              <w:right w:val="nil"/>
            </w:tcBorders>
            <w:shd w:val="clear" w:color="auto" w:fill="auto"/>
            <w:vAlign w:val="bottom"/>
            <w:hideMark/>
          </w:tcPr>
          <w:p w14:paraId="16DE448F" w14:textId="77777777" w:rsidR="00891B3A" w:rsidRPr="00C67A93" w:rsidRDefault="00891B3A" w:rsidP="00891B3A">
            <w:pPr>
              <w:widowControl/>
              <w:spacing w:after="0" w:line="240" w:lineRule="auto"/>
              <w:jc w:val="center"/>
              <w:rPr>
                <w:rFonts w:ascii="Arial" w:eastAsia="Times New Roman" w:hAnsi="Arial" w:cs="Arial"/>
                <w:b/>
                <w:bCs/>
                <w:color w:val="000000"/>
                <w:sz w:val="20"/>
                <w:szCs w:val="20"/>
                <w:lang w:val="en-SG" w:eastAsia="en-SG"/>
              </w:rPr>
            </w:pPr>
          </w:p>
        </w:tc>
        <w:tc>
          <w:tcPr>
            <w:tcW w:w="712" w:type="pct"/>
            <w:tcBorders>
              <w:top w:val="nil"/>
              <w:left w:val="nil"/>
              <w:bottom w:val="single" w:sz="4" w:space="0" w:color="auto"/>
              <w:right w:val="nil"/>
            </w:tcBorders>
            <w:shd w:val="clear" w:color="auto" w:fill="auto"/>
            <w:vAlign w:val="bottom"/>
          </w:tcPr>
          <w:p w14:paraId="67F8D01A" w14:textId="77777777" w:rsidR="00891B3A" w:rsidRPr="00C67A93" w:rsidRDefault="00891B3A" w:rsidP="00891B3A">
            <w:pPr>
              <w:widowControl/>
              <w:spacing w:after="0" w:line="240" w:lineRule="auto"/>
              <w:jc w:val="right"/>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30 June</w:t>
            </w:r>
          </w:p>
        </w:tc>
        <w:tc>
          <w:tcPr>
            <w:tcW w:w="780" w:type="pct"/>
            <w:tcBorders>
              <w:top w:val="nil"/>
              <w:left w:val="nil"/>
              <w:bottom w:val="single" w:sz="4" w:space="0" w:color="auto"/>
              <w:right w:val="nil"/>
            </w:tcBorders>
            <w:shd w:val="clear" w:color="auto" w:fill="auto"/>
            <w:hideMark/>
          </w:tcPr>
          <w:p w14:paraId="4F547173" w14:textId="77777777" w:rsidR="00891B3A" w:rsidRPr="00C67A93" w:rsidRDefault="00891B3A" w:rsidP="00891B3A">
            <w:pPr>
              <w:widowControl/>
              <w:spacing w:after="0" w:line="240" w:lineRule="auto"/>
              <w:jc w:val="right"/>
              <w:rPr>
                <w:rFonts w:ascii="Arial" w:hAnsi="Arial" w:cs="Arial"/>
                <w:b/>
                <w:bCs/>
                <w:sz w:val="20"/>
                <w:szCs w:val="20"/>
              </w:rPr>
            </w:pPr>
            <w:r w:rsidRPr="00C67A93">
              <w:rPr>
                <w:rFonts w:ascii="Arial" w:hAnsi="Arial" w:cs="Arial"/>
                <w:b/>
                <w:bCs/>
                <w:sz w:val="20"/>
                <w:szCs w:val="20"/>
              </w:rPr>
              <w:t>31 December</w:t>
            </w:r>
          </w:p>
        </w:tc>
      </w:tr>
      <w:tr w:rsidR="00891B3A" w:rsidRPr="00C67A93" w14:paraId="08A9AD03" w14:textId="77777777" w:rsidTr="00891B3A">
        <w:trPr>
          <w:trHeight w:val="255"/>
        </w:trPr>
        <w:tc>
          <w:tcPr>
            <w:tcW w:w="3092" w:type="pct"/>
            <w:tcBorders>
              <w:top w:val="nil"/>
              <w:left w:val="nil"/>
              <w:right w:val="nil"/>
            </w:tcBorders>
            <w:shd w:val="clear" w:color="auto" w:fill="auto"/>
            <w:noWrap/>
            <w:vAlign w:val="bottom"/>
          </w:tcPr>
          <w:p w14:paraId="5F735055" w14:textId="77777777" w:rsidR="00891B3A" w:rsidRPr="00C67A93" w:rsidRDefault="00891B3A" w:rsidP="00891B3A">
            <w:pPr>
              <w:widowControl/>
              <w:spacing w:after="0" w:line="240" w:lineRule="auto"/>
              <w:rPr>
                <w:rFonts w:ascii="Arial" w:eastAsia="Times New Roman" w:hAnsi="Arial" w:cs="Arial"/>
                <w:color w:val="000000"/>
                <w:sz w:val="20"/>
                <w:szCs w:val="20"/>
                <w:lang w:val="en-SG" w:eastAsia="en-SG"/>
              </w:rPr>
            </w:pPr>
          </w:p>
        </w:tc>
        <w:tc>
          <w:tcPr>
            <w:tcW w:w="416" w:type="pct"/>
            <w:tcBorders>
              <w:top w:val="nil"/>
              <w:left w:val="nil"/>
              <w:right w:val="nil"/>
            </w:tcBorders>
            <w:shd w:val="clear" w:color="auto" w:fill="auto"/>
            <w:vAlign w:val="bottom"/>
          </w:tcPr>
          <w:p w14:paraId="65DDAC8F" w14:textId="77777777" w:rsidR="00891B3A" w:rsidRPr="00C67A93" w:rsidRDefault="00891B3A" w:rsidP="00891B3A">
            <w:pPr>
              <w:widowControl/>
              <w:spacing w:after="0" w:line="240" w:lineRule="auto"/>
              <w:jc w:val="center"/>
              <w:rPr>
                <w:rFonts w:ascii="Arial" w:eastAsia="Times New Roman" w:hAnsi="Arial" w:cs="Arial"/>
                <w:b/>
                <w:bCs/>
                <w:color w:val="000000"/>
                <w:sz w:val="20"/>
                <w:szCs w:val="20"/>
                <w:lang w:val="en-SG" w:eastAsia="en-SG"/>
              </w:rPr>
            </w:pPr>
          </w:p>
        </w:tc>
        <w:tc>
          <w:tcPr>
            <w:tcW w:w="712" w:type="pct"/>
            <w:tcBorders>
              <w:top w:val="single" w:sz="4" w:space="0" w:color="auto"/>
              <w:left w:val="nil"/>
              <w:right w:val="nil"/>
            </w:tcBorders>
            <w:shd w:val="clear" w:color="auto" w:fill="FDE9D9" w:themeFill="accent6" w:themeFillTint="33"/>
            <w:vAlign w:val="bottom"/>
          </w:tcPr>
          <w:p w14:paraId="0431E86F" w14:textId="77777777" w:rsidR="00891B3A" w:rsidRPr="00C67A93" w:rsidRDefault="00891B3A" w:rsidP="00891B3A">
            <w:pPr>
              <w:widowControl/>
              <w:spacing w:after="0" w:line="240" w:lineRule="auto"/>
              <w:jc w:val="right"/>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2021</w:t>
            </w:r>
          </w:p>
        </w:tc>
        <w:tc>
          <w:tcPr>
            <w:tcW w:w="780" w:type="pct"/>
            <w:tcBorders>
              <w:top w:val="single" w:sz="4" w:space="0" w:color="auto"/>
              <w:left w:val="nil"/>
              <w:right w:val="nil"/>
            </w:tcBorders>
            <w:shd w:val="clear" w:color="auto" w:fill="auto"/>
          </w:tcPr>
          <w:p w14:paraId="09AE8ED1" w14:textId="77777777" w:rsidR="00891B3A" w:rsidRPr="00C67A93" w:rsidRDefault="00891B3A" w:rsidP="00891B3A">
            <w:pPr>
              <w:widowControl/>
              <w:spacing w:after="0" w:line="240" w:lineRule="auto"/>
              <w:jc w:val="right"/>
              <w:rPr>
                <w:rFonts w:ascii="Arial" w:hAnsi="Arial" w:cs="Arial"/>
                <w:b/>
                <w:bCs/>
                <w:sz w:val="20"/>
                <w:szCs w:val="20"/>
              </w:rPr>
            </w:pPr>
            <w:r w:rsidRPr="00C67A93">
              <w:rPr>
                <w:rFonts w:ascii="Arial" w:hAnsi="Arial" w:cs="Arial"/>
                <w:b/>
                <w:bCs/>
                <w:sz w:val="20"/>
                <w:szCs w:val="20"/>
              </w:rPr>
              <w:t>2020</w:t>
            </w:r>
          </w:p>
        </w:tc>
      </w:tr>
      <w:tr w:rsidR="00891B3A" w:rsidRPr="00C67A93" w14:paraId="2D61E286" w14:textId="77777777" w:rsidTr="00891B3A">
        <w:trPr>
          <w:trHeight w:val="255"/>
        </w:trPr>
        <w:tc>
          <w:tcPr>
            <w:tcW w:w="3092" w:type="pct"/>
            <w:tcBorders>
              <w:top w:val="nil"/>
              <w:left w:val="nil"/>
              <w:bottom w:val="single" w:sz="4" w:space="0" w:color="auto"/>
              <w:right w:val="nil"/>
            </w:tcBorders>
            <w:shd w:val="clear" w:color="auto" w:fill="auto"/>
            <w:noWrap/>
            <w:vAlign w:val="bottom"/>
            <w:hideMark/>
          </w:tcPr>
          <w:p w14:paraId="705F11B2"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sz w:val="20"/>
                <w:szCs w:val="20"/>
                <w:lang w:val="en-SG" w:eastAsia="en-SG"/>
              </w:rPr>
              <w:t> </w:t>
            </w:r>
          </w:p>
        </w:tc>
        <w:tc>
          <w:tcPr>
            <w:tcW w:w="416" w:type="pct"/>
            <w:tcBorders>
              <w:top w:val="nil"/>
              <w:left w:val="nil"/>
              <w:bottom w:val="single" w:sz="4" w:space="0" w:color="auto"/>
              <w:right w:val="nil"/>
            </w:tcBorders>
            <w:shd w:val="clear" w:color="auto" w:fill="auto"/>
            <w:vAlign w:val="bottom"/>
            <w:hideMark/>
          </w:tcPr>
          <w:p w14:paraId="0A36D00E" w14:textId="77777777" w:rsidR="00891B3A" w:rsidRPr="00C67A93" w:rsidRDefault="00891B3A" w:rsidP="00891B3A">
            <w:pPr>
              <w:widowControl/>
              <w:spacing w:after="0" w:line="240" w:lineRule="auto"/>
              <w:jc w:val="center"/>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Notes</w:t>
            </w:r>
          </w:p>
        </w:tc>
        <w:tc>
          <w:tcPr>
            <w:tcW w:w="712" w:type="pct"/>
            <w:tcBorders>
              <w:top w:val="nil"/>
              <w:left w:val="nil"/>
              <w:bottom w:val="single" w:sz="4" w:space="0" w:color="auto"/>
              <w:right w:val="nil"/>
            </w:tcBorders>
            <w:shd w:val="clear" w:color="auto" w:fill="FDE9D9" w:themeFill="accent6" w:themeFillTint="33"/>
          </w:tcPr>
          <w:p w14:paraId="73D85C42"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b/>
                <w:bCs/>
                <w:sz w:val="20"/>
                <w:szCs w:val="20"/>
              </w:rPr>
              <w:t>£'000</w:t>
            </w:r>
          </w:p>
        </w:tc>
        <w:tc>
          <w:tcPr>
            <w:tcW w:w="780" w:type="pct"/>
            <w:tcBorders>
              <w:top w:val="nil"/>
              <w:left w:val="nil"/>
              <w:bottom w:val="single" w:sz="4" w:space="0" w:color="auto"/>
              <w:right w:val="nil"/>
            </w:tcBorders>
            <w:shd w:val="clear" w:color="auto" w:fill="auto"/>
            <w:hideMark/>
          </w:tcPr>
          <w:p w14:paraId="4E585280"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b/>
                <w:bCs/>
                <w:sz w:val="20"/>
                <w:szCs w:val="20"/>
              </w:rPr>
              <w:t>£'000</w:t>
            </w:r>
          </w:p>
        </w:tc>
      </w:tr>
      <w:tr w:rsidR="00891B3A" w:rsidRPr="00C67A93" w14:paraId="5BCE0756" w14:textId="77777777" w:rsidTr="00891B3A">
        <w:trPr>
          <w:trHeight w:val="255"/>
        </w:trPr>
        <w:tc>
          <w:tcPr>
            <w:tcW w:w="3092" w:type="pct"/>
            <w:tcBorders>
              <w:left w:val="nil"/>
              <w:right w:val="nil"/>
            </w:tcBorders>
            <w:shd w:val="clear" w:color="auto" w:fill="auto"/>
            <w:noWrap/>
            <w:vAlign w:val="bottom"/>
          </w:tcPr>
          <w:p w14:paraId="1F3C0958"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b/>
                <w:bCs/>
                <w:sz w:val="20"/>
                <w:szCs w:val="20"/>
                <w:lang w:val="en-SG" w:eastAsia="en-SG"/>
              </w:rPr>
              <w:t>Non-current assets</w:t>
            </w:r>
          </w:p>
        </w:tc>
        <w:tc>
          <w:tcPr>
            <w:tcW w:w="416" w:type="pct"/>
            <w:tcBorders>
              <w:left w:val="nil"/>
              <w:right w:val="nil"/>
            </w:tcBorders>
            <w:shd w:val="clear" w:color="auto" w:fill="auto"/>
            <w:vAlign w:val="bottom"/>
          </w:tcPr>
          <w:p w14:paraId="5D3F4690" w14:textId="77777777" w:rsidR="00891B3A" w:rsidRPr="00C67A93" w:rsidRDefault="00891B3A" w:rsidP="00891B3A">
            <w:pPr>
              <w:widowControl/>
              <w:spacing w:after="0" w:line="240" w:lineRule="auto"/>
              <w:jc w:val="center"/>
              <w:rPr>
                <w:rFonts w:ascii="Arial" w:eastAsia="Times New Roman" w:hAnsi="Arial" w:cs="Arial"/>
                <w:b/>
                <w:bCs/>
                <w:color w:val="000000"/>
                <w:sz w:val="20"/>
                <w:szCs w:val="20"/>
                <w:lang w:val="en-SG" w:eastAsia="en-SG"/>
              </w:rPr>
            </w:pPr>
          </w:p>
        </w:tc>
        <w:tc>
          <w:tcPr>
            <w:tcW w:w="712" w:type="pct"/>
            <w:tcBorders>
              <w:left w:val="nil"/>
              <w:right w:val="nil"/>
            </w:tcBorders>
            <w:shd w:val="clear" w:color="auto" w:fill="FDE9D9" w:themeFill="accent6" w:themeFillTint="33"/>
            <w:vAlign w:val="bottom"/>
          </w:tcPr>
          <w:p w14:paraId="5F82FB1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left w:val="nil"/>
              <w:right w:val="nil"/>
            </w:tcBorders>
            <w:shd w:val="clear" w:color="auto" w:fill="auto"/>
          </w:tcPr>
          <w:p w14:paraId="3EE7C06E"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 </w:t>
            </w:r>
          </w:p>
        </w:tc>
      </w:tr>
      <w:tr w:rsidR="00891B3A" w:rsidRPr="00C67A93" w14:paraId="7C663ED8" w14:textId="77777777" w:rsidTr="00891B3A">
        <w:trPr>
          <w:trHeight w:val="255"/>
        </w:trPr>
        <w:tc>
          <w:tcPr>
            <w:tcW w:w="3092" w:type="pct"/>
            <w:tcBorders>
              <w:left w:val="nil"/>
              <w:right w:val="nil"/>
            </w:tcBorders>
            <w:shd w:val="clear" w:color="auto" w:fill="auto"/>
            <w:noWrap/>
            <w:vAlign w:val="bottom"/>
          </w:tcPr>
          <w:p w14:paraId="09FC641C"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sz w:val="20"/>
                <w:szCs w:val="20"/>
                <w:lang w:val="en-SG" w:eastAsia="en-SG"/>
              </w:rPr>
              <w:t>Right of use assets</w:t>
            </w:r>
          </w:p>
        </w:tc>
        <w:tc>
          <w:tcPr>
            <w:tcW w:w="416" w:type="pct"/>
            <w:tcBorders>
              <w:left w:val="nil"/>
              <w:right w:val="nil"/>
            </w:tcBorders>
            <w:shd w:val="clear" w:color="auto" w:fill="auto"/>
            <w:vAlign w:val="bottom"/>
          </w:tcPr>
          <w:p w14:paraId="32992EEF"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left w:val="nil"/>
              <w:right w:val="nil"/>
            </w:tcBorders>
            <w:shd w:val="clear" w:color="auto" w:fill="FDE9D9" w:themeFill="accent6" w:themeFillTint="33"/>
            <w:vAlign w:val="bottom"/>
          </w:tcPr>
          <w:p w14:paraId="39AA5979"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111</w:t>
            </w:r>
          </w:p>
        </w:tc>
        <w:tc>
          <w:tcPr>
            <w:tcW w:w="780" w:type="pct"/>
            <w:tcBorders>
              <w:left w:val="nil"/>
              <w:right w:val="nil"/>
            </w:tcBorders>
            <w:shd w:val="clear" w:color="auto" w:fill="auto"/>
          </w:tcPr>
          <w:p w14:paraId="573737D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125</w:t>
            </w:r>
          </w:p>
        </w:tc>
      </w:tr>
      <w:tr w:rsidR="00891B3A" w:rsidRPr="00C67A93" w14:paraId="002422A1" w14:textId="77777777" w:rsidTr="00891B3A">
        <w:trPr>
          <w:trHeight w:val="255"/>
        </w:trPr>
        <w:tc>
          <w:tcPr>
            <w:tcW w:w="3092" w:type="pct"/>
            <w:tcBorders>
              <w:left w:val="nil"/>
              <w:right w:val="nil"/>
            </w:tcBorders>
            <w:shd w:val="clear" w:color="auto" w:fill="auto"/>
            <w:noWrap/>
            <w:vAlign w:val="bottom"/>
          </w:tcPr>
          <w:p w14:paraId="7985DB74"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sz w:val="20"/>
                <w:szCs w:val="20"/>
                <w:lang w:val="en-SG" w:eastAsia="en-SG"/>
              </w:rPr>
              <w:t>Investments</w:t>
            </w:r>
          </w:p>
        </w:tc>
        <w:tc>
          <w:tcPr>
            <w:tcW w:w="416" w:type="pct"/>
            <w:tcBorders>
              <w:left w:val="nil"/>
              <w:right w:val="nil"/>
            </w:tcBorders>
            <w:shd w:val="clear" w:color="auto" w:fill="auto"/>
            <w:vAlign w:val="bottom"/>
          </w:tcPr>
          <w:p w14:paraId="1F40DC11"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5</w:t>
            </w:r>
          </w:p>
        </w:tc>
        <w:tc>
          <w:tcPr>
            <w:tcW w:w="712" w:type="pct"/>
            <w:tcBorders>
              <w:left w:val="nil"/>
              <w:right w:val="nil"/>
            </w:tcBorders>
            <w:shd w:val="clear" w:color="auto" w:fill="FDE9D9" w:themeFill="accent6" w:themeFillTint="33"/>
            <w:vAlign w:val="bottom"/>
          </w:tcPr>
          <w:p w14:paraId="16473372" w14:textId="4CCEAA40"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sidR="00A712DE">
              <w:rPr>
                <w:rFonts w:ascii="Arial" w:eastAsia="Times New Roman" w:hAnsi="Arial" w:cs="Arial"/>
                <w:b/>
                <w:bCs/>
                <w:sz w:val="20"/>
                <w:szCs w:val="20"/>
                <w:lang w:val="en-SG" w:eastAsia="en-SG"/>
              </w:rPr>
              <w:t>1</w:t>
            </w:r>
            <w:r w:rsidRPr="00C67A93">
              <w:rPr>
                <w:rFonts w:ascii="Arial" w:eastAsia="Times New Roman" w:hAnsi="Arial" w:cs="Arial"/>
                <w:b/>
                <w:bCs/>
                <w:sz w:val="20"/>
                <w:szCs w:val="20"/>
                <w:lang w:val="en-SG" w:eastAsia="en-SG"/>
              </w:rPr>
              <w:t>,</w:t>
            </w:r>
            <w:r w:rsidR="00A712DE">
              <w:rPr>
                <w:rFonts w:ascii="Arial" w:eastAsia="Times New Roman" w:hAnsi="Arial" w:cs="Arial"/>
                <w:b/>
                <w:bCs/>
                <w:sz w:val="20"/>
                <w:szCs w:val="20"/>
                <w:lang w:val="en-SG" w:eastAsia="en-SG"/>
              </w:rPr>
              <w:t>054</w:t>
            </w:r>
          </w:p>
        </w:tc>
        <w:tc>
          <w:tcPr>
            <w:tcW w:w="780" w:type="pct"/>
            <w:tcBorders>
              <w:left w:val="nil"/>
              <w:right w:val="nil"/>
            </w:tcBorders>
            <w:shd w:val="clear" w:color="auto" w:fill="auto"/>
          </w:tcPr>
          <w:p w14:paraId="448D69E4"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70,610</w:t>
            </w:r>
          </w:p>
        </w:tc>
      </w:tr>
      <w:tr w:rsidR="00891B3A" w:rsidRPr="00C67A93" w14:paraId="553F943B" w14:textId="77777777" w:rsidTr="00891B3A">
        <w:trPr>
          <w:trHeight w:val="255"/>
        </w:trPr>
        <w:tc>
          <w:tcPr>
            <w:tcW w:w="3092" w:type="pct"/>
            <w:tcBorders>
              <w:top w:val="single" w:sz="4" w:space="0" w:color="auto"/>
              <w:left w:val="nil"/>
              <w:bottom w:val="single" w:sz="4" w:space="0" w:color="auto"/>
              <w:right w:val="nil"/>
            </w:tcBorders>
            <w:shd w:val="clear" w:color="auto" w:fill="auto"/>
            <w:noWrap/>
            <w:vAlign w:val="bottom"/>
          </w:tcPr>
          <w:p w14:paraId="055122F4"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sz w:val="20"/>
                <w:szCs w:val="20"/>
                <w:lang w:val="en-SG" w:eastAsia="en-SG"/>
              </w:rPr>
              <w:t>Total non-current assets</w:t>
            </w:r>
          </w:p>
        </w:tc>
        <w:tc>
          <w:tcPr>
            <w:tcW w:w="416" w:type="pct"/>
            <w:tcBorders>
              <w:top w:val="single" w:sz="4" w:space="0" w:color="auto"/>
              <w:left w:val="nil"/>
              <w:bottom w:val="single" w:sz="4" w:space="0" w:color="auto"/>
              <w:right w:val="nil"/>
            </w:tcBorders>
            <w:shd w:val="clear" w:color="auto" w:fill="auto"/>
            <w:vAlign w:val="bottom"/>
          </w:tcPr>
          <w:p w14:paraId="14B6A16B"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bottom w:val="single" w:sz="4" w:space="0" w:color="auto"/>
              <w:right w:val="nil"/>
            </w:tcBorders>
            <w:shd w:val="clear" w:color="auto" w:fill="FDE9D9" w:themeFill="accent6" w:themeFillTint="33"/>
            <w:vAlign w:val="bottom"/>
          </w:tcPr>
          <w:p w14:paraId="3D5B3F41" w14:textId="526F4406"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71,</w:t>
            </w:r>
            <w:r w:rsidR="00A712DE">
              <w:rPr>
                <w:rFonts w:ascii="Arial" w:eastAsia="Times New Roman" w:hAnsi="Arial" w:cs="Arial"/>
                <w:b/>
                <w:bCs/>
                <w:sz w:val="20"/>
                <w:szCs w:val="20"/>
                <w:lang w:val="en-SG" w:eastAsia="en-SG"/>
              </w:rPr>
              <w:t>165</w:t>
            </w:r>
          </w:p>
        </w:tc>
        <w:tc>
          <w:tcPr>
            <w:tcW w:w="780" w:type="pct"/>
            <w:tcBorders>
              <w:top w:val="single" w:sz="4" w:space="0" w:color="auto"/>
              <w:left w:val="nil"/>
              <w:bottom w:val="single" w:sz="4" w:space="0" w:color="auto"/>
              <w:right w:val="nil"/>
            </w:tcBorders>
            <w:shd w:val="clear" w:color="auto" w:fill="auto"/>
          </w:tcPr>
          <w:p w14:paraId="709668CE"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70,735</w:t>
            </w:r>
          </w:p>
        </w:tc>
      </w:tr>
      <w:tr w:rsidR="00891B3A" w:rsidRPr="00C67A93" w14:paraId="21EFD00C" w14:textId="77777777" w:rsidTr="00891B3A">
        <w:trPr>
          <w:trHeight w:val="255"/>
        </w:trPr>
        <w:tc>
          <w:tcPr>
            <w:tcW w:w="3092" w:type="pct"/>
            <w:tcBorders>
              <w:top w:val="single" w:sz="4" w:space="0" w:color="auto"/>
              <w:left w:val="nil"/>
              <w:right w:val="nil"/>
            </w:tcBorders>
            <w:shd w:val="clear" w:color="auto" w:fill="auto"/>
            <w:noWrap/>
            <w:vAlign w:val="bottom"/>
          </w:tcPr>
          <w:p w14:paraId="03267CC5"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p>
        </w:tc>
        <w:tc>
          <w:tcPr>
            <w:tcW w:w="416" w:type="pct"/>
            <w:tcBorders>
              <w:top w:val="single" w:sz="4" w:space="0" w:color="auto"/>
              <w:left w:val="nil"/>
              <w:right w:val="nil"/>
            </w:tcBorders>
            <w:shd w:val="clear" w:color="auto" w:fill="auto"/>
            <w:vAlign w:val="bottom"/>
          </w:tcPr>
          <w:p w14:paraId="768D432A"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right w:val="nil"/>
            </w:tcBorders>
            <w:shd w:val="clear" w:color="auto" w:fill="FDE9D9" w:themeFill="accent6" w:themeFillTint="33"/>
            <w:vAlign w:val="bottom"/>
          </w:tcPr>
          <w:p w14:paraId="2456ABE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single" w:sz="4" w:space="0" w:color="auto"/>
              <w:left w:val="nil"/>
              <w:right w:val="nil"/>
            </w:tcBorders>
            <w:shd w:val="clear" w:color="auto" w:fill="auto"/>
          </w:tcPr>
          <w:p w14:paraId="2C0DA140"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r>
      <w:tr w:rsidR="00891B3A" w:rsidRPr="00C67A93" w14:paraId="3DCA56B0" w14:textId="77777777" w:rsidTr="00891B3A">
        <w:trPr>
          <w:trHeight w:val="255"/>
        </w:trPr>
        <w:tc>
          <w:tcPr>
            <w:tcW w:w="3092" w:type="pct"/>
            <w:tcBorders>
              <w:left w:val="nil"/>
              <w:right w:val="nil"/>
            </w:tcBorders>
            <w:shd w:val="clear" w:color="auto" w:fill="auto"/>
            <w:noWrap/>
            <w:vAlign w:val="bottom"/>
          </w:tcPr>
          <w:p w14:paraId="080D0DE4"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Current assets</w:t>
            </w:r>
          </w:p>
        </w:tc>
        <w:tc>
          <w:tcPr>
            <w:tcW w:w="416" w:type="pct"/>
            <w:tcBorders>
              <w:left w:val="nil"/>
              <w:right w:val="nil"/>
            </w:tcBorders>
            <w:shd w:val="clear" w:color="auto" w:fill="auto"/>
            <w:vAlign w:val="bottom"/>
          </w:tcPr>
          <w:p w14:paraId="77DA99C6"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left w:val="nil"/>
              <w:right w:val="nil"/>
            </w:tcBorders>
            <w:shd w:val="clear" w:color="auto" w:fill="FDE9D9" w:themeFill="accent6" w:themeFillTint="33"/>
            <w:vAlign w:val="bottom"/>
          </w:tcPr>
          <w:p w14:paraId="184A38BE"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left w:val="nil"/>
              <w:right w:val="nil"/>
            </w:tcBorders>
            <w:shd w:val="clear" w:color="auto" w:fill="auto"/>
          </w:tcPr>
          <w:p w14:paraId="726F9594"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r>
      <w:tr w:rsidR="00891B3A" w:rsidRPr="00C67A93" w14:paraId="769BCAB2" w14:textId="77777777" w:rsidTr="00891B3A">
        <w:trPr>
          <w:trHeight w:val="255"/>
        </w:trPr>
        <w:tc>
          <w:tcPr>
            <w:tcW w:w="3092" w:type="pct"/>
            <w:tcBorders>
              <w:left w:val="nil"/>
              <w:right w:val="nil"/>
            </w:tcBorders>
            <w:shd w:val="clear" w:color="auto" w:fill="auto"/>
            <w:noWrap/>
            <w:vAlign w:val="bottom"/>
          </w:tcPr>
          <w:p w14:paraId="166C6499"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Operating and other receivables</w:t>
            </w:r>
          </w:p>
        </w:tc>
        <w:tc>
          <w:tcPr>
            <w:tcW w:w="416" w:type="pct"/>
            <w:tcBorders>
              <w:left w:val="nil"/>
              <w:right w:val="nil"/>
            </w:tcBorders>
            <w:shd w:val="clear" w:color="auto" w:fill="auto"/>
            <w:vAlign w:val="bottom"/>
          </w:tcPr>
          <w:p w14:paraId="575C0012"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left w:val="nil"/>
              <w:right w:val="nil"/>
            </w:tcBorders>
            <w:shd w:val="clear" w:color="auto" w:fill="FDE9D9" w:themeFill="accent6" w:themeFillTint="33"/>
            <w:vAlign w:val="bottom"/>
          </w:tcPr>
          <w:p w14:paraId="7F7B9F1B"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75</w:t>
            </w:r>
          </w:p>
        </w:tc>
        <w:tc>
          <w:tcPr>
            <w:tcW w:w="780" w:type="pct"/>
            <w:tcBorders>
              <w:left w:val="nil"/>
              <w:right w:val="nil"/>
            </w:tcBorders>
            <w:shd w:val="clear" w:color="auto" w:fill="auto"/>
          </w:tcPr>
          <w:p w14:paraId="4493D694"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67 </w:t>
            </w:r>
          </w:p>
        </w:tc>
      </w:tr>
      <w:tr w:rsidR="00891B3A" w:rsidRPr="00C67A93" w14:paraId="7CCC1F8A" w14:textId="77777777" w:rsidTr="00891B3A">
        <w:trPr>
          <w:trHeight w:val="255"/>
        </w:trPr>
        <w:tc>
          <w:tcPr>
            <w:tcW w:w="3092" w:type="pct"/>
            <w:tcBorders>
              <w:left w:val="nil"/>
              <w:bottom w:val="single" w:sz="4" w:space="0" w:color="auto"/>
              <w:right w:val="nil"/>
            </w:tcBorders>
            <w:shd w:val="clear" w:color="auto" w:fill="auto"/>
            <w:noWrap/>
            <w:vAlign w:val="bottom"/>
          </w:tcPr>
          <w:p w14:paraId="51BC142F"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Cash and cash equivalents</w:t>
            </w:r>
          </w:p>
        </w:tc>
        <w:tc>
          <w:tcPr>
            <w:tcW w:w="416" w:type="pct"/>
            <w:tcBorders>
              <w:left w:val="nil"/>
              <w:bottom w:val="single" w:sz="4" w:space="0" w:color="auto"/>
              <w:right w:val="nil"/>
            </w:tcBorders>
            <w:shd w:val="clear" w:color="auto" w:fill="auto"/>
            <w:vAlign w:val="bottom"/>
          </w:tcPr>
          <w:p w14:paraId="375F434A"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left w:val="nil"/>
              <w:bottom w:val="single" w:sz="4" w:space="0" w:color="auto"/>
              <w:right w:val="nil"/>
            </w:tcBorders>
            <w:shd w:val="clear" w:color="auto" w:fill="FDE9D9" w:themeFill="accent6" w:themeFillTint="33"/>
            <w:vAlign w:val="bottom"/>
          </w:tcPr>
          <w:p w14:paraId="5CA53D2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15,429</w:t>
            </w:r>
          </w:p>
        </w:tc>
        <w:tc>
          <w:tcPr>
            <w:tcW w:w="780" w:type="pct"/>
            <w:tcBorders>
              <w:left w:val="nil"/>
              <w:bottom w:val="single" w:sz="4" w:space="0" w:color="auto"/>
              <w:right w:val="nil"/>
            </w:tcBorders>
            <w:shd w:val="clear" w:color="auto" w:fill="auto"/>
          </w:tcPr>
          <w:p w14:paraId="4A28081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16,385 </w:t>
            </w:r>
          </w:p>
        </w:tc>
      </w:tr>
      <w:tr w:rsidR="00891B3A" w:rsidRPr="00C67A93" w14:paraId="1DCB38A1" w14:textId="77777777" w:rsidTr="00891B3A">
        <w:trPr>
          <w:trHeight w:val="255"/>
        </w:trPr>
        <w:tc>
          <w:tcPr>
            <w:tcW w:w="3092" w:type="pct"/>
            <w:tcBorders>
              <w:top w:val="single" w:sz="4" w:space="0" w:color="auto"/>
              <w:left w:val="nil"/>
              <w:right w:val="nil"/>
            </w:tcBorders>
            <w:shd w:val="clear" w:color="auto" w:fill="auto"/>
            <w:noWrap/>
            <w:vAlign w:val="bottom"/>
          </w:tcPr>
          <w:p w14:paraId="3DE2FDA0"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Total current assets</w:t>
            </w:r>
          </w:p>
        </w:tc>
        <w:tc>
          <w:tcPr>
            <w:tcW w:w="416" w:type="pct"/>
            <w:tcBorders>
              <w:top w:val="single" w:sz="4" w:space="0" w:color="auto"/>
              <w:left w:val="nil"/>
              <w:right w:val="nil"/>
            </w:tcBorders>
            <w:shd w:val="clear" w:color="auto" w:fill="auto"/>
            <w:vAlign w:val="bottom"/>
          </w:tcPr>
          <w:p w14:paraId="4828ACC8" w14:textId="77777777" w:rsidR="00891B3A" w:rsidRPr="00C67A93" w:rsidRDefault="00891B3A" w:rsidP="00891B3A">
            <w:pPr>
              <w:widowControl/>
              <w:spacing w:after="0" w:line="240" w:lineRule="auto"/>
              <w:jc w:val="center"/>
              <w:rPr>
                <w:rFonts w:ascii="Arial" w:eastAsia="Times New Roman" w:hAnsi="Arial" w:cs="Arial"/>
                <w:b/>
                <w:bCs/>
                <w:color w:val="000000"/>
                <w:sz w:val="20"/>
                <w:szCs w:val="20"/>
                <w:lang w:val="en-SG" w:eastAsia="en-SG"/>
              </w:rPr>
            </w:pPr>
          </w:p>
        </w:tc>
        <w:tc>
          <w:tcPr>
            <w:tcW w:w="712" w:type="pct"/>
            <w:tcBorders>
              <w:top w:val="single" w:sz="4" w:space="0" w:color="auto"/>
              <w:left w:val="nil"/>
              <w:right w:val="nil"/>
            </w:tcBorders>
            <w:shd w:val="clear" w:color="auto" w:fill="FDE9D9" w:themeFill="accent6" w:themeFillTint="33"/>
            <w:vAlign w:val="bottom"/>
          </w:tcPr>
          <w:p w14:paraId="5B793D56"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15,50</w:t>
            </w:r>
            <w:r>
              <w:rPr>
                <w:rFonts w:ascii="Arial" w:eastAsia="Times New Roman" w:hAnsi="Arial" w:cs="Arial"/>
                <w:b/>
                <w:bCs/>
                <w:sz w:val="20"/>
                <w:szCs w:val="20"/>
                <w:lang w:val="en-SG" w:eastAsia="en-SG"/>
              </w:rPr>
              <w:t>4</w:t>
            </w:r>
          </w:p>
        </w:tc>
        <w:tc>
          <w:tcPr>
            <w:tcW w:w="780" w:type="pct"/>
            <w:tcBorders>
              <w:top w:val="single" w:sz="4" w:space="0" w:color="auto"/>
              <w:left w:val="nil"/>
              <w:right w:val="nil"/>
            </w:tcBorders>
            <w:shd w:val="clear" w:color="auto" w:fill="auto"/>
          </w:tcPr>
          <w:p w14:paraId="5532ED6C"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16,452</w:t>
            </w:r>
          </w:p>
        </w:tc>
      </w:tr>
      <w:tr w:rsidR="00891B3A" w:rsidRPr="00C67A93" w14:paraId="3B971F6F" w14:textId="77777777" w:rsidTr="00891B3A">
        <w:trPr>
          <w:trHeight w:val="255"/>
        </w:trPr>
        <w:tc>
          <w:tcPr>
            <w:tcW w:w="3092" w:type="pct"/>
            <w:tcBorders>
              <w:top w:val="single" w:sz="4" w:space="0" w:color="auto"/>
              <w:left w:val="nil"/>
              <w:bottom w:val="nil"/>
              <w:right w:val="nil"/>
            </w:tcBorders>
            <w:shd w:val="clear" w:color="auto" w:fill="auto"/>
            <w:noWrap/>
            <w:vAlign w:val="bottom"/>
          </w:tcPr>
          <w:p w14:paraId="18483DA6"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p>
        </w:tc>
        <w:tc>
          <w:tcPr>
            <w:tcW w:w="416" w:type="pct"/>
            <w:tcBorders>
              <w:top w:val="single" w:sz="4" w:space="0" w:color="auto"/>
              <w:left w:val="nil"/>
              <w:bottom w:val="nil"/>
              <w:right w:val="nil"/>
            </w:tcBorders>
            <w:shd w:val="clear" w:color="auto" w:fill="auto"/>
            <w:noWrap/>
            <w:vAlign w:val="bottom"/>
          </w:tcPr>
          <w:p w14:paraId="2671D5E2"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bottom w:val="nil"/>
              <w:right w:val="nil"/>
            </w:tcBorders>
            <w:shd w:val="clear" w:color="auto" w:fill="FDE9D9" w:themeFill="accent6" w:themeFillTint="33"/>
            <w:vAlign w:val="bottom"/>
          </w:tcPr>
          <w:p w14:paraId="78270B00"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single" w:sz="4" w:space="0" w:color="auto"/>
              <w:left w:val="nil"/>
              <w:bottom w:val="nil"/>
              <w:right w:val="nil"/>
            </w:tcBorders>
            <w:shd w:val="clear" w:color="auto" w:fill="auto"/>
          </w:tcPr>
          <w:p w14:paraId="0CDDFF4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r>
      <w:tr w:rsidR="00891B3A" w:rsidRPr="00C67A93" w14:paraId="4DF3F47A" w14:textId="77777777" w:rsidTr="00891B3A">
        <w:trPr>
          <w:trHeight w:val="255"/>
        </w:trPr>
        <w:tc>
          <w:tcPr>
            <w:tcW w:w="3092" w:type="pct"/>
            <w:tcBorders>
              <w:top w:val="nil"/>
              <w:left w:val="nil"/>
              <w:bottom w:val="single" w:sz="4" w:space="0" w:color="auto"/>
              <w:right w:val="nil"/>
            </w:tcBorders>
            <w:shd w:val="clear" w:color="auto" w:fill="auto"/>
            <w:noWrap/>
            <w:vAlign w:val="bottom"/>
            <w:hideMark/>
          </w:tcPr>
          <w:p w14:paraId="2F9DBA98"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Total assets</w:t>
            </w:r>
          </w:p>
        </w:tc>
        <w:tc>
          <w:tcPr>
            <w:tcW w:w="416" w:type="pct"/>
            <w:tcBorders>
              <w:top w:val="nil"/>
              <w:left w:val="nil"/>
              <w:bottom w:val="single" w:sz="4" w:space="0" w:color="auto"/>
              <w:right w:val="nil"/>
            </w:tcBorders>
            <w:shd w:val="clear" w:color="auto" w:fill="auto"/>
            <w:noWrap/>
            <w:vAlign w:val="bottom"/>
          </w:tcPr>
          <w:p w14:paraId="510C27D1"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single" w:sz="4" w:space="0" w:color="auto"/>
              <w:right w:val="nil"/>
            </w:tcBorders>
            <w:shd w:val="clear" w:color="auto" w:fill="FDE9D9" w:themeFill="accent6" w:themeFillTint="33"/>
            <w:vAlign w:val="bottom"/>
          </w:tcPr>
          <w:p w14:paraId="5A606B85" w14:textId="25381E0F"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86,</w:t>
            </w:r>
            <w:r w:rsidR="00A712DE">
              <w:rPr>
                <w:rFonts w:ascii="Arial" w:eastAsia="Times New Roman" w:hAnsi="Arial" w:cs="Arial"/>
                <w:b/>
                <w:bCs/>
                <w:sz w:val="20"/>
                <w:szCs w:val="20"/>
                <w:lang w:val="en-SG" w:eastAsia="en-SG"/>
              </w:rPr>
              <w:t>669</w:t>
            </w:r>
          </w:p>
        </w:tc>
        <w:tc>
          <w:tcPr>
            <w:tcW w:w="780" w:type="pct"/>
            <w:tcBorders>
              <w:top w:val="nil"/>
              <w:left w:val="nil"/>
              <w:bottom w:val="single" w:sz="4" w:space="0" w:color="auto"/>
              <w:right w:val="nil"/>
            </w:tcBorders>
            <w:shd w:val="clear" w:color="auto" w:fill="auto"/>
            <w:hideMark/>
          </w:tcPr>
          <w:p w14:paraId="4009AB0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87,187</w:t>
            </w:r>
          </w:p>
        </w:tc>
      </w:tr>
      <w:tr w:rsidR="00891B3A" w:rsidRPr="00C67A93" w14:paraId="7C96C30D" w14:textId="77777777" w:rsidTr="00891B3A">
        <w:trPr>
          <w:trHeight w:val="255"/>
        </w:trPr>
        <w:tc>
          <w:tcPr>
            <w:tcW w:w="3092" w:type="pct"/>
            <w:tcBorders>
              <w:top w:val="single" w:sz="4" w:space="0" w:color="auto"/>
              <w:left w:val="nil"/>
              <w:right w:val="nil"/>
            </w:tcBorders>
            <w:shd w:val="clear" w:color="auto" w:fill="auto"/>
            <w:noWrap/>
            <w:vAlign w:val="bottom"/>
            <w:hideMark/>
          </w:tcPr>
          <w:p w14:paraId="22F6D599"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16" w:type="pct"/>
            <w:tcBorders>
              <w:top w:val="single" w:sz="4" w:space="0" w:color="auto"/>
              <w:left w:val="nil"/>
              <w:right w:val="nil"/>
            </w:tcBorders>
            <w:shd w:val="clear" w:color="auto" w:fill="auto"/>
            <w:noWrap/>
            <w:vAlign w:val="bottom"/>
          </w:tcPr>
          <w:p w14:paraId="726D09EC"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right w:val="nil"/>
            </w:tcBorders>
            <w:shd w:val="clear" w:color="auto" w:fill="FDE9D9" w:themeFill="accent6" w:themeFillTint="33"/>
            <w:vAlign w:val="bottom"/>
          </w:tcPr>
          <w:p w14:paraId="5C229D8A"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nil"/>
              <w:left w:val="nil"/>
              <w:bottom w:val="nil"/>
              <w:right w:val="nil"/>
            </w:tcBorders>
            <w:shd w:val="clear" w:color="auto" w:fill="auto"/>
            <w:hideMark/>
          </w:tcPr>
          <w:p w14:paraId="3702AC3F"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 </w:t>
            </w:r>
          </w:p>
        </w:tc>
      </w:tr>
      <w:tr w:rsidR="00891B3A" w:rsidRPr="00C67A93" w14:paraId="6308090F" w14:textId="77777777" w:rsidTr="00891B3A">
        <w:trPr>
          <w:trHeight w:val="255"/>
        </w:trPr>
        <w:tc>
          <w:tcPr>
            <w:tcW w:w="3092" w:type="pct"/>
            <w:tcBorders>
              <w:left w:val="nil"/>
              <w:right w:val="nil"/>
            </w:tcBorders>
            <w:shd w:val="clear" w:color="auto" w:fill="auto"/>
            <w:noWrap/>
            <w:vAlign w:val="bottom"/>
          </w:tcPr>
          <w:p w14:paraId="3EC5C594"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b/>
                <w:bCs/>
                <w:sz w:val="20"/>
                <w:szCs w:val="20"/>
                <w:lang w:val="en-SG" w:eastAsia="en-SG"/>
              </w:rPr>
              <w:t>Current liabilities</w:t>
            </w:r>
          </w:p>
        </w:tc>
        <w:tc>
          <w:tcPr>
            <w:tcW w:w="416" w:type="pct"/>
            <w:tcBorders>
              <w:left w:val="nil"/>
              <w:right w:val="nil"/>
            </w:tcBorders>
            <w:shd w:val="clear" w:color="auto" w:fill="auto"/>
            <w:noWrap/>
            <w:vAlign w:val="bottom"/>
          </w:tcPr>
          <w:p w14:paraId="4439A258"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right w:val="nil"/>
            </w:tcBorders>
            <w:shd w:val="clear" w:color="auto" w:fill="FDE9D9" w:themeFill="accent6" w:themeFillTint="33"/>
            <w:vAlign w:val="bottom"/>
          </w:tcPr>
          <w:p w14:paraId="7215F32A"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nil"/>
              <w:left w:val="nil"/>
              <w:bottom w:val="nil"/>
              <w:right w:val="nil"/>
            </w:tcBorders>
            <w:shd w:val="clear" w:color="auto" w:fill="auto"/>
          </w:tcPr>
          <w:p w14:paraId="4F1E935C"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 </w:t>
            </w:r>
          </w:p>
        </w:tc>
      </w:tr>
      <w:tr w:rsidR="00891B3A" w:rsidRPr="00C67A93" w14:paraId="697C7A9A" w14:textId="77777777" w:rsidTr="00891B3A">
        <w:trPr>
          <w:trHeight w:val="255"/>
        </w:trPr>
        <w:tc>
          <w:tcPr>
            <w:tcW w:w="3092" w:type="pct"/>
            <w:tcBorders>
              <w:left w:val="nil"/>
              <w:right w:val="nil"/>
            </w:tcBorders>
            <w:shd w:val="clear" w:color="auto" w:fill="auto"/>
            <w:noWrap/>
            <w:vAlign w:val="bottom"/>
          </w:tcPr>
          <w:p w14:paraId="46508015"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Operating and other payables</w:t>
            </w:r>
          </w:p>
        </w:tc>
        <w:tc>
          <w:tcPr>
            <w:tcW w:w="416" w:type="pct"/>
            <w:tcBorders>
              <w:left w:val="nil"/>
              <w:right w:val="nil"/>
            </w:tcBorders>
            <w:shd w:val="clear" w:color="auto" w:fill="auto"/>
            <w:noWrap/>
            <w:vAlign w:val="bottom"/>
          </w:tcPr>
          <w:p w14:paraId="194E743B"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right w:val="nil"/>
            </w:tcBorders>
            <w:shd w:val="clear" w:color="auto" w:fill="FDE9D9" w:themeFill="accent6" w:themeFillTint="33"/>
            <w:vAlign w:val="bottom"/>
          </w:tcPr>
          <w:p w14:paraId="71CDC3A9"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(357)</w:t>
            </w:r>
          </w:p>
        </w:tc>
        <w:tc>
          <w:tcPr>
            <w:tcW w:w="780" w:type="pct"/>
            <w:tcBorders>
              <w:top w:val="nil"/>
              <w:left w:val="nil"/>
              <w:bottom w:val="nil"/>
              <w:right w:val="nil"/>
            </w:tcBorders>
            <w:shd w:val="clear" w:color="auto" w:fill="auto"/>
          </w:tcPr>
          <w:p w14:paraId="7DD82E7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(415)</w:t>
            </w:r>
          </w:p>
        </w:tc>
      </w:tr>
      <w:tr w:rsidR="00891B3A" w:rsidRPr="00C67A93" w14:paraId="7546A37E" w14:textId="77777777" w:rsidTr="00891B3A">
        <w:trPr>
          <w:trHeight w:val="255"/>
        </w:trPr>
        <w:tc>
          <w:tcPr>
            <w:tcW w:w="3092" w:type="pct"/>
            <w:tcBorders>
              <w:left w:val="nil"/>
              <w:right w:val="nil"/>
            </w:tcBorders>
            <w:shd w:val="clear" w:color="auto" w:fill="auto"/>
            <w:noWrap/>
            <w:vAlign w:val="bottom"/>
          </w:tcPr>
          <w:p w14:paraId="67785643"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Amounts payable to subsidiaries</w:t>
            </w:r>
          </w:p>
        </w:tc>
        <w:tc>
          <w:tcPr>
            <w:tcW w:w="416" w:type="pct"/>
            <w:tcBorders>
              <w:left w:val="nil"/>
              <w:right w:val="nil"/>
            </w:tcBorders>
            <w:shd w:val="clear" w:color="auto" w:fill="auto"/>
            <w:noWrap/>
            <w:vAlign w:val="bottom"/>
          </w:tcPr>
          <w:p w14:paraId="0E922CE6"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single" w:sz="4" w:space="0" w:color="auto"/>
              <w:right w:val="nil"/>
            </w:tcBorders>
            <w:shd w:val="clear" w:color="auto" w:fill="FDE9D9" w:themeFill="accent6" w:themeFillTint="33"/>
            <w:vAlign w:val="bottom"/>
          </w:tcPr>
          <w:p w14:paraId="18D11DE4"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(38,630)</w:t>
            </w:r>
          </w:p>
        </w:tc>
        <w:tc>
          <w:tcPr>
            <w:tcW w:w="780" w:type="pct"/>
            <w:tcBorders>
              <w:top w:val="nil"/>
              <w:left w:val="nil"/>
              <w:bottom w:val="single" w:sz="4" w:space="0" w:color="auto"/>
              <w:right w:val="nil"/>
            </w:tcBorders>
            <w:shd w:val="clear" w:color="auto" w:fill="auto"/>
          </w:tcPr>
          <w:p w14:paraId="29747F5C"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(38,747)</w:t>
            </w:r>
          </w:p>
        </w:tc>
      </w:tr>
      <w:tr w:rsidR="00891B3A" w:rsidRPr="00C67A93" w14:paraId="7B4410EC" w14:textId="77777777" w:rsidTr="00891B3A">
        <w:trPr>
          <w:trHeight w:val="255"/>
        </w:trPr>
        <w:tc>
          <w:tcPr>
            <w:tcW w:w="3092" w:type="pct"/>
            <w:tcBorders>
              <w:top w:val="single" w:sz="4" w:space="0" w:color="auto"/>
              <w:left w:val="nil"/>
              <w:right w:val="nil"/>
            </w:tcBorders>
            <w:shd w:val="clear" w:color="auto" w:fill="auto"/>
            <w:noWrap/>
            <w:vAlign w:val="bottom"/>
          </w:tcPr>
          <w:p w14:paraId="31FB0605"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Total current liabilities</w:t>
            </w:r>
          </w:p>
        </w:tc>
        <w:tc>
          <w:tcPr>
            <w:tcW w:w="416" w:type="pct"/>
            <w:tcBorders>
              <w:top w:val="single" w:sz="4" w:space="0" w:color="auto"/>
              <w:left w:val="nil"/>
              <w:right w:val="nil"/>
            </w:tcBorders>
            <w:shd w:val="clear" w:color="auto" w:fill="auto"/>
            <w:noWrap/>
            <w:vAlign w:val="bottom"/>
          </w:tcPr>
          <w:p w14:paraId="0622C15E"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bottom w:val="single" w:sz="4" w:space="0" w:color="auto"/>
              <w:right w:val="nil"/>
            </w:tcBorders>
            <w:shd w:val="clear" w:color="auto" w:fill="FDE9D9" w:themeFill="accent6" w:themeFillTint="33"/>
            <w:vAlign w:val="bottom"/>
          </w:tcPr>
          <w:p w14:paraId="7E60D490"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(3</w:t>
            </w:r>
            <w:r>
              <w:rPr>
                <w:rFonts w:ascii="Arial" w:eastAsia="Times New Roman" w:hAnsi="Arial" w:cs="Arial"/>
                <w:b/>
                <w:bCs/>
                <w:sz w:val="20"/>
                <w:szCs w:val="20"/>
                <w:lang w:val="en-SG" w:eastAsia="en-SG"/>
              </w:rPr>
              <w:t>8</w:t>
            </w:r>
            <w:r w:rsidRPr="00C67A93">
              <w:rPr>
                <w:rFonts w:ascii="Arial" w:eastAsia="Times New Roman" w:hAnsi="Arial" w:cs="Arial"/>
                <w:b/>
                <w:bCs/>
                <w:sz w:val="20"/>
                <w:szCs w:val="20"/>
                <w:lang w:val="en-SG" w:eastAsia="en-SG"/>
              </w:rPr>
              <w:t>,987)</w:t>
            </w:r>
          </w:p>
        </w:tc>
        <w:tc>
          <w:tcPr>
            <w:tcW w:w="780" w:type="pct"/>
            <w:tcBorders>
              <w:top w:val="single" w:sz="4" w:space="0" w:color="auto"/>
              <w:left w:val="nil"/>
              <w:bottom w:val="single" w:sz="4" w:space="0" w:color="auto"/>
              <w:right w:val="nil"/>
            </w:tcBorders>
            <w:shd w:val="clear" w:color="auto" w:fill="auto"/>
          </w:tcPr>
          <w:p w14:paraId="63C798F6"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(39,162)</w:t>
            </w:r>
          </w:p>
        </w:tc>
      </w:tr>
      <w:tr w:rsidR="00891B3A" w:rsidRPr="00C67A93" w14:paraId="1BF95ADD" w14:textId="77777777" w:rsidTr="00891B3A">
        <w:trPr>
          <w:trHeight w:val="255"/>
        </w:trPr>
        <w:tc>
          <w:tcPr>
            <w:tcW w:w="3092" w:type="pct"/>
            <w:tcBorders>
              <w:top w:val="single" w:sz="4" w:space="0" w:color="auto"/>
              <w:left w:val="nil"/>
              <w:right w:val="nil"/>
            </w:tcBorders>
            <w:shd w:val="clear" w:color="auto" w:fill="auto"/>
            <w:noWrap/>
            <w:vAlign w:val="bottom"/>
          </w:tcPr>
          <w:p w14:paraId="7D4A1BBA"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p>
        </w:tc>
        <w:tc>
          <w:tcPr>
            <w:tcW w:w="416" w:type="pct"/>
            <w:tcBorders>
              <w:top w:val="single" w:sz="4" w:space="0" w:color="auto"/>
              <w:left w:val="nil"/>
              <w:right w:val="nil"/>
            </w:tcBorders>
            <w:shd w:val="clear" w:color="auto" w:fill="auto"/>
            <w:noWrap/>
            <w:vAlign w:val="bottom"/>
          </w:tcPr>
          <w:p w14:paraId="1F16A14A"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right w:val="nil"/>
            </w:tcBorders>
            <w:shd w:val="clear" w:color="auto" w:fill="FDE9D9" w:themeFill="accent6" w:themeFillTint="33"/>
            <w:vAlign w:val="bottom"/>
          </w:tcPr>
          <w:p w14:paraId="42364AF5"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single" w:sz="4" w:space="0" w:color="auto"/>
              <w:left w:val="nil"/>
              <w:bottom w:val="nil"/>
              <w:right w:val="nil"/>
            </w:tcBorders>
            <w:shd w:val="clear" w:color="auto" w:fill="auto"/>
          </w:tcPr>
          <w:p w14:paraId="37E65FE3"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r>
      <w:tr w:rsidR="00891B3A" w:rsidRPr="00C67A93" w14:paraId="055F9815" w14:textId="77777777" w:rsidTr="00891B3A">
        <w:trPr>
          <w:trHeight w:val="255"/>
        </w:trPr>
        <w:tc>
          <w:tcPr>
            <w:tcW w:w="3092" w:type="pct"/>
            <w:tcBorders>
              <w:left w:val="nil"/>
              <w:right w:val="nil"/>
            </w:tcBorders>
            <w:shd w:val="clear" w:color="auto" w:fill="auto"/>
            <w:noWrap/>
            <w:vAlign w:val="bottom"/>
          </w:tcPr>
          <w:p w14:paraId="481F8A21"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b/>
                <w:bCs/>
                <w:sz w:val="20"/>
                <w:szCs w:val="20"/>
                <w:lang w:val="en-SG" w:eastAsia="en-SG"/>
              </w:rPr>
              <w:t>Non-current liabilities</w:t>
            </w:r>
          </w:p>
        </w:tc>
        <w:tc>
          <w:tcPr>
            <w:tcW w:w="416" w:type="pct"/>
            <w:tcBorders>
              <w:left w:val="nil"/>
              <w:right w:val="nil"/>
            </w:tcBorders>
            <w:shd w:val="clear" w:color="auto" w:fill="auto"/>
            <w:noWrap/>
            <w:vAlign w:val="bottom"/>
          </w:tcPr>
          <w:p w14:paraId="7D02F684"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left w:val="nil"/>
              <w:right w:val="nil"/>
            </w:tcBorders>
            <w:shd w:val="clear" w:color="auto" w:fill="FDE9D9" w:themeFill="accent6" w:themeFillTint="33"/>
            <w:vAlign w:val="bottom"/>
          </w:tcPr>
          <w:p w14:paraId="75B820AF"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nil"/>
              <w:left w:val="nil"/>
              <w:right w:val="nil"/>
            </w:tcBorders>
            <w:shd w:val="clear" w:color="auto" w:fill="auto"/>
          </w:tcPr>
          <w:p w14:paraId="33CAC7CB"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r>
      <w:tr w:rsidR="00891B3A" w:rsidRPr="00C67A93" w14:paraId="28E91A85" w14:textId="77777777" w:rsidTr="00891B3A">
        <w:trPr>
          <w:trHeight w:val="255"/>
        </w:trPr>
        <w:tc>
          <w:tcPr>
            <w:tcW w:w="3092" w:type="pct"/>
            <w:tcBorders>
              <w:left w:val="nil"/>
              <w:bottom w:val="single" w:sz="4" w:space="0" w:color="auto"/>
              <w:right w:val="nil"/>
            </w:tcBorders>
            <w:shd w:val="clear" w:color="auto" w:fill="auto"/>
            <w:noWrap/>
            <w:vAlign w:val="bottom"/>
          </w:tcPr>
          <w:p w14:paraId="3F5A0F3B"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Other long-term liabilities</w:t>
            </w:r>
          </w:p>
        </w:tc>
        <w:tc>
          <w:tcPr>
            <w:tcW w:w="416" w:type="pct"/>
            <w:tcBorders>
              <w:left w:val="nil"/>
              <w:bottom w:val="single" w:sz="4" w:space="0" w:color="auto"/>
              <w:right w:val="nil"/>
            </w:tcBorders>
            <w:shd w:val="clear" w:color="auto" w:fill="auto"/>
            <w:noWrap/>
            <w:vAlign w:val="bottom"/>
          </w:tcPr>
          <w:p w14:paraId="7D072DB6"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left w:val="nil"/>
              <w:bottom w:val="single" w:sz="4" w:space="0" w:color="auto"/>
              <w:right w:val="nil"/>
            </w:tcBorders>
            <w:shd w:val="clear" w:color="auto" w:fill="FDE9D9" w:themeFill="accent6" w:themeFillTint="33"/>
            <w:vAlign w:val="bottom"/>
          </w:tcPr>
          <w:p w14:paraId="177192CF"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r>
              <w:rPr>
                <w:rFonts w:ascii="Arial" w:eastAsia="Times New Roman" w:hAnsi="Arial" w:cs="Arial"/>
                <w:b/>
                <w:bCs/>
                <w:sz w:val="20"/>
                <w:szCs w:val="20"/>
                <w:lang w:val="en-SG" w:eastAsia="en-SG"/>
              </w:rPr>
              <w:t>90</w:t>
            </w:r>
            <w:r w:rsidRPr="00C67A93">
              <w:rPr>
                <w:rFonts w:ascii="Arial" w:eastAsia="Times New Roman" w:hAnsi="Arial" w:cs="Arial"/>
                <w:b/>
                <w:bCs/>
                <w:sz w:val="20"/>
                <w:szCs w:val="20"/>
                <w:lang w:val="en-SG" w:eastAsia="en-SG"/>
              </w:rPr>
              <w:t>)</w:t>
            </w:r>
          </w:p>
        </w:tc>
        <w:tc>
          <w:tcPr>
            <w:tcW w:w="780" w:type="pct"/>
            <w:tcBorders>
              <w:top w:val="nil"/>
              <w:left w:val="nil"/>
              <w:bottom w:val="single" w:sz="4" w:space="0" w:color="auto"/>
              <w:right w:val="nil"/>
            </w:tcBorders>
            <w:shd w:val="clear" w:color="auto" w:fill="auto"/>
          </w:tcPr>
          <w:p w14:paraId="7B19D40E"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(102)</w:t>
            </w:r>
          </w:p>
        </w:tc>
      </w:tr>
      <w:tr w:rsidR="00891B3A" w:rsidRPr="00C67A93" w14:paraId="37774D95" w14:textId="77777777" w:rsidTr="00891B3A">
        <w:trPr>
          <w:trHeight w:val="255"/>
        </w:trPr>
        <w:tc>
          <w:tcPr>
            <w:tcW w:w="3092" w:type="pct"/>
            <w:tcBorders>
              <w:top w:val="single" w:sz="4" w:space="0" w:color="auto"/>
              <w:left w:val="nil"/>
              <w:bottom w:val="single" w:sz="4" w:space="0" w:color="auto"/>
              <w:right w:val="nil"/>
            </w:tcBorders>
            <w:shd w:val="clear" w:color="auto" w:fill="auto"/>
            <w:noWrap/>
            <w:vAlign w:val="bottom"/>
          </w:tcPr>
          <w:p w14:paraId="11AB167E"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Total non-current liabilities</w:t>
            </w:r>
          </w:p>
        </w:tc>
        <w:tc>
          <w:tcPr>
            <w:tcW w:w="416" w:type="pct"/>
            <w:tcBorders>
              <w:top w:val="single" w:sz="4" w:space="0" w:color="auto"/>
              <w:left w:val="nil"/>
              <w:bottom w:val="single" w:sz="4" w:space="0" w:color="auto"/>
              <w:right w:val="nil"/>
            </w:tcBorders>
            <w:shd w:val="clear" w:color="auto" w:fill="auto"/>
            <w:noWrap/>
            <w:vAlign w:val="bottom"/>
          </w:tcPr>
          <w:p w14:paraId="6B8A9FC3"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bottom w:val="single" w:sz="4" w:space="0" w:color="auto"/>
              <w:right w:val="nil"/>
            </w:tcBorders>
            <w:shd w:val="clear" w:color="auto" w:fill="FDE9D9" w:themeFill="accent6" w:themeFillTint="33"/>
            <w:vAlign w:val="bottom"/>
          </w:tcPr>
          <w:p w14:paraId="401FDA53"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r>
              <w:rPr>
                <w:rFonts w:ascii="Arial" w:eastAsia="Times New Roman" w:hAnsi="Arial" w:cs="Arial"/>
                <w:b/>
                <w:bCs/>
                <w:sz w:val="20"/>
                <w:szCs w:val="20"/>
                <w:lang w:val="en-SG" w:eastAsia="en-SG"/>
              </w:rPr>
              <w:t>90</w:t>
            </w:r>
            <w:r w:rsidRPr="00C67A93">
              <w:rPr>
                <w:rFonts w:ascii="Arial" w:eastAsia="Times New Roman" w:hAnsi="Arial" w:cs="Arial"/>
                <w:b/>
                <w:bCs/>
                <w:sz w:val="20"/>
                <w:szCs w:val="20"/>
                <w:lang w:val="en-SG" w:eastAsia="en-SG"/>
              </w:rPr>
              <w:t>)</w:t>
            </w:r>
          </w:p>
        </w:tc>
        <w:tc>
          <w:tcPr>
            <w:tcW w:w="780" w:type="pct"/>
            <w:tcBorders>
              <w:top w:val="single" w:sz="4" w:space="0" w:color="auto"/>
              <w:left w:val="nil"/>
              <w:bottom w:val="single" w:sz="4" w:space="0" w:color="auto"/>
              <w:right w:val="nil"/>
            </w:tcBorders>
            <w:shd w:val="clear" w:color="auto" w:fill="auto"/>
          </w:tcPr>
          <w:p w14:paraId="21077DF1"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(102)</w:t>
            </w:r>
          </w:p>
        </w:tc>
      </w:tr>
      <w:tr w:rsidR="00891B3A" w:rsidRPr="00C67A93" w14:paraId="29EADBD9" w14:textId="77777777" w:rsidTr="00891B3A">
        <w:trPr>
          <w:trHeight w:val="255"/>
        </w:trPr>
        <w:tc>
          <w:tcPr>
            <w:tcW w:w="3092" w:type="pct"/>
            <w:tcBorders>
              <w:top w:val="single" w:sz="4" w:space="0" w:color="auto"/>
              <w:left w:val="nil"/>
              <w:bottom w:val="nil"/>
              <w:right w:val="nil"/>
            </w:tcBorders>
            <w:shd w:val="clear" w:color="auto" w:fill="auto"/>
            <w:noWrap/>
            <w:vAlign w:val="bottom"/>
            <w:hideMark/>
          </w:tcPr>
          <w:p w14:paraId="76E82E75"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16" w:type="pct"/>
            <w:tcBorders>
              <w:top w:val="single" w:sz="4" w:space="0" w:color="auto"/>
              <w:left w:val="nil"/>
              <w:bottom w:val="nil"/>
              <w:right w:val="nil"/>
            </w:tcBorders>
            <w:shd w:val="clear" w:color="auto" w:fill="auto"/>
            <w:noWrap/>
            <w:vAlign w:val="bottom"/>
          </w:tcPr>
          <w:p w14:paraId="444B3CD5"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15699AD0"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nil"/>
              <w:left w:val="nil"/>
              <w:bottom w:val="nil"/>
              <w:right w:val="nil"/>
            </w:tcBorders>
            <w:shd w:val="clear" w:color="auto" w:fill="auto"/>
            <w:hideMark/>
          </w:tcPr>
          <w:p w14:paraId="0F64D277"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 </w:t>
            </w:r>
          </w:p>
        </w:tc>
      </w:tr>
      <w:tr w:rsidR="00891B3A" w:rsidRPr="00C67A93" w14:paraId="4B3FD528" w14:textId="77777777" w:rsidTr="00891B3A">
        <w:trPr>
          <w:trHeight w:val="255"/>
        </w:trPr>
        <w:tc>
          <w:tcPr>
            <w:tcW w:w="3092" w:type="pct"/>
            <w:tcBorders>
              <w:top w:val="nil"/>
              <w:left w:val="nil"/>
              <w:bottom w:val="nil"/>
              <w:right w:val="nil"/>
            </w:tcBorders>
            <w:shd w:val="clear" w:color="auto" w:fill="auto"/>
            <w:noWrap/>
            <w:vAlign w:val="bottom"/>
            <w:hideMark/>
          </w:tcPr>
          <w:p w14:paraId="3200EBA6"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Total liabilities</w:t>
            </w:r>
          </w:p>
        </w:tc>
        <w:tc>
          <w:tcPr>
            <w:tcW w:w="416" w:type="pct"/>
            <w:tcBorders>
              <w:top w:val="nil"/>
              <w:left w:val="nil"/>
              <w:bottom w:val="nil"/>
              <w:right w:val="nil"/>
            </w:tcBorders>
            <w:shd w:val="clear" w:color="auto" w:fill="auto"/>
            <w:noWrap/>
            <w:vAlign w:val="bottom"/>
          </w:tcPr>
          <w:p w14:paraId="685D14A5"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single" w:sz="4" w:space="0" w:color="auto"/>
              <w:right w:val="nil"/>
            </w:tcBorders>
            <w:shd w:val="clear" w:color="auto" w:fill="FDE9D9" w:themeFill="accent6" w:themeFillTint="33"/>
            <w:vAlign w:val="bottom"/>
          </w:tcPr>
          <w:p w14:paraId="55EDF9DF"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(39,077)</w:t>
            </w:r>
          </w:p>
        </w:tc>
        <w:tc>
          <w:tcPr>
            <w:tcW w:w="780" w:type="pct"/>
            <w:tcBorders>
              <w:top w:val="nil"/>
              <w:left w:val="nil"/>
              <w:bottom w:val="single" w:sz="4" w:space="0" w:color="auto"/>
              <w:right w:val="nil"/>
            </w:tcBorders>
            <w:shd w:val="clear" w:color="auto" w:fill="auto"/>
            <w:hideMark/>
          </w:tcPr>
          <w:p w14:paraId="2597CA7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(39,264)</w:t>
            </w:r>
          </w:p>
        </w:tc>
      </w:tr>
      <w:tr w:rsidR="00891B3A" w:rsidRPr="00C67A93" w14:paraId="7D72C49A" w14:textId="77777777" w:rsidTr="00891B3A">
        <w:trPr>
          <w:trHeight w:val="255"/>
        </w:trPr>
        <w:tc>
          <w:tcPr>
            <w:tcW w:w="3092" w:type="pct"/>
            <w:tcBorders>
              <w:top w:val="single" w:sz="4" w:space="0" w:color="auto"/>
              <w:left w:val="nil"/>
              <w:bottom w:val="nil"/>
              <w:right w:val="nil"/>
            </w:tcBorders>
            <w:shd w:val="clear" w:color="auto" w:fill="auto"/>
            <w:noWrap/>
            <w:vAlign w:val="bottom"/>
            <w:hideMark/>
          </w:tcPr>
          <w:p w14:paraId="6AE13EC3"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16" w:type="pct"/>
            <w:tcBorders>
              <w:top w:val="single" w:sz="4" w:space="0" w:color="auto"/>
              <w:left w:val="nil"/>
              <w:bottom w:val="nil"/>
              <w:right w:val="nil"/>
            </w:tcBorders>
            <w:shd w:val="clear" w:color="auto" w:fill="auto"/>
            <w:noWrap/>
            <w:vAlign w:val="bottom"/>
          </w:tcPr>
          <w:p w14:paraId="5E31B9DF"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34B483BE"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nil"/>
              <w:left w:val="nil"/>
              <w:bottom w:val="nil"/>
              <w:right w:val="nil"/>
            </w:tcBorders>
            <w:shd w:val="clear" w:color="auto" w:fill="auto"/>
            <w:hideMark/>
          </w:tcPr>
          <w:p w14:paraId="0C2EE0C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 </w:t>
            </w:r>
          </w:p>
        </w:tc>
      </w:tr>
      <w:tr w:rsidR="00891B3A" w:rsidRPr="00C67A93" w14:paraId="696D9C23" w14:textId="77777777" w:rsidTr="00891B3A">
        <w:trPr>
          <w:trHeight w:val="255"/>
        </w:trPr>
        <w:tc>
          <w:tcPr>
            <w:tcW w:w="3092" w:type="pct"/>
            <w:tcBorders>
              <w:top w:val="nil"/>
              <w:left w:val="nil"/>
              <w:bottom w:val="single" w:sz="4" w:space="0" w:color="auto"/>
              <w:right w:val="nil"/>
            </w:tcBorders>
            <w:shd w:val="clear" w:color="auto" w:fill="auto"/>
            <w:noWrap/>
            <w:vAlign w:val="bottom"/>
            <w:hideMark/>
          </w:tcPr>
          <w:p w14:paraId="36ED47A0"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Net assets</w:t>
            </w:r>
          </w:p>
        </w:tc>
        <w:tc>
          <w:tcPr>
            <w:tcW w:w="416" w:type="pct"/>
            <w:tcBorders>
              <w:top w:val="nil"/>
              <w:left w:val="nil"/>
              <w:bottom w:val="single" w:sz="4" w:space="0" w:color="auto"/>
              <w:right w:val="nil"/>
            </w:tcBorders>
            <w:shd w:val="clear" w:color="auto" w:fill="auto"/>
            <w:noWrap/>
            <w:vAlign w:val="bottom"/>
          </w:tcPr>
          <w:p w14:paraId="47E18C62"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single" w:sz="4" w:space="0" w:color="auto"/>
              <w:right w:val="nil"/>
            </w:tcBorders>
            <w:shd w:val="clear" w:color="auto" w:fill="FDE9D9" w:themeFill="accent6" w:themeFillTint="33"/>
            <w:vAlign w:val="bottom"/>
          </w:tcPr>
          <w:p w14:paraId="32D35B7A" w14:textId="3B6E8101"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47,</w:t>
            </w:r>
            <w:r w:rsidR="00A712DE">
              <w:rPr>
                <w:rFonts w:ascii="Arial" w:eastAsia="Times New Roman" w:hAnsi="Arial" w:cs="Arial"/>
                <w:b/>
                <w:bCs/>
                <w:sz w:val="20"/>
                <w:szCs w:val="20"/>
                <w:lang w:val="en-SG" w:eastAsia="en-SG"/>
              </w:rPr>
              <w:t>592</w:t>
            </w:r>
          </w:p>
        </w:tc>
        <w:tc>
          <w:tcPr>
            <w:tcW w:w="780" w:type="pct"/>
            <w:tcBorders>
              <w:top w:val="nil"/>
              <w:left w:val="nil"/>
              <w:bottom w:val="single" w:sz="4" w:space="0" w:color="auto"/>
              <w:right w:val="nil"/>
            </w:tcBorders>
            <w:shd w:val="clear" w:color="auto" w:fill="auto"/>
            <w:hideMark/>
          </w:tcPr>
          <w:p w14:paraId="716922EC"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47,923 </w:t>
            </w:r>
          </w:p>
        </w:tc>
      </w:tr>
      <w:tr w:rsidR="00891B3A" w:rsidRPr="00C67A93" w14:paraId="13F087E8" w14:textId="77777777" w:rsidTr="00891B3A">
        <w:trPr>
          <w:trHeight w:val="255"/>
        </w:trPr>
        <w:tc>
          <w:tcPr>
            <w:tcW w:w="3092" w:type="pct"/>
            <w:tcBorders>
              <w:top w:val="nil"/>
              <w:left w:val="nil"/>
              <w:bottom w:val="nil"/>
              <w:right w:val="nil"/>
            </w:tcBorders>
            <w:shd w:val="clear" w:color="auto" w:fill="auto"/>
            <w:noWrap/>
            <w:vAlign w:val="bottom"/>
            <w:hideMark/>
          </w:tcPr>
          <w:p w14:paraId="2D0BD3D7"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16" w:type="pct"/>
            <w:tcBorders>
              <w:top w:val="nil"/>
              <w:left w:val="nil"/>
              <w:bottom w:val="nil"/>
              <w:right w:val="nil"/>
            </w:tcBorders>
            <w:shd w:val="clear" w:color="auto" w:fill="auto"/>
            <w:noWrap/>
            <w:vAlign w:val="bottom"/>
          </w:tcPr>
          <w:p w14:paraId="39CAB2E0"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303D1810"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nil"/>
              <w:left w:val="nil"/>
              <w:bottom w:val="nil"/>
              <w:right w:val="nil"/>
            </w:tcBorders>
            <w:shd w:val="clear" w:color="auto" w:fill="auto"/>
            <w:hideMark/>
          </w:tcPr>
          <w:p w14:paraId="32D0EBB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 </w:t>
            </w:r>
          </w:p>
        </w:tc>
      </w:tr>
      <w:tr w:rsidR="00891B3A" w:rsidRPr="00C67A93" w14:paraId="37528F00" w14:textId="77777777" w:rsidTr="00891B3A">
        <w:trPr>
          <w:trHeight w:val="255"/>
        </w:trPr>
        <w:tc>
          <w:tcPr>
            <w:tcW w:w="3092" w:type="pct"/>
            <w:tcBorders>
              <w:top w:val="nil"/>
              <w:left w:val="nil"/>
              <w:bottom w:val="nil"/>
              <w:right w:val="nil"/>
            </w:tcBorders>
            <w:shd w:val="clear" w:color="auto" w:fill="auto"/>
            <w:noWrap/>
            <w:vAlign w:val="bottom"/>
            <w:hideMark/>
          </w:tcPr>
          <w:p w14:paraId="0D9A8562" w14:textId="77777777" w:rsidR="00891B3A" w:rsidRPr="00C67A93" w:rsidRDefault="00891B3A" w:rsidP="00891B3A">
            <w:pPr>
              <w:widowControl/>
              <w:spacing w:after="0" w:line="240" w:lineRule="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Equity</w:t>
            </w:r>
          </w:p>
        </w:tc>
        <w:tc>
          <w:tcPr>
            <w:tcW w:w="416" w:type="pct"/>
            <w:tcBorders>
              <w:top w:val="nil"/>
              <w:left w:val="nil"/>
              <w:bottom w:val="nil"/>
              <w:right w:val="nil"/>
            </w:tcBorders>
            <w:shd w:val="clear" w:color="auto" w:fill="auto"/>
            <w:noWrap/>
            <w:vAlign w:val="bottom"/>
          </w:tcPr>
          <w:p w14:paraId="7BFBB99E"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030CEB5F"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nil"/>
              <w:left w:val="nil"/>
              <w:bottom w:val="nil"/>
              <w:right w:val="nil"/>
            </w:tcBorders>
            <w:shd w:val="clear" w:color="auto" w:fill="auto"/>
            <w:hideMark/>
          </w:tcPr>
          <w:p w14:paraId="21AE507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 </w:t>
            </w:r>
          </w:p>
        </w:tc>
      </w:tr>
      <w:tr w:rsidR="00891B3A" w:rsidRPr="00C67A93" w14:paraId="3A3F0237" w14:textId="77777777" w:rsidTr="00891B3A">
        <w:trPr>
          <w:trHeight w:val="255"/>
        </w:trPr>
        <w:tc>
          <w:tcPr>
            <w:tcW w:w="3092" w:type="pct"/>
            <w:tcBorders>
              <w:top w:val="nil"/>
              <w:left w:val="nil"/>
              <w:bottom w:val="nil"/>
              <w:right w:val="nil"/>
            </w:tcBorders>
            <w:shd w:val="clear" w:color="auto" w:fill="auto"/>
            <w:noWrap/>
            <w:vAlign w:val="bottom"/>
            <w:hideMark/>
          </w:tcPr>
          <w:p w14:paraId="7544B755"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Share capital</w:t>
            </w:r>
          </w:p>
        </w:tc>
        <w:tc>
          <w:tcPr>
            <w:tcW w:w="416" w:type="pct"/>
            <w:tcBorders>
              <w:top w:val="nil"/>
              <w:left w:val="nil"/>
              <w:bottom w:val="nil"/>
              <w:right w:val="nil"/>
            </w:tcBorders>
            <w:shd w:val="clear" w:color="auto" w:fill="auto"/>
            <w:noWrap/>
            <w:vAlign w:val="bottom"/>
          </w:tcPr>
          <w:p w14:paraId="683A2AE4"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1A8C6624"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8,073</w:t>
            </w:r>
          </w:p>
        </w:tc>
        <w:tc>
          <w:tcPr>
            <w:tcW w:w="780" w:type="pct"/>
            <w:tcBorders>
              <w:top w:val="nil"/>
              <w:left w:val="nil"/>
              <w:bottom w:val="nil"/>
              <w:right w:val="nil"/>
            </w:tcBorders>
            <w:shd w:val="clear" w:color="auto" w:fill="auto"/>
            <w:hideMark/>
          </w:tcPr>
          <w:p w14:paraId="1737297B"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8,073 </w:t>
            </w:r>
          </w:p>
        </w:tc>
      </w:tr>
      <w:tr w:rsidR="00891B3A" w:rsidRPr="00C67A93" w14:paraId="2F787223" w14:textId="77777777" w:rsidTr="00891B3A">
        <w:trPr>
          <w:trHeight w:val="255"/>
        </w:trPr>
        <w:tc>
          <w:tcPr>
            <w:tcW w:w="3092" w:type="pct"/>
            <w:tcBorders>
              <w:top w:val="nil"/>
              <w:left w:val="nil"/>
              <w:bottom w:val="nil"/>
              <w:right w:val="nil"/>
            </w:tcBorders>
            <w:shd w:val="clear" w:color="auto" w:fill="auto"/>
            <w:noWrap/>
            <w:vAlign w:val="bottom"/>
            <w:hideMark/>
          </w:tcPr>
          <w:p w14:paraId="1E44CA1B"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Share premium</w:t>
            </w:r>
          </w:p>
        </w:tc>
        <w:tc>
          <w:tcPr>
            <w:tcW w:w="416" w:type="pct"/>
            <w:tcBorders>
              <w:top w:val="nil"/>
              <w:left w:val="nil"/>
              <w:bottom w:val="nil"/>
              <w:right w:val="nil"/>
            </w:tcBorders>
            <w:shd w:val="clear" w:color="auto" w:fill="auto"/>
            <w:noWrap/>
            <w:vAlign w:val="bottom"/>
          </w:tcPr>
          <w:p w14:paraId="500A2448"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301EBA05"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508</w:t>
            </w:r>
          </w:p>
        </w:tc>
        <w:tc>
          <w:tcPr>
            <w:tcW w:w="780" w:type="pct"/>
            <w:tcBorders>
              <w:top w:val="nil"/>
              <w:left w:val="nil"/>
              <w:bottom w:val="nil"/>
              <w:right w:val="nil"/>
            </w:tcBorders>
            <w:shd w:val="clear" w:color="auto" w:fill="auto"/>
            <w:hideMark/>
          </w:tcPr>
          <w:p w14:paraId="25D31FD2"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508 </w:t>
            </w:r>
          </w:p>
        </w:tc>
      </w:tr>
      <w:tr w:rsidR="00891B3A" w:rsidRPr="00C67A93" w14:paraId="08643340" w14:textId="77777777" w:rsidTr="00891B3A">
        <w:trPr>
          <w:trHeight w:val="255"/>
        </w:trPr>
        <w:tc>
          <w:tcPr>
            <w:tcW w:w="3092" w:type="pct"/>
            <w:tcBorders>
              <w:top w:val="nil"/>
              <w:left w:val="nil"/>
              <w:bottom w:val="nil"/>
              <w:right w:val="nil"/>
            </w:tcBorders>
            <w:shd w:val="clear" w:color="auto" w:fill="auto"/>
            <w:noWrap/>
            <w:vAlign w:val="bottom"/>
            <w:hideMark/>
          </w:tcPr>
          <w:p w14:paraId="3ABF810E"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Capital redemption reserve</w:t>
            </w:r>
          </w:p>
        </w:tc>
        <w:tc>
          <w:tcPr>
            <w:tcW w:w="416" w:type="pct"/>
            <w:tcBorders>
              <w:top w:val="nil"/>
              <w:left w:val="nil"/>
              <w:bottom w:val="nil"/>
              <w:right w:val="nil"/>
            </w:tcBorders>
            <w:shd w:val="clear" w:color="auto" w:fill="auto"/>
            <w:noWrap/>
            <w:vAlign w:val="bottom"/>
          </w:tcPr>
          <w:p w14:paraId="5FC6D5D8"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6A069E8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24,949</w:t>
            </w:r>
          </w:p>
        </w:tc>
        <w:tc>
          <w:tcPr>
            <w:tcW w:w="780" w:type="pct"/>
            <w:tcBorders>
              <w:top w:val="nil"/>
              <w:left w:val="nil"/>
              <w:bottom w:val="nil"/>
              <w:right w:val="nil"/>
            </w:tcBorders>
            <w:shd w:val="clear" w:color="auto" w:fill="auto"/>
            <w:hideMark/>
          </w:tcPr>
          <w:p w14:paraId="1AFD7452"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24,949 </w:t>
            </w:r>
          </w:p>
        </w:tc>
      </w:tr>
      <w:tr w:rsidR="00891B3A" w:rsidRPr="00C67A93" w14:paraId="6A936A94" w14:textId="77777777" w:rsidTr="00891B3A">
        <w:trPr>
          <w:trHeight w:val="255"/>
        </w:trPr>
        <w:tc>
          <w:tcPr>
            <w:tcW w:w="3092" w:type="pct"/>
            <w:tcBorders>
              <w:top w:val="nil"/>
              <w:left w:val="nil"/>
              <w:bottom w:val="nil"/>
              <w:right w:val="nil"/>
            </w:tcBorders>
            <w:shd w:val="clear" w:color="auto" w:fill="auto"/>
            <w:noWrap/>
            <w:vAlign w:val="bottom"/>
          </w:tcPr>
          <w:p w14:paraId="070EE057"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Share-based equity</w:t>
            </w:r>
          </w:p>
        </w:tc>
        <w:tc>
          <w:tcPr>
            <w:tcW w:w="416" w:type="pct"/>
            <w:tcBorders>
              <w:top w:val="nil"/>
              <w:left w:val="nil"/>
              <w:bottom w:val="nil"/>
              <w:right w:val="nil"/>
            </w:tcBorders>
            <w:shd w:val="clear" w:color="auto" w:fill="auto"/>
            <w:noWrap/>
            <w:vAlign w:val="bottom"/>
          </w:tcPr>
          <w:p w14:paraId="60C12506"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nil"/>
              <w:right w:val="nil"/>
            </w:tcBorders>
            <w:shd w:val="clear" w:color="auto" w:fill="FDE9D9" w:themeFill="accent6" w:themeFillTint="33"/>
            <w:vAlign w:val="bottom"/>
          </w:tcPr>
          <w:p w14:paraId="6CB63297"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49</w:t>
            </w:r>
          </w:p>
        </w:tc>
        <w:tc>
          <w:tcPr>
            <w:tcW w:w="780" w:type="pct"/>
            <w:tcBorders>
              <w:top w:val="nil"/>
              <w:left w:val="nil"/>
              <w:bottom w:val="nil"/>
              <w:right w:val="nil"/>
            </w:tcBorders>
            <w:shd w:val="clear" w:color="auto" w:fill="auto"/>
          </w:tcPr>
          <w:p w14:paraId="24BFBBC6"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34</w:t>
            </w:r>
          </w:p>
        </w:tc>
      </w:tr>
      <w:tr w:rsidR="00891B3A" w:rsidRPr="00C67A93" w14:paraId="3E32301C" w14:textId="77777777" w:rsidTr="00891B3A">
        <w:trPr>
          <w:trHeight w:val="255"/>
        </w:trPr>
        <w:tc>
          <w:tcPr>
            <w:tcW w:w="3092" w:type="pct"/>
            <w:tcBorders>
              <w:top w:val="nil"/>
              <w:left w:val="nil"/>
              <w:bottom w:val="single" w:sz="4" w:space="0" w:color="auto"/>
              <w:right w:val="nil"/>
            </w:tcBorders>
            <w:shd w:val="clear" w:color="auto" w:fill="auto"/>
            <w:noWrap/>
            <w:vAlign w:val="bottom"/>
            <w:hideMark/>
          </w:tcPr>
          <w:p w14:paraId="346C8CD4"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Retained earnings</w:t>
            </w:r>
          </w:p>
        </w:tc>
        <w:tc>
          <w:tcPr>
            <w:tcW w:w="416" w:type="pct"/>
            <w:tcBorders>
              <w:top w:val="nil"/>
              <w:left w:val="nil"/>
              <w:bottom w:val="single" w:sz="4" w:space="0" w:color="auto"/>
              <w:right w:val="nil"/>
            </w:tcBorders>
            <w:shd w:val="clear" w:color="auto" w:fill="auto"/>
            <w:noWrap/>
            <w:vAlign w:val="bottom"/>
          </w:tcPr>
          <w:p w14:paraId="43636B6B"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nil"/>
              <w:left w:val="nil"/>
              <w:bottom w:val="single" w:sz="4" w:space="0" w:color="auto"/>
              <w:right w:val="nil"/>
            </w:tcBorders>
            <w:shd w:val="clear" w:color="auto" w:fill="FDE9D9" w:themeFill="accent6" w:themeFillTint="33"/>
            <w:vAlign w:val="bottom"/>
          </w:tcPr>
          <w:p w14:paraId="581CCFDF" w14:textId="3A3EFE6A"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w:t>
            </w:r>
            <w:r w:rsidR="00A712DE">
              <w:rPr>
                <w:rFonts w:ascii="Arial" w:eastAsia="Times New Roman" w:hAnsi="Arial" w:cs="Arial"/>
                <w:b/>
                <w:bCs/>
                <w:sz w:val="20"/>
                <w:szCs w:val="20"/>
                <w:lang w:val="en-SG" w:eastAsia="en-SG"/>
              </w:rPr>
              <w:t>4</w:t>
            </w:r>
            <w:r w:rsidRPr="00C67A93">
              <w:rPr>
                <w:rFonts w:ascii="Arial" w:eastAsia="Times New Roman" w:hAnsi="Arial" w:cs="Arial"/>
                <w:b/>
                <w:bCs/>
                <w:sz w:val="20"/>
                <w:szCs w:val="20"/>
                <w:lang w:val="en-SG" w:eastAsia="en-SG"/>
              </w:rPr>
              <w:t>,</w:t>
            </w:r>
            <w:r w:rsidR="00A712DE">
              <w:rPr>
                <w:rFonts w:ascii="Arial" w:eastAsia="Times New Roman" w:hAnsi="Arial" w:cs="Arial"/>
                <w:b/>
                <w:bCs/>
                <w:sz w:val="20"/>
                <w:szCs w:val="20"/>
                <w:lang w:val="en-SG" w:eastAsia="en-SG"/>
              </w:rPr>
              <w:t>013</w:t>
            </w:r>
          </w:p>
        </w:tc>
        <w:tc>
          <w:tcPr>
            <w:tcW w:w="780" w:type="pct"/>
            <w:tcBorders>
              <w:top w:val="nil"/>
              <w:left w:val="nil"/>
              <w:bottom w:val="single" w:sz="4" w:space="0" w:color="auto"/>
              <w:right w:val="nil"/>
            </w:tcBorders>
            <w:shd w:val="clear" w:color="auto" w:fill="auto"/>
            <w:hideMark/>
          </w:tcPr>
          <w:p w14:paraId="645F7C5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14,359 </w:t>
            </w:r>
          </w:p>
        </w:tc>
      </w:tr>
      <w:tr w:rsidR="00891B3A" w:rsidRPr="00C67A93" w14:paraId="5FA5E5CD" w14:textId="77777777" w:rsidTr="00891B3A">
        <w:trPr>
          <w:trHeight w:val="255"/>
        </w:trPr>
        <w:tc>
          <w:tcPr>
            <w:tcW w:w="3092" w:type="pct"/>
            <w:tcBorders>
              <w:top w:val="single" w:sz="4" w:space="0" w:color="auto"/>
              <w:left w:val="nil"/>
              <w:bottom w:val="single" w:sz="4" w:space="0" w:color="auto"/>
              <w:right w:val="nil"/>
            </w:tcBorders>
            <w:shd w:val="clear" w:color="auto" w:fill="auto"/>
            <w:noWrap/>
            <w:vAlign w:val="bottom"/>
            <w:hideMark/>
          </w:tcPr>
          <w:p w14:paraId="266C6A7B" w14:textId="77777777" w:rsidR="00891B3A" w:rsidRPr="00AC3004" w:rsidRDefault="00891B3A" w:rsidP="00891B3A">
            <w:pPr>
              <w:widowControl/>
              <w:spacing w:after="0" w:line="240" w:lineRule="auto"/>
              <w:rPr>
                <w:rFonts w:ascii="Arial" w:eastAsia="Times New Roman" w:hAnsi="Arial" w:cs="Arial"/>
                <w:b/>
                <w:bCs/>
                <w:sz w:val="20"/>
                <w:szCs w:val="20"/>
                <w:lang w:val="en-SG" w:eastAsia="en-SG"/>
              </w:rPr>
            </w:pPr>
            <w:r w:rsidRPr="00AC3004">
              <w:rPr>
                <w:rFonts w:ascii="Arial" w:eastAsia="Times New Roman" w:hAnsi="Arial" w:cs="Arial"/>
                <w:b/>
                <w:bCs/>
                <w:sz w:val="20"/>
                <w:szCs w:val="20"/>
                <w:lang w:val="en-SG" w:eastAsia="en-SG"/>
              </w:rPr>
              <w:t>Total equity shareholders' funds</w:t>
            </w:r>
          </w:p>
        </w:tc>
        <w:tc>
          <w:tcPr>
            <w:tcW w:w="416" w:type="pct"/>
            <w:tcBorders>
              <w:top w:val="single" w:sz="4" w:space="0" w:color="auto"/>
              <w:left w:val="nil"/>
              <w:bottom w:val="single" w:sz="4" w:space="0" w:color="auto"/>
              <w:right w:val="nil"/>
            </w:tcBorders>
            <w:shd w:val="clear" w:color="auto" w:fill="auto"/>
            <w:noWrap/>
            <w:vAlign w:val="bottom"/>
          </w:tcPr>
          <w:p w14:paraId="283DAF07"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bottom w:val="single" w:sz="4" w:space="0" w:color="auto"/>
              <w:right w:val="nil"/>
            </w:tcBorders>
            <w:shd w:val="clear" w:color="auto" w:fill="FDE9D9" w:themeFill="accent6" w:themeFillTint="33"/>
            <w:vAlign w:val="bottom"/>
          </w:tcPr>
          <w:p w14:paraId="617057D0" w14:textId="6AB86941"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47,</w:t>
            </w:r>
            <w:r w:rsidR="00A712DE">
              <w:rPr>
                <w:rFonts w:ascii="Arial" w:eastAsia="Times New Roman" w:hAnsi="Arial" w:cs="Arial"/>
                <w:b/>
                <w:bCs/>
                <w:sz w:val="20"/>
                <w:szCs w:val="20"/>
                <w:lang w:val="en-SG" w:eastAsia="en-SG"/>
              </w:rPr>
              <w:t>592</w:t>
            </w:r>
          </w:p>
        </w:tc>
        <w:tc>
          <w:tcPr>
            <w:tcW w:w="780" w:type="pct"/>
            <w:tcBorders>
              <w:top w:val="single" w:sz="4" w:space="0" w:color="auto"/>
              <w:left w:val="nil"/>
              <w:bottom w:val="single" w:sz="4" w:space="0" w:color="auto"/>
              <w:right w:val="nil"/>
            </w:tcBorders>
            <w:shd w:val="clear" w:color="auto" w:fill="auto"/>
            <w:hideMark/>
          </w:tcPr>
          <w:p w14:paraId="2DE5B036"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 xml:space="preserve">47,923 </w:t>
            </w:r>
          </w:p>
        </w:tc>
      </w:tr>
      <w:tr w:rsidR="00891B3A" w:rsidRPr="00C67A93" w14:paraId="03772CCA" w14:textId="77777777" w:rsidTr="00891B3A">
        <w:trPr>
          <w:trHeight w:val="255"/>
        </w:trPr>
        <w:tc>
          <w:tcPr>
            <w:tcW w:w="3092" w:type="pct"/>
            <w:tcBorders>
              <w:top w:val="single" w:sz="4" w:space="0" w:color="auto"/>
              <w:left w:val="nil"/>
              <w:right w:val="nil"/>
            </w:tcBorders>
            <w:shd w:val="clear" w:color="auto" w:fill="auto"/>
            <w:noWrap/>
            <w:vAlign w:val="bottom"/>
          </w:tcPr>
          <w:p w14:paraId="7A6DCFAC"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p>
        </w:tc>
        <w:tc>
          <w:tcPr>
            <w:tcW w:w="416" w:type="pct"/>
            <w:tcBorders>
              <w:top w:val="single" w:sz="4" w:space="0" w:color="auto"/>
              <w:left w:val="nil"/>
              <w:right w:val="nil"/>
            </w:tcBorders>
            <w:shd w:val="clear" w:color="auto" w:fill="auto"/>
            <w:noWrap/>
            <w:vAlign w:val="bottom"/>
          </w:tcPr>
          <w:p w14:paraId="61C4F065"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top w:val="single" w:sz="4" w:space="0" w:color="auto"/>
              <w:left w:val="nil"/>
              <w:right w:val="nil"/>
            </w:tcBorders>
            <w:shd w:val="clear" w:color="auto" w:fill="FDE9D9" w:themeFill="accent6" w:themeFillTint="33"/>
            <w:vAlign w:val="bottom"/>
          </w:tcPr>
          <w:p w14:paraId="5B4736B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c>
          <w:tcPr>
            <w:tcW w:w="780" w:type="pct"/>
            <w:tcBorders>
              <w:top w:val="single" w:sz="4" w:space="0" w:color="auto"/>
              <w:left w:val="nil"/>
              <w:right w:val="nil"/>
            </w:tcBorders>
            <w:shd w:val="clear" w:color="auto" w:fill="auto"/>
          </w:tcPr>
          <w:p w14:paraId="560B1D7D"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p>
        </w:tc>
      </w:tr>
      <w:tr w:rsidR="00891B3A" w:rsidRPr="00C67A93" w14:paraId="39D8AA1B" w14:textId="77777777" w:rsidTr="00891B3A">
        <w:trPr>
          <w:trHeight w:val="255"/>
        </w:trPr>
        <w:tc>
          <w:tcPr>
            <w:tcW w:w="3092" w:type="pct"/>
            <w:tcBorders>
              <w:left w:val="nil"/>
              <w:bottom w:val="single" w:sz="4" w:space="0" w:color="auto"/>
              <w:right w:val="nil"/>
            </w:tcBorders>
            <w:shd w:val="clear" w:color="auto" w:fill="auto"/>
            <w:noWrap/>
            <w:vAlign w:val="bottom"/>
          </w:tcPr>
          <w:p w14:paraId="0DFDF5D6" w14:textId="77777777" w:rsidR="00891B3A" w:rsidRPr="00C67A93" w:rsidRDefault="00891B3A" w:rsidP="00891B3A">
            <w:pPr>
              <w:widowControl/>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Net asset value per ordinary share</w:t>
            </w:r>
          </w:p>
        </w:tc>
        <w:tc>
          <w:tcPr>
            <w:tcW w:w="416" w:type="pct"/>
            <w:tcBorders>
              <w:left w:val="nil"/>
              <w:bottom w:val="single" w:sz="4" w:space="0" w:color="auto"/>
              <w:right w:val="nil"/>
            </w:tcBorders>
            <w:shd w:val="clear" w:color="auto" w:fill="auto"/>
            <w:noWrap/>
            <w:vAlign w:val="bottom"/>
          </w:tcPr>
          <w:p w14:paraId="62CCCBE9" w14:textId="77777777" w:rsidR="00891B3A" w:rsidRPr="00C67A93" w:rsidRDefault="00891B3A" w:rsidP="00891B3A">
            <w:pPr>
              <w:widowControl/>
              <w:spacing w:after="0" w:line="240" w:lineRule="auto"/>
              <w:jc w:val="center"/>
              <w:rPr>
                <w:rFonts w:ascii="Arial" w:eastAsia="Times New Roman" w:hAnsi="Arial" w:cs="Arial"/>
                <w:sz w:val="20"/>
                <w:szCs w:val="20"/>
                <w:lang w:val="en-SG" w:eastAsia="en-SG"/>
              </w:rPr>
            </w:pPr>
          </w:p>
        </w:tc>
        <w:tc>
          <w:tcPr>
            <w:tcW w:w="712" w:type="pct"/>
            <w:tcBorders>
              <w:left w:val="nil"/>
              <w:bottom w:val="single" w:sz="4" w:space="0" w:color="auto"/>
              <w:right w:val="nil"/>
            </w:tcBorders>
            <w:shd w:val="clear" w:color="auto" w:fill="FDE9D9" w:themeFill="accent6" w:themeFillTint="33"/>
            <w:vAlign w:val="bottom"/>
          </w:tcPr>
          <w:p w14:paraId="65B79A2F" w14:textId="1632FB1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58.</w:t>
            </w:r>
            <w:r w:rsidR="00252251">
              <w:rPr>
                <w:rFonts w:ascii="Arial" w:eastAsia="Times New Roman" w:hAnsi="Arial" w:cs="Arial"/>
                <w:b/>
                <w:bCs/>
                <w:sz w:val="20"/>
                <w:szCs w:val="20"/>
                <w:lang w:val="en-SG" w:eastAsia="en-SG"/>
              </w:rPr>
              <w:t>95</w:t>
            </w:r>
            <w:r w:rsidRPr="00C67A93">
              <w:rPr>
                <w:rFonts w:ascii="Arial" w:eastAsia="Times New Roman" w:hAnsi="Arial" w:cs="Arial"/>
                <w:b/>
                <w:bCs/>
                <w:sz w:val="20"/>
                <w:szCs w:val="20"/>
                <w:lang w:val="en-SG" w:eastAsia="en-SG"/>
              </w:rPr>
              <w:t>p</w:t>
            </w:r>
          </w:p>
        </w:tc>
        <w:tc>
          <w:tcPr>
            <w:tcW w:w="780" w:type="pct"/>
            <w:tcBorders>
              <w:left w:val="nil"/>
              <w:bottom w:val="single" w:sz="4" w:space="0" w:color="auto"/>
              <w:right w:val="nil"/>
            </w:tcBorders>
            <w:shd w:val="clear" w:color="auto" w:fill="auto"/>
          </w:tcPr>
          <w:p w14:paraId="4FA2F688" w14:textId="77777777" w:rsidR="00891B3A" w:rsidRPr="00C67A93" w:rsidRDefault="00891B3A" w:rsidP="00891B3A">
            <w:pPr>
              <w:widowControl/>
              <w:spacing w:after="0" w:line="240" w:lineRule="auto"/>
              <w:jc w:val="right"/>
              <w:rPr>
                <w:rFonts w:ascii="Arial" w:eastAsia="Times New Roman" w:hAnsi="Arial" w:cs="Arial"/>
                <w:b/>
                <w:bCs/>
                <w:sz w:val="20"/>
                <w:szCs w:val="20"/>
                <w:lang w:val="en-SG" w:eastAsia="en-SG"/>
              </w:rPr>
            </w:pPr>
            <w:r w:rsidRPr="00C67A93">
              <w:rPr>
                <w:rFonts w:ascii="Arial" w:hAnsi="Arial" w:cs="Arial"/>
                <w:sz w:val="20"/>
                <w:szCs w:val="20"/>
              </w:rPr>
              <w:t>59.36p</w:t>
            </w:r>
          </w:p>
        </w:tc>
      </w:tr>
    </w:tbl>
    <w:p w14:paraId="48029A76" w14:textId="77777777" w:rsidR="00891B3A" w:rsidRPr="00C67A93" w:rsidRDefault="00891B3A" w:rsidP="00891B3A">
      <w:pPr>
        <w:widowControl/>
        <w:shd w:val="clear" w:color="auto" w:fill="FFFFFF"/>
        <w:spacing w:after="0" w:line="240" w:lineRule="auto"/>
        <w:jc w:val="both"/>
        <w:rPr>
          <w:rFonts w:ascii="Arial" w:hAnsi="Arial" w:cs="Arial"/>
        </w:rPr>
      </w:pPr>
    </w:p>
    <w:p w14:paraId="26EC73BD" w14:textId="26CFB945" w:rsidR="00891B3A" w:rsidRPr="00C67A93" w:rsidRDefault="00891B3A" w:rsidP="00891B3A">
      <w:pPr>
        <w:widowControl/>
        <w:shd w:val="clear" w:color="auto" w:fill="FFFFFF"/>
        <w:spacing w:after="0" w:line="240" w:lineRule="auto"/>
        <w:jc w:val="both"/>
        <w:rPr>
          <w:rFonts w:ascii="Arial" w:hAnsi="Arial" w:cs="Arial"/>
        </w:rPr>
      </w:pPr>
      <w:r w:rsidRPr="00C67A93">
        <w:rPr>
          <w:rFonts w:ascii="Arial" w:hAnsi="Arial" w:cs="Arial"/>
        </w:rPr>
        <w:t xml:space="preserve">The Financial Statements on pages </w:t>
      </w:r>
      <w:r w:rsidR="00C42304">
        <w:rPr>
          <w:rFonts w:ascii="Arial" w:hAnsi="Arial" w:cs="Arial"/>
        </w:rPr>
        <w:t>16</w:t>
      </w:r>
      <w:r w:rsidRPr="00C67A93">
        <w:rPr>
          <w:rFonts w:ascii="Arial" w:hAnsi="Arial" w:cs="Arial"/>
        </w:rPr>
        <w:t xml:space="preserve"> to </w:t>
      </w:r>
      <w:r w:rsidR="00C42304">
        <w:rPr>
          <w:rFonts w:ascii="Arial" w:hAnsi="Arial" w:cs="Arial"/>
        </w:rPr>
        <w:t>20</w:t>
      </w:r>
      <w:r w:rsidRPr="00C67A93">
        <w:rPr>
          <w:rFonts w:ascii="Arial" w:hAnsi="Arial" w:cs="Arial"/>
        </w:rPr>
        <w:t xml:space="preserve"> were approved by the Board </w:t>
      </w:r>
      <w:r w:rsidRPr="00316A23">
        <w:rPr>
          <w:rFonts w:ascii="Arial" w:hAnsi="Arial" w:cs="Arial"/>
        </w:rPr>
        <w:t xml:space="preserve">on </w:t>
      </w:r>
      <w:r w:rsidR="00316A23" w:rsidRPr="00316A23">
        <w:rPr>
          <w:rFonts w:ascii="Arial" w:eastAsia="Times New Roman" w:hAnsi="Arial" w:cs="Arial"/>
          <w:lang w:val="en-GB" w:eastAsia="en-GB"/>
        </w:rPr>
        <w:t>2</w:t>
      </w:r>
      <w:r w:rsidRPr="00316A23">
        <w:rPr>
          <w:rFonts w:ascii="Arial" w:eastAsia="Times New Roman" w:hAnsi="Arial" w:cs="Arial"/>
          <w:lang w:val="en-GB" w:eastAsia="en-GB"/>
        </w:rPr>
        <w:t xml:space="preserve"> </w:t>
      </w:r>
      <w:r w:rsidR="00316A23" w:rsidRPr="00316A23">
        <w:rPr>
          <w:rFonts w:ascii="Arial" w:eastAsia="Times New Roman" w:hAnsi="Arial" w:cs="Arial"/>
          <w:lang w:val="en-GB" w:eastAsia="en-GB"/>
        </w:rPr>
        <w:t>August</w:t>
      </w:r>
      <w:r w:rsidRPr="00C67A93">
        <w:rPr>
          <w:rFonts w:ascii="Arial" w:eastAsia="Times New Roman" w:hAnsi="Arial" w:cs="Arial"/>
          <w:lang w:val="en-GB" w:eastAsia="en-GB"/>
        </w:rPr>
        <w:t xml:space="preserve"> 2021 </w:t>
      </w:r>
      <w:r w:rsidRPr="00C67A93">
        <w:rPr>
          <w:rFonts w:ascii="Arial" w:hAnsi="Arial" w:cs="Arial"/>
        </w:rPr>
        <w:t>and were signed on its behalf by:</w:t>
      </w:r>
      <w:r w:rsidRPr="00C67A93">
        <w:rPr>
          <w:rFonts w:ascii="Arial" w:hAnsi="Arial" w:cs="Arial"/>
        </w:rPr>
        <w:tab/>
      </w:r>
    </w:p>
    <w:p w14:paraId="5820EF74" w14:textId="77777777" w:rsidR="00891B3A" w:rsidRPr="00C67A93" w:rsidRDefault="00891B3A" w:rsidP="00891B3A">
      <w:pPr>
        <w:widowControl/>
        <w:shd w:val="clear" w:color="auto" w:fill="FFFFFF"/>
        <w:spacing w:after="0" w:line="240" w:lineRule="auto"/>
        <w:jc w:val="both"/>
        <w:rPr>
          <w:rFonts w:ascii="Arial" w:hAnsi="Arial" w:cs="Arial"/>
        </w:rPr>
      </w:pPr>
      <w:r w:rsidRPr="00C67A93">
        <w:rPr>
          <w:rFonts w:ascii="Arial" w:hAnsi="Arial" w:cs="Arial"/>
        </w:rPr>
        <w:tab/>
      </w:r>
    </w:p>
    <w:p w14:paraId="028F0E29" w14:textId="77777777" w:rsidR="00891B3A" w:rsidRPr="00C67A93" w:rsidRDefault="00891B3A" w:rsidP="00891B3A">
      <w:pPr>
        <w:widowControl/>
        <w:shd w:val="clear" w:color="auto" w:fill="FFFFFF"/>
        <w:spacing w:after="0" w:line="240" w:lineRule="auto"/>
        <w:jc w:val="both"/>
        <w:rPr>
          <w:rFonts w:ascii="Arial" w:hAnsi="Arial" w:cs="Arial"/>
        </w:rPr>
      </w:pPr>
    </w:p>
    <w:p w14:paraId="451EE647" w14:textId="77777777" w:rsidR="00891B3A" w:rsidRPr="00C67A93" w:rsidRDefault="00891B3A" w:rsidP="00891B3A">
      <w:pPr>
        <w:widowControl/>
        <w:shd w:val="clear" w:color="auto" w:fill="FFFFFF"/>
        <w:spacing w:after="0" w:line="240" w:lineRule="auto"/>
        <w:jc w:val="both"/>
        <w:rPr>
          <w:rFonts w:ascii="Arial" w:hAnsi="Arial" w:cs="Arial"/>
        </w:rPr>
      </w:pPr>
    </w:p>
    <w:p w14:paraId="4D751227" w14:textId="77777777" w:rsidR="00891B3A" w:rsidRPr="00C67A93" w:rsidRDefault="00891B3A" w:rsidP="00891B3A">
      <w:pPr>
        <w:widowControl/>
        <w:shd w:val="clear" w:color="auto" w:fill="FFFFFF"/>
        <w:spacing w:after="0" w:line="240" w:lineRule="auto"/>
        <w:jc w:val="both"/>
        <w:rPr>
          <w:rFonts w:ascii="Arial" w:hAnsi="Arial" w:cs="Arial"/>
        </w:rPr>
      </w:pPr>
      <w:r w:rsidRPr="00C67A93">
        <w:rPr>
          <w:rFonts w:ascii="Arial" w:hAnsi="Arial" w:cs="Arial"/>
        </w:rPr>
        <w:tab/>
      </w:r>
    </w:p>
    <w:p w14:paraId="1F464347" w14:textId="63940022" w:rsidR="00891B3A" w:rsidRPr="00C67A93" w:rsidRDefault="001D4120" w:rsidP="00891B3A">
      <w:pPr>
        <w:shd w:val="clear" w:color="auto" w:fill="FFFFFF"/>
        <w:spacing w:after="0"/>
        <w:rPr>
          <w:rFonts w:ascii="Arial" w:hAnsi="Arial" w:cs="Arial"/>
        </w:rPr>
      </w:pPr>
      <w:r>
        <w:rPr>
          <w:rFonts w:ascii="Arial" w:hAnsi="Arial" w:cs="Arial"/>
        </w:rPr>
        <w:t xml:space="preserve">Nicholas </w:t>
      </w:r>
      <w:proofErr w:type="spellStart"/>
      <w:r>
        <w:rPr>
          <w:rFonts w:ascii="Arial" w:hAnsi="Arial" w:cs="Arial"/>
        </w:rPr>
        <w:t>Friedlos</w:t>
      </w:r>
      <w:proofErr w:type="spellEnd"/>
    </w:p>
    <w:p w14:paraId="658FBDDA" w14:textId="77777777" w:rsidR="00891B3A" w:rsidRPr="00C67A93" w:rsidRDefault="00891B3A" w:rsidP="00891B3A">
      <w:pPr>
        <w:shd w:val="clear" w:color="auto" w:fill="FFFFFF"/>
        <w:spacing w:after="0"/>
        <w:rPr>
          <w:rFonts w:ascii="Arial" w:hAnsi="Arial" w:cs="Arial"/>
        </w:rPr>
      </w:pPr>
      <w:r w:rsidRPr="00C67A93">
        <w:rPr>
          <w:rFonts w:ascii="Arial" w:hAnsi="Arial" w:cs="Arial"/>
        </w:rPr>
        <w:t>Director</w:t>
      </w:r>
    </w:p>
    <w:p w14:paraId="567343D6" w14:textId="77777777" w:rsidR="00891B3A" w:rsidRPr="00C67A93" w:rsidRDefault="00891B3A" w:rsidP="00891B3A">
      <w:pPr>
        <w:shd w:val="clear" w:color="auto" w:fill="FFFFFF"/>
        <w:spacing w:after="0"/>
        <w:rPr>
          <w:rFonts w:ascii="Arial" w:hAnsi="Arial" w:cs="Arial"/>
        </w:rPr>
      </w:pPr>
    </w:p>
    <w:p w14:paraId="1EFE5B4F" w14:textId="63063AE8" w:rsidR="00891B3A" w:rsidRPr="00C67A93" w:rsidRDefault="00891B3A" w:rsidP="00891B3A">
      <w:pPr>
        <w:shd w:val="clear" w:color="auto" w:fill="FFFFFF"/>
        <w:rPr>
          <w:rFonts w:ascii="Arial" w:hAnsi="Arial" w:cs="Arial"/>
        </w:rPr>
        <w:sectPr w:rsidR="00891B3A" w:rsidRPr="00C67A93" w:rsidSect="00B72D27">
          <w:pgSz w:w="11906" w:h="16838"/>
          <w:pgMar w:top="1440" w:right="1134" w:bottom="1440" w:left="1418" w:header="720" w:footer="720" w:gutter="0"/>
          <w:cols w:space="720"/>
        </w:sectPr>
      </w:pPr>
      <w:r w:rsidRPr="00C67A93">
        <w:rPr>
          <w:rFonts w:ascii="Arial" w:hAnsi="Arial" w:cs="Arial"/>
        </w:rPr>
        <w:t xml:space="preserve">The notes </w:t>
      </w:r>
      <w:r w:rsidR="00347F0B">
        <w:rPr>
          <w:rFonts w:ascii="Arial" w:hAnsi="Arial" w:cs="Arial"/>
        </w:rPr>
        <w:t xml:space="preserve">on pages 21 to 35 form </w:t>
      </w:r>
      <w:r w:rsidRPr="00C67A93">
        <w:rPr>
          <w:rFonts w:ascii="Arial" w:hAnsi="Arial" w:cs="Arial"/>
        </w:rPr>
        <w:t>part of these Financial Statements.</w:t>
      </w:r>
    </w:p>
    <w:p w14:paraId="1F01B520" w14:textId="77777777" w:rsidR="00891B3A" w:rsidRPr="00C67A93" w:rsidRDefault="00891B3A" w:rsidP="00891B3A">
      <w:pPr>
        <w:shd w:val="clear" w:color="auto" w:fill="FFFFFF"/>
        <w:spacing w:after="160" w:line="240" w:lineRule="auto"/>
        <w:rPr>
          <w:rFonts w:ascii="Arial" w:hAnsi="Arial" w:cs="Arial"/>
          <w:sz w:val="20"/>
          <w:szCs w:val="20"/>
        </w:rPr>
      </w:pPr>
      <w:r w:rsidRPr="00C67A93">
        <w:rPr>
          <w:rFonts w:ascii="Arial" w:hAnsi="Arial" w:cs="Arial"/>
          <w:b/>
          <w:bCs/>
          <w:w w:val="125"/>
          <w:sz w:val="30"/>
          <w:szCs w:val="30"/>
        </w:rPr>
        <w:lastRenderedPageBreak/>
        <w:t>Statement of Changes in Equity</w:t>
      </w:r>
    </w:p>
    <w:p w14:paraId="1F8E54C9" w14:textId="77777777" w:rsidR="00891B3A" w:rsidRPr="00C67A93" w:rsidRDefault="00891B3A" w:rsidP="00891B3A">
      <w:pPr>
        <w:shd w:val="clear" w:color="auto" w:fill="FFFFFF"/>
        <w:spacing w:before="10" w:line="180" w:lineRule="exact"/>
        <w:rPr>
          <w:rFonts w:ascii="Arial" w:hAnsi="Arial" w:cs="Arial"/>
        </w:rPr>
      </w:pPr>
    </w:p>
    <w:p w14:paraId="3257536D" w14:textId="77777777" w:rsidR="00891B3A" w:rsidRPr="00C67A93" w:rsidRDefault="00891B3A" w:rsidP="00891B3A">
      <w:pPr>
        <w:shd w:val="clear" w:color="auto" w:fill="FFFFFF"/>
        <w:spacing w:before="65"/>
        <w:rPr>
          <w:rFonts w:ascii="Arial" w:hAnsi="Arial" w:cs="Arial"/>
          <w:noProof/>
          <w:lang w:val="en-SG" w:eastAsia="en-SG"/>
        </w:rPr>
      </w:pPr>
      <w:r w:rsidRPr="00C67A93">
        <w:rPr>
          <w:rFonts w:ascii="Arial" w:hAnsi="Arial" w:cs="Arial"/>
          <w:b/>
        </w:rPr>
        <w:t>Six months ended 30 June 2021</w:t>
      </w:r>
    </w:p>
    <w:tbl>
      <w:tblPr>
        <w:tblW w:w="5207" w:type="pct"/>
        <w:tblLook w:val="04A0" w:firstRow="1" w:lastRow="0" w:firstColumn="1" w:lastColumn="0" w:noHBand="0" w:noVBand="1"/>
      </w:tblPr>
      <w:tblGrid>
        <w:gridCol w:w="3732"/>
        <w:gridCol w:w="818"/>
        <w:gridCol w:w="1019"/>
        <w:gridCol w:w="1251"/>
        <w:gridCol w:w="808"/>
        <w:gridCol w:w="1019"/>
        <w:gridCol w:w="798"/>
      </w:tblGrid>
      <w:tr w:rsidR="00891B3A" w:rsidRPr="00C67A93" w14:paraId="543984A9" w14:textId="77777777" w:rsidTr="00891B3A">
        <w:trPr>
          <w:trHeight w:val="240"/>
        </w:trPr>
        <w:tc>
          <w:tcPr>
            <w:tcW w:w="2231" w:type="pct"/>
            <w:tcBorders>
              <w:top w:val="nil"/>
              <w:left w:val="nil"/>
              <w:bottom w:val="nil"/>
              <w:right w:val="nil"/>
            </w:tcBorders>
            <w:shd w:val="clear" w:color="auto" w:fill="auto"/>
            <w:noWrap/>
            <w:vAlign w:val="bottom"/>
            <w:hideMark/>
          </w:tcPr>
          <w:p w14:paraId="5B283D1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p>
        </w:tc>
        <w:tc>
          <w:tcPr>
            <w:tcW w:w="394" w:type="pct"/>
            <w:tcBorders>
              <w:top w:val="nil"/>
              <w:left w:val="nil"/>
              <w:bottom w:val="nil"/>
              <w:right w:val="nil"/>
            </w:tcBorders>
            <w:shd w:val="clear" w:color="auto" w:fill="auto"/>
            <w:noWrap/>
            <w:vAlign w:val="bottom"/>
            <w:hideMark/>
          </w:tcPr>
          <w:p w14:paraId="31BD441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7" w:type="pct"/>
            <w:tcBorders>
              <w:top w:val="nil"/>
              <w:left w:val="nil"/>
              <w:bottom w:val="nil"/>
              <w:right w:val="nil"/>
            </w:tcBorders>
            <w:shd w:val="clear" w:color="000000" w:fill="FFFFFF"/>
            <w:vAlign w:val="bottom"/>
            <w:hideMark/>
          </w:tcPr>
          <w:p w14:paraId="44E94BC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 </w:t>
            </w:r>
          </w:p>
        </w:tc>
        <w:tc>
          <w:tcPr>
            <w:tcW w:w="609" w:type="pct"/>
            <w:tcBorders>
              <w:top w:val="nil"/>
              <w:left w:val="nil"/>
              <w:bottom w:val="nil"/>
              <w:right w:val="nil"/>
            </w:tcBorders>
            <w:shd w:val="clear" w:color="000000" w:fill="FFFFFF"/>
            <w:vAlign w:val="bottom"/>
            <w:hideMark/>
          </w:tcPr>
          <w:p w14:paraId="450C874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Capital</w:t>
            </w:r>
          </w:p>
        </w:tc>
        <w:tc>
          <w:tcPr>
            <w:tcW w:w="383" w:type="pct"/>
            <w:tcBorders>
              <w:top w:val="nil"/>
              <w:left w:val="nil"/>
              <w:bottom w:val="nil"/>
              <w:right w:val="nil"/>
            </w:tcBorders>
            <w:shd w:val="clear" w:color="000000" w:fill="FFFFFF"/>
            <w:vAlign w:val="bottom"/>
          </w:tcPr>
          <w:p w14:paraId="0CAD956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Share-</w:t>
            </w:r>
          </w:p>
        </w:tc>
        <w:tc>
          <w:tcPr>
            <w:tcW w:w="490" w:type="pct"/>
            <w:tcBorders>
              <w:top w:val="nil"/>
              <w:left w:val="nil"/>
              <w:bottom w:val="nil"/>
              <w:right w:val="nil"/>
            </w:tcBorders>
            <w:shd w:val="clear" w:color="000000" w:fill="FFFFFF"/>
            <w:vAlign w:val="bottom"/>
            <w:hideMark/>
          </w:tcPr>
          <w:p w14:paraId="7A49E45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 </w:t>
            </w:r>
          </w:p>
        </w:tc>
        <w:tc>
          <w:tcPr>
            <w:tcW w:w="395" w:type="pct"/>
            <w:tcBorders>
              <w:top w:val="nil"/>
              <w:left w:val="nil"/>
              <w:bottom w:val="nil"/>
              <w:right w:val="nil"/>
            </w:tcBorders>
            <w:shd w:val="clear" w:color="000000" w:fill="FFFFFF"/>
            <w:vAlign w:val="bottom"/>
            <w:hideMark/>
          </w:tcPr>
          <w:p w14:paraId="7FC8C4F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 </w:t>
            </w:r>
          </w:p>
        </w:tc>
      </w:tr>
      <w:tr w:rsidR="00891B3A" w:rsidRPr="00C67A93" w14:paraId="4EF677A2" w14:textId="77777777" w:rsidTr="00891B3A">
        <w:trPr>
          <w:trHeight w:val="240"/>
        </w:trPr>
        <w:tc>
          <w:tcPr>
            <w:tcW w:w="2231" w:type="pct"/>
            <w:tcBorders>
              <w:top w:val="nil"/>
              <w:left w:val="nil"/>
              <w:bottom w:val="nil"/>
              <w:right w:val="nil"/>
            </w:tcBorders>
            <w:shd w:val="clear" w:color="auto" w:fill="auto"/>
            <w:noWrap/>
            <w:vAlign w:val="bottom"/>
            <w:hideMark/>
          </w:tcPr>
          <w:p w14:paraId="3DA3192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p>
        </w:tc>
        <w:tc>
          <w:tcPr>
            <w:tcW w:w="394" w:type="pct"/>
            <w:tcBorders>
              <w:top w:val="nil"/>
              <w:left w:val="nil"/>
              <w:bottom w:val="nil"/>
              <w:right w:val="nil"/>
            </w:tcBorders>
            <w:shd w:val="clear" w:color="000000" w:fill="FFFFFF"/>
            <w:vAlign w:val="bottom"/>
            <w:hideMark/>
          </w:tcPr>
          <w:p w14:paraId="35085A7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Share</w:t>
            </w:r>
          </w:p>
        </w:tc>
        <w:tc>
          <w:tcPr>
            <w:tcW w:w="497" w:type="pct"/>
            <w:tcBorders>
              <w:top w:val="nil"/>
              <w:left w:val="nil"/>
              <w:bottom w:val="nil"/>
              <w:right w:val="nil"/>
            </w:tcBorders>
            <w:shd w:val="clear" w:color="000000" w:fill="FFFFFF"/>
            <w:vAlign w:val="bottom"/>
            <w:hideMark/>
          </w:tcPr>
          <w:p w14:paraId="1C8244C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Share</w:t>
            </w:r>
          </w:p>
        </w:tc>
        <w:tc>
          <w:tcPr>
            <w:tcW w:w="609" w:type="pct"/>
            <w:tcBorders>
              <w:top w:val="nil"/>
              <w:left w:val="nil"/>
              <w:bottom w:val="nil"/>
              <w:right w:val="nil"/>
            </w:tcBorders>
            <w:shd w:val="clear" w:color="000000" w:fill="FFFFFF"/>
            <w:vAlign w:val="bottom"/>
            <w:hideMark/>
          </w:tcPr>
          <w:p w14:paraId="4C95EBD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redemption</w:t>
            </w:r>
          </w:p>
        </w:tc>
        <w:tc>
          <w:tcPr>
            <w:tcW w:w="383" w:type="pct"/>
            <w:tcBorders>
              <w:top w:val="nil"/>
              <w:left w:val="nil"/>
              <w:bottom w:val="nil"/>
              <w:right w:val="nil"/>
            </w:tcBorders>
            <w:shd w:val="clear" w:color="000000" w:fill="FFFFFF"/>
            <w:vAlign w:val="bottom"/>
          </w:tcPr>
          <w:p w14:paraId="2E86B8D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based</w:t>
            </w:r>
          </w:p>
        </w:tc>
        <w:tc>
          <w:tcPr>
            <w:tcW w:w="490" w:type="pct"/>
            <w:tcBorders>
              <w:top w:val="nil"/>
              <w:left w:val="nil"/>
              <w:bottom w:val="nil"/>
              <w:right w:val="nil"/>
            </w:tcBorders>
            <w:shd w:val="clear" w:color="000000" w:fill="FFFFFF"/>
            <w:vAlign w:val="bottom"/>
            <w:hideMark/>
          </w:tcPr>
          <w:p w14:paraId="016D8FA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Retained</w:t>
            </w:r>
          </w:p>
        </w:tc>
        <w:tc>
          <w:tcPr>
            <w:tcW w:w="395" w:type="pct"/>
            <w:tcBorders>
              <w:top w:val="nil"/>
              <w:left w:val="nil"/>
              <w:bottom w:val="nil"/>
              <w:right w:val="nil"/>
            </w:tcBorders>
            <w:shd w:val="clear" w:color="000000" w:fill="FFFFFF"/>
            <w:vAlign w:val="bottom"/>
            <w:hideMark/>
          </w:tcPr>
          <w:p w14:paraId="632CF66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Total</w:t>
            </w:r>
          </w:p>
        </w:tc>
      </w:tr>
      <w:tr w:rsidR="00891B3A" w:rsidRPr="00C67A93" w14:paraId="0871AA23" w14:textId="77777777" w:rsidTr="00891B3A">
        <w:trPr>
          <w:trHeight w:val="240"/>
        </w:trPr>
        <w:tc>
          <w:tcPr>
            <w:tcW w:w="2231" w:type="pct"/>
            <w:tcBorders>
              <w:top w:val="nil"/>
              <w:left w:val="nil"/>
              <w:right w:val="nil"/>
            </w:tcBorders>
            <w:shd w:val="clear" w:color="000000" w:fill="FFFFFF"/>
            <w:vAlign w:val="bottom"/>
            <w:hideMark/>
          </w:tcPr>
          <w:p w14:paraId="6058647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 </w:t>
            </w:r>
          </w:p>
        </w:tc>
        <w:tc>
          <w:tcPr>
            <w:tcW w:w="394" w:type="pct"/>
            <w:tcBorders>
              <w:top w:val="nil"/>
              <w:left w:val="nil"/>
              <w:bottom w:val="nil"/>
              <w:right w:val="nil"/>
            </w:tcBorders>
            <w:shd w:val="clear" w:color="000000" w:fill="FFFFFF"/>
            <w:vAlign w:val="bottom"/>
            <w:hideMark/>
          </w:tcPr>
          <w:p w14:paraId="3A12B7D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capital</w:t>
            </w:r>
          </w:p>
        </w:tc>
        <w:tc>
          <w:tcPr>
            <w:tcW w:w="497" w:type="pct"/>
            <w:tcBorders>
              <w:top w:val="nil"/>
              <w:left w:val="nil"/>
              <w:bottom w:val="nil"/>
              <w:right w:val="nil"/>
            </w:tcBorders>
            <w:shd w:val="clear" w:color="000000" w:fill="FFFFFF"/>
            <w:vAlign w:val="bottom"/>
            <w:hideMark/>
          </w:tcPr>
          <w:p w14:paraId="7B239D0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premium</w:t>
            </w:r>
          </w:p>
        </w:tc>
        <w:tc>
          <w:tcPr>
            <w:tcW w:w="609" w:type="pct"/>
            <w:tcBorders>
              <w:top w:val="nil"/>
              <w:left w:val="nil"/>
              <w:bottom w:val="nil"/>
              <w:right w:val="nil"/>
            </w:tcBorders>
            <w:shd w:val="clear" w:color="000000" w:fill="FFFFFF"/>
            <w:vAlign w:val="bottom"/>
            <w:hideMark/>
          </w:tcPr>
          <w:p w14:paraId="204CF5C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reserve</w:t>
            </w:r>
          </w:p>
        </w:tc>
        <w:tc>
          <w:tcPr>
            <w:tcW w:w="383" w:type="pct"/>
            <w:tcBorders>
              <w:top w:val="nil"/>
              <w:left w:val="nil"/>
              <w:bottom w:val="nil"/>
              <w:right w:val="nil"/>
            </w:tcBorders>
            <w:shd w:val="clear" w:color="000000" w:fill="FFFFFF"/>
            <w:vAlign w:val="bottom"/>
          </w:tcPr>
          <w:p w14:paraId="437DCF7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equity</w:t>
            </w:r>
          </w:p>
        </w:tc>
        <w:tc>
          <w:tcPr>
            <w:tcW w:w="490" w:type="pct"/>
            <w:tcBorders>
              <w:top w:val="nil"/>
              <w:left w:val="nil"/>
              <w:bottom w:val="nil"/>
              <w:right w:val="nil"/>
            </w:tcBorders>
            <w:shd w:val="clear" w:color="000000" w:fill="FFFFFF"/>
            <w:vAlign w:val="bottom"/>
            <w:hideMark/>
          </w:tcPr>
          <w:p w14:paraId="4C8C47C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earnings</w:t>
            </w:r>
          </w:p>
        </w:tc>
        <w:tc>
          <w:tcPr>
            <w:tcW w:w="395" w:type="pct"/>
            <w:tcBorders>
              <w:top w:val="nil"/>
              <w:left w:val="nil"/>
              <w:bottom w:val="nil"/>
              <w:right w:val="nil"/>
            </w:tcBorders>
            <w:shd w:val="clear" w:color="000000" w:fill="FFFFFF"/>
            <w:vAlign w:val="bottom"/>
            <w:hideMark/>
          </w:tcPr>
          <w:p w14:paraId="3CAB087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equity</w:t>
            </w:r>
          </w:p>
        </w:tc>
      </w:tr>
      <w:tr w:rsidR="00891B3A" w:rsidRPr="00C67A93" w14:paraId="2EE3E5BA" w14:textId="77777777" w:rsidTr="00891B3A">
        <w:trPr>
          <w:trHeight w:val="282"/>
        </w:trPr>
        <w:tc>
          <w:tcPr>
            <w:tcW w:w="2231" w:type="pct"/>
            <w:tcBorders>
              <w:top w:val="nil"/>
              <w:left w:val="nil"/>
              <w:bottom w:val="nil"/>
              <w:right w:val="nil"/>
            </w:tcBorders>
            <w:shd w:val="clear" w:color="000000" w:fill="FFFFFF"/>
            <w:noWrap/>
            <w:vAlign w:val="bottom"/>
            <w:hideMark/>
          </w:tcPr>
          <w:p w14:paraId="0B98A47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c>
          <w:tcPr>
            <w:tcW w:w="394" w:type="pct"/>
            <w:tcBorders>
              <w:top w:val="nil"/>
              <w:left w:val="nil"/>
              <w:bottom w:val="nil"/>
              <w:right w:val="nil"/>
            </w:tcBorders>
            <w:shd w:val="clear" w:color="000000" w:fill="FFFFFF"/>
            <w:vAlign w:val="bottom"/>
            <w:hideMark/>
          </w:tcPr>
          <w:p w14:paraId="79E9E8A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497" w:type="pct"/>
            <w:tcBorders>
              <w:top w:val="nil"/>
              <w:left w:val="nil"/>
              <w:bottom w:val="nil"/>
              <w:right w:val="nil"/>
            </w:tcBorders>
            <w:shd w:val="clear" w:color="000000" w:fill="FFFFFF"/>
            <w:vAlign w:val="bottom"/>
            <w:hideMark/>
          </w:tcPr>
          <w:p w14:paraId="1D8E574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609" w:type="pct"/>
            <w:tcBorders>
              <w:top w:val="nil"/>
              <w:left w:val="nil"/>
              <w:bottom w:val="nil"/>
              <w:right w:val="nil"/>
            </w:tcBorders>
            <w:shd w:val="clear" w:color="000000" w:fill="FFFFFF"/>
            <w:vAlign w:val="bottom"/>
            <w:hideMark/>
          </w:tcPr>
          <w:p w14:paraId="78B83E0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383" w:type="pct"/>
            <w:tcBorders>
              <w:top w:val="nil"/>
              <w:left w:val="nil"/>
              <w:bottom w:val="nil"/>
              <w:right w:val="nil"/>
            </w:tcBorders>
            <w:shd w:val="clear" w:color="000000" w:fill="FFFFFF"/>
            <w:vAlign w:val="bottom"/>
          </w:tcPr>
          <w:p w14:paraId="4F31561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490" w:type="pct"/>
            <w:tcBorders>
              <w:top w:val="nil"/>
              <w:left w:val="nil"/>
              <w:bottom w:val="nil"/>
              <w:right w:val="nil"/>
            </w:tcBorders>
            <w:shd w:val="clear" w:color="000000" w:fill="FFFFFF"/>
            <w:vAlign w:val="bottom"/>
            <w:hideMark/>
          </w:tcPr>
          <w:p w14:paraId="32C04A0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395" w:type="pct"/>
            <w:tcBorders>
              <w:top w:val="nil"/>
              <w:left w:val="nil"/>
              <w:bottom w:val="nil"/>
              <w:right w:val="nil"/>
            </w:tcBorders>
            <w:shd w:val="clear" w:color="000000" w:fill="FFFFFF"/>
            <w:vAlign w:val="bottom"/>
            <w:hideMark/>
          </w:tcPr>
          <w:p w14:paraId="15E5E08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r>
      <w:tr w:rsidR="00891B3A" w:rsidRPr="00C67A93" w14:paraId="77D1CC3B" w14:textId="77777777" w:rsidTr="00891B3A">
        <w:trPr>
          <w:trHeight w:val="210"/>
        </w:trPr>
        <w:tc>
          <w:tcPr>
            <w:tcW w:w="2231" w:type="pct"/>
            <w:tcBorders>
              <w:left w:val="nil"/>
              <w:bottom w:val="nil"/>
              <w:right w:val="nil"/>
            </w:tcBorders>
            <w:shd w:val="clear" w:color="000000" w:fill="FFFFFF"/>
            <w:noWrap/>
            <w:vAlign w:val="bottom"/>
            <w:hideMark/>
          </w:tcPr>
          <w:p w14:paraId="77F0D10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c>
          <w:tcPr>
            <w:tcW w:w="394" w:type="pct"/>
            <w:tcBorders>
              <w:top w:val="single" w:sz="4" w:space="0" w:color="auto"/>
              <w:left w:val="nil"/>
              <w:bottom w:val="nil"/>
              <w:right w:val="nil"/>
            </w:tcBorders>
            <w:shd w:val="clear" w:color="000000" w:fill="FFFFFF"/>
            <w:vAlign w:val="bottom"/>
            <w:hideMark/>
          </w:tcPr>
          <w:p w14:paraId="6C8F1BA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c>
          <w:tcPr>
            <w:tcW w:w="497" w:type="pct"/>
            <w:tcBorders>
              <w:top w:val="single" w:sz="4" w:space="0" w:color="auto"/>
              <w:left w:val="nil"/>
              <w:bottom w:val="nil"/>
              <w:right w:val="nil"/>
            </w:tcBorders>
            <w:shd w:val="clear" w:color="000000" w:fill="FFFFFF"/>
            <w:vAlign w:val="bottom"/>
            <w:hideMark/>
          </w:tcPr>
          <w:p w14:paraId="4924E57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c>
          <w:tcPr>
            <w:tcW w:w="609" w:type="pct"/>
            <w:tcBorders>
              <w:top w:val="single" w:sz="4" w:space="0" w:color="auto"/>
              <w:left w:val="nil"/>
              <w:bottom w:val="nil"/>
              <w:right w:val="nil"/>
            </w:tcBorders>
            <w:shd w:val="clear" w:color="000000" w:fill="FFFFFF"/>
            <w:vAlign w:val="bottom"/>
            <w:hideMark/>
          </w:tcPr>
          <w:p w14:paraId="278382D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c>
          <w:tcPr>
            <w:tcW w:w="383" w:type="pct"/>
            <w:tcBorders>
              <w:top w:val="single" w:sz="4" w:space="0" w:color="auto"/>
              <w:left w:val="nil"/>
              <w:bottom w:val="nil"/>
              <w:right w:val="nil"/>
            </w:tcBorders>
            <w:shd w:val="clear" w:color="000000" w:fill="FFFFFF"/>
          </w:tcPr>
          <w:p w14:paraId="7B40051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90" w:type="pct"/>
            <w:tcBorders>
              <w:top w:val="single" w:sz="4" w:space="0" w:color="auto"/>
              <w:left w:val="nil"/>
              <w:bottom w:val="nil"/>
              <w:right w:val="nil"/>
            </w:tcBorders>
            <w:shd w:val="clear" w:color="000000" w:fill="FFFFFF"/>
            <w:vAlign w:val="bottom"/>
            <w:hideMark/>
          </w:tcPr>
          <w:p w14:paraId="6210350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c>
          <w:tcPr>
            <w:tcW w:w="395" w:type="pct"/>
            <w:tcBorders>
              <w:top w:val="single" w:sz="4" w:space="0" w:color="auto"/>
              <w:left w:val="nil"/>
              <w:bottom w:val="nil"/>
              <w:right w:val="nil"/>
            </w:tcBorders>
            <w:shd w:val="clear" w:color="000000" w:fill="FFFFFF"/>
            <w:vAlign w:val="bottom"/>
            <w:hideMark/>
          </w:tcPr>
          <w:p w14:paraId="22CEEFC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r>
      <w:tr w:rsidR="00891B3A" w:rsidRPr="00C67A93" w14:paraId="36F19106" w14:textId="77777777" w:rsidTr="00891B3A">
        <w:trPr>
          <w:trHeight w:val="282"/>
        </w:trPr>
        <w:tc>
          <w:tcPr>
            <w:tcW w:w="2231" w:type="pct"/>
            <w:tcBorders>
              <w:top w:val="nil"/>
              <w:left w:val="nil"/>
              <w:bottom w:val="nil"/>
              <w:right w:val="nil"/>
            </w:tcBorders>
            <w:shd w:val="clear" w:color="000000" w:fill="FFFFFF"/>
            <w:noWrap/>
            <w:vAlign w:val="bottom"/>
            <w:hideMark/>
          </w:tcPr>
          <w:p w14:paraId="4694E7F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Balance at 1 January 2021</w:t>
            </w:r>
          </w:p>
        </w:tc>
        <w:tc>
          <w:tcPr>
            <w:tcW w:w="394" w:type="pct"/>
            <w:tcBorders>
              <w:top w:val="nil"/>
              <w:left w:val="nil"/>
              <w:bottom w:val="nil"/>
              <w:right w:val="nil"/>
            </w:tcBorders>
            <w:shd w:val="clear" w:color="000000" w:fill="FFFFFF"/>
          </w:tcPr>
          <w:p w14:paraId="59931A2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8,073</w:t>
            </w:r>
          </w:p>
        </w:tc>
        <w:tc>
          <w:tcPr>
            <w:tcW w:w="497" w:type="pct"/>
            <w:tcBorders>
              <w:top w:val="nil"/>
              <w:left w:val="nil"/>
              <w:bottom w:val="nil"/>
              <w:right w:val="nil"/>
            </w:tcBorders>
            <w:shd w:val="clear" w:color="000000" w:fill="FFFFFF"/>
          </w:tcPr>
          <w:p w14:paraId="7B5E87C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508</w:t>
            </w:r>
          </w:p>
        </w:tc>
        <w:tc>
          <w:tcPr>
            <w:tcW w:w="609" w:type="pct"/>
            <w:tcBorders>
              <w:top w:val="nil"/>
              <w:left w:val="nil"/>
              <w:bottom w:val="nil"/>
              <w:right w:val="nil"/>
            </w:tcBorders>
            <w:shd w:val="clear" w:color="000000" w:fill="FFFFFF"/>
          </w:tcPr>
          <w:p w14:paraId="748BE00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24,949</w:t>
            </w:r>
          </w:p>
        </w:tc>
        <w:tc>
          <w:tcPr>
            <w:tcW w:w="383" w:type="pct"/>
            <w:tcBorders>
              <w:top w:val="nil"/>
              <w:left w:val="nil"/>
              <w:bottom w:val="nil"/>
              <w:right w:val="nil"/>
            </w:tcBorders>
          </w:tcPr>
          <w:p w14:paraId="351EDE7D" w14:textId="77777777" w:rsidR="00891B3A" w:rsidRPr="00C67A93" w:rsidRDefault="00891B3A" w:rsidP="00891B3A">
            <w:pPr>
              <w:widowControl/>
              <w:suppressAutoHyphens w:val="0"/>
              <w:autoSpaceDN/>
              <w:spacing w:after="0" w:line="240" w:lineRule="auto"/>
              <w:jc w:val="right"/>
              <w:textAlignment w:val="auto"/>
              <w:rPr>
                <w:rFonts w:ascii="Arial" w:hAnsi="Arial" w:cs="Arial"/>
                <w:b/>
                <w:bCs/>
                <w:sz w:val="19"/>
                <w:szCs w:val="19"/>
              </w:rPr>
            </w:pPr>
            <w:r w:rsidRPr="00C67A93">
              <w:rPr>
                <w:rFonts w:ascii="Arial" w:hAnsi="Arial" w:cs="Arial"/>
                <w:b/>
                <w:bCs/>
                <w:sz w:val="19"/>
                <w:szCs w:val="19"/>
              </w:rPr>
              <w:t>34</w:t>
            </w:r>
          </w:p>
        </w:tc>
        <w:tc>
          <w:tcPr>
            <w:tcW w:w="490" w:type="pct"/>
            <w:tcBorders>
              <w:top w:val="nil"/>
              <w:left w:val="nil"/>
              <w:bottom w:val="nil"/>
              <w:right w:val="nil"/>
            </w:tcBorders>
            <w:shd w:val="clear" w:color="auto" w:fill="auto"/>
          </w:tcPr>
          <w:p w14:paraId="7C4A28D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14,359</w:t>
            </w:r>
          </w:p>
        </w:tc>
        <w:tc>
          <w:tcPr>
            <w:tcW w:w="395" w:type="pct"/>
            <w:tcBorders>
              <w:top w:val="nil"/>
              <w:left w:val="nil"/>
              <w:bottom w:val="nil"/>
              <w:right w:val="nil"/>
            </w:tcBorders>
            <w:shd w:val="clear" w:color="000000" w:fill="FFFFFF"/>
          </w:tcPr>
          <w:p w14:paraId="440CB7B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47,923</w:t>
            </w:r>
          </w:p>
        </w:tc>
      </w:tr>
      <w:tr w:rsidR="00891B3A" w:rsidRPr="00C67A93" w14:paraId="5862137B" w14:textId="77777777" w:rsidTr="00891B3A">
        <w:trPr>
          <w:trHeight w:val="282"/>
        </w:trPr>
        <w:tc>
          <w:tcPr>
            <w:tcW w:w="2231" w:type="pct"/>
            <w:tcBorders>
              <w:top w:val="nil"/>
              <w:left w:val="nil"/>
              <w:bottom w:val="nil"/>
              <w:right w:val="nil"/>
            </w:tcBorders>
            <w:shd w:val="clear" w:color="000000" w:fill="FFFFFF"/>
            <w:noWrap/>
            <w:vAlign w:val="bottom"/>
          </w:tcPr>
          <w:p w14:paraId="6C5551F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p>
        </w:tc>
        <w:tc>
          <w:tcPr>
            <w:tcW w:w="394" w:type="pct"/>
            <w:tcBorders>
              <w:top w:val="nil"/>
              <w:left w:val="nil"/>
              <w:bottom w:val="nil"/>
              <w:right w:val="nil"/>
            </w:tcBorders>
            <w:shd w:val="clear" w:color="000000" w:fill="FFFFFF"/>
          </w:tcPr>
          <w:p w14:paraId="2036792D" w14:textId="77777777" w:rsidR="00891B3A" w:rsidRPr="00C67A93" w:rsidRDefault="00891B3A" w:rsidP="00891B3A">
            <w:pPr>
              <w:widowControl/>
              <w:suppressAutoHyphens w:val="0"/>
              <w:autoSpaceDN/>
              <w:spacing w:after="0" w:line="240" w:lineRule="auto"/>
              <w:jc w:val="right"/>
              <w:textAlignment w:val="auto"/>
              <w:rPr>
                <w:rFonts w:ascii="Arial" w:hAnsi="Arial" w:cs="Arial"/>
                <w:sz w:val="19"/>
                <w:szCs w:val="19"/>
              </w:rPr>
            </w:pPr>
          </w:p>
        </w:tc>
        <w:tc>
          <w:tcPr>
            <w:tcW w:w="497" w:type="pct"/>
            <w:tcBorders>
              <w:top w:val="nil"/>
              <w:left w:val="nil"/>
              <w:bottom w:val="nil"/>
              <w:right w:val="nil"/>
            </w:tcBorders>
            <w:shd w:val="clear" w:color="000000" w:fill="FFFFFF"/>
          </w:tcPr>
          <w:p w14:paraId="64D38458" w14:textId="77777777" w:rsidR="00891B3A" w:rsidRPr="00C67A93" w:rsidRDefault="00891B3A" w:rsidP="00891B3A">
            <w:pPr>
              <w:widowControl/>
              <w:suppressAutoHyphens w:val="0"/>
              <w:autoSpaceDN/>
              <w:spacing w:after="0" w:line="240" w:lineRule="auto"/>
              <w:jc w:val="right"/>
              <w:textAlignment w:val="auto"/>
              <w:rPr>
                <w:rFonts w:ascii="Arial" w:hAnsi="Arial" w:cs="Arial"/>
                <w:sz w:val="19"/>
                <w:szCs w:val="19"/>
              </w:rPr>
            </w:pPr>
          </w:p>
        </w:tc>
        <w:tc>
          <w:tcPr>
            <w:tcW w:w="609" w:type="pct"/>
            <w:tcBorders>
              <w:top w:val="nil"/>
              <w:left w:val="nil"/>
              <w:bottom w:val="nil"/>
              <w:right w:val="nil"/>
            </w:tcBorders>
            <w:shd w:val="clear" w:color="000000" w:fill="FFFFFF"/>
          </w:tcPr>
          <w:p w14:paraId="21890B5F" w14:textId="77777777" w:rsidR="00891B3A" w:rsidRPr="00C67A93" w:rsidRDefault="00891B3A" w:rsidP="00891B3A">
            <w:pPr>
              <w:widowControl/>
              <w:suppressAutoHyphens w:val="0"/>
              <w:autoSpaceDN/>
              <w:spacing w:after="0" w:line="240" w:lineRule="auto"/>
              <w:jc w:val="right"/>
              <w:textAlignment w:val="auto"/>
              <w:rPr>
                <w:rFonts w:ascii="Arial" w:hAnsi="Arial" w:cs="Arial"/>
                <w:sz w:val="19"/>
                <w:szCs w:val="19"/>
              </w:rPr>
            </w:pPr>
          </w:p>
        </w:tc>
        <w:tc>
          <w:tcPr>
            <w:tcW w:w="383" w:type="pct"/>
            <w:tcBorders>
              <w:top w:val="nil"/>
              <w:left w:val="nil"/>
              <w:bottom w:val="nil"/>
              <w:right w:val="nil"/>
            </w:tcBorders>
          </w:tcPr>
          <w:p w14:paraId="21860877" w14:textId="77777777" w:rsidR="00891B3A" w:rsidRPr="00C67A93" w:rsidRDefault="00891B3A" w:rsidP="00891B3A">
            <w:pPr>
              <w:widowControl/>
              <w:suppressAutoHyphens w:val="0"/>
              <w:autoSpaceDN/>
              <w:spacing w:after="0" w:line="240" w:lineRule="auto"/>
              <w:jc w:val="right"/>
              <w:textAlignment w:val="auto"/>
              <w:rPr>
                <w:rFonts w:ascii="Arial" w:hAnsi="Arial" w:cs="Arial"/>
                <w:sz w:val="19"/>
                <w:szCs w:val="19"/>
              </w:rPr>
            </w:pPr>
          </w:p>
        </w:tc>
        <w:tc>
          <w:tcPr>
            <w:tcW w:w="490" w:type="pct"/>
            <w:tcBorders>
              <w:top w:val="nil"/>
              <w:left w:val="nil"/>
              <w:bottom w:val="nil"/>
              <w:right w:val="nil"/>
            </w:tcBorders>
            <w:shd w:val="clear" w:color="auto" w:fill="auto"/>
          </w:tcPr>
          <w:p w14:paraId="2DFF859D" w14:textId="77777777" w:rsidR="00891B3A" w:rsidRPr="00C67A93" w:rsidRDefault="00891B3A" w:rsidP="00891B3A">
            <w:pPr>
              <w:widowControl/>
              <w:suppressAutoHyphens w:val="0"/>
              <w:autoSpaceDN/>
              <w:spacing w:after="0" w:line="240" w:lineRule="auto"/>
              <w:jc w:val="right"/>
              <w:textAlignment w:val="auto"/>
              <w:rPr>
                <w:rFonts w:ascii="Arial" w:hAnsi="Arial" w:cs="Arial"/>
                <w:sz w:val="19"/>
                <w:szCs w:val="19"/>
              </w:rPr>
            </w:pPr>
          </w:p>
        </w:tc>
        <w:tc>
          <w:tcPr>
            <w:tcW w:w="395" w:type="pct"/>
            <w:tcBorders>
              <w:top w:val="nil"/>
              <w:left w:val="nil"/>
              <w:bottom w:val="nil"/>
              <w:right w:val="nil"/>
            </w:tcBorders>
            <w:shd w:val="clear" w:color="000000" w:fill="FFFFFF"/>
          </w:tcPr>
          <w:p w14:paraId="3EB59D58" w14:textId="77777777" w:rsidR="00891B3A" w:rsidRPr="00C67A93" w:rsidRDefault="00891B3A" w:rsidP="00891B3A">
            <w:pPr>
              <w:widowControl/>
              <w:suppressAutoHyphens w:val="0"/>
              <w:autoSpaceDN/>
              <w:spacing w:after="0" w:line="240" w:lineRule="auto"/>
              <w:jc w:val="right"/>
              <w:textAlignment w:val="auto"/>
              <w:rPr>
                <w:rFonts w:ascii="Arial" w:hAnsi="Arial" w:cs="Arial"/>
                <w:sz w:val="19"/>
                <w:szCs w:val="19"/>
              </w:rPr>
            </w:pPr>
          </w:p>
        </w:tc>
      </w:tr>
      <w:tr w:rsidR="00891B3A" w:rsidRPr="00C67A93" w14:paraId="590AD301" w14:textId="77777777" w:rsidTr="00891B3A">
        <w:trPr>
          <w:trHeight w:val="282"/>
        </w:trPr>
        <w:tc>
          <w:tcPr>
            <w:tcW w:w="2231" w:type="pct"/>
            <w:tcBorders>
              <w:top w:val="nil"/>
              <w:left w:val="nil"/>
              <w:bottom w:val="nil"/>
              <w:right w:val="nil"/>
            </w:tcBorders>
            <w:shd w:val="clear" w:color="000000" w:fill="FFFFFF"/>
            <w:noWrap/>
            <w:vAlign w:val="bottom"/>
            <w:hideMark/>
          </w:tcPr>
          <w:p w14:paraId="45923FB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i/>
                <w:iCs/>
                <w:sz w:val="19"/>
                <w:szCs w:val="19"/>
                <w:lang w:val="en-SG" w:eastAsia="en-SG"/>
              </w:rPr>
            </w:pPr>
            <w:r w:rsidRPr="00C67A93">
              <w:rPr>
                <w:rFonts w:ascii="Arial" w:eastAsia="Times New Roman" w:hAnsi="Arial" w:cs="Arial"/>
                <w:b/>
                <w:bCs/>
                <w:sz w:val="19"/>
                <w:szCs w:val="19"/>
                <w:lang w:val="en-SG" w:eastAsia="en-SG"/>
              </w:rPr>
              <w:t>Comprehensive income for the period</w:t>
            </w:r>
          </w:p>
        </w:tc>
        <w:tc>
          <w:tcPr>
            <w:tcW w:w="394" w:type="pct"/>
            <w:tcBorders>
              <w:top w:val="nil"/>
              <w:left w:val="nil"/>
              <w:bottom w:val="nil"/>
              <w:right w:val="nil"/>
            </w:tcBorders>
            <w:shd w:val="clear" w:color="000000" w:fill="FFFFFF"/>
            <w:vAlign w:val="bottom"/>
          </w:tcPr>
          <w:p w14:paraId="16A2DD6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7" w:type="pct"/>
            <w:tcBorders>
              <w:top w:val="nil"/>
              <w:left w:val="nil"/>
              <w:bottom w:val="nil"/>
              <w:right w:val="nil"/>
            </w:tcBorders>
            <w:shd w:val="clear" w:color="000000" w:fill="FFFFFF"/>
            <w:vAlign w:val="bottom"/>
          </w:tcPr>
          <w:p w14:paraId="0115237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609" w:type="pct"/>
            <w:tcBorders>
              <w:top w:val="nil"/>
              <w:left w:val="nil"/>
              <w:bottom w:val="nil"/>
              <w:right w:val="nil"/>
            </w:tcBorders>
            <w:shd w:val="clear" w:color="000000" w:fill="FFFFFF"/>
            <w:vAlign w:val="bottom"/>
          </w:tcPr>
          <w:p w14:paraId="22FE850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83" w:type="pct"/>
            <w:tcBorders>
              <w:top w:val="nil"/>
              <w:left w:val="nil"/>
              <w:bottom w:val="nil"/>
              <w:right w:val="nil"/>
            </w:tcBorders>
          </w:tcPr>
          <w:p w14:paraId="1941BCC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0" w:type="pct"/>
            <w:tcBorders>
              <w:top w:val="nil"/>
              <w:left w:val="nil"/>
              <w:bottom w:val="nil"/>
              <w:right w:val="nil"/>
            </w:tcBorders>
            <w:shd w:val="clear" w:color="auto" w:fill="auto"/>
            <w:vAlign w:val="bottom"/>
          </w:tcPr>
          <w:p w14:paraId="09F4DB5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95" w:type="pct"/>
            <w:tcBorders>
              <w:top w:val="nil"/>
              <w:left w:val="nil"/>
              <w:bottom w:val="nil"/>
              <w:right w:val="nil"/>
            </w:tcBorders>
            <w:shd w:val="clear" w:color="000000" w:fill="FFFFFF"/>
            <w:vAlign w:val="bottom"/>
          </w:tcPr>
          <w:p w14:paraId="118FE9D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r>
      <w:tr w:rsidR="00891B3A" w:rsidRPr="00C67A93" w14:paraId="41B68DFC" w14:textId="77777777" w:rsidTr="00303F19">
        <w:trPr>
          <w:trHeight w:val="282"/>
        </w:trPr>
        <w:tc>
          <w:tcPr>
            <w:tcW w:w="2231" w:type="pct"/>
            <w:tcBorders>
              <w:top w:val="nil"/>
              <w:left w:val="nil"/>
              <w:right w:val="nil"/>
            </w:tcBorders>
            <w:shd w:val="clear" w:color="000000" w:fill="FFFFFF"/>
            <w:noWrap/>
            <w:vAlign w:val="bottom"/>
            <w:hideMark/>
          </w:tcPr>
          <w:p w14:paraId="0F4DB32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Profit for the period</w:t>
            </w:r>
          </w:p>
        </w:tc>
        <w:tc>
          <w:tcPr>
            <w:tcW w:w="394" w:type="pct"/>
            <w:tcBorders>
              <w:top w:val="nil"/>
              <w:left w:val="nil"/>
              <w:bottom w:val="single" w:sz="4" w:space="0" w:color="auto"/>
              <w:right w:val="nil"/>
            </w:tcBorders>
            <w:shd w:val="clear" w:color="000000" w:fill="FFFFFF"/>
            <w:vAlign w:val="bottom"/>
          </w:tcPr>
          <w:p w14:paraId="32DEC2F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497" w:type="pct"/>
            <w:tcBorders>
              <w:top w:val="nil"/>
              <w:left w:val="nil"/>
              <w:bottom w:val="single" w:sz="4" w:space="0" w:color="auto"/>
              <w:right w:val="nil"/>
            </w:tcBorders>
            <w:shd w:val="clear" w:color="000000" w:fill="FFFFFF"/>
            <w:vAlign w:val="bottom"/>
          </w:tcPr>
          <w:p w14:paraId="26EAA23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609" w:type="pct"/>
            <w:tcBorders>
              <w:top w:val="nil"/>
              <w:left w:val="nil"/>
              <w:bottom w:val="single" w:sz="4" w:space="0" w:color="auto"/>
              <w:right w:val="nil"/>
            </w:tcBorders>
            <w:shd w:val="clear" w:color="000000" w:fill="FFFFFF"/>
            <w:vAlign w:val="bottom"/>
          </w:tcPr>
          <w:p w14:paraId="125D4CE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383" w:type="pct"/>
            <w:tcBorders>
              <w:top w:val="nil"/>
              <w:left w:val="nil"/>
              <w:bottom w:val="single" w:sz="4" w:space="0" w:color="auto"/>
              <w:right w:val="nil"/>
            </w:tcBorders>
            <w:vAlign w:val="bottom"/>
          </w:tcPr>
          <w:p w14:paraId="205C139C" w14:textId="77777777" w:rsidR="00891B3A" w:rsidRPr="00C67A93" w:rsidRDefault="00891B3A" w:rsidP="00303F19">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490" w:type="pct"/>
            <w:tcBorders>
              <w:top w:val="nil"/>
              <w:left w:val="nil"/>
              <w:bottom w:val="single" w:sz="4" w:space="0" w:color="auto"/>
              <w:right w:val="nil"/>
            </w:tcBorders>
            <w:shd w:val="clear" w:color="auto" w:fill="auto"/>
            <w:vAlign w:val="bottom"/>
          </w:tcPr>
          <w:p w14:paraId="07690B69" w14:textId="0849F5B0" w:rsidR="00891B3A" w:rsidRPr="00C67A93" w:rsidRDefault="00A712DE"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Pr>
                <w:rFonts w:ascii="Arial" w:eastAsia="Times New Roman" w:hAnsi="Arial" w:cs="Arial"/>
                <w:b/>
                <w:bCs/>
                <w:sz w:val="19"/>
                <w:szCs w:val="19"/>
                <w:lang w:val="en-SG" w:eastAsia="en-SG"/>
              </w:rPr>
              <w:t>138</w:t>
            </w:r>
          </w:p>
        </w:tc>
        <w:tc>
          <w:tcPr>
            <w:tcW w:w="395" w:type="pct"/>
            <w:tcBorders>
              <w:top w:val="nil"/>
              <w:left w:val="nil"/>
              <w:bottom w:val="single" w:sz="4" w:space="0" w:color="auto"/>
              <w:right w:val="nil"/>
            </w:tcBorders>
            <w:shd w:val="clear" w:color="000000" w:fill="FFFFFF"/>
            <w:vAlign w:val="bottom"/>
          </w:tcPr>
          <w:p w14:paraId="63E77669" w14:textId="1029B33D" w:rsidR="00891B3A" w:rsidRPr="00C67A93" w:rsidRDefault="00A712DE"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Pr>
                <w:rFonts w:ascii="Arial" w:eastAsia="Times New Roman" w:hAnsi="Arial" w:cs="Arial"/>
                <w:b/>
                <w:bCs/>
                <w:sz w:val="19"/>
                <w:szCs w:val="19"/>
                <w:lang w:val="en-SG" w:eastAsia="en-SG"/>
              </w:rPr>
              <w:t>138</w:t>
            </w:r>
          </w:p>
        </w:tc>
      </w:tr>
      <w:tr w:rsidR="00891B3A" w:rsidRPr="00C67A93" w14:paraId="48D4BFB1" w14:textId="77777777" w:rsidTr="00891B3A">
        <w:trPr>
          <w:trHeight w:val="282"/>
        </w:trPr>
        <w:tc>
          <w:tcPr>
            <w:tcW w:w="2231" w:type="pct"/>
            <w:tcBorders>
              <w:left w:val="nil"/>
              <w:right w:val="nil"/>
            </w:tcBorders>
            <w:shd w:val="clear" w:color="000000" w:fill="FFFFFF"/>
            <w:noWrap/>
            <w:vAlign w:val="bottom"/>
          </w:tcPr>
          <w:p w14:paraId="1371CF5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Equity after total comprehensive</w:t>
            </w:r>
          </w:p>
          <w:p w14:paraId="102C31C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b/>
                <w:bCs/>
                <w:sz w:val="19"/>
                <w:szCs w:val="19"/>
                <w:lang w:val="en-SG" w:eastAsia="en-SG"/>
              </w:rPr>
              <w:t>income for the period</w:t>
            </w:r>
          </w:p>
        </w:tc>
        <w:tc>
          <w:tcPr>
            <w:tcW w:w="394" w:type="pct"/>
            <w:tcBorders>
              <w:top w:val="single" w:sz="4" w:space="0" w:color="auto"/>
              <w:left w:val="nil"/>
              <w:right w:val="nil"/>
            </w:tcBorders>
            <w:shd w:val="clear" w:color="000000" w:fill="FFFFFF"/>
            <w:vAlign w:val="bottom"/>
          </w:tcPr>
          <w:p w14:paraId="0A7F15E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8,073</w:t>
            </w:r>
          </w:p>
        </w:tc>
        <w:tc>
          <w:tcPr>
            <w:tcW w:w="497" w:type="pct"/>
            <w:tcBorders>
              <w:top w:val="single" w:sz="4" w:space="0" w:color="auto"/>
              <w:left w:val="nil"/>
              <w:right w:val="nil"/>
            </w:tcBorders>
            <w:shd w:val="clear" w:color="000000" w:fill="FFFFFF"/>
            <w:vAlign w:val="bottom"/>
          </w:tcPr>
          <w:p w14:paraId="4877507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508</w:t>
            </w:r>
          </w:p>
        </w:tc>
        <w:tc>
          <w:tcPr>
            <w:tcW w:w="609" w:type="pct"/>
            <w:tcBorders>
              <w:top w:val="single" w:sz="4" w:space="0" w:color="auto"/>
              <w:left w:val="nil"/>
              <w:right w:val="nil"/>
            </w:tcBorders>
            <w:shd w:val="clear" w:color="000000" w:fill="FFFFFF"/>
            <w:vAlign w:val="bottom"/>
          </w:tcPr>
          <w:p w14:paraId="245715D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24,949</w:t>
            </w:r>
          </w:p>
        </w:tc>
        <w:tc>
          <w:tcPr>
            <w:tcW w:w="383" w:type="pct"/>
            <w:tcBorders>
              <w:top w:val="single" w:sz="4" w:space="0" w:color="auto"/>
              <w:left w:val="nil"/>
              <w:right w:val="nil"/>
            </w:tcBorders>
            <w:vAlign w:val="bottom"/>
          </w:tcPr>
          <w:p w14:paraId="3BED917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34</w:t>
            </w:r>
          </w:p>
        </w:tc>
        <w:tc>
          <w:tcPr>
            <w:tcW w:w="490" w:type="pct"/>
            <w:tcBorders>
              <w:top w:val="single" w:sz="4" w:space="0" w:color="auto"/>
              <w:left w:val="nil"/>
              <w:right w:val="nil"/>
            </w:tcBorders>
            <w:shd w:val="clear" w:color="auto" w:fill="auto"/>
            <w:vAlign w:val="bottom"/>
          </w:tcPr>
          <w:p w14:paraId="23F1D966" w14:textId="7757E0B5"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14,</w:t>
            </w:r>
            <w:r w:rsidR="00A712DE">
              <w:rPr>
                <w:rFonts w:ascii="Arial" w:hAnsi="Arial" w:cs="Arial"/>
                <w:b/>
                <w:bCs/>
                <w:sz w:val="19"/>
                <w:szCs w:val="19"/>
              </w:rPr>
              <w:t>497</w:t>
            </w:r>
          </w:p>
        </w:tc>
        <w:tc>
          <w:tcPr>
            <w:tcW w:w="395" w:type="pct"/>
            <w:tcBorders>
              <w:top w:val="single" w:sz="4" w:space="0" w:color="auto"/>
              <w:left w:val="nil"/>
              <w:right w:val="nil"/>
            </w:tcBorders>
            <w:shd w:val="clear" w:color="000000" w:fill="FFFFFF"/>
            <w:vAlign w:val="bottom"/>
          </w:tcPr>
          <w:p w14:paraId="102DD1C2" w14:textId="1B1FB311"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48,</w:t>
            </w:r>
            <w:r w:rsidR="00A712DE">
              <w:rPr>
                <w:rFonts w:ascii="Arial" w:hAnsi="Arial" w:cs="Arial"/>
                <w:b/>
                <w:bCs/>
                <w:sz w:val="19"/>
                <w:szCs w:val="19"/>
              </w:rPr>
              <w:t>061</w:t>
            </w:r>
          </w:p>
        </w:tc>
      </w:tr>
      <w:tr w:rsidR="00891B3A" w:rsidRPr="00C67A93" w14:paraId="2351C983" w14:textId="77777777" w:rsidTr="00891B3A">
        <w:trPr>
          <w:trHeight w:val="282"/>
        </w:trPr>
        <w:tc>
          <w:tcPr>
            <w:tcW w:w="2231" w:type="pct"/>
            <w:tcBorders>
              <w:left w:val="nil"/>
              <w:right w:val="nil"/>
            </w:tcBorders>
            <w:shd w:val="clear" w:color="000000" w:fill="FFFFFF"/>
            <w:noWrap/>
            <w:vAlign w:val="bottom"/>
          </w:tcPr>
          <w:p w14:paraId="24CAB65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p>
        </w:tc>
        <w:tc>
          <w:tcPr>
            <w:tcW w:w="394" w:type="pct"/>
            <w:tcBorders>
              <w:top w:val="single" w:sz="4" w:space="0" w:color="auto"/>
              <w:left w:val="nil"/>
              <w:right w:val="nil"/>
            </w:tcBorders>
            <w:shd w:val="clear" w:color="000000" w:fill="FFFFFF"/>
            <w:vAlign w:val="bottom"/>
          </w:tcPr>
          <w:p w14:paraId="0FC183D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7" w:type="pct"/>
            <w:tcBorders>
              <w:top w:val="single" w:sz="4" w:space="0" w:color="auto"/>
              <w:left w:val="nil"/>
              <w:right w:val="nil"/>
            </w:tcBorders>
            <w:shd w:val="clear" w:color="000000" w:fill="FFFFFF"/>
            <w:vAlign w:val="bottom"/>
          </w:tcPr>
          <w:p w14:paraId="0DEC9CD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609" w:type="pct"/>
            <w:tcBorders>
              <w:top w:val="single" w:sz="4" w:space="0" w:color="auto"/>
              <w:left w:val="nil"/>
              <w:right w:val="nil"/>
            </w:tcBorders>
            <w:shd w:val="clear" w:color="000000" w:fill="FFFFFF"/>
            <w:vAlign w:val="bottom"/>
          </w:tcPr>
          <w:p w14:paraId="494998A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83" w:type="pct"/>
            <w:tcBorders>
              <w:top w:val="single" w:sz="4" w:space="0" w:color="auto"/>
              <w:left w:val="nil"/>
              <w:right w:val="nil"/>
            </w:tcBorders>
            <w:vAlign w:val="bottom"/>
          </w:tcPr>
          <w:p w14:paraId="27713EF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0" w:type="pct"/>
            <w:tcBorders>
              <w:top w:val="single" w:sz="4" w:space="0" w:color="auto"/>
              <w:left w:val="nil"/>
              <w:right w:val="nil"/>
            </w:tcBorders>
            <w:shd w:val="clear" w:color="auto" w:fill="auto"/>
            <w:vAlign w:val="bottom"/>
          </w:tcPr>
          <w:p w14:paraId="3E8A5C5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95" w:type="pct"/>
            <w:tcBorders>
              <w:top w:val="single" w:sz="4" w:space="0" w:color="auto"/>
              <w:left w:val="nil"/>
              <w:right w:val="nil"/>
            </w:tcBorders>
            <w:shd w:val="clear" w:color="000000" w:fill="FFFFFF"/>
            <w:vAlign w:val="bottom"/>
          </w:tcPr>
          <w:p w14:paraId="5D04FC5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r>
      <w:tr w:rsidR="00891B3A" w:rsidRPr="00C67A93" w14:paraId="4B1DE40E" w14:textId="77777777" w:rsidTr="00891B3A">
        <w:trPr>
          <w:trHeight w:val="282"/>
        </w:trPr>
        <w:tc>
          <w:tcPr>
            <w:tcW w:w="2231" w:type="pct"/>
            <w:tcBorders>
              <w:left w:val="nil"/>
              <w:right w:val="nil"/>
            </w:tcBorders>
            <w:shd w:val="clear" w:color="000000" w:fill="FFFFFF"/>
            <w:noWrap/>
            <w:vAlign w:val="bottom"/>
          </w:tcPr>
          <w:p w14:paraId="13AC5EA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 xml:space="preserve">Contributions by and distributions </w:t>
            </w:r>
            <w:r w:rsidRPr="00C67A93">
              <w:rPr>
                <w:rFonts w:ascii="Arial" w:eastAsia="Times New Roman" w:hAnsi="Arial" w:cs="Arial"/>
                <w:b/>
                <w:bCs/>
                <w:sz w:val="19"/>
                <w:szCs w:val="19"/>
                <w:lang w:val="en-SG" w:eastAsia="en-SG"/>
              </w:rPr>
              <w:br/>
              <w:t>to shareholders</w:t>
            </w:r>
          </w:p>
        </w:tc>
        <w:tc>
          <w:tcPr>
            <w:tcW w:w="394" w:type="pct"/>
            <w:tcBorders>
              <w:left w:val="nil"/>
              <w:right w:val="nil"/>
            </w:tcBorders>
            <w:shd w:val="clear" w:color="000000" w:fill="FFFFFF"/>
            <w:vAlign w:val="bottom"/>
          </w:tcPr>
          <w:p w14:paraId="56B767F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7" w:type="pct"/>
            <w:tcBorders>
              <w:left w:val="nil"/>
              <w:right w:val="nil"/>
            </w:tcBorders>
            <w:shd w:val="clear" w:color="000000" w:fill="FFFFFF"/>
            <w:vAlign w:val="bottom"/>
          </w:tcPr>
          <w:p w14:paraId="551C0C8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609" w:type="pct"/>
            <w:tcBorders>
              <w:left w:val="nil"/>
              <w:right w:val="nil"/>
            </w:tcBorders>
            <w:shd w:val="clear" w:color="000000" w:fill="FFFFFF"/>
            <w:vAlign w:val="bottom"/>
          </w:tcPr>
          <w:p w14:paraId="301A624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83" w:type="pct"/>
            <w:tcBorders>
              <w:left w:val="nil"/>
              <w:right w:val="nil"/>
            </w:tcBorders>
            <w:vAlign w:val="bottom"/>
          </w:tcPr>
          <w:p w14:paraId="7F39FF1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0" w:type="pct"/>
            <w:tcBorders>
              <w:left w:val="nil"/>
              <w:right w:val="nil"/>
            </w:tcBorders>
            <w:shd w:val="clear" w:color="auto" w:fill="auto"/>
            <w:vAlign w:val="bottom"/>
          </w:tcPr>
          <w:p w14:paraId="6EFBC40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95" w:type="pct"/>
            <w:tcBorders>
              <w:left w:val="nil"/>
              <w:right w:val="nil"/>
            </w:tcBorders>
            <w:shd w:val="clear" w:color="000000" w:fill="FFFFFF"/>
            <w:vAlign w:val="bottom"/>
          </w:tcPr>
          <w:p w14:paraId="4B9C6D6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r>
      <w:tr w:rsidR="00891B3A" w:rsidRPr="00C67A93" w14:paraId="52654B14" w14:textId="77777777" w:rsidTr="007826C2">
        <w:trPr>
          <w:trHeight w:val="282"/>
        </w:trPr>
        <w:tc>
          <w:tcPr>
            <w:tcW w:w="2231" w:type="pct"/>
            <w:tcBorders>
              <w:left w:val="nil"/>
              <w:right w:val="nil"/>
            </w:tcBorders>
            <w:shd w:val="clear" w:color="000000" w:fill="FFFFFF"/>
            <w:noWrap/>
            <w:vAlign w:val="bottom"/>
          </w:tcPr>
          <w:p w14:paraId="54C2CC8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Share-based payments</w:t>
            </w:r>
          </w:p>
        </w:tc>
        <w:tc>
          <w:tcPr>
            <w:tcW w:w="394" w:type="pct"/>
            <w:tcBorders>
              <w:left w:val="nil"/>
              <w:right w:val="nil"/>
            </w:tcBorders>
            <w:shd w:val="clear" w:color="000000" w:fill="FFFFFF"/>
            <w:vAlign w:val="bottom"/>
          </w:tcPr>
          <w:p w14:paraId="502DDA1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497" w:type="pct"/>
            <w:tcBorders>
              <w:left w:val="nil"/>
              <w:right w:val="nil"/>
            </w:tcBorders>
            <w:shd w:val="clear" w:color="000000" w:fill="FFFFFF"/>
            <w:vAlign w:val="bottom"/>
          </w:tcPr>
          <w:p w14:paraId="0A13BBC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609" w:type="pct"/>
            <w:tcBorders>
              <w:left w:val="nil"/>
              <w:right w:val="nil"/>
            </w:tcBorders>
            <w:shd w:val="clear" w:color="000000" w:fill="FFFFFF"/>
            <w:vAlign w:val="bottom"/>
          </w:tcPr>
          <w:p w14:paraId="3216C57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383" w:type="pct"/>
            <w:tcBorders>
              <w:left w:val="nil"/>
              <w:right w:val="nil"/>
            </w:tcBorders>
            <w:vAlign w:val="bottom"/>
          </w:tcPr>
          <w:p w14:paraId="2EA129DD" w14:textId="77777777" w:rsidR="00891B3A" w:rsidRPr="00C67A93" w:rsidRDefault="00891B3A" w:rsidP="007826C2">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15</w:t>
            </w:r>
          </w:p>
        </w:tc>
        <w:tc>
          <w:tcPr>
            <w:tcW w:w="490" w:type="pct"/>
            <w:tcBorders>
              <w:left w:val="nil"/>
              <w:right w:val="nil"/>
            </w:tcBorders>
            <w:shd w:val="clear" w:color="auto" w:fill="auto"/>
            <w:vAlign w:val="bottom"/>
          </w:tcPr>
          <w:p w14:paraId="77CFC46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395" w:type="pct"/>
            <w:tcBorders>
              <w:left w:val="nil"/>
              <w:right w:val="nil"/>
            </w:tcBorders>
            <w:shd w:val="clear" w:color="000000" w:fill="FFFFFF"/>
            <w:vAlign w:val="bottom"/>
          </w:tcPr>
          <w:p w14:paraId="78AE50F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15</w:t>
            </w:r>
          </w:p>
        </w:tc>
      </w:tr>
      <w:tr w:rsidR="00891B3A" w:rsidRPr="00C67A93" w14:paraId="2BEFB7C0" w14:textId="77777777" w:rsidTr="00303F19">
        <w:trPr>
          <w:trHeight w:val="282"/>
        </w:trPr>
        <w:tc>
          <w:tcPr>
            <w:tcW w:w="2231" w:type="pct"/>
            <w:tcBorders>
              <w:left w:val="nil"/>
              <w:bottom w:val="nil"/>
              <w:right w:val="nil"/>
            </w:tcBorders>
            <w:shd w:val="clear" w:color="000000" w:fill="FFFFFF"/>
            <w:noWrap/>
            <w:vAlign w:val="bottom"/>
          </w:tcPr>
          <w:p w14:paraId="12FE2A6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Dividends (note 4)</w:t>
            </w:r>
          </w:p>
        </w:tc>
        <w:tc>
          <w:tcPr>
            <w:tcW w:w="394" w:type="pct"/>
            <w:tcBorders>
              <w:left w:val="nil"/>
              <w:bottom w:val="nil"/>
              <w:right w:val="nil"/>
            </w:tcBorders>
            <w:shd w:val="clear" w:color="000000" w:fill="FFFFFF"/>
            <w:vAlign w:val="bottom"/>
          </w:tcPr>
          <w:p w14:paraId="3BACF5E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497" w:type="pct"/>
            <w:tcBorders>
              <w:left w:val="nil"/>
              <w:bottom w:val="nil"/>
              <w:right w:val="nil"/>
            </w:tcBorders>
            <w:shd w:val="clear" w:color="000000" w:fill="FFFFFF"/>
            <w:vAlign w:val="bottom"/>
          </w:tcPr>
          <w:p w14:paraId="7563566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609" w:type="pct"/>
            <w:tcBorders>
              <w:left w:val="nil"/>
              <w:bottom w:val="nil"/>
              <w:right w:val="nil"/>
            </w:tcBorders>
            <w:shd w:val="clear" w:color="000000" w:fill="FFFFFF"/>
            <w:vAlign w:val="bottom"/>
          </w:tcPr>
          <w:p w14:paraId="7EF63D9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383" w:type="pct"/>
            <w:tcBorders>
              <w:left w:val="nil"/>
              <w:bottom w:val="nil"/>
              <w:right w:val="nil"/>
            </w:tcBorders>
            <w:vAlign w:val="bottom"/>
          </w:tcPr>
          <w:p w14:paraId="47A61FC7" w14:textId="77777777" w:rsidR="00891B3A" w:rsidRPr="00C67A93" w:rsidRDefault="00891B3A" w:rsidP="00303F19">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w:t>
            </w:r>
          </w:p>
        </w:tc>
        <w:tc>
          <w:tcPr>
            <w:tcW w:w="490" w:type="pct"/>
            <w:tcBorders>
              <w:left w:val="nil"/>
              <w:bottom w:val="nil"/>
              <w:right w:val="nil"/>
            </w:tcBorders>
            <w:shd w:val="clear" w:color="auto" w:fill="auto"/>
            <w:vAlign w:val="bottom"/>
          </w:tcPr>
          <w:p w14:paraId="4B1DDF3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(484)</w:t>
            </w:r>
          </w:p>
        </w:tc>
        <w:tc>
          <w:tcPr>
            <w:tcW w:w="395" w:type="pct"/>
            <w:tcBorders>
              <w:left w:val="nil"/>
              <w:bottom w:val="nil"/>
              <w:right w:val="nil"/>
            </w:tcBorders>
            <w:shd w:val="clear" w:color="000000" w:fill="FFFFFF"/>
            <w:vAlign w:val="bottom"/>
          </w:tcPr>
          <w:p w14:paraId="540A587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(484)</w:t>
            </w:r>
          </w:p>
        </w:tc>
      </w:tr>
      <w:tr w:rsidR="00891B3A" w:rsidRPr="00C67A93" w14:paraId="6991F07B" w14:textId="77777777" w:rsidTr="00891B3A">
        <w:trPr>
          <w:trHeight w:val="282"/>
        </w:trPr>
        <w:tc>
          <w:tcPr>
            <w:tcW w:w="2231" w:type="pct"/>
            <w:tcBorders>
              <w:left w:val="nil"/>
              <w:right w:val="nil"/>
            </w:tcBorders>
            <w:shd w:val="clear" w:color="auto" w:fill="auto"/>
            <w:noWrap/>
            <w:vAlign w:val="bottom"/>
            <w:hideMark/>
          </w:tcPr>
          <w:p w14:paraId="26690C4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Balance at 30 June 2021</w:t>
            </w:r>
          </w:p>
        </w:tc>
        <w:tc>
          <w:tcPr>
            <w:tcW w:w="394" w:type="pct"/>
            <w:tcBorders>
              <w:top w:val="single" w:sz="4" w:space="0" w:color="auto"/>
              <w:left w:val="nil"/>
              <w:bottom w:val="single" w:sz="4" w:space="0" w:color="auto"/>
              <w:right w:val="nil"/>
            </w:tcBorders>
            <w:shd w:val="clear" w:color="auto" w:fill="auto"/>
            <w:vAlign w:val="bottom"/>
          </w:tcPr>
          <w:p w14:paraId="2708DD3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8,073</w:t>
            </w:r>
          </w:p>
        </w:tc>
        <w:tc>
          <w:tcPr>
            <w:tcW w:w="497" w:type="pct"/>
            <w:tcBorders>
              <w:top w:val="single" w:sz="4" w:space="0" w:color="auto"/>
              <w:left w:val="nil"/>
              <w:bottom w:val="single" w:sz="4" w:space="0" w:color="auto"/>
              <w:right w:val="nil"/>
            </w:tcBorders>
            <w:shd w:val="clear" w:color="auto" w:fill="auto"/>
            <w:vAlign w:val="bottom"/>
          </w:tcPr>
          <w:p w14:paraId="1A1BE75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508</w:t>
            </w:r>
          </w:p>
        </w:tc>
        <w:tc>
          <w:tcPr>
            <w:tcW w:w="609" w:type="pct"/>
            <w:tcBorders>
              <w:top w:val="single" w:sz="4" w:space="0" w:color="auto"/>
              <w:left w:val="nil"/>
              <w:bottom w:val="single" w:sz="4" w:space="0" w:color="auto"/>
              <w:right w:val="nil"/>
            </w:tcBorders>
            <w:shd w:val="clear" w:color="auto" w:fill="auto"/>
            <w:vAlign w:val="bottom"/>
          </w:tcPr>
          <w:p w14:paraId="3B85E1D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24,949</w:t>
            </w:r>
          </w:p>
        </w:tc>
        <w:tc>
          <w:tcPr>
            <w:tcW w:w="383" w:type="pct"/>
            <w:tcBorders>
              <w:top w:val="single" w:sz="4" w:space="0" w:color="auto"/>
              <w:left w:val="nil"/>
              <w:bottom w:val="single" w:sz="4" w:space="0" w:color="auto"/>
              <w:right w:val="nil"/>
            </w:tcBorders>
            <w:vAlign w:val="bottom"/>
          </w:tcPr>
          <w:p w14:paraId="1A35158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49</w:t>
            </w:r>
          </w:p>
        </w:tc>
        <w:tc>
          <w:tcPr>
            <w:tcW w:w="490" w:type="pct"/>
            <w:tcBorders>
              <w:top w:val="single" w:sz="4" w:space="0" w:color="auto"/>
              <w:left w:val="nil"/>
              <w:bottom w:val="single" w:sz="4" w:space="0" w:color="auto"/>
              <w:right w:val="nil"/>
            </w:tcBorders>
            <w:shd w:val="clear" w:color="auto" w:fill="auto"/>
            <w:vAlign w:val="bottom"/>
          </w:tcPr>
          <w:p w14:paraId="01868BAC" w14:textId="4032026B"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1</w:t>
            </w:r>
            <w:r w:rsidR="00A712DE">
              <w:rPr>
                <w:rFonts w:ascii="Arial" w:hAnsi="Arial" w:cs="Arial"/>
                <w:b/>
                <w:bCs/>
                <w:sz w:val="19"/>
                <w:szCs w:val="19"/>
              </w:rPr>
              <w:t>4</w:t>
            </w:r>
            <w:r w:rsidRPr="00C67A93">
              <w:rPr>
                <w:rFonts w:ascii="Arial" w:hAnsi="Arial" w:cs="Arial"/>
                <w:b/>
                <w:bCs/>
                <w:sz w:val="19"/>
                <w:szCs w:val="19"/>
              </w:rPr>
              <w:t>,</w:t>
            </w:r>
            <w:r w:rsidR="00A712DE">
              <w:rPr>
                <w:rFonts w:ascii="Arial" w:hAnsi="Arial" w:cs="Arial"/>
                <w:b/>
                <w:bCs/>
                <w:sz w:val="19"/>
                <w:szCs w:val="19"/>
              </w:rPr>
              <w:t>013</w:t>
            </w:r>
          </w:p>
        </w:tc>
        <w:tc>
          <w:tcPr>
            <w:tcW w:w="395" w:type="pct"/>
            <w:tcBorders>
              <w:top w:val="single" w:sz="4" w:space="0" w:color="auto"/>
              <w:left w:val="nil"/>
              <w:bottom w:val="single" w:sz="4" w:space="0" w:color="auto"/>
              <w:right w:val="nil"/>
            </w:tcBorders>
            <w:shd w:val="clear" w:color="auto" w:fill="auto"/>
            <w:vAlign w:val="bottom"/>
          </w:tcPr>
          <w:p w14:paraId="21A8F37E" w14:textId="3417DA9E"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hAnsi="Arial" w:cs="Arial"/>
                <w:b/>
                <w:bCs/>
                <w:sz w:val="19"/>
                <w:szCs w:val="19"/>
              </w:rPr>
              <w:t>47,</w:t>
            </w:r>
            <w:r w:rsidR="00A712DE">
              <w:rPr>
                <w:rFonts w:ascii="Arial" w:hAnsi="Arial" w:cs="Arial"/>
                <w:b/>
                <w:bCs/>
                <w:sz w:val="19"/>
                <w:szCs w:val="19"/>
              </w:rPr>
              <w:t>592</w:t>
            </w:r>
          </w:p>
        </w:tc>
      </w:tr>
      <w:tr w:rsidR="00891B3A" w:rsidRPr="00C67A93" w14:paraId="6D3275B4" w14:textId="77777777" w:rsidTr="00891B3A">
        <w:trPr>
          <w:trHeight w:val="282"/>
        </w:trPr>
        <w:tc>
          <w:tcPr>
            <w:tcW w:w="2231" w:type="pct"/>
            <w:tcBorders>
              <w:left w:val="nil"/>
              <w:right w:val="nil"/>
            </w:tcBorders>
            <w:shd w:val="clear" w:color="auto" w:fill="auto"/>
            <w:noWrap/>
            <w:vAlign w:val="bottom"/>
          </w:tcPr>
          <w:p w14:paraId="1EC37D8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p>
        </w:tc>
        <w:tc>
          <w:tcPr>
            <w:tcW w:w="394" w:type="pct"/>
            <w:tcBorders>
              <w:top w:val="single" w:sz="4" w:space="0" w:color="auto"/>
              <w:left w:val="nil"/>
              <w:right w:val="nil"/>
            </w:tcBorders>
            <w:shd w:val="clear" w:color="auto" w:fill="auto"/>
            <w:vAlign w:val="bottom"/>
          </w:tcPr>
          <w:p w14:paraId="4CB2A5B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7" w:type="pct"/>
            <w:tcBorders>
              <w:top w:val="single" w:sz="4" w:space="0" w:color="auto"/>
              <w:left w:val="nil"/>
              <w:right w:val="nil"/>
            </w:tcBorders>
            <w:shd w:val="clear" w:color="auto" w:fill="auto"/>
            <w:vAlign w:val="bottom"/>
          </w:tcPr>
          <w:p w14:paraId="7C8C2DE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609" w:type="pct"/>
            <w:tcBorders>
              <w:top w:val="single" w:sz="4" w:space="0" w:color="auto"/>
              <w:left w:val="nil"/>
              <w:right w:val="nil"/>
            </w:tcBorders>
            <w:shd w:val="clear" w:color="auto" w:fill="auto"/>
            <w:vAlign w:val="bottom"/>
          </w:tcPr>
          <w:p w14:paraId="28C8E6C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83" w:type="pct"/>
            <w:tcBorders>
              <w:top w:val="single" w:sz="4" w:space="0" w:color="auto"/>
              <w:left w:val="nil"/>
              <w:right w:val="nil"/>
            </w:tcBorders>
          </w:tcPr>
          <w:p w14:paraId="3E49680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0" w:type="pct"/>
            <w:tcBorders>
              <w:top w:val="single" w:sz="4" w:space="0" w:color="auto"/>
              <w:left w:val="nil"/>
              <w:right w:val="nil"/>
            </w:tcBorders>
            <w:shd w:val="clear" w:color="auto" w:fill="auto"/>
            <w:vAlign w:val="bottom"/>
          </w:tcPr>
          <w:p w14:paraId="2128E6A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95" w:type="pct"/>
            <w:tcBorders>
              <w:top w:val="single" w:sz="4" w:space="0" w:color="auto"/>
              <w:left w:val="nil"/>
              <w:right w:val="nil"/>
            </w:tcBorders>
            <w:shd w:val="clear" w:color="auto" w:fill="auto"/>
            <w:vAlign w:val="bottom"/>
          </w:tcPr>
          <w:p w14:paraId="3925762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r>
    </w:tbl>
    <w:p w14:paraId="43DA7BCB" w14:textId="77777777" w:rsidR="00891B3A" w:rsidRPr="00C67A93" w:rsidRDefault="00891B3A" w:rsidP="00891B3A">
      <w:pPr>
        <w:shd w:val="clear" w:color="auto" w:fill="FFFFFF"/>
        <w:spacing w:before="65"/>
        <w:rPr>
          <w:rFonts w:ascii="Arial" w:hAnsi="Arial" w:cs="Arial"/>
          <w:b/>
        </w:rPr>
      </w:pPr>
    </w:p>
    <w:p w14:paraId="2FCBE8E6" w14:textId="77777777" w:rsidR="00891B3A" w:rsidRPr="00C67A93" w:rsidRDefault="00891B3A" w:rsidP="00891B3A">
      <w:pPr>
        <w:shd w:val="clear" w:color="auto" w:fill="FFFFFF"/>
        <w:spacing w:before="65"/>
        <w:rPr>
          <w:rFonts w:ascii="Arial" w:hAnsi="Arial" w:cs="Arial"/>
          <w:b/>
        </w:rPr>
      </w:pPr>
      <w:r w:rsidRPr="00C67A93">
        <w:rPr>
          <w:rFonts w:ascii="Arial" w:hAnsi="Arial" w:cs="Arial"/>
          <w:b/>
        </w:rPr>
        <w:t>Six months ended 30 June 2020</w:t>
      </w:r>
    </w:p>
    <w:tbl>
      <w:tblPr>
        <w:tblW w:w="5236" w:type="pct"/>
        <w:tblLook w:val="04A0" w:firstRow="1" w:lastRow="0" w:firstColumn="1" w:lastColumn="0" w:noHBand="0" w:noVBand="1"/>
      </w:tblPr>
      <w:tblGrid>
        <w:gridCol w:w="3764"/>
        <w:gridCol w:w="818"/>
        <w:gridCol w:w="1019"/>
        <w:gridCol w:w="1251"/>
        <w:gridCol w:w="808"/>
        <w:gridCol w:w="1019"/>
        <w:gridCol w:w="819"/>
      </w:tblGrid>
      <w:tr w:rsidR="00891B3A" w:rsidRPr="00C67A93" w14:paraId="6D381E4C" w14:textId="77777777" w:rsidTr="00891B3A">
        <w:trPr>
          <w:trHeight w:val="282"/>
        </w:trPr>
        <w:tc>
          <w:tcPr>
            <w:tcW w:w="2220" w:type="pct"/>
            <w:tcBorders>
              <w:top w:val="nil"/>
              <w:left w:val="nil"/>
              <w:bottom w:val="nil"/>
              <w:right w:val="nil"/>
            </w:tcBorders>
            <w:shd w:val="clear" w:color="auto" w:fill="auto"/>
            <w:noWrap/>
            <w:vAlign w:val="bottom"/>
            <w:hideMark/>
          </w:tcPr>
          <w:p w14:paraId="3CB2845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19"/>
                <w:szCs w:val="19"/>
                <w:lang w:val="en-SG" w:eastAsia="en-SG"/>
              </w:rPr>
            </w:pPr>
          </w:p>
        </w:tc>
        <w:tc>
          <w:tcPr>
            <w:tcW w:w="392" w:type="pct"/>
            <w:tcBorders>
              <w:top w:val="nil"/>
              <w:left w:val="nil"/>
              <w:bottom w:val="nil"/>
              <w:right w:val="nil"/>
            </w:tcBorders>
            <w:shd w:val="clear" w:color="auto" w:fill="auto"/>
            <w:noWrap/>
            <w:vAlign w:val="bottom"/>
            <w:hideMark/>
          </w:tcPr>
          <w:p w14:paraId="278BCDB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4" w:type="pct"/>
            <w:tcBorders>
              <w:top w:val="nil"/>
              <w:left w:val="nil"/>
              <w:bottom w:val="nil"/>
              <w:right w:val="nil"/>
            </w:tcBorders>
            <w:shd w:val="clear" w:color="auto" w:fill="auto"/>
            <w:vAlign w:val="bottom"/>
            <w:hideMark/>
          </w:tcPr>
          <w:p w14:paraId="395F52E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p>
        </w:tc>
        <w:tc>
          <w:tcPr>
            <w:tcW w:w="605" w:type="pct"/>
            <w:tcBorders>
              <w:top w:val="nil"/>
              <w:left w:val="nil"/>
              <w:bottom w:val="nil"/>
              <w:right w:val="nil"/>
            </w:tcBorders>
            <w:shd w:val="clear" w:color="auto" w:fill="auto"/>
            <w:vAlign w:val="bottom"/>
            <w:hideMark/>
          </w:tcPr>
          <w:p w14:paraId="18FC199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Capital</w:t>
            </w:r>
          </w:p>
        </w:tc>
        <w:tc>
          <w:tcPr>
            <w:tcW w:w="381" w:type="pct"/>
            <w:tcBorders>
              <w:top w:val="nil"/>
              <w:left w:val="nil"/>
              <w:bottom w:val="nil"/>
              <w:right w:val="nil"/>
            </w:tcBorders>
          </w:tcPr>
          <w:p w14:paraId="1A6EC67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Share-</w:t>
            </w:r>
          </w:p>
        </w:tc>
        <w:tc>
          <w:tcPr>
            <w:tcW w:w="487" w:type="pct"/>
            <w:tcBorders>
              <w:top w:val="nil"/>
              <w:left w:val="nil"/>
              <w:bottom w:val="nil"/>
              <w:right w:val="nil"/>
            </w:tcBorders>
            <w:shd w:val="clear" w:color="auto" w:fill="auto"/>
            <w:vAlign w:val="bottom"/>
            <w:hideMark/>
          </w:tcPr>
          <w:p w14:paraId="26C0B2C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p>
        </w:tc>
        <w:tc>
          <w:tcPr>
            <w:tcW w:w="420" w:type="pct"/>
            <w:tcBorders>
              <w:top w:val="nil"/>
              <w:left w:val="nil"/>
              <w:bottom w:val="nil"/>
              <w:right w:val="nil"/>
            </w:tcBorders>
            <w:shd w:val="clear" w:color="auto" w:fill="auto"/>
            <w:vAlign w:val="bottom"/>
            <w:hideMark/>
          </w:tcPr>
          <w:p w14:paraId="499827B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p>
        </w:tc>
      </w:tr>
      <w:tr w:rsidR="00891B3A" w:rsidRPr="00C67A93" w14:paraId="15C3012F" w14:textId="77777777" w:rsidTr="00891B3A">
        <w:trPr>
          <w:trHeight w:val="282"/>
        </w:trPr>
        <w:tc>
          <w:tcPr>
            <w:tcW w:w="2220" w:type="pct"/>
            <w:tcBorders>
              <w:top w:val="nil"/>
              <w:left w:val="nil"/>
              <w:bottom w:val="nil"/>
              <w:right w:val="nil"/>
            </w:tcBorders>
            <w:shd w:val="clear" w:color="auto" w:fill="auto"/>
            <w:noWrap/>
            <w:vAlign w:val="bottom"/>
            <w:hideMark/>
          </w:tcPr>
          <w:p w14:paraId="1CEF37C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19"/>
                <w:szCs w:val="19"/>
                <w:lang w:val="en-SG" w:eastAsia="en-SG"/>
              </w:rPr>
            </w:pPr>
          </w:p>
        </w:tc>
        <w:tc>
          <w:tcPr>
            <w:tcW w:w="392" w:type="pct"/>
            <w:tcBorders>
              <w:top w:val="nil"/>
              <w:left w:val="nil"/>
              <w:bottom w:val="nil"/>
              <w:right w:val="nil"/>
            </w:tcBorders>
            <w:shd w:val="clear" w:color="auto" w:fill="auto"/>
            <w:vAlign w:val="bottom"/>
            <w:hideMark/>
          </w:tcPr>
          <w:p w14:paraId="203AC18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Share</w:t>
            </w:r>
          </w:p>
        </w:tc>
        <w:tc>
          <w:tcPr>
            <w:tcW w:w="494" w:type="pct"/>
            <w:tcBorders>
              <w:top w:val="nil"/>
              <w:left w:val="nil"/>
              <w:bottom w:val="nil"/>
              <w:right w:val="nil"/>
            </w:tcBorders>
            <w:shd w:val="clear" w:color="auto" w:fill="auto"/>
            <w:vAlign w:val="bottom"/>
            <w:hideMark/>
          </w:tcPr>
          <w:p w14:paraId="0920214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Share</w:t>
            </w:r>
          </w:p>
        </w:tc>
        <w:tc>
          <w:tcPr>
            <w:tcW w:w="605" w:type="pct"/>
            <w:tcBorders>
              <w:top w:val="nil"/>
              <w:left w:val="nil"/>
              <w:bottom w:val="nil"/>
              <w:right w:val="nil"/>
            </w:tcBorders>
            <w:shd w:val="clear" w:color="auto" w:fill="auto"/>
            <w:vAlign w:val="bottom"/>
            <w:hideMark/>
          </w:tcPr>
          <w:p w14:paraId="30A97F9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redemption</w:t>
            </w:r>
          </w:p>
        </w:tc>
        <w:tc>
          <w:tcPr>
            <w:tcW w:w="381" w:type="pct"/>
            <w:tcBorders>
              <w:top w:val="nil"/>
              <w:left w:val="nil"/>
              <w:bottom w:val="nil"/>
              <w:right w:val="nil"/>
            </w:tcBorders>
          </w:tcPr>
          <w:p w14:paraId="719021F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based</w:t>
            </w:r>
          </w:p>
        </w:tc>
        <w:tc>
          <w:tcPr>
            <w:tcW w:w="487" w:type="pct"/>
            <w:tcBorders>
              <w:top w:val="nil"/>
              <w:left w:val="nil"/>
              <w:bottom w:val="nil"/>
              <w:right w:val="nil"/>
            </w:tcBorders>
            <w:shd w:val="clear" w:color="auto" w:fill="auto"/>
            <w:vAlign w:val="bottom"/>
            <w:hideMark/>
          </w:tcPr>
          <w:p w14:paraId="4174BCD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Retained</w:t>
            </w:r>
          </w:p>
        </w:tc>
        <w:tc>
          <w:tcPr>
            <w:tcW w:w="420" w:type="pct"/>
            <w:tcBorders>
              <w:top w:val="nil"/>
              <w:left w:val="nil"/>
              <w:bottom w:val="nil"/>
              <w:right w:val="nil"/>
            </w:tcBorders>
            <w:shd w:val="clear" w:color="auto" w:fill="auto"/>
            <w:vAlign w:val="bottom"/>
            <w:hideMark/>
          </w:tcPr>
          <w:p w14:paraId="367DDE3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Total</w:t>
            </w:r>
          </w:p>
        </w:tc>
      </w:tr>
      <w:tr w:rsidR="00891B3A" w:rsidRPr="00C67A93" w14:paraId="67EA51BE" w14:textId="77777777" w:rsidTr="00891B3A">
        <w:trPr>
          <w:trHeight w:val="282"/>
        </w:trPr>
        <w:tc>
          <w:tcPr>
            <w:tcW w:w="2220" w:type="pct"/>
            <w:tcBorders>
              <w:top w:val="nil"/>
              <w:left w:val="nil"/>
              <w:right w:val="nil"/>
            </w:tcBorders>
            <w:shd w:val="clear" w:color="auto" w:fill="auto"/>
            <w:noWrap/>
            <w:vAlign w:val="bottom"/>
            <w:hideMark/>
          </w:tcPr>
          <w:p w14:paraId="75111EB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19"/>
                <w:szCs w:val="19"/>
                <w:lang w:val="en-SG" w:eastAsia="en-SG"/>
              </w:rPr>
            </w:pPr>
          </w:p>
        </w:tc>
        <w:tc>
          <w:tcPr>
            <w:tcW w:w="392" w:type="pct"/>
            <w:tcBorders>
              <w:top w:val="nil"/>
              <w:left w:val="nil"/>
              <w:bottom w:val="nil"/>
              <w:right w:val="nil"/>
            </w:tcBorders>
            <w:shd w:val="clear" w:color="auto" w:fill="auto"/>
            <w:vAlign w:val="bottom"/>
            <w:hideMark/>
          </w:tcPr>
          <w:p w14:paraId="2CD37C7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capital</w:t>
            </w:r>
          </w:p>
        </w:tc>
        <w:tc>
          <w:tcPr>
            <w:tcW w:w="494" w:type="pct"/>
            <w:tcBorders>
              <w:top w:val="nil"/>
              <w:left w:val="nil"/>
              <w:bottom w:val="nil"/>
              <w:right w:val="nil"/>
            </w:tcBorders>
            <w:shd w:val="clear" w:color="auto" w:fill="auto"/>
            <w:vAlign w:val="bottom"/>
            <w:hideMark/>
          </w:tcPr>
          <w:p w14:paraId="485AA6F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premium</w:t>
            </w:r>
          </w:p>
        </w:tc>
        <w:tc>
          <w:tcPr>
            <w:tcW w:w="605" w:type="pct"/>
            <w:tcBorders>
              <w:top w:val="nil"/>
              <w:left w:val="nil"/>
              <w:bottom w:val="nil"/>
              <w:right w:val="nil"/>
            </w:tcBorders>
            <w:shd w:val="clear" w:color="auto" w:fill="auto"/>
            <w:vAlign w:val="bottom"/>
            <w:hideMark/>
          </w:tcPr>
          <w:p w14:paraId="58C515D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reserve</w:t>
            </w:r>
          </w:p>
        </w:tc>
        <w:tc>
          <w:tcPr>
            <w:tcW w:w="381" w:type="pct"/>
            <w:tcBorders>
              <w:top w:val="nil"/>
              <w:left w:val="nil"/>
              <w:bottom w:val="nil"/>
              <w:right w:val="nil"/>
            </w:tcBorders>
          </w:tcPr>
          <w:p w14:paraId="1BE4DD5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equity</w:t>
            </w:r>
          </w:p>
        </w:tc>
        <w:tc>
          <w:tcPr>
            <w:tcW w:w="487" w:type="pct"/>
            <w:tcBorders>
              <w:top w:val="nil"/>
              <w:left w:val="nil"/>
              <w:bottom w:val="nil"/>
              <w:right w:val="nil"/>
            </w:tcBorders>
            <w:shd w:val="clear" w:color="auto" w:fill="auto"/>
            <w:vAlign w:val="bottom"/>
            <w:hideMark/>
          </w:tcPr>
          <w:p w14:paraId="360AFC9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earnings</w:t>
            </w:r>
          </w:p>
        </w:tc>
        <w:tc>
          <w:tcPr>
            <w:tcW w:w="420" w:type="pct"/>
            <w:tcBorders>
              <w:top w:val="nil"/>
              <w:left w:val="nil"/>
              <w:bottom w:val="nil"/>
              <w:right w:val="nil"/>
            </w:tcBorders>
            <w:shd w:val="clear" w:color="auto" w:fill="auto"/>
            <w:vAlign w:val="bottom"/>
            <w:hideMark/>
          </w:tcPr>
          <w:p w14:paraId="5E89CF8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67A93">
              <w:rPr>
                <w:rFonts w:ascii="Arial" w:eastAsia="Times New Roman" w:hAnsi="Arial" w:cs="Arial"/>
                <w:b/>
                <w:bCs/>
                <w:color w:val="000000"/>
                <w:sz w:val="19"/>
                <w:szCs w:val="19"/>
                <w:lang w:val="en-SG" w:eastAsia="en-SG"/>
              </w:rPr>
              <w:t>equity</w:t>
            </w:r>
          </w:p>
        </w:tc>
      </w:tr>
      <w:tr w:rsidR="00891B3A" w:rsidRPr="00C67A93" w14:paraId="092AE3B2" w14:textId="77777777" w:rsidTr="00891B3A">
        <w:trPr>
          <w:trHeight w:val="282"/>
        </w:trPr>
        <w:tc>
          <w:tcPr>
            <w:tcW w:w="2220" w:type="pct"/>
            <w:tcBorders>
              <w:top w:val="nil"/>
              <w:left w:val="nil"/>
              <w:right w:val="nil"/>
            </w:tcBorders>
            <w:shd w:val="clear" w:color="auto" w:fill="auto"/>
            <w:noWrap/>
            <w:vAlign w:val="bottom"/>
            <w:hideMark/>
          </w:tcPr>
          <w:p w14:paraId="234EC39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19"/>
                <w:szCs w:val="19"/>
                <w:lang w:val="en-SG" w:eastAsia="en-SG"/>
              </w:rPr>
            </w:pPr>
            <w:r w:rsidRPr="00C67A93">
              <w:rPr>
                <w:rFonts w:ascii="Arial" w:eastAsia="Times New Roman" w:hAnsi="Arial" w:cs="Arial"/>
                <w:color w:val="000000"/>
                <w:sz w:val="19"/>
                <w:szCs w:val="19"/>
                <w:lang w:val="en-SG" w:eastAsia="en-SG"/>
              </w:rPr>
              <w:t> </w:t>
            </w:r>
          </w:p>
        </w:tc>
        <w:tc>
          <w:tcPr>
            <w:tcW w:w="392" w:type="pct"/>
            <w:tcBorders>
              <w:top w:val="nil"/>
              <w:left w:val="nil"/>
              <w:bottom w:val="single" w:sz="4" w:space="0" w:color="auto"/>
              <w:right w:val="nil"/>
            </w:tcBorders>
            <w:shd w:val="clear" w:color="auto" w:fill="auto"/>
            <w:vAlign w:val="bottom"/>
            <w:hideMark/>
          </w:tcPr>
          <w:p w14:paraId="1FB30C7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494" w:type="pct"/>
            <w:tcBorders>
              <w:top w:val="nil"/>
              <w:left w:val="nil"/>
              <w:bottom w:val="single" w:sz="4" w:space="0" w:color="auto"/>
              <w:right w:val="nil"/>
            </w:tcBorders>
            <w:shd w:val="clear" w:color="auto" w:fill="auto"/>
            <w:vAlign w:val="bottom"/>
            <w:hideMark/>
          </w:tcPr>
          <w:p w14:paraId="32F308E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605" w:type="pct"/>
            <w:tcBorders>
              <w:top w:val="nil"/>
              <w:left w:val="nil"/>
              <w:bottom w:val="single" w:sz="4" w:space="0" w:color="auto"/>
              <w:right w:val="nil"/>
            </w:tcBorders>
            <w:shd w:val="clear" w:color="auto" w:fill="auto"/>
            <w:vAlign w:val="bottom"/>
            <w:hideMark/>
          </w:tcPr>
          <w:p w14:paraId="30AA4D0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381" w:type="pct"/>
            <w:tcBorders>
              <w:top w:val="nil"/>
              <w:left w:val="nil"/>
              <w:bottom w:val="single" w:sz="4" w:space="0" w:color="auto"/>
              <w:right w:val="nil"/>
            </w:tcBorders>
            <w:vAlign w:val="bottom"/>
          </w:tcPr>
          <w:p w14:paraId="105AED9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487" w:type="pct"/>
            <w:tcBorders>
              <w:top w:val="nil"/>
              <w:left w:val="nil"/>
              <w:bottom w:val="single" w:sz="4" w:space="0" w:color="auto"/>
              <w:right w:val="nil"/>
            </w:tcBorders>
            <w:shd w:val="clear" w:color="auto" w:fill="auto"/>
            <w:vAlign w:val="bottom"/>
            <w:hideMark/>
          </w:tcPr>
          <w:p w14:paraId="0B58F1E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c>
          <w:tcPr>
            <w:tcW w:w="420" w:type="pct"/>
            <w:tcBorders>
              <w:top w:val="nil"/>
              <w:left w:val="nil"/>
              <w:bottom w:val="single" w:sz="4" w:space="0" w:color="auto"/>
              <w:right w:val="nil"/>
            </w:tcBorders>
            <w:shd w:val="clear" w:color="auto" w:fill="auto"/>
            <w:vAlign w:val="bottom"/>
            <w:hideMark/>
          </w:tcPr>
          <w:p w14:paraId="6E45DC8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£'000</w:t>
            </w:r>
          </w:p>
        </w:tc>
      </w:tr>
      <w:tr w:rsidR="00891B3A" w:rsidRPr="00C67A93" w14:paraId="35C786DE" w14:textId="77777777" w:rsidTr="00891B3A">
        <w:trPr>
          <w:trHeight w:val="282"/>
        </w:trPr>
        <w:tc>
          <w:tcPr>
            <w:tcW w:w="2220" w:type="pct"/>
            <w:tcBorders>
              <w:top w:val="nil"/>
              <w:left w:val="nil"/>
              <w:bottom w:val="nil"/>
              <w:right w:val="nil"/>
            </w:tcBorders>
            <w:shd w:val="clear" w:color="auto" w:fill="auto"/>
            <w:noWrap/>
            <w:vAlign w:val="bottom"/>
            <w:hideMark/>
          </w:tcPr>
          <w:p w14:paraId="4D6DC87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Balance at 1 January 2020</w:t>
            </w:r>
          </w:p>
        </w:tc>
        <w:tc>
          <w:tcPr>
            <w:tcW w:w="392" w:type="pct"/>
            <w:tcBorders>
              <w:top w:val="nil"/>
              <w:left w:val="nil"/>
              <w:bottom w:val="nil"/>
              <w:right w:val="nil"/>
            </w:tcBorders>
            <w:shd w:val="clear" w:color="auto" w:fill="auto"/>
            <w:vAlign w:val="bottom"/>
            <w:hideMark/>
          </w:tcPr>
          <w:p w14:paraId="07AFEB1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xml:space="preserve">8,073 </w:t>
            </w:r>
          </w:p>
        </w:tc>
        <w:tc>
          <w:tcPr>
            <w:tcW w:w="494" w:type="pct"/>
            <w:tcBorders>
              <w:top w:val="nil"/>
              <w:left w:val="nil"/>
              <w:bottom w:val="nil"/>
              <w:right w:val="nil"/>
            </w:tcBorders>
            <w:shd w:val="clear" w:color="auto" w:fill="auto"/>
            <w:vAlign w:val="bottom"/>
            <w:hideMark/>
          </w:tcPr>
          <w:p w14:paraId="02DAF99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xml:space="preserve">508 </w:t>
            </w:r>
          </w:p>
        </w:tc>
        <w:tc>
          <w:tcPr>
            <w:tcW w:w="605" w:type="pct"/>
            <w:tcBorders>
              <w:top w:val="nil"/>
              <w:left w:val="nil"/>
              <w:bottom w:val="nil"/>
              <w:right w:val="nil"/>
            </w:tcBorders>
            <w:shd w:val="clear" w:color="auto" w:fill="auto"/>
            <w:vAlign w:val="bottom"/>
            <w:hideMark/>
          </w:tcPr>
          <w:p w14:paraId="25A5279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xml:space="preserve">24,949 </w:t>
            </w:r>
          </w:p>
        </w:tc>
        <w:tc>
          <w:tcPr>
            <w:tcW w:w="381" w:type="pct"/>
            <w:tcBorders>
              <w:top w:val="nil"/>
              <w:left w:val="nil"/>
              <w:bottom w:val="nil"/>
              <w:right w:val="nil"/>
            </w:tcBorders>
            <w:vAlign w:val="bottom"/>
          </w:tcPr>
          <w:p w14:paraId="4BEB8AC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87" w:type="pct"/>
            <w:tcBorders>
              <w:top w:val="nil"/>
              <w:left w:val="nil"/>
              <w:bottom w:val="nil"/>
              <w:right w:val="nil"/>
            </w:tcBorders>
            <w:shd w:val="clear" w:color="auto" w:fill="auto"/>
            <w:vAlign w:val="bottom"/>
            <w:hideMark/>
          </w:tcPr>
          <w:p w14:paraId="26376EA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xml:space="preserve">22,428 </w:t>
            </w:r>
          </w:p>
        </w:tc>
        <w:tc>
          <w:tcPr>
            <w:tcW w:w="420" w:type="pct"/>
            <w:tcBorders>
              <w:top w:val="nil"/>
              <w:left w:val="nil"/>
              <w:bottom w:val="nil"/>
              <w:right w:val="nil"/>
            </w:tcBorders>
            <w:shd w:val="clear" w:color="auto" w:fill="auto"/>
            <w:vAlign w:val="bottom"/>
            <w:hideMark/>
          </w:tcPr>
          <w:p w14:paraId="379DA4C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xml:space="preserve">55,958 </w:t>
            </w:r>
          </w:p>
        </w:tc>
      </w:tr>
      <w:tr w:rsidR="00891B3A" w:rsidRPr="00C67A93" w14:paraId="1ED82AF6" w14:textId="77777777" w:rsidTr="00891B3A">
        <w:trPr>
          <w:trHeight w:val="282"/>
        </w:trPr>
        <w:tc>
          <w:tcPr>
            <w:tcW w:w="2220" w:type="pct"/>
            <w:tcBorders>
              <w:top w:val="nil"/>
              <w:left w:val="nil"/>
              <w:bottom w:val="nil"/>
              <w:right w:val="nil"/>
            </w:tcBorders>
            <w:shd w:val="clear" w:color="auto" w:fill="auto"/>
            <w:noWrap/>
            <w:vAlign w:val="bottom"/>
          </w:tcPr>
          <w:p w14:paraId="428DAFF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p>
        </w:tc>
        <w:tc>
          <w:tcPr>
            <w:tcW w:w="392" w:type="pct"/>
            <w:tcBorders>
              <w:top w:val="nil"/>
              <w:left w:val="nil"/>
              <w:bottom w:val="nil"/>
              <w:right w:val="nil"/>
            </w:tcBorders>
            <w:shd w:val="clear" w:color="auto" w:fill="auto"/>
            <w:vAlign w:val="bottom"/>
          </w:tcPr>
          <w:p w14:paraId="50A37A5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94" w:type="pct"/>
            <w:tcBorders>
              <w:top w:val="nil"/>
              <w:left w:val="nil"/>
              <w:bottom w:val="nil"/>
              <w:right w:val="nil"/>
            </w:tcBorders>
            <w:shd w:val="clear" w:color="auto" w:fill="auto"/>
            <w:vAlign w:val="bottom"/>
          </w:tcPr>
          <w:p w14:paraId="2A99CBA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605" w:type="pct"/>
            <w:tcBorders>
              <w:top w:val="nil"/>
              <w:left w:val="nil"/>
              <w:bottom w:val="nil"/>
              <w:right w:val="nil"/>
            </w:tcBorders>
            <w:shd w:val="clear" w:color="auto" w:fill="auto"/>
            <w:vAlign w:val="bottom"/>
          </w:tcPr>
          <w:p w14:paraId="692784C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381" w:type="pct"/>
            <w:tcBorders>
              <w:top w:val="nil"/>
              <w:left w:val="nil"/>
              <w:bottom w:val="nil"/>
              <w:right w:val="nil"/>
            </w:tcBorders>
          </w:tcPr>
          <w:p w14:paraId="2C1E042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87" w:type="pct"/>
            <w:tcBorders>
              <w:top w:val="nil"/>
              <w:left w:val="nil"/>
              <w:bottom w:val="nil"/>
              <w:right w:val="nil"/>
            </w:tcBorders>
            <w:shd w:val="clear" w:color="auto" w:fill="auto"/>
            <w:vAlign w:val="bottom"/>
          </w:tcPr>
          <w:p w14:paraId="16927D6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20" w:type="pct"/>
            <w:tcBorders>
              <w:top w:val="nil"/>
              <w:left w:val="nil"/>
              <w:bottom w:val="nil"/>
              <w:right w:val="nil"/>
            </w:tcBorders>
            <w:shd w:val="clear" w:color="auto" w:fill="auto"/>
            <w:vAlign w:val="bottom"/>
          </w:tcPr>
          <w:p w14:paraId="0CE0959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r>
      <w:tr w:rsidR="00891B3A" w:rsidRPr="00C67A93" w14:paraId="63B843D2" w14:textId="77777777" w:rsidTr="00891B3A">
        <w:trPr>
          <w:trHeight w:val="282"/>
        </w:trPr>
        <w:tc>
          <w:tcPr>
            <w:tcW w:w="2220" w:type="pct"/>
            <w:tcBorders>
              <w:top w:val="nil"/>
              <w:left w:val="nil"/>
              <w:right w:val="nil"/>
            </w:tcBorders>
            <w:shd w:val="clear" w:color="auto" w:fill="auto"/>
            <w:noWrap/>
            <w:vAlign w:val="bottom"/>
            <w:hideMark/>
          </w:tcPr>
          <w:p w14:paraId="65F4D610"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Comprehensive income for the period</w:t>
            </w:r>
          </w:p>
        </w:tc>
        <w:tc>
          <w:tcPr>
            <w:tcW w:w="392" w:type="pct"/>
            <w:tcBorders>
              <w:top w:val="nil"/>
              <w:left w:val="nil"/>
              <w:right w:val="nil"/>
            </w:tcBorders>
            <w:shd w:val="clear" w:color="auto" w:fill="auto"/>
            <w:vAlign w:val="bottom"/>
          </w:tcPr>
          <w:p w14:paraId="7CC5149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94" w:type="pct"/>
            <w:tcBorders>
              <w:top w:val="nil"/>
              <w:left w:val="nil"/>
              <w:right w:val="nil"/>
            </w:tcBorders>
            <w:shd w:val="clear" w:color="auto" w:fill="auto"/>
            <w:vAlign w:val="bottom"/>
          </w:tcPr>
          <w:p w14:paraId="2FB359C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605" w:type="pct"/>
            <w:tcBorders>
              <w:top w:val="nil"/>
              <w:left w:val="nil"/>
              <w:right w:val="nil"/>
            </w:tcBorders>
            <w:shd w:val="clear" w:color="auto" w:fill="auto"/>
            <w:vAlign w:val="bottom"/>
          </w:tcPr>
          <w:p w14:paraId="0E87928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381" w:type="pct"/>
            <w:tcBorders>
              <w:top w:val="nil"/>
              <w:left w:val="nil"/>
              <w:right w:val="nil"/>
            </w:tcBorders>
          </w:tcPr>
          <w:p w14:paraId="020D85E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87" w:type="pct"/>
            <w:tcBorders>
              <w:top w:val="nil"/>
              <w:left w:val="nil"/>
              <w:right w:val="nil"/>
            </w:tcBorders>
            <w:shd w:val="clear" w:color="auto" w:fill="auto"/>
            <w:vAlign w:val="bottom"/>
            <w:hideMark/>
          </w:tcPr>
          <w:p w14:paraId="5BD703F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20" w:type="pct"/>
            <w:tcBorders>
              <w:top w:val="nil"/>
              <w:left w:val="nil"/>
              <w:right w:val="nil"/>
            </w:tcBorders>
            <w:shd w:val="clear" w:color="auto" w:fill="auto"/>
            <w:vAlign w:val="bottom"/>
            <w:hideMark/>
          </w:tcPr>
          <w:p w14:paraId="62BF65F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w:t>
            </w:r>
          </w:p>
        </w:tc>
      </w:tr>
      <w:tr w:rsidR="00891B3A" w:rsidRPr="00C67A93" w14:paraId="79580744" w14:textId="77777777" w:rsidTr="00891B3A">
        <w:trPr>
          <w:trHeight w:val="211"/>
        </w:trPr>
        <w:tc>
          <w:tcPr>
            <w:tcW w:w="2220" w:type="pct"/>
            <w:tcBorders>
              <w:top w:val="nil"/>
              <w:left w:val="nil"/>
              <w:right w:val="nil"/>
            </w:tcBorders>
            <w:shd w:val="clear" w:color="auto" w:fill="auto"/>
            <w:noWrap/>
            <w:vAlign w:val="bottom"/>
            <w:hideMark/>
          </w:tcPr>
          <w:p w14:paraId="2F0EAFDF"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Loss for the period</w:t>
            </w:r>
          </w:p>
        </w:tc>
        <w:tc>
          <w:tcPr>
            <w:tcW w:w="392" w:type="pct"/>
            <w:tcBorders>
              <w:top w:val="nil"/>
              <w:left w:val="nil"/>
              <w:bottom w:val="single" w:sz="4" w:space="0" w:color="auto"/>
              <w:right w:val="nil"/>
            </w:tcBorders>
            <w:shd w:val="clear" w:color="auto" w:fill="auto"/>
            <w:vAlign w:val="bottom"/>
            <w:hideMark/>
          </w:tcPr>
          <w:p w14:paraId="617DDD0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xml:space="preserve">- </w:t>
            </w:r>
          </w:p>
        </w:tc>
        <w:tc>
          <w:tcPr>
            <w:tcW w:w="494" w:type="pct"/>
            <w:tcBorders>
              <w:top w:val="nil"/>
              <w:left w:val="nil"/>
              <w:bottom w:val="single" w:sz="4" w:space="0" w:color="auto"/>
              <w:right w:val="nil"/>
            </w:tcBorders>
            <w:shd w:val="clear" w:color="auto" w:fill="auto"/>
            <w:vAlign w:val="bottom"/>
            <w:hideMark/>
          </w:tcPr>
          <w:p w14:paraId="3494EEF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 xml:space="preserve">- </w:t>
            </w:r>
          </w:p>
        </w:tc>
        <w:tc>
          <w:tcPr>
            <w:tcW w:w="605" w:type="pct"/>
            <w:tcBorders>
              <w:top w:val="nil"/>
              <w:left w:val="nil"/>
              <w:bottom w:val="single" w:sz="4" w:space="0" w:color="auto"/>
              <w:right w:val="nil"/>
            </w:tcBorders>
            <w:shd w:val="clear" w:color="auto" w:fill="auto"/>
            <w:vAlign w:val="bottom"/>
          </w:tcPr>
          <w:p w14:paraId="509F837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381" w:type="pct"/>
            <w:tcBorders>
              <w:top w:val="nil"/>
              <w:left w:val="nil"/>
              <w:bottom w:val="single" w:sz="4" w:space="0" w:color="auto"/>
              <w:right w:val="nil"/>
            </w:tcBorders>
          </w:tcPr>
          <w:p w14:paraId="128460D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87" w:type="pct"/>
            <w:tcBorders>
              <w:top w:val="nil"/>
              <w:left w:val="nil"/>
              <w:bottom w:val="single" w:sz="4" w:space="0" w:color="auto"/>
              <w:right w:val="nil"/>
            </w:tcBorders>
            <w:shd w:val="clear" w:color="auto" w:fill="auto"/>
            <w:vAlign w:val="bottom"/>
            <w:hideMark/>
          </w:tcPr>
          <w:p w14:paraId="7B844A2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(6,069)</w:t>
            </w:r>
          </w:p>
        </w:tc>
        <w:tc>
          <w:tcPr>
            <w:tcW w:w="420" w:type="pct"/>
            <w:tcBorders>
              <w:top w:val="nil"/>
              <w:left w:val="nil"/>
              <w:bottom w:val="single" w:sz="4" w:space="0" w:color="auto"/>
              <w:right w:val="nil"/>
            </w:tcBorders>
            <w:shd w:val="clear" w:color="auto" w:fill="auto"/>
            <w:vAlign w:val="bottom"/>
            <w:hideMark/>
          </w:tcPr>
          <w:p w14:paraId="1D1CEA5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(6,069)</w:t>
            </w:r>
          </w:p>
        </w:tc>
      </w:tr>
      <w:tr w:rsidR="00891B3A" w:rsidRPr="00C67A93" w14:paraId="3C52E613" w14:textId="77777777" w:rsidTr="00891B3A">
        <w:trPr>
          <w:trHeight w:val="211"/>
        </w:trPr>
        <w:tc>
          <w:tcPr>
            <w:tcW w:w="2220" w:type="pct"/>
            <w:tcBorders>
              <w:left w:val="nil"/>
              <w:bottom w:val="nil"/>
              <w:right w:val="nil"/>
            </w:tcBorders>
            <w:shd w:val="clear" w:color="auto" w:fill="auto"/>
            <w:noWrap/>
            <w:vAlign w:val="bottom"/>
          </w:tcPr>
          <w:p w14:paraId="411BA3D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Equity after total comprehensive</w:t>
            </w:r>
          </w:p>
          <w:p w14:paraId="5C69CE9D"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b/>
                <w:bCs/>
                <w:sz w:val="19"/>
                <w:szCs w:val="19"/>
                <w:lang w:val="en-SG" w:eastAsia="en-SG"/>
              </w:rPr>
              <w:t>loss for the period</w:t>
            </w:r>
          </w:p>
        </w:tc>
        <w:tc>
          <w:tcPr>
            <w:tcW w:w="392" w:type="pct"/>
            <w:tcBorders>
              <w:top w:val="single" w:sz="4" w:space="0" w:color="auto"/>
              <w:left w:val="nil"/>
              <w:bottom w:val="nil"/>
              <w:right w:val="nil"/>
            </w:tcBorders>
            <w:shd w:val="clear" w:color="auto" w:fill="auto"/>
            <w:vAlign w:val="bottom"/>
          </w:tcPr>
          <w:p w14:paraId="622856D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8,073</w:t>
            </w:r>
          </w:p>
        </w:tc>
        <w:tc>
          <w:tcPr>
            <w:tcW w:w="494" w:type="pct"/>
            <w:tcBorders>
              <w:top w:val="single" w:sz="4" w:space="0" w:color="auto"/>
              <w:left w:val="nil"/>
              <w:bottom w:val="nil"/>
              <w:right w:val="nil"/>
            </w:tcBorders>
            <w:shd w:val="clear" w:color="auto" w:fill="auto"/>
            <w:vAlign w:val="bottom"/>
          </w:tcPr>
          <w:p w14:paraId="409969D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508</w:t>
            </w:r>
          </w:p>
        </w:tc>
        <w:tc>
          <w:tcPr>
            <w:tcW w:w="605" w:type="pct"/>
            <w:tcBorders>
              <w:top w:val="single" w:sz="4" w:space="0" w:color="auto"/>
              <w:left w:val="nil"/>
              <w:bottom w:val="nil"/>
              <w:right w:val="nil"/>
            </w:tcBorders>
            <w:shd w:val="clear" w:color="auto" w:fill="auto"/>
            <w:vAlign w:val="bottom"/>
          </w:tcPr>
          <w:p w14:paraId="587DA21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24,949</w:t>
            </w:r>
          </w:p>
        </w:tc>
        <w:tc>
          <w:tcPr>
            <w:tcW w:w="381" w:type="pct"/>
            <w:tcBorders>
              <w:top w:val="single" w:sz="4" w:space="0" w:color="auto"/>
              <w:left w:val="nil"/>
              <w:bottom w:val="nil"/>
              <w:right w:val="nil"/>
            </w:tcBorders>
            <w:vAlign w:val="bottom"/>
          </w:tcPr>
          <w:p w14:paraId="66BF148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87" w:type="pct"/>
            <w:tcBorders>
              <w:top w:val="single" w:sz="4" w:space="0" w:color="auto"/>
              <w:left w:val="nil"/>
              <w:bottom w:val="nil"/>
              <w:right w:val="nil"/>
            </w:tcBorders>
            <w:shd w:val="clear" w:color="auto" w:fill="auto"/>
            <w:vAlign w:val="bottom"/>
          </w:tcPr>
          <w:p w14:paraId="4B84762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16,359</w:t>
            </w:r>
          </w:p>
        </w:tc>
        <w:tc>
          <w:tcPr>
            <w:tcW w:w="420" w:type="pct"/>
            <w:tcBorders>
              <w:top w:val="single" w:sz="4" w:space="0" w:color="auto"/>
              <w:left w:val="nil"/>
              <w:bottom w:val="nil"/>
              <w:right w:val="nil"/>
            </w:tcBorders>
            <w:shd w:val="clear" w:color="auto" w:fill="auto"/>
            <w:vAlign w:val="bottom"/>
          </w:tcPr>
          <w:p w14:paraId="33B4DB6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49,889</w:t>
            </w:r>
          </w:p>
        </w:tc>
      </w:tr>
      <w:tr w:rsidR="00891B3A" w:rsidRPr="00C67A93" w14:paraId="524D9B27" w14:textId="77777777" w:rsidTr="00891B3A">
        <w:trPr>
          <w:trHeight w:val="211"/>
        </w:trPr>
        <w:tc>
          <w:tcPr>
            <w:tcW w:w="2220" w:type="pct"/>
            <w:tcBorders>
              <w:left w:val="nil"/>
              <w:bottom w:val="nil"/>
              <w:right w:val="nil"/>
            </w:tcBorders>
            <w:shd w:val="clear" w:color="auto" w:fill="auto"/>
            <w:noWrap/>
            <w:vAlign w:val="bottom"/>
          </w:tcPr>
          <w:p w14:paraId="53513BF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p>
        </w:tc>
        <w:tc>
          <w:tcPr>
            <w:tcW w:w="392" w:type="pct"/>
            <w:tcBorders>
              <w:top w:val="single" w:sz="4" w:space="0" w:color="auto"/>
              <w:left w:val="nil"/>
              <w:right w:val="nil"/>
            </w:tcBorders>
            <w:shd w:val="clear" w:color="auto" w:fill="auto"/>
            <w:vAlign w:val="bottom"/>
          </w:tcPr>
          <w:p w14:paraId="6E7592F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94" w:type="pct"/>
            <w:tcBorders>
              <w:top w:val="single" w:sz="4" w:space="0" w:color="auto"/>
              <w:left w:val="nil"/>
              <w:right w:val="nil"/>
            </w:tcBorders>
            <w:shd w:val="clear" w:color="auto" w:fill="auto"/>
            <w:vAlign w:val="bottom"/>
          </w:tcPr>
          <w:p w14:paraId="2F942F0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605" w:type="pct"/>
            <w:tcBorders>
              <w:top w:val="single" w:sz="4" w:space="0" w:color="auto"/>
              <w:left w:val="nil"/>
              <w:right w:val="nil"/>
            </w:tcBorders>
            <w:shd w:val="clear" w:color="auto" w:fill="auto"/>
            <w:vAlign w:val="bottom"/>
          </w:tcPr>
          <w:p w14:paraId="62DDE26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381" w:type="pct"/>
            <w:tcBorders>
              <w:top w:val="single" w:sz="4" w:space="0" w:color="auto"/>
              <w:left w:val="nil"/>
              <w:right w:val="nil"/>
            </w:tcBorders>
            <w:vAlign w:val="bottom"/>
          </w:tcPr>
          <w:p w14:paraId="7543A41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87" w:type="pct"/>
            <w:tcBorders>
              <w:top w:val="single" w:sz="4" w:space="0" w:color="auto"/>
              <w:left w:val="nil"/>
              <w:right w:val="nil"/>
            </w:tcBorders>
            <w:shd w:val="clear" w:color="auto" w:fill="auto"/>
            <w:vAlign w:val="bottom"/>
          </w:tcPr>
          <w:p w14:paraId="3EFA1CC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20" w:type="pct"/>
            <w:tcBorders>
              <w:top w:val="single" w:sz="4" w:space="0" w:color="auto"/>
              <w:left w:val="nil"/>
              <w:right w:val="nil"/>
            </w:tcBorders>
            <w:shd w:val="clear" w:color="auto" w:fill="auto"/>
            <w:vAlign w:val="bottom"/>
          </w:tcPr>
          <w:p w14:paraId="1C2F013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r>
      <w:tr w:rsidR="00891B3A" w:rsidRPr="00C67A93" w14:paraId="7F626234" w14:textId="77777777" w:rsidTr="00891B3A">
        <w:trPr>
          <w:trHeight w:val="211"/>
        </w:trPr>
        <w:tc>
          <w:tcPr>
            <w:tcW w:w="2220" w:type="pct"/>
            <w:tcBorders>
              <w:left w:val="nil"/>
              <w:bottom w:val="nil"/>
              <w:right w:val="nil"/>
            </w:tcBorders>
            <w:shd w:val="clear" w:color="auto" w:fill="auto"/>
            <w:noWrap/>
            <w:vAlign w:val="bottom"/>
          </w:tcPr>
          <w:p w14:paraId="064605A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 xml:space="preserve">Contributions by and distributions </w:t>
            </w:r>
            <w:r w:rsidRPr="00C67A93">
              <w:rPr>
                <w:rFonts w:ascii="Arial" w:eastAsia="Times New Roman" w:hAnsi="Arial" w:cs="Arial"/>
                <w:b/>
                <w:bCs/>
                <w:sz w:val="19"/>
                <w:szCs w:val="19"/>
                <w:lang w:val="en-SG" w:eastAsia="en-SG"/>
              </w:rPr>
              <w:br/>
              <w:t>to shareholders</w:t>
            </w:r>
          </w:p>
        </w:tc>
        <w:tc>
          <w:tcPr>
            <w:tcW w:w="392" w:type="pct"/>
            <w:tcBorders>
              <w:left w:val="nil"/>
              <w:right w:val="nil"/>
            </w:tcBorders>
            <w:shd w:val="clear" w:color="auto" w:fill="auto"/>
            <w:vAlign w:val="bottom"/>
          </w:tcPr>
          <w:p w14:paraId="4753B36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94" w:type="pct"/>
            <w:tcBorders>
              <w:left w:val="nil"/>
              <w:right w:val="nil"/>
            </w:tcBorders>
            <w:shd w:val="clear" w:color="auto" w:fill="auto"/>
            <w:vAlign w:val="bottom"/>
          </w:tcPr>
          <w:p w14:paraId="711576A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605" w:type="pct"/>
            <w:tcBorders>
              <w:left w:val="nil"/>
              <w:right w:val="nil"/>
            </w:tcBorders>
            <w:shd w:val="clear" w:color="auto" w:fill="auto"/>
            <w:vAlign w:val="bottom"/>
          </w:tcPr>
          <w:p w14:paraId="5F763D3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381" w:type="pct"/>
            <w:tcBorders>
              <w:left w:val="nil"/>
              <w:right w:val="nil"/>
            </w:tcBorders>
            <w:vAlign w:val="bottom"/>
          </w:tcPr>
          <w:p w14:paraId="5617185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87" w:type="pct"/>
            <w:tcBorders>
              <w:left w:val="nil"/>
              <w:right w:val="nil"/>
            </w:tcBorders>
            <w:shd w:val="clear" w:color="auto" w:fill="auto"/>
            <w:vAlign w:val="bottom"/>
          </w:tcPr>
          <w:p w14:paraId="4F0E4FC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c>
          <w:tcPr>
            <w:tcW w:w="420" w:type="pct"/>
            <w:tcBorders>
              <w:left w:val="nil"/>
              <w:right w:val="nil"/>
            </w:tcBorders>
            <w:shd w:val="clear" w:color="auto" w:fill="auto"/>
            <w:vAlign w:val="bottom"/>
          </w:tcPr>
          <w:p w14:paraId="73181EC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p>
        </w:tc>
      </w:tr>
      <w:tr w:rsidR="00891B3A" w:rsidRPr="00C67A93" w14:paraId="54BA2370" w14:textId="77777777" w:rsidTr="00891B3A">
        <w:trPr>
          <w:trHeight w:val="211"/>
        </w:trPr>
        <w:tc>
          <w:tcPr>
            <w:tcW w:w="2220" w:type="pct"/>
            <w:tcBorders>
              <w:left w:val="nil"/>
              <w:bottom w:val="nil"/>
              <w:right w:val="nil"/>
            </w:tcBorders>
            <w:shd w:val="clear" w:color="auto" w:fill="auto"/>
            <w:noWrap/>
            <w:vAlign w:val="bottom"/>
          </w:tcPr>
          <w:p w14:paraId="7C5E6CE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sz w:val="19"/>
                <w:szCs w:val="19"/>
                <w:lang w:val="en-SG" w:eastAsia="en-SG"/>
              </w:rPr>
              <w:t>Share-based payments</w:t>
            </w:r>
          </w:p>
        </w:tc>
        <w:tc>
          <w:tcPr>
            <w:tcW w:w="392" w:type="pct"/>
            <w:tcBorders>
              <w:left w:val="nil"/>
              <w:bottom w:val="nil"/>
              <w:right w:val="nil"/>
            </w:tcBorders>
            <w:shd w:val="clear" w:color="auto" w:fill="auto"/>
            <w:vAlign w:val="bottom"/>
          </w:tcPr>
          <w:p w14:paraId="4D840E0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94" w:type="pct"/>
            <w:tcBorders>
              <w:left w:val="nil"/>
              <w:bottom w:val="nil"/>
              <w:right w:val="nil"/>
            </w:tcBorders>
            <w:shd w:val="clear" w:color="auto" w:fill="auto"/>
            <w:vAlign w:val="bottom"/>
          </w:tcPr>
          <w:p w14:paraId="5E1A894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605" w:type="pct"/>
            <w:tcBorders>
              <w:left w:val="nil"/>
              <w:bottom w:val="nil"/>
              <w:right w:val="nil"/>
            </w:tcBorders>
            <w:shd w:val="clear" w:color="auto" w:fill="auto"/>
            <w:vAlign w:val="bottom"/>
          </w:tcPr>
          <w:p w14:paraId="3B11D3E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381" w:type="pct"/>
            <w:tcBorders>
              <w:left w:val="nil"/>
              <w:bottom w:val="nil"/>
              <w:right w:val="nil"/>
            </w:tcBorders>
            <w:vAlign w:val="bottom"/>
          </w:tcPr>
          <w:p w14:paraId="35FBB7C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87" w:type="pct"/>
            <w:tcBorders>
              <w:left w:val="nil"/>
              <w:bottom w:val="nil"/>
              <w:right w:val="nil"/>
            </w:tcBorders>
            <w:shd w:val="clear" w:color="auto" w:fill="auto"/>
            <w:vAlign w:val="bottom"/>
          </w:tcPr>
          <w:p w14:paraId="14C5821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20" w:type="pct"/>
            <w:tcBorders>
              <w:left w:val="nil"/>
              <w:bottom w:val="nil"/>
              <w:right w:val="nil"/>
            </w:tcBorders>
            <w:shd w:val="clear" w:color="auto" w:fill="auto"/>
            <w:vAlign w:val="bottom"/>
          </w:tcPr>
          <w:p w14:paraId="781B91E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r>
      <w:tr w:rsidR="00891B3A" w:rsidRPr="00C67A93" w14:paraId="491FDE77" w14:textId="77777777" w:rsidTr="00891B3A">
        <w:trPr>
          <w:trHeight w:val="211"/>
        </w:trPr>
        <w:tc>
          <w:tcPr>
            <w:tcW w:w="2220" w:type="pct"/>
            <w:tcBorders>
              <w:top w:val="nil"/>
              <w:left w:val="nil"/>
              <w:bottom w:val="nil"/>
              <w:right w:val="nil"/>
            </w:tcBorders>
            <w:shd w:val="clear" w:color="auto" w:fill="auto"/>
            <w:noWrap/>
            <w:vAlign w:val="bottom"/>
          </w:tcPr>
          <w:p w14:paraId="03EE60B9"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Dividends</w:t>
            </w:r>
          </w:p>
        </w:tc>
        <w:tc>
          <w:tcPr>
            <w:tcW w:w="392" w:type="pct"/>
            <w:tcBorders>
              <w:top w:val="nil"/>
              <w:left w:val="nil"/>
              <w:bottom w:val="nil"/>
              <w:right w:val="nil"/>
            </w:tcBorders>
            <w:shd w:val="clear" w:color="auto" w:fill="auto"/>
            <w:vAlign w:val="bottom"/>
          </w:tcPr>
          <w:p w14:paraId="6B01554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94" w:type="pct"/>
            <w:tcBorders>
              <w:top w:val="nil"/>
              <w:left w:val="nil"/>
              <w:bottom w:val="nil"/>
              <w:right w:val="nil"/>
            </w:tcBorders>
            <w:shd w:val="clear" w:color="auto" w:fill="auto"/>
            <w:vAlign w:val="bottom"/>
          </w:tcPr>
          <w:p w14:paraId="2D32386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605" w:type="pct"/>
            <w:tcBorders>
              <w:top w:val="nil"/>
              <w:left w:val="nil"/>
              <w:bottom w:val="nil"/>
              <w:right w:val="nil"/>
            </w:tcBorders>
            <w:shd w:val="clear" w:color="auto" w:fill="auto"/>
            <w:vAlign w:val="bottom"/>
          </w:tcPr>
          <w:p w14:paraId="7AA986C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381" w:type="pct"/>
            <w:tcBorders>
              <w:top w:val="nil"/>
              <w:left w:val="nil"/>
              <w:bottom w:val="nil"/>
              <w:right w:val="nil"/>
            </w:tcBorders>
          </w:tcPr>
          <w:p w14:paraId="54A45A3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87" w:type="pct"/>
            <w:tcBorders>
              <w:top w:val="nil"/>
              <w:left w:val="nil"/>
              <w:bottom w:val="nil"/>
              <w:right w:val="nil"/>
            </w:tcBorders>
            <w:shd w:val="clear" w:color="auto" w:fill="auto"/>
            <w:vAlign w:val="bottom"/>
          </w:tcPr>
          <w:p w14:paraId="40257BE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(3,431)</w:t>
            </w:r>
          </w:p>
        </w:tc>
        <w:tc>
          <w:tcPr>
            <w:tcW w:w="420" w:type="pct"/>
            <w:tcBorders>
              <w:top w:val="nil"/>
              <w:left w:val="nil"/>
              <w:bottom w:val="nil"/>
              <w:right w:val="nil"/>
            </w:tcBorders>
            <w:shd w:val="clear" w:color="auto" w:fill="auto"/>
            <w:vAlign w:val="bottom"/>
          </w:tcPr>
          <w:p w14:paraId="790ED57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(3,431)</w:t>
            </w:r>
          </w:p>
        </w:tc>
      </w:tr>
      <w:tr w:rsidR="00891B3A" w:rsidRPr="00C67A93" w14:paraId="07DB7E82" w14:textId="77777777" w:rsidTr="00891B3A">
        <w:trPr>
          <w:trHeight w:val="282"/>
        </w:trPr>
        <w:tc>
          <w:tcPr>
            <w:tcW w:w="2220" w:type="pct"/>
            <w:tcBorders>
              <w:left w:val="nil"/>
              <w:right w:val="nil"/>
            </w:tcBorders>
            <w:shd w:val="clear" w:color="auto" w:fill="auto"/>
            <w:noWrap/>
            <w:vAlign w:val="bottom"/>
            <w:hideMark/>
          </w:tcPr>
          <w:p w14:paraId="66A669E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r w:rsidRPr="00C67A93">
              <w:rPr>
                <w:rFonts w:ascii="Arial" w:eastAsia="Times New Roman" w:hAnsi="Arial" w:cs="Arial"/>
                <w:b/>
                <w:bCs/>
                <w:sz w:val="19"/>
                <w:szCs w:val="19"/>
                <w:lang w:val="en-SG" w:eastAsia="en-SG"/>
              </w:rPr>
              <w:t>Balance at 30 June 2020</w:t>
            </w:r>
          </w:p>
        </w:tc>
        <w:tc>
          <w:tcPr>
            <w:tcW w:w="392" w:type="pct"/>
            <w:tcBorders>
              <w:top w:val="single" w:sz="4" w:space="0" w:color="auto"/>
              <w:left w:val="nil"/>
              <w:bottom w:val="single" w:sz="4" w:space="0" w:color="auto"/>
              <w:right w:val="nil"/>
            </w:tcBorders>
            <w:shd w:val="clear" w:color="auto" w:fill="auto"/>
            <w:vAlign w:val="bottom"/>
            <w:hideMark/>
          </w:tcPr>
          <w:p w14:paraId="1939814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8,073</w:t>
            </w:r>
          </w:p>
        </w:tc>
        <w:tc>
          <w:tcPr>
            <w:tcW w:w="494" w:type="pct"/>
            <w:tcBorders>
              <w:top w:val="single" w:sz="4" w:space="0" w:color="auto"/>
              <w:left w:val="nil"/>
              <w:bottom w:val="single" w:sz="4" w:space="0" w:color="auto"/>
              <w:right w:val="nil"/>
            </w:tcBorders>
            <w:shd w:val="clear" w:color="auto" w:fill="auto"/>
            <w:vAlign w:val="bottom"/>
            <w:hideMark/>
          </w:tcPr>
          <w:p w14:paraId="4E209F9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508</w:t>
            </w:r>
          </w:p>
        </w:tc>
        <w:tc>
          <w:tcPr>
            <w:tcW w:w="605" w:type="pct"/>
            <w:tcBorders>
              <w:top w:val="single" w:sz="4" w:space="0" w:color="auto"/>
              <w:left w:val="nil"/>
              <w:bottom w:val="single" w:sz="4" w:space="0" w:color="auto"/>
              <w:right w:val="nil"/>
            </w:tcBorders>
            <w:shd w:val="clear" w:color="auto" w:fill="auto"/>
            <w:vAlign w:val="bottom"/>
            <w:hideMark/>
          </w:tcPr>
          <w:p w14:paraId="54980D5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24,949</w:t>
            </w:r>
          </w:p>
        </w:tc>
        <w:tc>
          <w:tcPr>
            <w:tcW w:w="381" w:type="pct"/>
            <w:tcBorders>
              <w:top w:val="single" w:sz="4" w:space="0" w:color="auto"/>
              <w:left w:val="nil"/>
              <w:bottom w:val="single" w:sz="4" w:space="0" w:color="auto"/>
              <w:right w:val="nil"/>
            </w:tcBorders>
          </w:tcPr>
          <w:p w14:paraId="6843E0F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w:t>
            </w:r>
          </w:p>
        </w:tc>
        <w:tc>
          <w:tcPr>
            <w:tcW w:w="487" w:type="pct"/>
            <w:tcBorders>
              <w:top w:val="single" w:sz="4" w:space="0" w:color="auto"/>
              <w:left w:val="nil"/>
              <w:bottom w:val="single" w:sz="4" w:space="0" w:color="auto"/>
              <w:right w:val="nil"/>
            </w:tcBorders>
            <w:shd w:val="clear" w:color="auto" w:fill="auto"/>
            <w:vAlign w:val="bottom"/>
            <w:hideMark/>
          </w:tcPr>
          <w:p w14:paraId="0F1A96A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12,928</w:t>
            </w:r>
          </w:p>
        </w:tc>
        <w:tc>
          <w:tcPr>
            <w:tcW w:w="420" w:type="pct"/>
            <w:tcBorders>
              <w:top w:val="single" w:sz="4" w:space="0" w:color="auto"/>
              <w:left w:val="nil"/>
              <w:bottom w:val="single" w:sz="4" w:space="0" w:color="auto"/>
              <w:right w:val="nil"/>
            </w:tcBorders>
            <w:shd w:val="clear" w:color="auto" w:fill="auto"/>
            <w:vAlign w:val="bottom"/>
            <w:hideMark/>
          </w:tcPr>
          <w:p w14:paraId="0A12A1F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19"/>
                <w:szCs w:val="19"/>
                <w:lang w:val="en-SG" w:eastAsia="en-SG"/>
              </w:rPr>
            </w:pPr>
            <w:r w:rsidRPr="00C67A93">
              <w:rPr>
                <w:rFonts w:ascii="Arial" w:eastAsia="Times New Roman" w:hAnsi="Arial" w:cs="Arial"/>
                <w:sz w:val="19"/>
                <w:szCs w:val="19"/>
                <w:lang w:val="en-SG" w:eastAsia="en-SG"/>
              </w:rPr>
              <w:t>46,458</w:t>
            </w:r>
          </w:p>
        </w:tc>
      </w:tr>
      <w:tr w:rsidR="00891B3A" w:rsidRPr="00C67A93" w14:paraId="5835110B" w14:textId="77777777" w:rsidTr="00891B3A">
        <w:trPr>
          <w:trHeight w:val="282"/>
        </w:trPr>
        <w:tc>
          <w:tcPr>
            <w:tcW w:w="2220" w:type="pct"/>
            <w:tcBorders>
              <w:left w:val="nil"/>
              <w:right w:val="nil"/>
            </w:tcBorders>
            <w:shd w:val="clear" w:color="auto" w:fill="auto"/>
            <w:noWrap/>
            <w:vAlign w:val="bottom"/>
          </w:tcPr>
          <w:p w14:paraId="0A91008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19"/>
                <w:szCs w:val="19"/>
                <w:lang w:val="en-SG" w:eastAsia="en-SG"/>
              </w:rPr>
            </w:pPr>
          </w:p>
        </w:tc>
        <w:tc>
          <w:tcPr>
            <w:tcW w:w="392" w:type="pct"/>
            <w:tcBorders>
              <w:top w:val="single" w:sz="4" w:space="0" w:color="auto"/>
              <w:left w:val="nil"/>
              <w:right w:val="nil"/>
            </w:tcBorders>
            <w:shd w:val="clear" w:color="auto" w:fill="auto"/>
            <w:vAlign w:val="bottom"/>
          </w:tcPr>
          <w:p w14:paraId="77CE9AA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94" w:type="pct"/>
            <w:tcBorders>
              <w:top w:val="single" w:sz="4" w:space="0" w:color="auto"/>
              <w:left w:val="nil"/>
              <w:right w:val="nil"/>
            </w:tcBorders>
            <w:shd w:val="clear" w:color="auto" w:fill="auto"/>
            <w:vAlign w:val="bottom"/>
          </w:tcPr>
          <w:p w14:paraId="4C0EECE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605" w:type="pct"/>
            <w:tcBorders>
              <w:top w:val="single" w:sz="4" w:space="0" w:color="auto"/>
              <w:left w:val="nil"/>
              <w:right w:val="nil"/>
            </w:tcBorders>
            <w:shd w:val="clear" w:color="auto" w:fill="auto"/>
            <w:vAlign w:val="bottom"/>
          </w:tcPr>
          <w:p w14:paraId="73A4233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381" w:type="pct"/>
            <w:tcBorders>
              <w:top w:val="single" w:sz="4" w:space="0" w:color="auto"/>
              <w:left w:val="nil"/>
              <w:right w:val="nil"/>
            </w:tcBorders>
          </w:tcPr>
          <w:p w14:paraId="7AE84DD2" w14:textId="77777777" w:rsidR="00891B3A" w:rsidRPr="00C67A93" w:rsidDel="006B6169"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87" w:type="pct"/>
            <w:tcBorders>
              <w:top w:val="single" w:sz="4" w:space="0" w:color="auto"/>
              <w:left w:val="nil"/>
              <w:right w:val="nil"/>
            </w:tcBorders>
            <w:shd w:val="clear" w:color="auto" w:fill="auto"/>
            <w:vAlign w:val="bottom"/>
          </w:tcPr>
          <w:p w14:paraId="3CFE64E7" w14:textId="77777777" w:rsidR="00891B3A" w:rsidRPr="00C67A93" w:rsidDel="006B6169"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c>
          <w:tcPr>
            <w:tcW w:w="420" w:type="pct"/>
            <w:tcBorders>
              <w:top w:val="single" w:sz="4" w:space="0" w:color="auto"/>
              <w:left w:val="nil"/>
              <w:right w:val="nil"/>
            </w:tcBorders>
            <w:shd w:val="clear" w:color="auto" w:fill="auto"/>
            <w:vAlign w:val="bottom"/>
          </w:tcPr>
          <w:p w14:paraId="0671D64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p>
        </w:tc>
      </w:tr>
    </w:tbl>
    <w:p w14:paraId="06DBAAE4" w14:textId="77777777" w:rsidR="00891B3A" w:rsidRPr="00C67A93" w:rsidRDefault="00891B3A" w:rsidP="00891B3A">
      <w:pPr>
        <w:shd w:val="clear" w:color="auto" w:fill="FFFFFF"/>
        <w:rPr>
          <w:rFonts w:ascii="Arial" w:hAnsi="Arial" w:cs="Arial"/>
        </w:rPr>
      </w:pPr>
    </w:p>
    <w:p w14:paraId="3437A2C7" w14:textId="2E338828" w:rsidR="00891B3A" w:rsidRPr="00C67A93" w:rsidRDefault="00891B3A" w:rsidP="00891B3A">
      <w:pPr>
        <w:shd w:val="clear" w:color="auto" w:fill="FFFFFF"/>
        <w:rPr>
          <w:rFonts w:ascii="Arial" w:hAnsi="Arial" w:cs="Arial"/>
        </w:rPr>
      </w:pPr>
      <w:r w:rsidRPr="00C67A93">
        <w:rPr>
          <w:rFonts w:ascii="Arial" w:hAnsi="Arial" w:cs="Arial"/>
        </w:rPr>
        <w:t xml:space="preserve">The notes </w:t>
      </w:r>
      <w:r w:rsidR="00347F0B">
        <w:rPr>
          <w:rFonts w:ascii="Arial" w:hAnsi="Arial" w:cs="Arial"/>
        </w:rPr>
        <w:t xml:space="preserve">on pages 21 to 35 form </w:t>
      </w:r>
      <w:r w:rsidRPr="00C67A93">
        <w:rPr>
          <w:rFonts w:ascii="Arial" w:hAnsi="Arial" w:cs="Arial"/>
        </w:rPr>
        <w:t>part of these Financial Statements.</w:t>
      </w:r>
    </w:p>
    <w:p w14:paraId="556C7DBD" w14:textId="77777777" w:rsidR="00891B3A" w:rsidRPr="00C67A93" w:rsidRDefault="00891B3A" w:rsidP="00891B3A">
      <w:pPr>
        <w:shd w:val="clear" w:color="auto" w:fill="FFFFFF"/>
        <w:rPr>
          <w:rFonts w:ascii="Arial" w:hAnsi="Arial" w:cs="Arial"/>
          <w:sz w:val="24"/>
          <w:szCs w:val="24"/>
        </w:rPr>
      </w:pPr>
    </w:p>
    <w:p w14:paraId="69284D9C" w14:textId="77777777" w:rsidR="00891B3A" w:rsidRDefault="00891B3A" w:rsidP="00891B3A">
      <w:pPr>
        <w:shd w:val="clear" w:color="auto" w:fill="FFFFFF"/>
        <w:rPr>
          <w:rFonts w:ascii="Arial" w:hAnsi="Arial" w:cs="Arial"/>
          <w:b/>
          <w:bCs/>
          <w:w w:val="125"/>
          <w:sz w:val="32"/>
          <w:szCs w:val="32"/>
        </w:rPr>
      </w:pPr>
      <w:bookmarkStart w:id="3" w:name="_TOC_250003"/>
    </w:p>
    <w:p w14:paraId="2053ECDF" w14:textId="77777777" w:rsidR="00891B3A" w:rsidRDefault="00891B3A" w:rsidP="00891B3A">
      <w:pPr>
        <w:shd w:val="clear" w:color="auto" w:fill="FFFFFF"/>
        <w:rPr>
          <w:rFonts w:ascii="Arial" w:hAnsi="Arial" w:cs="Arial"/>
          <w:b/>
          <w:bCs/>
          <w:w w:val="125"/>
          <w:sz w:val="32"/>
          <w:szCs w:val="32"/>
        </w:rPr>
      </w:pPr>
    </w:p>
    <w:p w14:paraId="3E20A682" w14:textId="4A364DCF" w:rsidR="00891B3A" w:rsidRPr="00C67A93" w:rsidRDefault="00891B3A" w:rsidP="00891B3A">
      <w:pPr>
        <w:shd w:val="clear" w:color="auto" w:fill="FFFFFF"/>
        <w:rPr>
          <w:rFonts w:ascii="Arial" w:hAnsi="Arial" w:cs="Arial"/>
          <w:b/>
          <w:bCs/>
          <w:w w:val="125"/>
          <w:sz w:val="32"/>
          <w:szCs w:val="32"/>
        </w:rPr>
        <w:sectPr w:rsidR="00891B3A" w:rsidRPr="00C67A93" w:rsidSect="00B07AC1">
          <w:pgSz w:w="11906" w:h="16838"/>
          <w:pgMar w:top="1440" w:right="1418" w:bottom="1440" w:left="1418" w:header="720" w:footer="720" w:gutter="0"/>
          <w:cols w:space="720"/>
        </w:sectPr>
      </w:pPr>
    </w:p>
    <w:p w14:paraId="05A0A3D2" w14:textId="77777777" w:rsidR="00891B3A" w:rsidRPr="00C67A93" w:rsidRDefault="00891B3A" w:rsidP="00891B3A">
      <w:pPr>
        <w:shd w:val="clear" w:color="auto" w:fill="FFFFFF"/>
        <w:spacing w:after="160" w:line="240" w:lineRule="auto"/>
        <w:rPr>
          <w:rFonts w:ascii="Arial" w:hAnsi="Arial" w:cs="Arial"/>
          <w:sz w:val="20"/>
          <w:szCs w:val="20"/>
        </w:rPr>
      </w:pPr>
      <w:r w:rsidRPr="00C67A93">
        <w:rPr>
          <w:rFonts w:ascii="Arial" w:hAnsi="Arial" w:cs="Arial"/>
          <w:b/>
          <w:bCs/>
          <w:w w:val="125"/>
          <w:sz w:val="30"/>
          <w:szCs w:val="30"/>
        </w:rPr>
        <w:lastRenderedPageBreak/>
        <w:t xml:space="preserve">Condensed </w:t>
      </w:r>
      <w:r>
        <w:rPr>
          <w:rFonts w:ascii="Arial" w:hAnsi="Arial" w:cs="Arial"/>
          <w:b/>
          <w:bCs/>
          <w:color w:val="000000"/>
          <w:w w:val="125"/>
          <w:sz w:val="30"/>
          <w:szCs w:val="30"/>
        </w:rPr>
        <w:t>C</w:t>
      </w:r>
      <w:r w:rsidRPr="00C67A93">
        <w:rPr>
          <w:rFonts w:ascii="Arial" w:hAnsi="Arial" w:cs="Arial"/>
          <w:b/>
          <w:bCs/>
          <w:w w:val="125"/>
          <w:sz w:val="30"/>
          <w:szCs w:val="30"/>
        </w:rPr>
        <w:t xml:space="preserve">ash </w:t>
      </w:r>
      <w:r>
        <w:rPr>
          <w:rFonts w:ascii="Arial" w:hAnsi="Arial" w:cs="Arial"/>
          <w:b/>
          <w:bCs/>
          <w:w w:val="125"/>
          <w:sz w:val="30"/>
          <w:szCs w:val="30"/>
        </w:rPr>
        <w:t>F</w:t>
      </w:r>
      <w:r w:rsidRPr="00C67A93">
        <w:rPr>
          <w:rFonts w:ascii="Arial" w:hAnsi="Arial" w:cs="Arial"/>
          <w:b/>
          <w:bCs/>
          <w:w w:val="125"/>
          <w:sz w:val="30"/>
          <w:szCs w:val="30"/>
        </w:rPr>
        <w:t xml:space="preserve">low </w:t>
      </w:r>
      <w:r>
        <w:rPr>
          <w:rFonts w:ascii="Arial" w:hAnsi="Arial" w:cs="Arial"/>
          <w:b/>
          <w:bCs/>
          <w:w w:val="125"/>
          <w:sz w:val="30"/>
          <w:szCs w:val="30"/>
        </w:rPr>
        <w:t>S</w:t>
      </w:r>
      <w:r w:rsidRPr="00C67A93">
        <w:rPr>
          <w:rFonts w:ascii="Arial" w:hAnsi="Arial" w:cs="Arial"/>
          <w:b/>
          <w:bCs/>
          <w:w w:val="125"/>
          <w:sz w:val="30"/>
          <w:szCs w:val="30"/>
        </w:rPr>
        <w:t>tatement</w:t>
      </w:r>
      <w:bookmarkEnd w:id="3"/>
    </w:p>
    <w:p w14:paraId="7EB9538D" w14:textId="77777777" w:rsidR="00891B3A" w:rsidRPr="00C67A93" w:rsidRDefault="00891B3A" w:rsidP="00891B3A">
      <w:pPr>
        <w:shd w:val="clear" w:color="auto" w:fill="FFFFFF"/>
        <w:rPr>
          <w:rFonts w:ascii="Arial" w:hAnsi="Arial" w:cs="Arial"/>
        </w:rPr>
      </w:pPr>
    </w:p>
    <w:tbl>
      <w:tblPr>
        <w:tblW w:w="5000" w:type="pct"/>
        <w:tblLook w:val="04A0" w:firstRow="1" w:lastRow="0" w:firstColumn="1" w:lastColumn="0" w:noHBand="0" w:noVBand="1"/>
      </w:tblPr>
      <w:tblGrid>
        <w:gridCol w:w="5304"/>
        <w:gridCol w:w="828"/>
        <w:gridCol w:w="1549"/>
        <w:gridCol w:w="1389"/>
      </w:tblGrid>
      <w:tr w:rsidR="00891B3A" w:rsidRPr="00C67A93" w14:paraId="73A66EB2" w14:textId="77777777" w:rsidTr="00891B3A">
        <w:trPr>
          <w:trHeight w:val="255"/>
        </w:trPr>
        <w:tc>
          <w:tcPr>
            <w:tcW w:w="2926" w:type="pct"/>
            <w:tcBorders>
              <w:top w:val="nil"/>
              <w:left w:val="nil"/>
              <w:right w:val="nil"/>
            </w:tcBorders>
            <w:shd w:val="clear" w:color="000000" w:fill="FFFFFF"/>
            <w:noWrap/>
            <w:vAlign w:val="bottom"/>
            <w:hideMark/>
          </w:tcPr>
          <w:p w14:paraId="26C7452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 </w:t>
            </w:r>
          </w:p>
        </w:tc>
        <w:tc>
          <w:tcPr>
            <w:tcW w:w="450" w:type="pct"/>
            <w:tcBorders>
              <w:top w:val="nil"/>
              <w:left w:val="nil"/>
              <w:right w:val="nil"/>
            </w:tcBorders>
            <w:shd w:val="clear" w:color="000000" w:fill="FFFFFF"/>
            <w:noWrap/>
            <w:vAlign w:val="bottom"/>
            <w:hideMark/>
          </w:tcPr>
          <w:p w14:paraId="45B3D509"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624" w:type="pct"/>
            <w:gridSpan w:val="2"/>
            <w:tcBorders>
              <w:top w:val="nil"/>
              <w:left w:val="nil"/>
              <w:bottom w:val="single" w:sz="4" w:space="0" w:color="auto"/>
              <w:right w:val="nil"/>
            </w:tcBorders>
            <w:shd w:val="clear" w:color="auto" w:fill="auto"/>
            <w:noWrap/>
            <w:vAlign w:val="center"/>
            <w:hideMark/>
          </w:tcPr>
          <w:p w14:paraId="1F00902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Six months ended 30 June</w:t>
            </w:r>
          </w:p>
        </w:tc>
      </w:tr>
      <w:tr w:rsidR="00891B3A" w:rsidRPr="00C67A93" w14:paraId="727876DE" w14:textId="77777777" w:rsidTr="00891B3A">
        <w:trPr>
          <w:trHeight w:val="282"/>
        </w:trPr>
        <w:tc>
          <w:tcPr>
            <w:tcW w:w="2926" w:type="pct"/>
            <w:tcBorders>
              <w:top w:val="nil"/>
              <w:left w:val="nil"/>
              <w:bottom w:val="nil"/>
              <w:right w:val="nil"/>
            </w:tcBorders>
            <w:shd w:val="clear" w:color="000000" w:fill="FFFFFF"/>
            <w:noWrap/>
            <w:vAlign w:val="bottom"/>
            <w:hideMark/>
          </w:tcPr>
          <w:p w14:paraId="52F196A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000000"/>
                <w:sz w:val="20"/>
                <w:szCs w:val="20"/>
                <w:lang w:val="en-SG" w:eastAsia="en-SG"/>
              </w:rPr>
            </w:pPr>
            <w:r w:rsidRPr="00C67A93">
              <w:rPr>
                <w:rFonts w:ascii="Arial" w:eastAsia="Times New Roman" w:hAnsi="Arial" w:cs="Arial"/>
                <w:color w:val="000000"/>
                <w:sz w:val="20"/>
                <w:szCs w:val="20"/>
                <w:lang w:val="en-SG" w:eastAsia="en-SG"/>
              </w:rPr>
              <w:t> </w:t>
            </w:r>
          </w:p>
        </w:tc>
        <w:tc>
          <w:tcPr>
            <w:tcW w:w="450" w:type="pct"/>
            <w:tcBorders>
              <w:top w:val="nil"/>
              <w:left w:val="nil"/>
              <w:bottom w:val="nil"/>
              <w:right w:val="nil"/>
            </w:tcBorders>
            <w:shd w:val="clear" w:color="000000" w:fill="FFFFFF"/>
            <w:vAlign w:val="bottom"/>
            <w:hideMark/>
          </w:tcPr>
          <w:p w14:paraId="192D6567"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 </w:t>
            </w:r>
          </w:p>
        </w:tc>
        <w:tc>
          <w:tcPr>
            <w:tcW w:w="856" w:type="pct"/>
            <w:tcBorders>
              <w:top w:val="single" w:sz="4" w:space="0" w:color="auto"/>
              <w:left w:val="nil"/>
              <w:bottom w:val="nil"/>
              <w:right w:val="nil"/>
            </w:tcBorders>
            <w:shd w:val="clear" w:color="auto" w:fill="FDE9D9" w:themeFill="accent6" w:themeFillTint="33"/>
            <w:vAlign w:val="bottom"/>
            <w:hideMark/>
          </w:tcPr>
          <w:p w14:paraId="7D97E6F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2021</w:t>
            </w:r>
          </w:p>
        </w:tc>
        <w:tc>
          <w:tcPr>
            <w:tcW w:w="768" w:type="pct"/>
            <w:tcBorders>
              <w:top w:val="single" w:sz="4" w:space="0" w:color="auto"/>
              <w:left w:val="nil"/>
              <w:bottom w:val="nil"/>
              <w:right w:val="nil"/>
            </w:tcBorders>
            <w:shd w:val="clear" w:color="auto" w:fill="auto"/>
            <w:vAlign w:val="bottom"/>
            <w:hideMark/>
          </w:tcPr>
          <w:p w14:paraId="4785C8E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2020</w:t>
            </w:r>
          </w:p>
        </w:tc>
      </w:tr>
      <w:tr w:rsidR="00891B3A" w:rsidRPr="00C67A93" w14:paraId="2E4BBC91" w14:textId="77777777" w:rsidTr="00891B3A">
        <w:trPr>
          <w:trHeight w:val="282"/>
        </w:trPr>
        <w:tc>
          <w:tcPr>
            <w:tcW w:w="2926" w:type="pct"/>
            <w:tcBorders>
              <w:top w:val="nil"/>
              <w:left w:val="nil"/>
              <w:bottom w:val="nil"/>
              <w:right w:val="nil"/>
            </w:tcBorders>
            <w:shd w:val="clear" w:color="000000" w:fill="FFFFFF"/>
            <w:noWrap/>
            <w:vAlign w:val="bottom"/>
            <w:hideMark/>
          </w:tcPr>
          <w:p w14:paraId="12750AA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50" w:type="pct"/>
            <w:tcBorders>
              <w:top w:val="nil"/>
              <w:left w:val="nil"/>
              <w:bottom w:val="nil"/>
              <w:right w:val="nil"/>
            </w:tcBorders>
            <w:shd w:val="clear" w:color="000000" w:fill="FFFFFF"/>
            <w:noWrap/>
            <w:vAlign w:val="bottom"/>
            <w:hideMark/>
          </w:tcPr>
          <w:p w14:paraId="2F2660A4"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Notes </w:t>
            </w:r>
          </w:p>
        </w:tc>
        <w:tc>
          <w:tcPr>
            <w:tcW w:w="856" w:type="pct"/>
            <w:tcBorders>
              <w:top w:val="nil"/>
              <w:left w:val="nil"/>
              <w:bottom w:val="nil"/>
              <w:right w:val="nil"/>
            </w:tcBorders>
            <w:shd w:val="clear" w:color="auto" w:fill="FDE9D9" w:themeFill="accent6" w:themeFillTint="33"/>
            <w:vAlign w:val="bottom"/>
            <w:hideMark/>
          </w:tcPr>
          <w:p w14:paraId="6E56415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£'000</w:t>
            </w:r>
          </w:p>
        </w:tc>
        <w:tc>
          <w:tcPr>
            <w:tcW w:w="768" w:type="pct"/>
            <w:tcBorders>
              <w:top w:val="nil"/>
              <w:left w:val="nil"/>
              <w:bottom w:val="nil"/>
              <w:right w:val="nil"/>
            </w:tcBorders>
            <w:shd w:val="clear" w:color="auto" w:fill="auto"/>
            <w:vAlign w:val="bottom"/>
            <w:hideMark/>
          </w:tcPr>
          <w:p w14:paraId="7E16085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£'000</w:t>
            </w:r>
          </w:p>
        </w:tc>
      </w:tr>
      <w:tr w:rsidR="00891B3A" w:rsidRPr="00C67A93" w14:paraId="7B93E5D6" w14:textId="77777777" w:rsidTr="00891B3A">
        <w:trPr>
          <w:trHeight w:val="282"/>
        </w:trPr>
        <w:tc>
          <w:tcPr>
            <w:tcW w:w="2926" w:type="pct"/>
            <w:tcBorders>
              <w:top w:val="single" w:sz="4" w:space="0" w:color="auto"/>
              <w:left w:val="nil"/>
              <w:bottom w:val="nil"/>
              <w:right w:val="nil"/>
            </w:tcBorders>
            <w:shd w:val="clear" w:color="000000" w:fill="FFFFFF"/>
            <w:noWrap/>
            <w:vAlign w:val="bottom"/>
            <w:hideMark/>
          </w:tcPr>
          <w:p w14:paraId="2A8DC5F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Cash flows from operating activities</w:t>
            </w:r>
          </w:p>
        </w:tc>
        <w:tc>
          <w:tcPr>
            <w:tcW w:w="450" w:type="pct"/>
            <w:tcBorders>
              <w:top w:val="single" w:sz="4" w:space="0" w:color="auto"/>
              <w:left w:val="nil"/>
              <w:bottom w:val="nil"/>
              <w:right w:val="nil"/>
            </w:tcBorders>
            <w:shd w:val="clear" w:color="000000" w:fill="FFFFFF"/>
            <w:noWrap/>
            <w:vAlign w:val="bottom"/>
            <w:hideMark/>
          </w:tcPr>
          <w:p w14:paraId="1BF1676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single" w:sz="4" w:space="0" w:color="auto"/>
              <w:left w:val="nil"/>
              <w:bottom w:val="nil"/>
              <w:right w:val="nil"/>
            </w:tcBorders>
            <w:shd w:val="clear" w:color="auto" w:fill="FDE9D9" w:themeFill="accent6" w:themeFillTint="33"/>
            <w:vAlign w:val="bottom"/>
            <w:hideMark/>
          </w:tcPr>
          <w:p w14:paraId="1718DB3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768" w:type="pct"/>
            <w:tcBorders>
              <w:top w:val="single" w:sz="4" w:space="0" w:color="auto"/>
              <w:left w:val="nil"/>
              <w:bottom w:val="nil"/>
              <w:right w:val="nil"/>
            </w:tcBorders>
            <w:shd w:val="clear" w:color="auto" w:fill="auto"/>
            <w:vAlign w:val="bottom"/>
            <w:hideMark/>
          </w:tcPr>
          <w:p w14:paraId="2F9ED66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r>
      <w:tr w:rsidR="00891B3A" w:rsidRPr="00C67A93" w14:paraId="77B4FEB9" w14:textId="77777777" w:rsidTr="00891B3A">
        <w:trPr>
          <w:trHeight w:val="282"/>
        </w:trPr>
        <w:tc>
          <w:tcPr>
            <w:tcW w:w="2926" w:type="pct"/>
            <w:tcBorders>
              <w:top w:val="nil"/>
              <w:left w:val="nil"/>
              <w:bottom w:val="nil"/>
              <w:right w:val="nil"/>
            </w:tcBorders>
            <w:shd w:val="clear" w:color="000000" w:fill="FFFFFF"/>
            <w:noWrap/>
            <w:vAlign w:val="bottom"/>
            <w:hideMark/>
          </w:tcPr>
          <w:p w14:paraId="73E53A53"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450" w:type="pct"/>
            <w:tcBorders>
              <w:top w:val="nil"/>
              <w:left w:val="nil"/>
              <w:bottom w:val="nil"/>
              <w:right w:val="nil"/>
            </w:tcBorders>
            <w:shd w:val="clear" w:color="000000" w:fill="FFFFFF"/>
            <w:noWrap/>
            <w:vAlign w:val="bottom"/>
            <w:hideMark/>
          </w:tcPr>
          <w:p w14:paraId="3BFB7E7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bottom"/>
            <w:hideMark/>
          </w:tcPr>
          <w:p w14:paraId="3A2F358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bottom"/>
            <w:hideMark/>
          </w:tcPr>
          <w:p w14:paraId="402572E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7A4EF0FA" w14:textId="77777777" w:rsidTr="00891B3A">
        <w:trPr>
          <w:trHeight w:val="282"/>
        </w:trPr>
        <w:tc>
          <w:tcPr>
            <w:tcW w:w="2926" w:type="pct"/>
            <w:tcBorders>
              <w:top w:val="nil"/>
              <w:left w:val="nil"/>
              <w:bottom w:val="nil"/>
              <w:right w:val="nil"/>
            </w:tcBorders>
            <w:shd w:val="clear" w:color="000000" w:fill="FFFFFF"/>
            <w:noWrap/>
            <w:vAlign w:val="bottom"/>
            <w:hideMark/>
          </w:tcPr>
          <w:p w14:paraId="759CE90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Profit/ (loss) for the period</w:t>
            </w:r>
          </w:p>
        </w:tc>
        <w:tc>
          <w:tcPr>
            <w:tcW w:w="450" w:type="pct"/>
            <w:tcBorders>
              <w:top w:val="nil"/>
              <w:left w:val="nil"/>
              <w:bottom w:val="nil"/>
              <w:right w:val="nil"/>
            </w:tcBorders>
            <w:shd w:val="clear" w:color="000000" w:fill="FFFFFF"/>
            <w:noWrap/>
            <w:vAlign w:val="bottom"/>
            <w:hideMark/>
          </w:tcPr>
          <w:p w14:paraId="1FA3B77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bottom"/>
          </w:tcPr>
          <w:p w14:paraId="66C2EE14" w14:textId="3AC693D9" w:rsidR="00891B3A" w:rsidRPr="00C67A93" w:rsidRDefault="00E73C77"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768" w:type="pct"/>
            <w:tcBorders>
              <w:top w:val="nil"/>
              <w:left w:val="nil"/>
              <w:bottom w:val="nil"/>
              <w:right w:val="nil"/>
            </w:tcBorders>
            <w:shd w:val="clear" w:color="auto" w:fill="auto"/>
            <w:vAlign w:val="bottom"/>
            <w:hideMark/>
          </w:tcPr>
          <w:p w14:paraId="5F3473E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26083DB9" w14:textId="77777777" w:rsidTr="00891B3A">
        <w:trPr>
          <w:trHeight w:val="282"/>
        </w:trPr>
        <w:tc>
          <w:tcPr>
            <w:tcW w:w="2926" w:type="pct"/>
            <w:tcBorders>
              <w:top w:val="nil"/>
              <w:left w:val="nil"/>
              <w:bottom w:val="nil"/>
              <w:right w:val="nil"/>
            </w:tcBorders>
            <w:shd w:val="clear" w:color="000000" w:fill="FFFFFF"/>
            <w:noWrap/>
            <w:vAlign w:val="bottom"/>
            <w:hideMark/>
          </w:tcPr>
          <w:p w14:paraId="417FB06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50" w:type="pct"/>
            <w:tcBorders>
              <w:top w:val="nil"/>
              <w:left w:val="nil"/>
              <w:bottom w:val="nil"/>
              <w:right w:val="nil"/>
            </w:tcBorders>
            <w:shd w:val="clear" w:color="000000" w:fill="FFFFFF"/>
            <w:noWrap/>
            <w:vAlign w:val="bottom"/>
            <w:hideMark/>
          </w:tcPr>
          <w:p w14:paraId="5A9EB2A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bottom"/>
          </w:tcPr>
          <w:p w14:paraId="1539D2E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bottom"/>
            <w:hideMark/>
          </w:tcPr>
          <w:p w14:paraId="665D581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3EB629E7" w14:textId="77777777" w:rsidTr="00891B3A">
        <w:trPr>
          <w:trHeight w:val="282"/>
        </w:trPr>
        <w:tc>
          <w:tcPr>
            <w:tcW w:w="2926" w:type="pct"/>
            <w:tcBorders>
              <w:top w:val="nil"/>
              <w:left w:val="nil"/>
              <w:bottom w:val="nil"/>
              <w:right w:val="nil"/>
            </w:tcBorders>
            <w:shd w:val="clear" w:color="000000" w:fill="FFFFFF"/>
            <w:noWrap/>
            <w:vAlign w:val="bottom"/>
            <w:hideMark/>
          </w:tcPr>
          <w:p w14:paraId="2534A8D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Adjustments for non-cash income and expense:</w:t>
            </w:r>
          </w:p>
        </w:tc>
        <w:tc>
          <w:tcPr>
            <w:tcW w:w="450" w:type="pct"/>
            <w:tcBorders>
              <w:top w:val="nil"/>
              <w:left w:val="nil"/>
              <w:bottom w:val="nil"/>
              <w:right w:val="nil"/>
            </w:tcBorders>
            <w:shd w:val="clear" w:color="000000" w:fill="FFFFFF"/>
            <w:noWrap/>
            <w:vAlign w:val="bottom"/>
            <w:hideMark/>
          </w:tcPr>
          <w:p w14:paraId="703F0B2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bottom"/>
          </w:tcPr>
          <w:p w14:paraId="3D9B2A4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bottom"/>
            <w:hideMark/>
          </w:tcPr>
          <w:p w14:paraId="04B2140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6DDE60C3" w14:textId="77777777" w:rsidTr="00891B3A">
        <w:trPr>
          <w:trHeight w:val="282"/>
        </w:trPr>
        <w:tc>
          <w:tcPr>
            <w:tcW w:w="2926" w:type="pct"/>
            <w:tcBorders>
              <w:top w:val="nil"/>
              <w:left w:val="nil"/>
              <w:bottom w:val="nil"/>
              <w:right w:val="nil"/>
            </w:tcBorders>
            <w:shd w:val="clear" w:color="000000" w:fill="FFFFFF"/>
            <w:noWrap/>
            <w:vAlign w:val="bottom"/>
          </w:tcPr>
          <w:p w14:paraId="6D725DF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Equity settled share-based payment</w:t>
            </w:r>
          </w:p>
        </w:tc>
        <w:tc>
          <w:tcPr>
            <w:tcW w:w="450" w:type="pct"/>
            <w:tcBorders>
              <w:top w:val="nil"/>
              <w:left w:val="nil"/>
              <w:bottom w:val="nil"/>
              <w:right w:val="nil"/>
            </w:tcBorders>
            <w:shd w:val="clear" w:color="000000" w:fill="FFFFFF"/>
            <w:noWrap/>
            <w:vAlign w:val="bottom"/>
          </w:tcPr>
          <w:p w14:paraId="578B4E1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bottom"/>
          </w:tcPr>
          <w:p w14:paraId="163F399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15</w:t>
            </w:r>
          </w:p>
        </w:tc>
        <w:tc>
          <w:tcPr>
            <w:tcW w:w="768" w:type="pct"/>
            <w:tcBorders>
              <w:top w:val="nil"/>
              <w:left w:val="nil"/>
              <w:bottom w:val="nil"/>
              <w:right w:val="nil"/>
            </w:tcBorders>
            <w:shd w:val="clear" w:color="auto" w:fill="auto"/>
            <w:vAlign w:val="bottom"/>
          </w:tcPr>
          <w:p w14:paraId="12915E6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w:t>
            </w:r>
          </w:p>
        </w:tc>
      </w:tr>
      <w:tr w:rsidR="00891B3A" w:rsidRPr="00C67A93" w14:paraId="19BAF0DC" w14:textId="77777777" w:rsidTr="00891B3A">
        <w:trPr>
          <w:trHeight w:val="282"/>
        </w:trPr>
        <w:tc>
          <w:tcPr>
            <w:tcW w:w="2926" w:type="pct"/>
            <w:tcBorders>
              <w:top w:val="nil"/>
              <w:left w:val="nil"/>
              <w:bottom w:val="nil"/>
              <w:right w:val="nil"/>
            </w:tcBorders>
            <w:shd w:val="clear" w:color="000000" w:fill="FFFFFF"/>
            <w:noWrap/>
            <w:vAlign w:val="bottom"/>
          </w:tcPr>
          <w:p w14:paraId="07331B8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Depreciation on right of use assets</w:t>
            </w:r>
          </w:p>
        </w:tc>
        <w:tc>
          <w:tcPr>
            <w:tcW w:w="450" w:type="pct"/>
            <w:tcBorders>
              <w:top w:val="nil"/>
              <w:left w:val="nil"/>
              <w:bottom w:val="nil"/>
              <w:right w:val="nil"/>
            </w:tcBorders>
            <w:shd w:val="clear" w:color="000000" w:fill="FFFFFF"/>
            <w:noWrap/>
            <w:vAlign w:val="bottom"/>
          </w:tcPr>
          <w:p w14:paraId="4EB3686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bottom"/>
          </w:tcPr>
          <w:p w14:paraId="53B8FBE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14</w:t>
            </w:r>
          </w:p>
        </w:tc>
        <w:tc>
          <w:tcPr>
            <w:tcW w:w="768" w:type="pct"/>
            <w:tcBorders>
              <w:top w:val="nil"/>
              <w:left w:val="nil"/>
              <w:bottom w:val="nil"/>
              <w:right w:val="nil"/>
            </w:tcBorders>
            <w:shd w:val="clear" w:color="auto" w:fill="auto"/>
            <w:vAlign w:val="bottom"/>
          </w:tcPr>
          <w:p w14:paraId="7AA4A78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w:t>
            </w:r>
          </w:p>
        </w:tc>
      </w:tr>
      <w:tr w:rsidR="00891B3A" w:rsidRPr="00C67A93" w14:paraId="76FE72BB" w14:textId="77777777" w:rsidTr="00891B3A">
        <w:trPr>
          <w:trHeight w:val="282"/>
        </w:trPr>
        <w:tc>
          <w:tcPr>
            <w:tcW w:w="2926" w:type="pct"/>
            <w:tcBorders>
              <w:top w:val="nil"/>
              <w:left w:val="nil"/>
              <w:bottom w:val="nil"/>
              <w:right w:val="nil"/>
            </w:tcBorders>
            <w:shd w:val="clear" w:color="000000" w:fill="FFFFFF"/>
            <w:noWrap/>
            <w:vAlign w:val="bottom"/>
          </w:tcPr>
          <w:p w14:paraId="33B6D81A"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Interest expense on lease</w:t>
            </w:r>
          </w:p>
        </w:tc>
        <w:tc>
          <w:tcPr>
            <w:tcW w:w="450" w:type="pct"/>
            <w:tcBorders>
              <w:top w:val="nil"/>
              <w:left w:val="nil"/>
              <w:bottom w:val="nil"/>
              <w:right w:val="nil"/>
            </w:tcBorders>
            <w:shd w:val="clear" w:color="000000" w:fill="FFFFFF"/>
            <w:noWrap/>
            <w:vAlign w:val="bottom"/>
          </w:tcPr>
          <w:p w14:paraId="088D2F6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bottom"/>
          </w:tcPr>
          <w:p w14:paraId="2B60EAC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4</w:t>
            </w:r>
          </w:p>
        </w:tc>
        <w:tc>
          <w:tcPr>
            <w:tcW w:w="768" w:type="pct"/>
            <w:tcBorders>
              <w:top w:val="nil"/>
              <w:left w:val="nil"/>
              <w:bottom w:val="nil"/>
              <w:right w:val="nil"/>
            </w:tcBorders>
            <w:shd w:val="clear" w:color="auto" w:fill="auto"/>
            <w:vAlign w:val="bottom"/>
          </w:tcPr>
          <w:p w14:paraId="401B6BA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w:t>
            </w:r>
          </w:p>
        </w:tc>
      </w:tr>
      <w:tr w:rsidR="00891B3A" w:rsidRPr="00C67A93" w14:paraId="0D5F80F9" w14:textId="77777777" w:rsidTr="00891B3A">
        <w:trPr>
          <w:trHeight w:val="282"/>
        </w:trPr>
        <w:tc>
          <w:tcPr>
            <w:tcW w:w="2926" w:type="pct"/>
            <w:tcBorders>
              <w:top w:val="nil"/>
              <w:left w:val="nil"/>
              <w:right w:val="nil"/>
            </w:tcBorders>
            <w:shd w:val="clear" w:color="000000" w:fill="FFFFFF"/>
            <w:noWrap/>
            <w:vAlign w:val="bottom"/>
            <w:hideMark/>
          </w:tcPr>
          <w:p w14:paraId="1A847A8E" w14:textId="279932A9" w:rsidR="00891B3A" w:rsidRPr="00C67A93" w:rsidRDefault="00627B18" w:rsidP="00891B3A">
            <w:pPr>
              <w:widowControl/>
              <w:suppressAutoHyphens w:val="0"/>
              <w:autoSpaceDN/>
              <w:spacing w:after="0" w:line="240" w:lineRule="auto"/>
              <w:textAlignment w:val="auto"/>
              <w:rPr>
                <w:rFonts w:ascii="Arial" w:eastAsia="Times New Roman" w:hAnsi="Arial" w:cs="Arial"/>
                <w:sz w:val="20"/>
                <w:szCs w:val="20"/>
                <w:lang w:val="en-SG" w:eastAsia="en-SG"/>
              </w:rPr>
            </w:pPr>
            <w:r>
              <w:rPr>
                <w:rFonts w:ascii="Arial" w:eastAsia="Times New Roman" w:hAnsi="Arial" w:cs="Arial"/>
                <w:sz w:val="20"/>
                <w:szCs w:val="20"/>
                <w:lang w:val="en-SG" w:eastAsia="en-SG"/>
              </w:rPr>
              <w:t>(</w:t>
            </w:r>
            <w:r w:rsidR="00891B3A" w:rsidRPr="00C67A93">
              <w:rPr>
                <w:rFonts w:ascii="Arial" w:eastAsia="Times New Roman" w:hAnsi="Arial" w:cs="Arial"/>
                <w:sz w:val="20"/>
                <w:szCs w:val="20"/>
                <w:lang w:val="en-SG" w:eastAsia="en-SG"/>
              </w:rPr>
              <w:t>Gains</w:t>
            </w:r>
            <w:r>
              <w:rPr>
                <w:rFonts w:ascii="Arial" w:eastAsia="Times New Roman" w:hAnsi="Arial" w:cs="Arial"/>
                <w:sz w:val="20"/>
                <w:szCs w:val="20"/>
                <w:lang w:val="en-SG" w:eastAsia="en-SG"/>
              </w:rPr>
              <w:t>)</w:t>
            </w:r>
            <w:r w:rsidR="00891B3A" w:rsidRPr="00C67A93">
              <w:rPr>
                <w:rFonts w:ascii="Arial" w:eastAsia="Times New Roman" w:hAnsi="Arial" w:cs="Arial"/>
                <w:sz w:val="20"/>
                <w:szCs w:val="20"/>
                <w:lang w:val="en-SG" w:eastAsia="en-SG"/>
              </w:rPr>
              <w:t>/ losses on investments</w:t>
            </w:r>
          </w:p>
        </w:tc>
        <w:tc>
          <w:tcPr>
            <w:tcW w:w="450" w:type="pct"/>
            <w:tcBorders>
              <w:top w:val="nil"/>
              <w:left w:val="nil"/>
              <w:right w:val="nil"/>
            </w:tcBorders>
            <w:shd w:val="clear" w:color="000000" w:fill="FFFFFF"/>
            <w:noWrap/>
            <w:vAlign w:val="bottom"/>
            <w:hideMark/>
          </w:tcPr>
          <w:p w14:paraId="675E4E8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2 </w:t>
            </w:r>
          </w:p>
        </w:tc>
        <w:tc>
          <w:tcPr>
            <w:tcW w:w="856" w:type="pct"/>
            <w:tcBorders>
              <w:top w:val="nil"/>
              <w:left w:val="nil"/>
              <w:right w:val="nil"/>
            </w:tcBorders>
            <w:shd w:val="clear" w:color="auto" w:fill="FDE9D9" w:themeFill="accent6" w:themeFillTint="33"/>
            <w:vAlign w:val="bottom"/>
          </w:tcPr>
          <w:p w14:paraId="27F8ADE6" w14:textId="5F12EB05"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(9</w:t>
            </w:r>
            <w:r w:rsidR="00E73C77">
              <w:rPr>
                <w:rFonts w:ascii="Arial" w:eastAsia="Times New Roman" w:hAnsi="Arial" w:cs="Arial"/>
                <w:b/>
                <w:bCs/>
                <w:sz w:val="20"/>
                <w:szCs w:val="20"/>
                <w:lang w:val="en-SG" w:eastAsia="en-SG"/>
              </w:rPr>
              <w:t>74</w:t>
            </w:r>
            <w:r w:rsidRPr="00C67A93">
              <w:rPr>
                <w:rFonts w:ascii="Arial" w:eastAsia="Times New Roman" w:hAnsi="Arial" w:cs="Arial"/>
                <w:b/>
                <w:bCs/>
                <w:sz w:val="20"/>
                <w:szCs w:val="20"/>
                <w:lang w:val="en-SG" w:eastAsia="en-SG"/>
              </w:rPr>
              <w:t>)</w:t>
            </w:r>
          </w:p>
        </w:tc>
        <w:tc>
          <w:tcPr>
            <w:tcW w:w="768" w:type="pct"/>
            <w:tcBorders>
              <w:top w:val="nil"/>
              <w:left w:val="nil"/>
              <w:right w:val="nil"/>
            </w:tcBorders>
            <w:shd w:val="clear" w:color="auto" w:fill="auto"/>
            <w:vAlign w:val="bottom"/>
            <w:hideMark/>
          </w:tcPr>
          <w:p w14:paraId="0A34244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4,796 </w:t>
            </w:r>
          </w:p>
        </w:tc>
      </w:tr>
      <w:tr w:rsidR="00891B3A" w:rsidRPr="00C67A93" w14:paraId="2330AF72" w14:textId="77777777" w:rsidTr="00891B3A">
        <w:trPr>
          <w:trHeight w:val="282"/>
        </w:trPr>
        <w:tc>
          <w:tcPr>
            <w:tcW w:w="2926" w:type="pct"/>
            <w:tcBorders>
              <w:top w:val="nil"/>
              <w:left w:val="nil"/>
              <w:right w:val="nil"/>
            </w:tcBorders>
            <w:shd w:val="clear" w:color="000000" w:fill="FFFFFF"/>
            <w:noWrap/>
            <w:vAlign w:val="bottom"/>
          </w:tcPr>
          <w:p w14:paraId="23E37C2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Other income</w:t>
            </w:r>
          </w:p>
        </w:tc>
        <w:tc>
          <w:tcPr>
            <w:tcW w:w="450" w:type="pct"/>
            <w:tcBorders>
              <w:top w:val="nil"/>
              <w:left w:val="nil"/>
              <w:right w:val="nil"/>
            </w:tcBorders>
            <w:shd w:val="clear" w:color="000000" w:fill="FFFFFF"/>
            <w:noWrap/>
            <w:vAlign w:val="bottom"/>
          </w:tcPr>
          <w:p w14:paraId="691E46F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right w:val="nil"/>
            </w:tcBorders>
            <w:shd w:val="clear" w:color="auto" w:fill="FDE9D9" w:themeFill="accent6" w:themeFillTint="33"/>
            <w:vAlign w:val="bottom"/>
          </w:tcPr>
          <w:p w14:paraId="499491E6" w14:textId="77777777" w:rsidR="00891B3A" w:rsidRPr="00C67A93" w:rsidDel="005A7C46"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(22)</w:t>
            </w:r>
          </w:p>
        </w:tc>
        <w:tc>
          <w:tcPr>
            <w:tcW w:w="768" w:type="pct"/>
            <w:tcBorders>
              <w:top w:val="nil"/>
              <w:left w:val="nil"/>
              <w:right w:val="nil"/>
            </w:tcBorders>
            <w:shd w:val="clear" w:color="auto" w:fill="auto"/>
            <w:vAlign w:val="bottom"/>
          </w:tcPr>
          <w:p w14:paraId="63ADF22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(2)</w:t>
            </w:r>
          </w:p>
        </w:tc>
      </w:tr>
      <w:tr w:rsidR="00891B3A" w:rsidRPr="00C67A93" w14:paraId="0EC596F0" w14:textId="77777777" w:rsidTr="00891B3A">
        <w:trPr>
          <w:trHeight w:val="282"/>
        </w:trPr>
        <w:tc>
          <w:tcPr>
            <w:tcW w:w="2926" w:type="pct"/>
            <w:tcBorders>
              <w:top w:val="nil"/>
              <w:left w:val="nil"/>
              <w:right w:val="nil"/>
            </w:tcBorders>
            <w:shd w:val="clear" w:color="000000" w:fill="FFFFFF"/>
            <w:noWrap/>
            <w:vAlign w:val="bottom"/>
            <w:hideMark/>
          </w:tcPr>
          <w:p w14:paraId="1DC76F00"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Interest income</w:t>
            </w:r>
          </w:p>
        </w:tc>
        <w:tc>
          <w:tcPr>
            <w:tcW w:w="450" w:type="pct"/>
            <w:tcBorders>
              <w:top w:val="nil"/>
              <w:left w:val="nil"/>
              <w:right w:val="nil"/>
            </w:tcBorders>
            <w:shd w:val="clear" w:color="000000" w:fill="FFFFFF"/>
            <w:noWrap/>
            <w:vAlign w:val="bottom"/>
            <w:hideMark/>
          </w:tcPr>
          <w:p w14:paraId="06FA0A8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right w:val="nil"/>
            </w:tcBorders>
            <w:shd w:val="clear" w:color="auto" w:fill="FDE9D9" w:themeFill="accent6" w:themeFillTint="33"/>
            <w:vAlign w:val="bottom"/>
          </w:tcPr>
          <w:p w14:paraId="4172810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w:t>
            </w:r>
          </w:p>
        </w:tc>
        <w:tc>
          <w:tcPr>
            <w:tcW w:w="768" w:type="pct"/>
            <w:tcBorders>
              <w:top w:val="nil"/>
              <w:left w:val="nil"/>
              <w:right w:val="nil"/>
            </w:tcBorders>
            <w:shd w:val="clear" w:color="auto" w:fill="auto"/>
            <w:vAlign w:val="bottom"/>
            <w:hideMark/>
          </w:tcPr>
          <w:p w14:paraId="60CC0AC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(66)</w:t>
            </w:r>
          </w:p>
        </w:tc>
      </w:tr>
      <w:tr w:rsidR="00891B3A" w:rsidRPr="00C67A93" w14:paraId="70C2403B" w14:textId="77777777" w:rsidTr="00891B3A">
        <w:trPr>
          <w:trHeight w:val="282"/>
        </w:trPr>
        <w:tc>
          <w:tcPr>
            <w:tcW w:w="2926" w:type="pct"/>
            <w:tcBorders>
              <w:top w:val="nil"/>
              <w:left w:val="nil"/>
              <w:right w:val="nil"/>
            </w:tcBorders>
            <w:shd w:val="clear" w:color="000000" w:fill="FFFFFF"/>
            <w:noWrap/>
            <w:vAlign w:val="bottom"/>
          </w:tcPr>
          <w:p w14:paraId="4D3C1C3A"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Adjustments to incentives plans</w:t>
            </w:r>
          </w:p>
        </w:tc>
        <w:tc>
          <w:tcPr>
            <w:tcW w:w="450" w:type="pct"/>
            <w:tcBorders>
              <w:top w:val="nil"/>
              <w:left w:val="nil"/>
              <w:right w:val="nil"/>
            </w:tcBorders>
            <w:shd w:val="clear" w:color="000000" w:fill="FFFFFF"/>
            <w:noWrap/>
            <w:vAlign w:val="bottom"/>
          </w:tcPr>
          <w:p w14:paraId="1613A8E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right w:val="nil"/>
            </w:tcBorders>
            <w:shd w:val="clear" w:color="auto" w:fill="FDE9D9" w:themeFill="accent6" w:themeFillTint="33"/>
            <w:vAlign w:val="bottom"/>
          </w:tcPr>
          <w:p w14:paraId="0B43528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6</w:t>
            </w:r>
          </w:p>
        </w:tc>
        <w:tc>
          <w:tcPr>
            <w:tcW w:w="768" w:type="pct"/>
            <w:tcBorders>
              <w:top w:val="nil"/>
              <w:left w:val="nil"/>
              <w:right w:val="nil"/>
            </w:tcBorders>
            <w:shd w:val="clear" w:color="auto" w:fill="auto"/>
            <w:vAlign w:val="bottom"/>
          </w:tcPr>
          <w:p w14:paraId="30C0D54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w:t>
            </w:r>
          </w:p>
        </w:tc>
      </w:tr>
      <w:tr w:rsidR="00891B3A" w:rsidRPr="00C67A93" w14:paraId="74EA88C3" w14:textId="77777777" w:rsidTr="00891B3A">
        <w:trPr>
          <w:trHeight w:val="282"/>
        </w:trPr>
        <w:tc>
          <w:tcPr>
            <w:tcW w:w="2926" w:type="pct"/>
            <w:tcBorders>
              <w:top w:val="nil"/>
              <w:left w:val="nil"/>
              <w:right w:val="nil"/>
            </w:tcBorders>
            <w:shd w:val="clear" w:color="000000" w:fill="FFFFFF"/>
            <w:noWrap/>
            <w:vAlign w:val="bottom"/>
          </w:tcPr>
          <w:p w14:paraId="67270FE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GB" w:eastAsia="en-SG"/>
              </w:rPr>
              <w:t>Exchange losses on cash and cash equivalents</w:t>
            </w:r>
          </w:p>
        </w:tc>
        <w:tc>
          <w:tcPr>
            <w:tcW w:w="450" w:type="pct"/>
            <w:tcBorders>
              <w:top w:val="nil"/>
              <w:left w:val="nil"/>
              <w:right w:val="nil"/>
            </w:tcBorders>
            <w:shd w:val="clear" w:color="000000" w:fill="FFFFFF"/>
            <w:noWrap/>
            <w:vAlign w:val="bottom"/>
          </w:tcPr>
          <w:p w14:paraId="609A873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right w:val="nil"/>
            </w:tcBorders>
            <w:shd w:val="clear" w:color="auto" w:fill="FDE9D9" w:themeFill="accent6" w:themeFillTint="33"/>
            <w:vAlign w:val="center"/>
          </w:tcPr>
          <w:p w14:paraId="2341D81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p>
        </w:tc>
        <w:tc>
          <w:tcPr>
            <w:tcW w:w="768" w:type="pct"/>
            <w:tcBorders>
              <w:top w:val="nil"/>
              <w:left w:val="nil"/>
              <w:right w:val="nil"/>
            </w:tcBorders>
            <w:shd w:val="clear" w:color="auto" w:fill="auto"/>
            <w:vAlign w:val="center"/>
          </w:tcPr>
          <w:p w14:paraId="300CC4E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40</w:t>
            </w:r>
          </w:p>
        </w:tc>
      </w:tr>
      <w:tr w:rsidR="00891B3A" w:rsidRPr="00C67A93" w14:paraId="615BB280" w14:textId="77777777" w:rsidTr="00891B3A">
        <w:trPr>
          <w:trHeight w:val="282"/>
        </w:trPr>
        <w:tc>
          <w:tcPr>
            <w:tcW w:w="2926" w:type="pct"/>
            <w:tcBorders>
              <w:top w:val="single" w:sz="4" w:space="0" w:color="auto"/>
              <w:left w:val="nil"/>
              <w:right w:val="nil"/>
            </w:tcBorders>
            <w:shd w:val="clear" w:color="000000" w:fill="FFFFFF"/>
            <w:noWrap/>
            <w:vAlign w:val="bottom"/>
            <w:hideMark/>
          </w:tcPr>
          <w:p w14:paraId="648D9F8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50" w:type="pct"/>
            <w:tcBorders>
              <w:top w:val="single" w:sz="4" w:space="0" w:color="auto"/>
              <w:left w:val="nil"/>
              <w:right w:val="nil"/>
            </w:tcBorders>
            <w:shd w:val="clear" w:color="000000" w:fill="FFFFFF"/>
            <w:noWrap/>
            <w:vAlign w:val="bottom"/>
            <w:hideMark/>
          </w:tcPr>
          <w:p w14:paraId="282E775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single" w:sz="4" w:space="0" w:color="auto"/>
              <w:left w:val="nil"/>
              <w:right w:val="nil"/>
            </w:tcBorders>
            <w:shd w:val="clear" w:color="auto" w:fill="FDE9D9" w:themeFill="accent6" w:themeFillTint="33"/>
            <w:vAlign w:val="bottom"/>
          </w:tcPr>
          <w:p w14:paraId="19A4B79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(820)</w:t>
            </w:r>
          </w:p>
        </w:tc>
        <w:tc>
          <w:tcPr>
            <w:tcW w:w="768" w:type="pct"/>
            <w:tcBorders>
              <w:top w:val="single" w:sz="4" w:space="0" w:color="auto"/>
              <w:left w:val="nil"/>
              <w:right w:val="nil"/>
            </w:tcBorders>
            <w:shd w:val="clear" w:color="auto" w:fill="auto"/>
            <w:vAlign w:val="bottom"/>
            <w:hideMark/>
          </w:tcPr>
          <w:p w14:paraId="5F231EA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(1,341)</w:t>
            </w:r>
          </w:p>
        </w:tc>
      </w:tr>
      <w:tr w:rsidR="00891B3A" w:rsidRPr="00C67A93" w14:paraId="50CE6B56" w14:textId="77777777" w:rsidTr="00891B3A">
        <w:trPr>
          <w:trHeight w:val="282"/>
        </w:trPr>
        <w:tc>
          <w:tcPr>
            <w:tcW w:w="2926" w:type="pct"/>
            <w:tcBorders>
              <w:left w:val="nil"/>
              <w:right w:val="nil"/>
            </w:tcBorders>
            <w:shd w:val="clear" w:color="000000" w:fill="FFFFFF"/>
            <w:noWrap/>
            <w:vAlign w:val="bottom"/>
          </w:tcPr>
          <w:p w14:paraId="15DBBD6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p>
        </w:tc>
        <w:tc>
          <w:tcPr>
            <w:tcW w:w="450" w:type="pct"/>
            <w:tcBorders>
              <w:left w:val="nil"/>
              <w:right w:val="nil"/>
            </w:tcBorders>
            <w:shd w:val="clear" w:color="000000" w:fill="FFFFFF"/>
            <w:noWrap/>
            <w:vAlign w:val="bottom"/>
          </w:tcPr>
          <w:p w14:paraId="29FEF22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left w:val="nil"/>
              <w:right w:val="nil"/>
            </w:tcBorders>
            <w:shd w:val="clear" w:color="auto" w:fill="FDE9D9" w:themeFill="accent6" w:themeFillTint="33"/>
            <w:vAlign w:val="bottom"/>
          </w:tcPr>
          <w:p w14:paraId="349C060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left w:val="nil"/>
              <w:right w:val="nil"/>
            </w:tcBorders>
            <w:shd w:val="clear" w:color="auto" w:fill="auto"/>
            <w:vAlign w:val="bottom"/>
          </w:tcPr>
          <w:p w14:paraId="609F0D4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51574797" w14:textId="77777777" w:rsidTr="00891B3A">
        <w:trPr>
          <w:trHeight w:val="282"/>
        </w:trPr>
        <w:tc>
          <w:tcPr>
            <w:tcW w:w="2926" w:type="pct"/>
            <w:tcBorders>
              <w:left w:val="nil"/>
              <w:right w:val="nil"/>
            </w:tcBorders>
            <w:shd w:val="clear" w:color="000000" w:fill="FFFFFF"/>
            <w:noWrap/>
            <w:vAlign w:val="bottom"/>
          </w:tcPr>
          <w:p w14:paraId="19F8A1B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b/>
                <w:bCs/>
                <w:sz w:val="20"/>
                <w:szCs w:val="20"/>
                <w:lang w:val="en-GB" w:eastAsia="en-SG"/>
              </w:rPr>
              <w:t>Change in operating assets and liabilities</w:t>
            </w:r>
          </w:p>
        </w:tc>
        <w:tc>
          <w:tcPr>
            <w:tcW w:w="450" w:type="pct"/>
            <w:tcBorders>
              <w:left w:val="nil"/>
              <w:right w:val="nil"/>
            </w:tcBorders>
            <w:shd w:val="clear" w:color="000000" w:fill="FFFFFF"/>
            <w:noWrap/>
            <w:vAlign w:val="bottom"/>
          </w:tcPr>
          <w:p w14:paraId="7260399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left w:val="nil"/>
              <w:right w:val="nil"/>
            </w:tcBorders>
            <w:shd w:val="clear" w:color="auto" w:fill="FDE9D9" w:themeFill="accent6" w:themeFillTint="33"/>
            <w:vAlign w:val="bottom"/>
          </w:tcPr>
          <w:p w14:paraId="708EA02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left w:val="nil"/>
              <w:right w:val="nil"/>
            </w:tcBorders>
            <w:shd w:val="clear" w:color="auto" w:fill="auto"/>
            <w:vAlign w:val="bottom"/>
          </w:tcPr>
          <w:p w14:paraId="2AA32F3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34A12D7E" w14:textId="77777777" w:rsidTr="00891B3A">
        <w:trPr>
          <w:trHeight w:val="282"/>
        </w:trPr>
        <w:tc>
          <w:tcPr>
            <w:tcW w:w="2926" w:type="pct"/>
            <w:tcBorders>
              <w:top w:val="nil"/>
              <w:left w:val="nil"/>
              <w:bottom w:val="nil"/>
              <w:right w:val="nil"/>
            </w:tcBorders>
            <w:shd w:val="clear" w:color="000000" w:fill="FFFFFF"/>
            <w:noWrap/>
            <w:vAlign w:val="bottom"/>
            <w:hideMark/>
          </w:tcPr>
          <w:p w14:paraId="1C625A4D"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(Increase)/decrease in operating and other receivables</w:t>
            </w:r>
          </w:p>
        </w:tc>
        <w:tc>
          <w:tcPr>
            <w:tcW w:w="450" w:type="pct"/>
            <w:tcBorders>
              <w:top w:val="nil"/>
              <w:left w:val="nil"/>
              <w:bottom w:val="nil"/>
              <w:right w:val="nil"/>
            </w:tcBorders>
            <w:shd w:val="clear" w:color="000000" w:fill="FFFFFF"/>
            <w:noWrap/>
            <w:vAlign w:val="bottom"/>
            <w:hideMark/>
          </w:tcPr>
          <w:p w14:paraId="042F0BC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center"/>
          </w:tcPr>
          <w:p w14:paraId="1BE36F9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w:t>
            </w:r>
          </w:p>
        </w:tc>
        <w:tc>
          <w:tcPr>
            <w:tcW w:w="768" w:type="pct"/>
            <w:tcBorders>
              <w:top w:val="nil"/>
              <w:left w:val="nil"/>
              <w:bottom w:val="nil"/>
              <w:right w:val="nil"/>
            </w:tcBorders>
            <w:shd w:val="clear" w:color="auto" w:fill="auto"/>
            <w:vAlign w:val="center"/>
            <w:hideMark/>
          </w:tcPr>
          <w:p w14:paraId="7F3BCFD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105</w:t>
            </w:r>
          </w:p>
        </w:tc>
      </w:tr>
      <w:tr w:rsidR="00891B3A" w:rsidRPr="00C67A93" w14:paraId="5C006210" w14:textId="77777777" w:rsidTr="00891B3A">
        <w:trPr>
          <w:trHeight w:val="282"/>
        </w:trPr>
        <w:tc>
          <w:tcPr>
            <w:tcW w:w="2926" w:type="pct"/>
            <w:tcBorders>
              <w:top w:val="nil"/>
              <w:left w:val="nil"/>
              <w:bottom w:val="nil"/>
              <w:right w:val="nil"/>
            </w:tcBorders>
            <w:shd w:val="clear" w:color="000000" w:fill="FFFFFF"/>
            <w:noWrap/>
            <w:vAlign w:val="bottom"/>
            <w:hideMark/>
          </w:tcPr>
          <w:p w14:paraId="265B123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Decrease in operating and other payables</w:t>
            </w:r>
          </w:p>
        </w:tc>
        <w:tc>
          <w:tcPr>
            <w:tcW w:w="450" w:type="pct"/>
            <w:tcBorders>
              <w:top w:val="nil"/>
              <w:left w:val="nil"/>
              <w:bottom w:val="nil"/>
              <w:right w:val="nil"/>
            </w:tcBorders>
            <w:shd w:val="clear" w:color="000000" w:fill="FFFFFF"/>
            <w:noWrap/>
            <w:vAlign w:val="bottom"/>
            <w:hideMark/>
          </w:tcPr>
          <w:p w14:paraId="0ED6A0D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center"/>
          </w:tcPr>
          <w:p w14:paraId="5AE568A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Pr>
                <w:rFonts w:ascii="Arial" w:eastAsia="Times New Roman" w:hAnsi="Arial" w:cs="Arial"/>
                <w:b/>
                <w:bCs/>
                <w:sz w:val="20"/>
                <w:szCs w:val="20"/>
                <w:lang w:val="en-SG" w:eastAsia="en-SG"/>
              </w:rPr>
              <w:t>0</w:t>
            </w:r>
            <w:r w:rsidRPr="00C67A93">
              <w:rPr>
                <w:rFonts w:ascii="Arial" w:eastAsia="Times New Roman" w:hAnsi="Arial" w:cs="Arial"/>
                <w:b/>
                <w:bCs/>
                <w:sz w:val="20"/>
                <w:szCs w:val="20"/>
                <w:lang w:val="en-SG" w:eastAsia="en-SG"/>
              </w:rPr>
              <w:t>)</w:t>
            </w:r>
          </w:p>
        </w:tc>
        <w:tc>
          <w:tcPr>
            <w:tcW w:w="768" w:type="pct"/>
            <w:tcBorders>
              <w:top w:val="nil"/>
              <w:left w:val="nil"/>
              <w:bottom w:val="nil"/>
              <w:right w:val="nil"/>
            </w:tcBorders>
            <w:shd w:val="clear" w:color="auto" w:fill="auto"/>
            <w:vAlign w:val="center"/>
            <w:hideMark/>
          </w:tcPr>
          <w:p w14:paraId="2DEC442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rPr>
              <w:t>(1,219)</w:t>
            </w:r>
          </w:p>
        </w:tc>
      </w:tr>
      <w:tr w:rsidR="00891B3A" w:rsidRPr="00C67A93" w14:paraId="08AF79A3" w14:textId="77777777" w:rsidTr="00891B3A">
        <w:trPr>
          <w:trHeight w:val="282"/>
        </w:trPr>
        <w:tc>
          <w:tcPr>
            <w:tcW w:w="3376" w:type="pct"/>
            <w:gridSpan w:val="2"/>
            <w:tcBorders>
              <w:top w:val="nil"/>
              <w:left w:val="nil"/>
              <w:bottom w:val="single" w:sz="4" w:space="0" w:color="auto"/>
              <w:right w:val="nil"/>
            </w:tcBorders>
            <w:shd w:val="clear" w:color="000000" w:fill="FFFFFF"/>
            <w:noWrap/>
            <w:vAlign w:val="bottom"/>
            <w:hideMark/>
          </w:tcPr>
          <w:p w14:paraId="15BEF959"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(Decrease)/increase in amounts payable to subsidiaries</w:t>
            </w:r>
          </w:p>
        </w:tc>
        <w:tc>
          <w:tcPr>
            <w:tcW w:w="856" w:type="pct"/>
            <w:tcBorders>
              <w:top w:val="nil"/>
              <w:left w:val="nil"/>
              <w:bottom w:val="single" w:sz="4" w:space="0" w:color="auto"/>
              <w:right w:val="nil"/>
            </w:tcBorders>
            <w:shd w:val="clear" w:color="auto" w:fill="FDE9D9" w:themeFill="accent6" w:themeFillTint="33"/>
            <w:vAlign w:val="bottom"/>
          </w:tcPr>
          <w:p w14:paraId="5A7096A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(328)</w:t>
            </w:r>
          </w:p>
        </w:tc>
        <w:tc>
          <w:tcPr>
            <w:tcW w:w="768" w:type="pct"/>
            <w:tcBorders>
              <w:top w:val="nil"/>
              <w:left w:val="nil"/>
              <w:bottom w:val="single" w:sz="4" w:space="0" w:color="auto"/>
              <w:right w:val="nil"/>
            </w:tcBorders>
            <w:shd w:val="clear" w:color="auto" w:fill="auto"/>
            <w:vAlign w:val="center"/>
            <w:hideMark/>
          </w:tcPr>
          <w:p w14:paraId="2C4FB3B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105</w:t>
            </w:r>
          </w:p>
        </w:tc>
      </w:tr>
      <w:tr w:rsidR="00891B3A" w:rsidRPr="00C67A93" w14:paraId="484542EF" w14:textId="77777777" w:rsidTr="00891B3A">
        <w:trPr>
          <w:trHeight w:val="282"/>
        </w:trPr>
        <w:tc>
          <w:tcPr>
            <w:tcW w:w="2926" w:type="pct"/>
            <w:tcBorders>
              <w:top w:val="nil"/>
              <w:left w:val="nil"/>
              <w:bottom w:val="single" w:sz="4" w:space="0" w:color="auto"/>
              <w:right w:val="nil"/>
            </w:tcBorders>
            <w:shd w:val="clear" w:color="000000" w:fill="FFFFFF"/>
            <w:noWrap/>
            <w:vAlign w:val="bottom"/>
            <w:hideMark/>
          </w:tcPr>
          <w:p w14:paraId="4EDA0E1F"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Net cash used in operating activities</w:t>
            </w:r>
          </w:p>
        </w:tc>
        <w:tc>
          <w:tcPr>
            <w:tcW w:w="450" w:type="pct"/>
            <w:tcBorders>
              <w:top w:val="nil"/>
              <w:left w:val="nil"/>
              <w:bottom w:val="single" w:sz="4" w:space="0" w:color="auto"/>
              <w:right w:val="nil"/>
            </w:tcBorders>
            <w:shd w:val="clear" w:color="000000" w:fill="FFFFFF"/>
            <w:noWrap/>
            <w:vAlign w:val="bottom"/>
            <w:hideMark/>
          </w:tcPr>
          <w:p w14:paraId="1E5CA60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single" w:sz="4" w:space="0" w:color="auto"/>
              <w:right w:val="nil"/>
            </w:tcBorders>
            <w:shd w:val="clear" w:color="auto" w:fill="FDE9D9" w:themeFill="accent6" w:themeFillTint="33"/>
            <w:vAlign w:val="center"/>
          </w:tcPr>
          <w:p w14:paraId="635A7AE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(1,22</w:t>
            </w:r>
            <w:r>
              <w:rPr>
                <w:rFonts w:ascii="Arial" w:eastAsia="Times New Roman" w:hAnsi="Arial" w:cs="Arial"/>
                <w:b/>
                <w:bCs/>
                <w:sz w:val="20"/>
                <w:szCs w:val="20"/>
                <w:lang w:val="en-SG" w:eastAsia="en-SG"/>
              </w:rPr>
              <w:t>6</w:t>
            </w:r>
            <w:r w:rsidRPr="00C67A93">
              <w:rPr>
                <w:rFonts w:ascii="Arial" w:eastAsia="Times New Roman" w:hAnsi="Arial" w:cs="Arial"/>
                <w:b/>
                <w:bCs/>
                <w:sz w:val="20"/>
                <w:szCs w:val="20"/>
                <w:lang w:val="en-SG" w:eastAsia="en-SG"/>
              </w:rPr>
              <w:t>)</w:t>
            </w:r>
          </w:p>
        </w:tc>
        <w:tc>
          <w:tcPr>
            <w:tcW w:w="768" w:type="pct"/>
            <w:tcBorders>
              <w:top w:val="nil"/>
              <w:left w:val="nil"/>
              <w:bottom w:val="single" w:sz="4" w:space="0" w:color="auto"/>
              <w:right w:val="nil"/>
            </w:tcBorders>
            <w:shd w:val="clear" w:color="auto" w:fill="auto"/>
            <w:vAlign w:val="center"/>
            <w:hideMark/>
          </w:tcPr>
          <w:p w14:paraId="21294B9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(2,310)</w:t>
            </w:r>
          </w:p>
        </w:tc>
      </w:tr>
      <w:tr w:rsidR="00891B3A" w:rsidRPr="00C67A93" w14:paraId="221F5816" w14:textId="77777777" w:rsidTr="00891B3A">
        <w:trPr>
          <w:trHeight w:val="282"/>
        </w:trPr>
        <w:tc>
          <w:tcPr>
            <w:tcW w:w="2926" w:type="pct"/>
            <w:tcBorders>
              <w:top w:val="nil"/>
              <w:left w:val="nil"/>
              <w:bottom w:val="nil"/>
              <w:right w:val="nil"/>
            </w:tcBorders>
            <w:shd w:val="clear" w:color="000000" w:fill="FFFFFF"/>
            <w:noWrap/>
            <w:vAlign w:val="bottom"/>
            <w:hideMark/>
          </w:tcPr>
          <w:p w14:paraId="2425A05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450" w:type="pct"/>
            <w:tcBorders>
              <w:top w:val="nil"/>
              <w:left w:val="nil"/>
              <w:bottom w:val="nil"/>
              <w:right w:val="nil"/>
            </w:tcBorders>
            <w:shd w:val="clear" w:color="000000" w:fill="FFFFFF"/>
            <w:noWrap/>
            <w:vAlign w:val="bottom"/>
            <w:hideMark/>
          </w:tcPr>
          <w:p w14:paraId="528426E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bottom"/>
          </w:tcPr>
          <w:p w14:paraId="32D65AB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bottom"/>
            <w:hideMark/>
          </w:tcPr>
          <w:p w14:paraId="6462172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7B4C17EC" w14:textId="77777777" w:rsidTr="00891B3A">
        <w:trPr>
          <w:trHeight w:val="282"/>
        </w:trPr>
        <w:tc>
          <w:tcPr>
            <w:tcW w:w="2926" w:type="pct"/>
            <w:tcBorders>
              <w:top w:val="nil"/>
              <w:left w:val="nil"/>
              <w:bottom w:val="nil"/>
              <w:right w:val="nil"/>
            </w:tcBorders>
            <w:shd w:val="clear" w:color="000000" w:fill="FFFFFF"/>
            <w:noWrap/>
            <w:vAlign w:val="bottom"/>
            <w:hideMark/>
          </w:tcPr>
          <w:p w14:paraId="278315D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Cash flows from Investing activities</w:t>
            </w:r>
          </w:p>
        </w:tc>
        <w:tc>
          <w:tcPr>
            <w:tcW w:w="450" w:type="pct"/>
            <w:tcBorders>
              <w:top w:val="nil"/>
              <w:left w:val="nil"/>
              <w:bottom w:val="nil"/>
              <w:right w:val="nil"/>
            </w:tcBorders>
            <w:shd w:val="clear" w:color="000000" w:fill="FFFFFF"/>
            <w:noWrap/>
            <w:vAlign w:val="bottom"/>
            <w:hideMark/>
          </w:tcPr>
          <w:p w14:paraId="6AE8B3E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bottom"/>
          </w:tcPr>
          <w:p w14:paraId="7C49F7C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bottom"/>
            <w:hideMark/>
          </w:tcPr>
          <w:p w14:paraId="3CB4B33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300B4A6F" w14:textId="77777777" w:rsidTr="00891B3A">
        <w:trPr>
          <w:trHeight w:val="282"/>
        </w:trPr>
        <w:tc>
          <w:tcPr>
            <w:tcW w:w="2926" w:type="pct"/>
            <w:tcBorders>
              <w:top w:val="nil"/>
              <w:left w:val="nil"/>
              <w:bottom w:val="nil"/>
              <w:right w:val="nil"/>
            </w:tcBorders>
            <w:shd w:val="clear" w:color="000000" w:fill="FFFFFF"/>
            <w:noWrap/>
            <w:vAlign w:val="bottom"/>
            <w:hideMark/>
          </w:tcPr>
          <w:p w14:paraId="313EBBD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Interest received</w:t>
            </w:r>
          </w:p>
        </w:tc>
        <w:tc>
          <w:tcPr>
            <w:tcW w:w="450" w:type="pct"/>
            <w:tcBorders>
              <w:top w:val="nil"/>
              <w:left w:val="nil"/>
              <w:bottom w:val="nil"/>
              <w:right w:val="nil"/>
            </w:tcBorders>
            <w:shd w:val="clear" w:color="000000" w:fill="FFFFFF"/>
            <w:noWrap/>
            <w:vAlign w:val="bottom"/>
            <w:hideMark/>
          </w:tcPr>
          <w:p w14:paraId="4EB9BBF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center"/>
          </w:tcPr>
          <w:p w14:paraId="466CD2C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22</w:t>
            </w:r>
          </w:p>
        </w:tc>
        <w:tc>
          <w:tcPr>
            <w:tcW w:w="768" w:type="pct"/>
            <w:tcBorders>
              <w:top w:val="nil"/>
              <w:left w:val="nil"/>
              <w:bottom w:val="nil"/>
              <w:right w:val="nil"/>
            </w:tcBorders>
            <w:shd w:val="clear" w:color="auto" w:fill="auto"/>
            <w:vAlign w:val="center"/>
            <w:hideMark/>
          </w:tcPr>
          <w:p w14:paraId="57DF63F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72</w:t>
            </w:r>
          </w:p>
        </w:tc>
      </w:tr>
      <w:tr w:rsidR="00891B3A" w:rsidRPr="00C67A93" w14:paraId="35131400" w14:textId="77777777" w:rsidTr="00891B3A">
        <w:trPr>
          <w:trHeight w:val="282"/>
        </w:trPr>
        <w:tc>
          <w:tcPr>
            <w:tcW w:w="2926" w:type="pct"/>
            <w:tcBorders>
              <w:top w:val="nil"/>
              <w:left w:val="nil"/>
              <w:bottom w:val="nil"/>
              <w:right w:val="nil"/>
            </w:tcBorders>
            <w:shd w:val="clear" w:color="000000" w:fill="FFFFFF"/>
            <w:noWrap/>
            <w:vAlign w:val="bottom"/>
          </w:tcPr>
          <w:p w14:paraId="3C334B4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Other income received</w:t>
            </w:r>
          </w:p>
        </w:tc>
        <w:tc>
          <w:tcPr>
            <w:tcW w:w="450" w:type="pct"/>
            <w:tcBorders>
              <w:top w:val="nil"/>
              <w:left w:val="nil"/>
              <w:bottom w:val="nil"/>
              <w:right w:val="nil"/>
            </w:tcBorders>
            <w:shd w:val="clear" w:color="000000" w:fill="FFFFFF"/>
            <w:noWrap/>
            <w:vAlign w:val="bottom"/>
          </w:tcPr>
          <w:p w14:paraId="16DBE38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center"/>
          </w:tcPr>
          <w:p w14:paraId="0CB4416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w:t>
            </w:r>
          </w:p>
        </w:tc>
        <w:tc>
          <w:tcPr>
            <w:tcW w:w="768" w:type="pct"/>
            <w:tcBorders>
              <w:top w:val="nil"/>
              <w:left w:val="nil"/>
              <w:bottom w:val="nil"/>
              <w:right w:val="nil"/>
            </w:tcBorders>
            <w:shd w:val="clear" w:color="auto" w:fill="auto"/>
            <w:vAlign w:val="center"/>
          </w:tcPr>
          <w:p w14:paraId="7A3DEF5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w:t>
            </w:r>
          </w:p>
        </w:tc>
      </w:tr>
      <w:tr w:rsidR="00891B3A" w:rsidRPr="00C67A93" w14:paraId="52ADCEC0" w14:textId="77777777" w:rsidTr="00891B3A">
        <w:trPr>
          <w:trHeight w:val="282"/>
        </w:trPr>
        <w:tc>
          <w:tcPr>
            <w:tcW w:w="2926" w:type="pct"/>
            <w:tcBorders>
              <w:top w:val="nil"/>
              <w:left w:val="nil"/>
              <w:bottom w:val="nil"/>
              <w:right w:val="nil"/>
            </w:tcBorders>
            <w:shd w:val="clear" w:color="000000" w:fill="FFFFFF"/>
            <w:noWrap/>
            <w:vAlign w:val="bottom"/>
          </w:tcPr>
          <w:p w14:paraId="37F31D8A" w14:textId="6054462E" w:rsidR="00891B3A" w:rsidRPr="00C67A93" w:rsidRDefault="006B54CF"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Proceeds from </w:t>
            </w:r>
            <w:r>
              <w:rPr>
                <w:rFonts w:ascii="Arial" w:eastAsia="Times New Roman" w:hAnsi="Arial" w:cs="Arial"/>
                <w:sz w:val="20"/>
                <w:szCs w:val="20"/>
                <w:lang w:val="en-SG" w:eastAsia="en-SG"/>
              </w:rPr>
              <w:t>sale of investment</w:t>
            </w:r>
            <w:r w:rsidR="009D07C6">
              <w:rPr>
                <w:rFonts w:ascii="Arial" w:eastAsia="Times New Roman" w:hAnsi="Arial" w:cs="Arial"/>
                <w:sz w:val="20"/>
                <w:szCs w:val="20"/>
                <w:lang w:val="en-SG" w:eastAsia="en-SG"/>
              </w:rPr>
              <w:t>s</w:t>
            </w:r>
          </w:p>
        </w:tc>
        <w:tc>
          <w:tcPr>
            <w:tcW w:w="450" w:type="pct"/>
            <w:tcBorders>
              <w:top w:val="nil"/>
              <w:left w:val="nil"/>
              <w:bottom w:val="nil"/>
              <w:right w:val="nil"/>
            </w:tcBorders>
            <w:shd w:val="clear" w:color="000000" w:fill="FFFFFF"/>
            <w:noWrap/>
            <w:vAlign w:val="bottom"/>
          </w:tcPr>
          <w:p w14:paraId="04C1134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center"/>
          </w:tcPr>
          <w:p w14:paraId="7E0E0E1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p>
        </w:tc>
        <w:tc>
          <w:tcPr>
            <w:tcW w:w="768" w:type="pct"/>
            <w:tcBorders>
              <w:top w:val="nil"/>
              <w:left w:val="nil"/>
              <w:bottom w:val="nil"/>
              <w:right w:val="nil"/>
            </w:tcBorders>
            <w:shd w:val="clear" w:color="auto" w:fill="auto"/>
            <w:vAlign w:val="center"/>
          </w:tcPr>
          <w:p w14:paraId="7C4087F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5,190</w:t>
            </w:r>
          </w:p>
        </w:tc>
      </w:tr>
      <w:tr w:rsidR="00891B3A" w:rsidRPr="00C67A93" w14:paraId="35C707E8" w14:textId="77777777" w:rsidTr="00891B3A">
        <w:trPr>
          <w:trHeight w:val="282"/>
        </w:trPr>
        <w:tc>
          <w:tcPr>
            <w:tcW w:w="2926" w:type="pct"/>
            <w:tcBorders>
              <w:top w:val="nil"/>
              <w:left w:val="nil"/>
              <w:bottom w:val="nil"/>
              <w:right w:val="nil"/>
            </w:tcBorders>
            <w:shd w:val="clear" w:color="000000" w:fill="FFFFFF"/>
            <w:noWrap/>
            <w:vAlign w:val="bottom"/>
            <w:hideMark/>
          </w:tcPr>
          <w:p w14:paraId="70E16D7E" w14:textId="14E38C44" w:rsidR="00891B3A" w:rsidRPr="00C67A93" w:rsidRDefault="006B54CF"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Proceeds from </w:t>
            </w:r>
            <w:r>
              <w:rPr>
                <w:rFonts w:ascii="Arial" w:eastAsia="Times New Roman" w:hAnsi="Arial" w:cs="Arial"/>
                <w:sz w:val="20"/>
                <w:szCs w:val="20"/>
                <w:lang w:val="en-SG" w:eastAsia="en-SG"/>
              </w:rPr>
              <w:t>redemption of</w:t>
            </w:r>
            <w:r w:rsidRPr="00C67A93">
              <w:rPr>
                <w:rFonts w:ascii="Arial" w:eastAsia="Times New Roman" w:hAnsi="Arial" w:cs="Arial"/>
                <w:sz w:val="20"/>
                <w:szCs w:val="20"/>
                <w:lang w:val="en-SG" w:eastAsia="en-SG"/>
              </w:rPr>
              <w:t xml:space="preserve"> </w:t>
            </w:r>
            <w:r>
              <w:rPr>
                <w:rFonts w:ascii="Arial" w:eastAsia="Times New Roman" w:hAnsi="Arial" w:cs="Arial"/>
                <w:sz w:val="20"/>
                <w:szCs w:val="20"/>
                <w:lang w:val="en-SG" w:eastAsia="en-SG"/>
              </w:rPr>
              <w:t>loan</w:t>
            </w:r>
            <w:r w:rsidR="000D5DB5">
              <w:rPr>
                <w:rFonts w:ascii="Arial" w:eastAsia="Times New Roman" w:hAnsi="Arial" w:cs="Arial"/>
                <w:sz w:val="20"/>
                <w:szCs w:val="20"/>
                <w:lang w:val="en-SG" w:eastAsia="en-SG"/>
              </w:rPr>
              <w:t xml:space="preserve"> investment</w:t>
            </w:r>
          </w:p>
        </w:tc>
        <w:tc>
          <w:tcPr>
            <w:tcW w:w="450" w:type="pct"/>
            <w:tcBorders>
              <w:top w:val="nil"/>
              <w:left w:val="nil"/>
              <w:bottom w:val="nil"/>
              <w:right w:val="nil"/>
            </w:tcBorders>
            <w:shd w:val="clear" w:color="000000" w:fill="FFFFFF"/>
            <w:noWrap/>
            <w:vAlign w:val="bottom"/>
            <w:hideMark/>
          </w:tcPr>
          <w:p w14:paraId="1332817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single" w:sz="4" w:space="0" w:color="auto"/>
              <w:right w:val="nil"/>
            </w:tcBorders>
            <w:shd w:val="clear" w:color="auto" w:fill="FDE9D9" w:themeFill="accent6" w:themeFillTint="33"/>
            <w:vAlign w:val="center"/>
          </w:tcPr>
          <w:p w14:paraId="139EAF6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Pr>
                <w:rFonts w:ascii="Arial" w:eastAsia="Times New Roman" w:hAnsi="Arial" w:cs="Arial"/>
                <w:b/>
                <w:bCs/>
                <w:sz w:val="20"/>
                <w:szCs w:val="20"/>
                <w:lang w:val="en-SG" w:eastAsia="en-SG"/>
              </w:rPr>
              <w:t>50</w:t>
            </w:r>
          </w:p>
        </w:tc>
        <w:tc>
          <w:tcPr>
            <w:tcW w:w="768" w:type="pct"/>
            <w:tcBorders>
              <w:top w:val="nil"/>
              <w:left w:val="nil"/>
              <w:bottom w:val="single" w:sz="4" w:space="0" w:color="auto"/>
              <w:right w:val="nil"/>
            </w:tcBorders>
            <w:shd w:val="clear" w:color="auto" w:fill="auto"/>
            <w:vAlign w:val="center"/>
            <w:hideMark/>
          </w:tcPr>
          <w:p w14:paraId="49BB696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w:t>
            </w:r>
          </w:p>
        </w:tc>
      </w:tr>
      <w:tr w:rsidR="00891B3A" w:rsidRPr="00C67A93" w14:paraId="7D2E3DA5" w14:textId="77777777" w:rsidTr="00891B3A">
        <w:trPr>
          <w:trHeight w:val="282"/>
        </w:trPr>
        <w:tc>
          <w:tcPr>
            <w:tcW w:w="2926" w:type="pct"/>
            <w:tcBorders>
              <w:top w:val="single" w:sz="4" w:space="0" w:color="auto"/>
              <w:left w:val="nil"/>
              <w:bottom w:val="single" w:sz="4" w:space="0" w:color="auto"/>
              <w:right w:val="nil"/>
            </w:tcBorders>
            <w:shd w:val="clear" w:color="000000" w:fill="FFFFFF"/>
            <w:noWrap/>
            <w:vAlign w:val="bottom"/>
            <w:hideMark/>
          </w:tcPr>
          <w:p w14:paraId="2F871C4F"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Net cash from investing activities</w:t>
            </w:r>
          </w:p>
        </w:tc>
        <w:tc>
          <w:tcPr>
            <w:tcW w:w="450" w:type="pct"/>
            <w:tcBorders>
              <w:top w:val="single" w:sz="4" w:space="0" w:color="auto"/>
              <w:left w:val="nil"/>
              <w:bottom w:val="single" w:sz="4" w:space="0" w:color="auto"/>
              <w:right w:val="nil"/>
            </w:tcBorders>
            <w:shd w:val="clear" w:color="000000" w:fill="FFFFFF"/>
            <w:noWrap/>
            <w:vAlign w:val="bottom"/>
            <w:hideMark/>
          </w:tcPr>
          <w:p w14:paraId="6D55D20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single" w:sz="4" w:space="0" w:color="auto"/>
              <w:right w:val="nil"/>
            </w:tcBorders>
            <w:shd w:val="clear" w:color="auto" w:fill="FDE9D9" w:themeFill="accent6" w:themeFillTint="33"/>
            <w:vAlign w:val="center"/>
          </w:tcPr>
          <w:p w14:paraId="1067FDE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Pr>
                <w:rFonts w:ascii="Arial" w:eastAsia="Times New Roman" w:hAnsi="Arial" w:cs="Arial"/>
                <w:b/>
                <w:bCs/>
                <w:sz w:val="20"/>
                <w:szCs w:val="20"/>
                <w:lang w:val="en-SG" w:eastAsia="en-SG"/>
              </w:rPr>
              <w:t>80</w:t>
            </w:r>
          </w:p>
        </w:tc>
        <w:tc>
          <w:tcPr>
            <w:tcW w:w="768" w:type="pct"/>
            <w:tcBorders>
              <w:top w:val="nil"/>
              <w:left w:val="nil"/>
              <w:bottom w:val="single" w:sz="4" w:space="0" w:color="auto"/>
              <w:right w:val="nil"/>
            </w:tcBorders>
            <w:shd w:val="clear" w:color="auto" w:fill="auto"/>
            <w:vAlign w:val="center"/>
            <w:hideMark/>
          </w:tcPr>
          <w:p w14:paraId="0084AEB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5,262</w:t>
            </w:r>
          </w:p>
        </w:tc>
      </w:tr>
      <w:tr w:rsidR="00891B3A" w:rsidRPr="00C67A93" w14:paraId="15EFCC27" w14:textId="77777777" w:rsidTr="00891B3A">
        <w:trPr>
          <w:trHeight w:val="282"/>
        </w:trPr>
        <w:tc>
          <w:tcPr>
            <w:tcW w:w="2926" w:type="pct"/>
            <w:tcBorders>
              <w:top w:val="nil"/>
              <w:left w:val="nil"/>
              <w:bottom w:val="nil"/>
              <w:right w:val="nil"/>
            </w:tcBorders>
            <w:shd w:val="clear" w:color="000000" w:fill="FFFFFF"/>
            <w:noWrap/>
            <w:vAlign w:val="bottom"/>
            <w:hideMark/>
          </w:tcPr>
          <w:p w14:paraId="71FFED7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450" w:type="pct"/>
            <w:tcBorders>
              <w:top w:val="nil"/>
              <w:left w:val="nil"/>
              <w:bottom w:val="nil"/>
              <w:right w:val="nil"/>
            </w:tcBorders>
            <w:shd w:val="clear" w:color="000000" w:fill="FFFFFF"/>
            <w:noWrap/>
            <w:vAlign w:val="bottom"/>
            <w:hideMark/>
          </w:tcPr>
          <w:p w14:paraId="02468DE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bottom"/>
          </w:tcPr>
          <w:p w14:paraId="67BDD6D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bottom"/>
            <w:hideMark/>
          </w:tcPr>
          <w:p w14:paraId="78E8CC3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54B27B36" w14:textId="77777777" w:rsidTr="00891B3A">
        <w:trPr>
          <w:trHeight w:val="282"/>
        </w:trPr>
        <w:tc>
          <w:tcPr>
            <w:tcW w:w="2926" w:type="pct"/>
            <w:tcBorders>
              <w:top w:val="nil"/>
              <w:left w:val="nil"/>
              <w:bottom w:val="nil"/>
              <w:right w:val="nil"/>
            </w:tcBorders>
            <w:shd w:val="clear" w:color="000000" w:fill="FFFFFF"/>
            <w:noWrap/>
            <w:vAlign w:val="bottom"/>
          </w:tcPr>
          <w:p w14:paraId="2B77AA0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b/>
                <w:bCs/>
                <w:sz w:val="20"/>
                <w:szCs w:val="20"/>
                <w:lang w:val="en-SG" w:eastAsia="en-SG"/>
              </w:rPr>
              <w:t>Cash flows from financing activities</w:t>
            </w:r>
          </w:p>
        </w:tc>
        <w:tc>
          <w:tcPr>
            <w:tcW w:w="450" w:type="pct"/>
            <w:tcBorders>
              <w:top w:val="nil"/>
              <w:left w:val="nil"/>
              <w:bottom w:val="nil"/>
              <w:right w:val="nil"/>
            </w:tcBorders>
            <w:shd w:val="clear" w:color="000000" w:fill="FFFFFF"/>
            <w:noWrap/>
            <w:vAlign w:val="bottom"/>
          </w:tcPr>
          <w:p w14:paraId="28C3327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center"/>
          </w:tcPr>
          <w:p w14:paraId="63743AE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center"/>
          </w:tcPr>
          <w:p w14:paraId="7D05704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22068ED4" w14:textId="77777777" w:rsidTr="00891B3A">
        <w:trPr>
          <w:trHeight w:val="282"/>
        </w:trPr>
        <w:tc>
          <w:tcPr>
            <w:tcW w:w="2926" w:type="pct"/>
            <w:tcBorders>
              <w:top w:val="nil"/>
              <w:left w:val="nil"/>
              <w:bottom w:val="nil"/>
              <w:right w:val="nil"/>
            </w:tcBorders>
            <w:shd w:val="clear" w:color="000000" w:fill="FFFFFF"/>
            <w:noWrap/>
            <w:vAlign w:val="bottom"/>
          </w:tcPr>
          <w:p w14:paraId="5E2DB1D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Dividend paid</w:t>
            </w:r>
          </w:p>
        </w:tc>
        <w:tc>
          <w:tcPr>
            <w:tcW w:w="450" w:type="pct"/>
            <w:tcBorders>
              <w:top w:val="nil"/>
              <w:left w:val="nil"/>
              <w:bottom w:val="nil"/>
              <w:right w:val="nil"/>
            </w:tcBorders>
            <w:shd w:val="clear" w:color="000000" w:fill="FFFFFF"/>
            <w:noWrap/>
            <w:vAlign w:val="bottom"/>
          </w:tcPr>
          <w:p w14:paraId="1A0C5C2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center"/>
          </w:tcPr>
          <w:p w14:paraId="6738E05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(484)</w:t>
            </w:r>
          </w:p>
        </w:tc>
        <w:tc>
          <w:tcPr>
            <w:tcW w:w="768" w:type="pct"/>
            <w:tcBorders>
              <w:top w:val="nil"/>
              <w:left w:val="nil"/>
              <w:bottom w:val="nil"/>
              <w:right w:val="nil"/>
            </w:tcBorders>
            <w:shd w:val="clear" w:color="auto" w:fill="auto"/>
            <w:vAlign w:val="center"/>
          </w:tcPr>
          <w:p w14:paraId="0C0474E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(3,431)</w:t>
            </w:r>
          </w:p>
        </w:tc>
      </w:tr>
      <w:tr w:rsidR="00891B3A" w:rsidRPr="00C67A93" w14:paraId="78E9DDFD" w14:textId="77777777" w:rsidTr="00891B3A">
        <w:trPr>
          <w:trHeight w:val="282"/>
        </w:trPr>
        <w:tc>
          <w:tcPr>
            <w:tcW w:w="2926" w:type="pct"/>
            <w:tcBorders>
              <w:top w:val="nil"/>
              <w:left w:val="nil"/>
              <w:bottom w:val="nil"/>
              <w:right w:val="nil"/>
            </w:tcBorders>
            <w:shd w:val="clear" w:color="000000" w:fill="FFFFFF"/>
            <w:noWrap/>
            <w:vAlign w:val="bottom"/>
          </w:tcPr>
          <w:p w14:paraId="70A20F9D"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Repayment of lease liabilities</w:t>
            </w:r>
          </w:p>
        </w:tc>
        <w:tc>
          <w:tcPr>
            <w:tcW w:w="450" w:type="pct"/>
            <w:tcBorders>
              <w:top w:val="nil"/>
              <w:left w:val="nil"/>
              <w:bottom w:val="nil"/>
              <w:right w:val="nil"/>
            </w:tcBorders>
            <w:shd w:val="clear" w:color="000000" w:fill="FFFFFF"/>
            <w:noWrap/>
            <w:vAlign w:val="bottom"/>
          </w:tcPr>
          <w:p w14:paraId="143DE78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center"/>
          </w:tcPr>
          <w:p w14:paraId="25E7283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w:t>
            </w:r>
            <w:r>
              <w:rPr>
                <w:rFonts w:ascii="Arial" w:eastAsia="Times New Roman" w:hAnsi="Arial" w:cs="Arial"/>
                <w:b/>
                <w:bCs/>
                <w:sz w:val="20"/>
                <w:szCs w:val="20"/>
                <w:lang w:val="en-SG" w:eastAsia="en-SG"/>
              </w:rPr>
              <w:t>9</w:t>
            </w:r>
            <w:r w:rsidRPr="00C67A93">
              <w:rPr>
                <w:rFonts w:ascii="Arial" w:eastAsia="Times New Roman" w:hAnsi="Arial" w:cs="Arial"/>
                <w:b/>
                <w:bCs/>
                <w:sz w:val="20"/>
                <w:szCs w:val="20"/>
                <w:lang w:val="en-SG" w:eastAsia="en-SG"/>
              </w:rPr>
              <w:t>)</w:t>
            </w:r>
          </w:p>
        </w:tc>
        <w:tc>
          <w:tcPr>
            <w:tcW w:w="768" w:type="pct"/>
            <w:tcBorders>
              <w:top w:val="nil"/>
              <w:left w:val="nil"/>
              <w:bottom w:val="nil"/>
              <w:right w:val="nil"/>
            </w:tcBorders>
            <w:shd w:val="clear" w:color="auto" w:fill="auto"/>
            <w:vAlign w:val="center"/>
          </w:tcPr>
          <w:p w14:paraId="2FFF86F9" w14:textId="77777777" w:rsidR="00891B3A" w:rsidRPr="00C67A93" w:rsidRDefault="00891B3A" w:rsidP="00891B3A">
            <w:pPr>
              <w:widowControl/>
              <w:suppressAutoHyphens w:val="0"/>
              <w:autoSpaceDN/>
              <w:spacing w:after="0" w:line="240" w:lineRule="auto"/>
              <w:jc w:val="right"/>
              <w:textAlignment w:val="auto"/>
              <w:rPr>
                <w:rFonts w:ascii="Arial" w:hAnsi="Arial" w:cs="Arial"/>
                <w:color w:val="000000"/>
                <w:sz w:val="20"/>
                <w:szCs w:val="20"/>
                <w:lang w:val="en-SG"/>
              </w:rPr>
            </w:pPr>
            <w:r w:rsidRPr="00C67A93">
              <w:rPr>
                <w:rFonts w:ascii="Arial" w:hAnsi="Arial" w:cs="Arial"/>
                <w:color w:val="000000"/>
                <w:sz w:val="20"/>
                <w:szCs w:val="20"/>
                <w:lang w:val="en-SG"/>
              </w:rPr>
              <w:t>-</w:t>
            </w:r>
          </w:p>
        </w:tc>
      </w:tr>
      <w:tr w:rsidR="00891B3A" w:rsidRPr="00C67A93" w14:paraId="5D4D80A8" w14:textId="77777777" w:rsidTr="00891B3A">
        <w:trPr>
          <w:trHeight w:val="282"/>
        </w:trPr>
        <w:tc>
          <w:tcPr>
            <w:tcW w:w="2926" w:type="pct"/>
            <w:tcBorders>
              <w:top w:val="single" w:sz="4" w:space="0" w:color="auto"/>
              <w:left w:val="nil"/>
              <w:bottom w:val="single" w:sz="4" w:space="0" w:color="auto"/>
              <w:right w:val="nil"/>
            </w:tcBorders>
            <w:shd w:val="clear" w:color="000000" w:fill="FFFFFF"/>
            <w:noWrap/>
            <w:vAlign w:val="bottom"/>
          </w:tcPr>
          <w:p w14:paraId="3EF6237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b/>
                <w:bCs/>
                <w:sz w:val="20"/>
                <w:szCs w:val="20"/>
                <w:lang w:val="en-SG" w:eastAsia="en-SG"/>
              </w:rPr>
              <w:t>Net cash used in financing activities</w:t>
            </w:r>
          </w:p>
        </w:tc>
        <w:tc>
          <w:tcPr>
            <w:tcW w:w="450" w:type="pct"/>
            <w:tcBorders>
              <w:top w:val="single" w:sz="4" w:space="0" w:color="auto"/>
              <w:left w:val="nil"/>
              <w:bottom w:val="single" w:sz="4" w:space="0" w:color="auto"/>
              <w:right w:val="nil"/>
            </w:tcBorders>
            <w:shd w:val="clear" w:color="000000" w:fill="FFFFFF"/>
            <w:noWrap/>
            <w:vAlign w:val="bottom"/>
          </w:tcPr>
          <w:p w14:paraId="03BAEC6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single" w:sz="4" w:space="0" w:color="auto"/>
              <w:left w:val="nil"/>
              <w:bottom w:val="single" w:sz="4" w:space="0" w:color="auto"/>
              <w:right w:val="nil"/>
            </w:tcBorders>
            <w:shd w:val="clear" w:color="auto" w:fill="FDE9D9" w:themeFill="accent6" w:themeFillTint="33"/>
            <w:vAlign w:val="center"/>
          </w:tcPr>
          <w:p w14:paraId="350B643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r>
              <w:rPr>
                <w:rFonts w:ascii="Arial" w:eastAsia="Times New Roman" w:hAnsi="Arial" w:cs="Arial"/>
                <w:b/>
                <w:bCs/>
                <w:sz w:val="20"/>
                <w:szCs w:val="20"/>
                <w:lang w:val="en-SG" w:eastAsia="en-SG"/>
              </w:rPr>
              <w:t>503</w:t>
            </w:r>
            <w:r w:rsidRPr="00C67A93">
              <w:rPr>
                <w:rFonts w:ascii="Arial" w:eastAsia="Times New Roman" w:hAnsi="Arial" w:cs="Arial"/>
                <w:b/>
                <w:bCs/>
                <w:sz w:val="20"/>
                <w:szCs w:val="20"/>
                <w:lang w:val="en-SG" w:eastAsia="en-SG"/>
              </w:rPr>
              <w:t>)</w:t>
            </w:r>
          </w:p>
        </w:tc>
        <w:tc>
          <w:tcPr>
            <w:tcW w:w="768" w:type="pct"/>
            <w:tcBorders>
              <w:top w:val="single" w:sz="4" w:space="0" w:color="auto"/>
              <w:left w:val="nil"/>
              <w:bottom w:val="single" w:sz="4" w:space="0" w:color="auto"/>
              <w:right w:val="nil"/>
            </w:tcBorders>
            <w:shd w:val="clear" w:color="auto" w:fill="auto"/>
            <w:vAlign w:val="center"/>
          </w:tcPr>
          <w:p w14:paraId="11113C9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(3,431)</w:t>
            </w:r>
          </w:p>
        </w:tc>
      </w:tr>
      <w:tr w:rsidR="00891B3A" w:rsidRPr="00C67A93" w14:paraId="03AE9A30" w14:textId="77777777" w:rsidTr="00891B3A">
        <w:trPr>
          <w:trHeight w:val="282"/>
        </w:trPr>
        <w:tc>
          <w:tcPr>
            <w:tcW w:w="2926" w:type="pct"/>
            <w:tcBorders>
              <w:top w:val="single" w:sz="4" w:space="0" w:color="auto"/>
              <w:left w:val="nil"/>
              <w:bottom w:val="nil"/>
              <w:right w:val="nil"/>
            </w:tcBorders>
            <w:shd w:val="clear" w:color="000000" w:fill="FFFFFF"/>
            <w:noWrap/>
            <w:vAlign w:val="bottom"/>
          </w:tcPr>
          <w:p w14:paraId="014DA22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450" w:type="pct"/>
            <w:tcBorders>
              <w:top w:val="single" w:sz="4" w:space="0" w:color="auto"/>
              <w:left w:val="nil"/>
              <w:bottom w:val="nil"/>
              <w:right w:val="nil"/>
            </w:tcBorders>
            <w:shd w:val="clear" w:color="000000" w:fill="FFFFFF"/>
            <w:noWrap/>
            <w:vAlign w:val="bottom"/>
          </w:tcPr>
          <w:p w14:paraId="1A523B9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single" w:sz="4" w:space="0" w:color="auto"/>
              <w:left w:val="nil"/>
              <w:bottom w:val="nil"/>
              <w:right w:val="nil"/>
            </w:tcBorders>
            <w:shd w:val="clear" w:color="auto" w:fill="FDE9D9" w:themeFill="accent6" w:themeFillTint="33"/>
            <w:vAlign w:val="bottom"/>
          </w:tcPr>
          <w:p w14:paraId="5FC5A52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single" w:sz="4" w:space="0" w:color="auto"/>
              <w:left w:val="nil"/>
              <w:bottom w:val="nil"/>
              <w:right w:val="nil"/>
            </w:tcBorders>
            <w:shd w:val="clear" w:color="auto" w:fill="auto"/>
            <w:vAlign w:val="bottom"/>
          </w:tcPr>
          <w:p w14:paraId="3C5E2B4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18276B05" w14:textId="77777777" w:rsidTr="00891B3A">
        <w:trPr>
          <w:trHeight w:val="282"/>
        </w:trPr>
        <w:tc>
          <w:tcPr>
            <w:tcW w:w="2926" w:type="pct"/>
            <w:tcBorders>
              <w:top w:val="nil"/>
              <w:left w:val="nil"/>
              <w:bottom w:val="nil"/>
              <w:right w:val="nil"/>
            </w:tcBorders>
            <w:shd w:val="clear" w:color="000000" w:fill="FFFFFF"/>
            <w:noWrap/>
            <w:vAlign w:val="bottom"/>
          </w:tcPr>
          <w:p w14:paraId="5C5DC5A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450" w:type="pct"/>
            <w:tcBorders>
              <w:top w:val="nil"/>
              <w:left w:val="nil"/>
              <w:bottom w:val="nil"/>
              <w:right w:val="nil"/>
            </w:tcBorders>
            <w:shd w:val="clear" w:color="000000" w:fill="FFFFFF"/>
            <w:noWrap/>
            <w:vAlign w:val="bottom"/>
          </w:tcPr>
          <w:p w14:paraId="14757E6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bottom"/>
          </w:tcPr>
          <w:p w14:paraId="7A7FE9B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768" w:type="pct"/>
            <w:tcBorders>
              <w:top w:val="nil"/>
              <w:left w:val="nil"/>
              <w:bottom w:val="nil"/>
              <w:right w:val="nil"/>
            </w:tcBorders>
            <w:shd w:val="clear" w:color="auto" w:fill="auto"/>
            <w:vAlign w:val="bottom"/>
          </w:tcPr>
          <w:p w14:paraId="18372F8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5E6C0567" w14:textId="77777777" w:rsidTr="00891B3A">
        <w:trPr>
          <w:trHeight w:val="282"/>
        </w:trPr>
        <w:tc>
          <w:tcPr>
            <w:tcW w:w="2926" w:type="pct"/>
            <w:tcBorders>
              <w:top w:val="nil"/>
              <w:left w:val="nil"/>
              <w:bottom w:val="nil"/>
              <w:right w:val="nil"/>
            </w:tcBorders>
            <w:shd w:val="clear" w:color="000000" w:fill="FFFFFF"/>
            <w:noWrap/>
            <w:vAlign w:val="bottom"/>
            <w:hideMark/>
          </w:tcPr>
          <w:p w14:paraId="3B4166E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Net decrease in cash and cash equivalents</w:t>
            </w:r>
          </w:p>
        </w:tc>
        <w:tc>
          <w:tcPr>
            <w:tcW w:w="450" w:type="pct"/>
            <w:tcBorders>
              <w:top w:val="nil"/>
              <w:left w:val="nil"/>
              <w:bottom w:val="nil"/>
              <w:right w:val="nil"/>
            </w:tcBorders>
            <w:shd w:val="clear" w:color="000000" w:fill="FFFFFF"/>
            <w:noWrap/>
            <w:vAlign w:val="bottom"/>
            <w:hideMark/>
          </w:tcPr>
          <w:p w14:paraId="5715555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nil"/>
              <w:right w:val="nil"/>
            </w:tcBorders>
            <w:shd w:val="clear" w:color="auto" w:fill="FDE9D9" w:themeFill="accent6" w:themeFillTint="33"/>
            <w:vAlign w:val="center"/>
          </w:tcPr>
          <w:p w14:paraId="687848B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(949)</w:t>
            </w:r>
          </w:p>
        </w:tc>
        <w:tc>
          <w:tcPr>
            <w:tcW w:w="768" w:type="pct"/>
            <w:tcBorders>
              <w:top w:val="nil"/>
              <w:left w:val="nil"/>
              <w:bottom w:val="nil"/>
              <w:right w:val="nil"/>
            </w:tcBorders>
            <w:shd w:val="clear" w:color="auto" w:fill="auto"/>
            <w:vAlign w:val="center"/>
            <w:hideMark/>
          </w:tcPr>
          <w:p w14:paraId="698996D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(479)</w:t>
            </w:r>
          </w:p>
        </w:tc>
      </w:tr>
      <w:tr w:rsidR="00891B3A" w:rsidRPr="00C67A93" w14:paraId="5F75B208" w14:textId="77777777" w:rsidTr="00891B3A">
        <w:trPr>
          <w:trHeight w:val="282"/>
        </w:trPr>
        <w:tc>
          <w:tcPr>
            <w:tcW w:w="2926" w:type="pct"/>
            <w:tcBorders>
              <w:top w:val="nil"/>
              <w:left w:val="nil"/>
              <w:bottom w:val="nil"/>
              <w:right w:val="nil"/>
            </w:tcBorders>
            <w:shd w:val="clear" w:color="000000" w:fill="FFFFFF"/>
            <w:noWrap/>
            <w:vAlign w:val="bottom"/>
          </w:tcPr>
          <w:p w14:paraId="711817B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sz w:val="20"/>
                <w:szCs w:val="20"/>
                <w:lang w:val="en-SG" w:eastAsia="en-SG"/>
              </w:rPr>
              <w:t>Exchange losses on cash and cash equivalents</w:t>
            </w:r>
          </w:p>
        </w:tc>
        <w:tc>
          <w:tcPr>
            <w:tcW w:w="450" w:type="pct"/>
            <w:tcBorders>
              <w:top w:val="nil"/>
              <w:left w:val="nil"/>
              <w:bottom w:val="nil"/>
              <w:right w:val="nil"/>
            </w:tcBorders>
            <w:shd w:val="clear" w:color="000000" w:fill="FFFFFF"/>
            <w:noWrap/>
            <w:vAlign w:val="bottom"/>
          </w:tcPr>
          <w:p w14:paraId="44526C0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nil"/>
              <w:left w:val="nil"/>
              <w:bottom w:val="nil"/>
              <w:right w:val="nil"/>
            </w:tcBorders>
            <w:shd w:val="clear" w:color="auto" w:fill="FDE9D9" w:themeFill="accent6" w:themeFillTint="33"/>
            <w:vAlign w:val="center"/>
          </w:tcPr>
          <w:p w14:paraId="2907D46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p>
        </w:tc>
        <w:tc>
          <w:tcPr>
            <w:tcW w:w="768" w:type="pct"/>
            <w:tcBorders>
              <w:top w:val="nil"/>
              <w:left w:val="nil"/>
              <w:bottom w:val="nil"/>
              <w:right w:val="nil"/>
            </w:tcBorders>
            <w:shd w:val="clear" w:color="auto" w:fill="auto"/>
            <w:vAlign w:val="center"/>
          </w:tcPr>
          <w:p w14:paraId="2C6CA7F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(40)</w:t>
            </w:r>
          </w:p>
        </w:tc>
      </w:tr>
      <w:tr w:rsidR="00891B3A" w:rsidRPr="00C67A93" w14:paraId="779F2EBC" w14:textId="77777777" w:rsidTr="00891B3A">
        <w:trPr>
          <w:trHeight w:val="282"/>
        </w:trPr>
        <w:tc>
          <w:tcPr>
            <w:tcW w:w="2926" w:type="pct"/>
            <w:tcBorders>
              <w:top w:val="nil"/>
              <w:left w:val="nil"/>
              <w:bottom w:val="nil"/>
              <w:right w:val="nil"/>
            </w:tcBorders>
            <w:shd w:val="clear" w:color="000000" w:fill="FFFFFF"/>
            <w:noWrap/>
            <w:vAlign w:val="bottom"/>
            <w:hideMark/>
          </w:tcPr>
          <w:p w14:paraId="413BD94A"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Cash and cash equivalents at the beginning of the period</w:t>
            </w:r>
          </w:p>
        </w:tc>
        <w:tc>
          <w:tcPr>
            <w:tcW w:w="450" w:type="pct"/>
            <w:tcBorders>
              <w:top w:val="nil"/>
              <w:left w:val="nil"/>
              <w:bottom w:val="nil"/>
              <w:right w:val="nil"/>
            </w:tcBorders>
            <w:shd w:val="clear" w:color="000000" w:fill="FFFFFF"/>
            <w:noWrap/>
            <w:vAlign w:val="bottom"/>
            <w:hideMark/>
          </w:tcPr>
          <w:p w14:paraId="300BB37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single" w:sz="4" w:space="0" w:color="auto"/>
              <w:right w:val="nil"/>
            </w:tcBorders>
            <w:shd w:val="clear" w:color="auto" w:fill="FDE9D9" w:themeFill="accent6" w:themeFillTint="33"/>
            <w:vAlign w:val="center"/>
          </w:tcPr>
          <w:p w14:paraId="4BEFBB6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16,385</w:t>
            </w:r>
          </w:p>
        </w:tc>
        <w:tc>
          <w:tcPr>
            <w:tcW w:w="768" w:type="pct"/>
            <w:tcBorders>
              <w:top w:val="nil"/>
              <w:left w:val="nil"/>
              <w:bottom w:val="single" w:sz="4" w:space="0" w:color="auto"/>
              <w:right w:val="nil"/>
            </w:tcBorders>
            <w:shd w:val="clear" w:color="auto" w:fill="auto"/>
            <w:vAlign w:val="center"/>
            <w:hideMark/>
          </w:tcPr>
          <w:p w14:paraId="46F672C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25,079</w:t>
            </w:r>
          </w:p>
        </w:tc>
      </w:tr>
      <w:tr w:rsidR="00891B3A" w:rsidRPr="00C67A93" w14:paraId="03587F4F" w14:textId="77777777" w:rsidTr="00891B3A">
        <w:trPr>
          <w:trHeight w:val="282"/>
        </w:trPr>
        <w:tc>
          <w:tcPr>
            <w:tcW w:w="2926" w:type="pct"/>
            <w:tcBorders>
              <w:top w:val="single" w:sz="4" w:space="0" w:color="auto"/>
              <w:left w:val="nil"/>
              <w:bottom w:val="single" w:sz="4" w:space="0" w:color="auto"/>
              <w:right w:val="nil"/>
            </w:tcBorders>
            <w:shd w:val="clear" w:color="000000" w:fill="FFFFFF"/>
            <w:noWrap/>
            <w:vAlign w:val="bottom"/>
            <w:hideMark/>
          </w:tcPr>
          <w:p w14:paraId="30D0E3B3"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Cash and cash equivalents at the end of the period</w:t>
            </w:r>
          </w:p>
        </w:tc>
        <w:tc>
          <w:tcPr>
            <w:tcW w:w="450" w:type="pct"/>
            <w:tcBorders>
              <w:top w:val="single" w:sz="4" w:space="0" w:color="auto"/>
              <w:left w:val="nil"/>
              <w:bottom w:val="single" w:sz="4" w:space="0" w:color="auto"/>
              <w:right w:val="nil"/>
            </w:tcBorders>
            <w:shd w:val="clear" w:color="000000" w:fill="FFFFFF"/>
            <w:noWrap/>
            <w:vAlign w:val="bottom"/>
            <w:hideMark/>
          </w:tcPr>
          <w:p w14:paraId="58BC182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856" w:type="pct"/>
            <w:tcBorders>
              <w:top w:val="nil"/>
              <w:left w:val="nil"/>
              <w:bottom w:val="single" w:sz="4" w:space="0" w:color="auto"/>
              <w:right w:val="nil"/>
            </w:tcBorders>
            <w:shd w:val="clear" w:color="auto" w:fill="FDE9D9" w:themeFill="accent6" w:themeFillTint="33"/>
            <w:vAlign w:val="center"/>
          </w:tcPr>
          <w:p w14:paraId="42F8617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15,429</w:t>
            </w:r>
          </w:p>
        </w:tc>
        <w:tc>
          <w:tcPr>
            <w:tcW w:w="768" w:type="pct"/>
            <w:tcBorders>
              <w:top w:val="nil"/>
              <w:left w:val="nil"/>
              <w:bottom w:val="single" w:sz="4" w:space="0" w:color="auto"/>
              <w:right w:val="nil"/>
            </w:tcBorders>
            <w:shd w:val="clear" w:color="auto" w:fill="auto"/>
            <w:vAlign w:val="center"/>
            <w:hideMark/>
          </w:tcPr>
          <w:p w14:paraId="4DC1153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color w:val="000000"/>
                <w:sz w:val="20"/>
                <w:szCs w:val="20"/>
                <w:lang w:val="en-SG"/>
              </w:rPr>
              <w:t>24,560</w:t>
            </w:r>
          </w:p>
        </w:tc>
      </w:tr>
      <w:tr w:rsidR="00891B3A" w:rsidRPr="00C67A93" w14:paraId="58BF6E5C" w14:textId="77777777" w:rsidTr="00891B3A">
        <w:trPr>
          <w:trHeight w:val="282"/>
        </w:trPr>
        <w:tc>
          <w:tcPr>
            <w:tcW w:w="2926" w:type="pct"/>
            <w:tcBorders>
              <w:top w:val="single" w:sz="4" w:space="0" w:color="auto"/>
              <w:left w:val="nil"/>
              <w:right w:val="nil"/>
            </w:tcBorders>
            <w:shd w:val="clear" w:color="000000" w:fill="FFFFFF"/>
            <w:noWrap/>
            <w:vAlign w:val="bottom"/>
          </w:tcPr>
          <w:p w14:paraId="7518AB60"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color w:val="000000"/>
                <w:sz w:val="20"/>
                <w:szCs w:val="20"/>
                <w:lang w:val="en-SG" w:eastAsia="en-SG"/>
              </w:rPr>
            </w:pPr>
          </w:p>
        </w:tc>
        <w:tc>
          <w:tcPr>
            <w:tcW w:w="450" w:type="pct"/>
            <w:tcBorders>
              <w:top w:val="single" w:sz="4" w:space="0" w:color="auto"/>
              <w:left w:val="nil"/>
              <w:right w:val="nil"/>
            </w:tcBorders>
            <w:shd w:val="clear" w:color="000000" w:fill="FFFFFF"/>
            <w:noWrap/>
            <w:vAlign w:val="bottom"/>
          </w:tcPr>
          <w:p w14:paraId="4E736C1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856" w:type="pct"/>
            <w:tcBorders>
              <w:top w:val="single" w:sz="4" w:space="0" w:color="auto"/>
              <w:left w:val="nil"/>
              <w:right w:val="nil"/>
            </w:tcBorders>
            <w:shd w:val="clear" w:color="auto" w:fill="auto"/>
            <w:vAlign w:val="center"/>
          </w:tcPr>
          <w:p w14:paraId="3D07D0FB" w14:textId="77777777" w:rsidR="00891B3A" w:rsidRPr="00C67A93" w:rsidRDefault="00891B3A" w:rsidP="00891B3A">
            <w:pPr>
              <w:widowControl/>
              <w:suppressAutoHyphens w:val="0"/>
              <w:autoSpaceDN/>
              <w:spacing w:after="0" w:line="240" w:lineRule="auto"/>
              <w:jc w:val="right"/>
              <w:textAlignment w:val="auto"/>
              <w:rPr>
                <w:rFonts w:ascii="Arial" w:hAnsi="Arial" w:cs="Arial"/>
                <w:b/>
                <w:bCs/>
                <w:color w:val="000000"/>
                <w:sz w:val="20"/>
                <w:szCs w:val="20"/>
                <w:lang w:val="en-SG"/>
              </w:rPr>
            </w:pPr>
          </w:p>
        </w:tc>
        <w:tc>
          <w:tcPr>
            <w:tcW w:w="768" w:type="pct"/>
            <w:tcBorders>
              <w:top w:val="single" w:sz="4" w:space="0" w:color="auto"/>
              <w:left w:val="nil"/>
              <w:right w:val="nil"/>
            </w:tcBorders>
            <w:shd w:val="clear" w:color="auto" w:fill="auto"/>
            <w:vAlign w:val="center"/>
          </w:tcPr>
          <w:p w14:paraId="6FE9005A" w14:textId="77777777" w:rsidR="00891B3A" w:rsidRPr="00C67A93" w:rsidRDefault="00891B3A" w:rsidP="00891B3A">
            <w:pPr>
              <w:widowControl/>
              <w:suppressAutoHyphens w:val="0"/>
              <w:autoSpaceDN/>
              <w:spacing w:after="0" w:line="240" w:lineRule="auto"/>
              <w:jc w:val="right"/>
              <w:textAlignment w:val="auto"/>
              <w:rPr>
                <w:rFonts w:ascii="Arial" w:hAnsi="Arial" w:cs="Arial"/>
                <w:b/>
                <w:bCs/>
                <w:color w:val="000000"/>
                <w:sz w:val="20"/>
                <w:szCs w:val="20"/>
                <w:lang w:val="en-SG"/>
              </w:rPr>
            </w:pPr>
          </w:p>
        </w:tc>
      </w:tr>
    </w:tbl>
    <w:p w14:paraId="42F9AE64" w14:textId="77777777" w:rsidR="00891B3A" w:rsidRPr="00C67A93" w:rsidRDefault="00891B3A" w:rsidP="00891B3A">
      <w:pPr>
        <w:shd w:val="clear" w:color="auto" w:fill="FFFFFF"/>
        <w:rPr>
          <w:rFonts w:ascii="Arial" w:hAnsi="Arial" w:cs="Arial"/>
        </w:rPr>
      </w:pPr>
    </w:p>
    <w:p w14:paraId="7FA40C8A" w14:textId="038E7FF8" w:rsidR="00891B3A" w:rsidRPr="00C67A93" w:rsidRDefault="00891B3A" w:rsidP="00891B3A">
      <w:pPr>
        <w:shd w:val="clear" w:color="auto" w:fill="FFFFFF"/>
        <w:rPr>
          <w:rFonts w:ascii="Arial" w:hAnsi="Arial" w:cs="Arial"/>
        </w:rPr>
      </w:pPr>
      <w:r w:rsidRPr="00C67A93">
        <w:rPr>
          <w:rFonts w:ascii="Arial" w:hAnsi="Arial" w:cs="Arial"/>
        </w:rPr>
        <w:t xml:space="preserve">The notes </w:t>
      </w:r>
      <w:r w:rsidR="00347F0B">
        <w:rPr>
          <w:rFonts w:ascii="Arial" w:hAnsi="Arial" w:cs="Arial"/>
        </w:rPr>
        <w:t xml:space="preserve">on pages 21 to 35 form </w:t>
      </w:r>
      <w:r w:rsidRPr="00C67A93">
        <w:rPr>
          <w:rFonts w:ascii="Arial" w:hAnsi="Arial" w:cs="Arial"/>
        </w:rPr>
        <w:t>part of these Financial Statements.</w:t>
      </w:r>
    </w:p>
    <w:p w14:paraId="5381FEA5"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3D12EB2A" w14:textId="77777777" w:rsidR="00891B3A" w:rsidRPr="00C67A93" w:rsidRDefault="00891B3A" w:rsidP="00891B3A">
      <w:pPr>
        <w:pStyle w:val="NormalWeb"/>
        <w:shd w:val="clear" w:color="auto" w:fill="FFFFFF"/>
        <w:spacing w:before="0" w:after="0"/>
        <w:rPr>
          <w:rFonts w:ascii="Arial" w:hAnsi="Arial" w:cs="Arial"/>
        </w:rPr>
      </w:pPr>
    </w:p>
    <w:p w14:paraId="19D48154" w14:textId="77777777" w:rsidR="00891B3A" w:rsidRPr="00C67A93" w:rsidRDefault="00891B3A" w:rsidP="00891B3A">
      <w:pPr>
        <w:shd w:val="clear" w:color="auto" w:fill="FFFFFF"/>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w:t>
      </w:r>
    </w:p>
    <w:p w14:paraId="0872298B" w14:textId="77777777" w:rsidR="00891B3A" w:rsidRPr="00C67A93" w:rsidRDefault="00891B3A" w:rsidP="00891B3A">
      <w:pPr>
        <w:shd w:val="clear" w:color="auto" w:fill="FFFFFF"/>
        <w:spacing w:after="0"/>
        <w:rPr>
          <w:rFonts w:ascii="Arial" w:hAnsi="Arial" w:cs="Arial"/>
          <w:b/>
        </w:rPr>
      </w:pPr>
      <w:r w:rsidRPr="00C67A93">
        <w:rPr>
          <w:rFonts w:ascii="Arial" w:hAnsi="Arial" w:cs="Arial"/>
          <w:b/>
        </w:rPr>
        <w:t>Reporting entity</w:t>
      </w:r>
    </w:p>
    <w:p w14:paraId="1EB06B8D" w14:textId="77777777" w:rsidR="00891B3A" w:rsidRPr="00C67A93" w:rsidRDefault="00891B3A" w:rsidP="00891B3A">
      <w:pPr>
        <w:shd w:val="clear" w:color="auto" w:fill="FFFFFF"/>
        <w:spacing w:after="0"/>
        <w:jc w:val="both"/>
        <w:rPr>
          <w:rFonts w:ascii="Arial" w:hAnsi="Arial" w:cs="Arial"/>
        </w:rPr>
      </w:pPr>
      <w:r w:rsidRPr="00C67A93">
        <w:rPr>
          <w:rFonts w:ascii="Arial" w:hAnsi="Arial" w:cs="Arial"/>
        </w:rPr>
        <w:t>LMS Capital plc (“the Company”) is domiciled in the United Kingdom. These condensed Financial Statements are presented in pounds sterling because that is the currency of the principal economic environment of the Company’s operations.</w:t>
      </w:r>
    </w:p>
    <w:p w14:paraId="711AC095" w14:textId="77777777" w:rsidR="00891B3A" w:rsidRPr="00C67A93" w:rsidRDefault="00891B3A" w:rsidP="00891B3A">
      <w:pPr>
        <w:shd w:val="clear" w:color="auto" w:fill="FFFFFF"/>
        <w:spacing w:after="0"/>
        <w:jc w:val="both"/>
        <w:rPr>
          <w:rFonts w:ascii="Arial" w:hAnsi="Arial" w:cs="Arial"/>
        </w:rPr>
      </w:pPr>
    </w:p>
    <w:p w14:paraId="0BCFDA0D" w14:textId="1EA547A2" w:rsidR="00604431" w:rsidRDefault="00604431" w:rsidP="00604431">
      <w:pPr>
        <w:shd w:val="clear" w:color="auto" w:fill="FFFFFF"/>
        <w:spacing w:after="0"/>
        <w:jc w:val="both"/>
        <w:rPr>
          <w:rFonts w:ascii="Arial" w:hAnsi="Arial" w:cs="Arial"/>
          <w:lang w:val="en-GB"/>
        </w:rPr>
      </w:pPr>
      <w:r w:rsidRPr="00604431">
        <w:rPr>
          <w:rFonts w:ascii="Arial" w:hAnsi="Arial" w:cs="Arial"/>
          <w:lang w:val="en-GB"/>
        </w:rPr>
        <w:t xml:space="preserve">These condensed interim </w:t>
      </w:r>
      <w:r w:rsidR="00DA514F">
        <w:rPr>
          <w:rFonts w:ascii="Arial" w:hAnsi="Arial" w:cs="Arial"/>
          <w:lang w:val="en-GB"/>
        </w:rPr>
        <w:t>F</w:t>
      </w:r>
      <w:r w:rsidRPr="00604431">
        <w:rPr>
          <w:rFonts w:ascii="Arial" w:hAnsi="Arial" w:cs="Arial"/>
          <w:lang w:val="en-GB"/>
        </w:rPr>
        <w:t xml:space="preserve">inancial </w:t>
      </w:r>
      <w:r w:rsidR="00DA514F">
        <w:rPr>
          <w:rFonts w:ascii="Arial" w:hAnsi="Arial" w:cs="Arial"/>
          <w:lang w:val="en-GB"/>
        </w:rPr>
        <w:t>S</w:t>
      </w:r>
      <w:r w:rsidRPr="00604431">
        <w:rPr>
          <w:rFonts w:ascii="Arial" w:hAnsi="Arial" w:cs="Arial"/>
          <w:lang w:val="en-GB"/>
        </w:rPr>
        <w:t xml:space="preserve">tatements do not comprise statutory accounts within the meaning of section 434 of the Companies Act 2006. Statutory accounts for the year ended 31 December 2020 were approved by the board of directors on 17 April 2021 and delivered to the Registrar of Companies. The report of the auditors on those accounts was unqualified, did not contain an emphasis of matter paragraph and did not contain any statement under section 498 of the Companies Act 2006. </w:t>
      </w:r>
    </w:p>
    <w:p w14:paraId="0EA7D524" w14:textId="77777777" w:rsidR="00604431" w:rsidRPr="00604431" w:rsidRDefault="00604431" w:rsidP="00604431">
      <w:pPr>
        <w:shd w:val="clear" w:color="auto" w:fill="FFFFFF"/>
        <w:spacing w:after="0"/>
        <w:jc w:val="both"/>
        <w:rPr>
          <w:rFonts w:ascii="Arial" w:hAnsi="Arial" w:cs="Arial"/>
          <w:lang w:val="en-GB"/>
        </w:rPr>
      </w:pPr>
    </w:p>
    <w:p w14:paraId="2A5B1575" w14:textId="3ADC1ABD" w:rsidR="00891B3A" w:rsidRPr="00C67A93" w:rsidRDefault="00604431" w:rsidP="00604431">
      <w:pPr>
        <w:shd w:val="clear" w:color="auto" w:fill="FFFFFF"/>
        <w:spacing w:after="0"/>
        <w:jc w:val="both"/>
        <w:rPr>
          <w:rFonts w:ascii="Arial" w:hAnsi="Arial" w:cs="Arial"/>
          <w:lang w:val="en-GB"/>
        </w:rPr>
      </w:pPr>
      <w:r w:rsidRPr="00604431">
        <w:rPr>
          <w:rFonts w:ascii="Arial" w:hAnsi="Arial" w:cs="Arial"/>
          <w:lang w:val="en-GB"/>
        </w:rPr>
        <w:t xml:space="preserve">The </w:t>
      </w:r>
      <w:r w:rsidR="00DA514F">
        <w:rPr>
          <w:rFonts w:ascii="Arial" w:hAnsi="Arial" w:cs="Arial"/>
          <w:lang w:val="en-GB"/>
        </w:rPr>
        <w:t>F</w:t>
      </w:r>
      <w:r w:rsidRPr="00604431">
        <w:rPr>
          <w:rFonts w:ascii="Arial" w:hAnsi="Arial" w:cs="Arial"/>
          <w:lang w:val="en-GB"/>
        </w:rPr>
        <w:t xml:space="preserve">inancial </w:t>
      </w:r>
      <w:r w:rsidR="00DA514F">
        <w:rPr>
          <w:rFonts w:ascii="Arial" w:hAnsi="Arial" w:cs="Arial"/>
          <w:lang w:val="en-GB"/>
        </w:rPr>
        <w:t>S</w:t>
      </w:r>
      <w:r w:rsidRPr="00604431">
        <w:rPr>
          <w:rFonts w:ascii="Arial" w:hAnsi="Arial" w:cs="Arial"/>
          <w:lang w:val="en-GB"/>
        </w:rPr>
        <w:t>tatements have been reviewed, not audited</w:t>
      </w:r>
      <w:r>
        <w:rPr>
          <w:rFonts w:ascii="Arial" w:hAnsi="Arial" w:cs="Arial"/>
          <w:lang w:val="en-GB"/>
        </w:rPr>
        <w:t>.</w:t>
      </w:r>
    </w:p>
    <w:p w14:paraId="0352F0C4" w14:textId="77777777" w:rsidR="00891B3A" w:rsidRPr="00C67A93" w:rsidRDefault="00891B3A" w:rsidP="00891B3A">
      <w:pPr>
        <w:shd w:val="clear" w:color="auto" w:fill="FFFFFF"/>
        <w:spacing w:after="0"/>
        <w:jc w:val="both"/>
        <w:rPr>
          <w:rFonts w:ascii="Arial" w:hAnsi="Arial" w:cs="Arial"/>
        </w:rPr>
      </w:pPr>
    </w:p>
    <w:p w14:paraId="1FEB38B7" w14:textId="77777777" w:rsidR="00891B3A" w:rsidRPr="00C67A93" w:rsidRDefault="00891B3A" w:rsidP="00891B3A">
      <w:pPr>
        <w:shd w:val="clear" w:color="auto" w:fill="FFFFFF"/>
        <w:spacing w:after="0"/>
        <w:jc w:val="both"/>
        <w:rPr>
          <w:rFonts w:ascii="Arial" w:hAnsi="Arial" w:cs="Arial"/>
        </w:rPr>
      </w:pPr>
      <w:r w:rsidRPr="00C67A93">
        <w:rPr>
          <w:rFonts w:ascii="Arial" w:hAnsi="Arial" w:cs="Arial"/>
        </w:rPr>
        <w:t>The Company was formed on 17 March 2006 and commenced operations on 9 June 2006 when it received the demerged investment division of London Merchant Securities.</w:t>
      </w:r>
    </w:p>
    <w:p w14:paraId="1DEB9016" w14:textId="77777777" w:rsidR="00891B3A" w:rsidRPr="00C67A93" w:rsidRDefault="00891B3A" w:rsidP="00891B3A">
      <w:pPr>
        <w:shd w:val="clear" w:color="auto" w:fill="FFFFFF"/>
        <w:spacing w:after="0"/>
        <w:jc w:val="both"/>
        <w:rPr>
          <w:rFonts w:ascii="Arial" w:hAnsi="Arial" w:cs="Arial"/>
        </w:rPr>
      </w:pPr>
    </w:p>
    <w:p w14:paraId="71037108" w14:textId="77777777" w:rsidR="00891B3A" w:rsidRPr="00C67A93" w:rsidRDefault="00891B3A" w:rsidP="00891B3A">
      <w:pPr>
        <w:shd w:val="clear" w:color="auto" w:fill="FFFFFF"/>
        <w:spacing w:after="0"/>
        <w:rPr>
          <w:rFonts w:ascii="Arial" w:hAnsi="Arial" w:cs="Arial"/>
          <w:b/>
        </w:rPr>
      </w:pPr>
      <w:r w:rsidRPr="00C67A93">
        <w:rPr>
          <w:rFonts w:ascii="Arial" w:hAnsi="Arial" w:cs="Arial"/>
          <w:b/>
        </w:rPr>
        <w:t>Statement of compliance</w:t>
      </w:r>
    </w:p>
    <w:p w14:paraId="2C144654" w14:textId="77777777" w:rsidR="00891B3A" w:rsidRPr="00C67A93" w:rsidRDefault="00891B3A" w:rsidP="00891B3A">
      <w:pPr>
        <w:shd w:val="clear" w:color="auto" w:fill="FFFFFF"/>
        <w:spacing w:after="0"/>
        <w:jc w:val="both"/>
        <w:rPr>
          <w:rFonts w:ascii="Arial" w:hAnsi="Arial" w:cs="Arial"/>
        </w:rPr>
      </w:pPr>
      <w:r w:rsidRPr="00C67A93">
        <w:rPr>
          <w:rFonts w:ascii="Arial" w:hAnsi="Arial" w:cs="Arial"/>
        </w:rPr>
        <w:t>These condensed Financial Statements have been prepared in accordance with IAS 34: Interim Financial Reporting. They do not include all of the information required for full annual Financial Statements and should be read in conjunction with the annual Financial Statements for the year ended 31 December 2020 which were prepared in accordance with International Financial Reporting Standards.</w:t>
      </w:r>
    </w:p>
    <w:p w14:paraId="20DAD943" w14:textId="77777777" w:rsidR="00891B3A" w:rsidRPr="00C67A93" w:rsidRDefault="00891B3A" w:rsidP="00891B3A">
      <w:pPr>
        <w:shd w:val="clear" w:color="auto" w:fill="FFFFFF"/>
        <w:spacing w:after="0"/>
        <w:jc w:val="both"/>
        <w:rPr>
          <w:rFonts w:ascii="Arial" w:hAnsi="Arial" w:cs="Arial"/>
        </w:rPr>
      </w:pPr>
    </w:p>
    <w:p w14:paraId="06CDA387" w14:textId="77777777" w:rsidR="00891B3A" w:rsidRPr="00C67A93" w:rsidRDefault="00891B3A" w:rsidP="00891B3A">
      <w:pPr>
        <w:shd w:val="clear" w:color="auto" w:fill="FFFFFF"/>
        <w:spacing w:after="0"/>
        <w:jc w:val="both"/>
        <w:rPr>
          <w:rFonts w:ascii="Arial" w:hAnsi="Arial" w:cs="Arial"/>
        </w:rPr>
      </w:pPr>
      <w:r w:rsidRPr="00C67A93">
        <w:rPr>
          <w:rFonts w:ascii="Arial" w:hAnsi="Arial" w:cs="Arial"/>
        </w:rPr>
        <w:t>As required by the Disclosure and Transparency Rules of the Financial Conduct Authority, the condensed Financial Statements have been prepared applying the accounting policies and presentation that were applied in the preparation of the Company's published Financial Statements for the year ended 31 December 2020.</w:t>
      </w:r>
    </w:p>
    <w:p w14:paraId="1A0730C3" w14:textId="77777777" w:rsidR="00891B3A" w:rsidRPr="00C67A93" w:rsidRDefault="00891B3A" w:rsidP="00891B3A">
      <w:pPr>
        <w:shd w:val="clear" w:color="auto" w:fill="FFFFFF"/>
        <w:spacing w:after="0"/>
        <w:jc w:val="both"/>
        <w:rPr>
          <w:rFonts w:ascii="Arial" w:hAnsi="Arial" w:cs="Arial"/>
        </w:rPr>
      </w:pPr>
    </w:p>
    <w:p w14:paraId="20E65D97" w14:textId="77777777" w:rsidR="00891B3A" w:rsidRPr="00C67A93" w:rsidRDefault="00891B3A" w:rsidP="00891B3A">
      <w:pPr>
        <w:shd w:val="clear" w:color="auto" w:fill="FFFFFF"/>
        <w:spacing w:after="0"/>
        <w:jc w:val="both"/>
        <w:rPr>
          <w:rFonts w:ascii="Arial" w:hAnsi="Arial" w:cs="Arial"/>
          <w:b/>
        </w:rPr>
      </w:pPr>
      <w:r w:rsidRPr="00C67A93">
        <w:rPr>
          <w:rFonts w:ascii="Arial" w:hAnsi="Arial" w:cs="Arial"/>
          <w:b/>
        </w:rPr>
        <w:t>Basis of preparation</w:t>
      </w:r>
    </w:p>
    <w:p w14:paraId="383DF8EA" w14:textId="23C9B9FD" w:rsidR="00604431" w:rsidRPr="00604431" w:rsidRDefault="00604431" w:rsidP="00604431">
      <w:pPr>
        <w:shd w:val="clear" w:color="auto" w:fill="FFFFFF"/>
        <w:spacing w:after="0"/>
        <w:jc w:val="both"/>
        <w:rPr>
          <w:rFonts w:ascii="Arial" w:hAnsi="Arial" w:cs="Arial"/>
          <w:lang w:val="en-GB"/>
        </w:rPr>
      </w:pPr>
      <w:r w:rsidRPr="00604431">
        <w:rPr>
          <w:rFonts w:ascii="Arial" w:hAnsi="Arial" w:cs="Arial"/>
          <w:lang w:val="en-GB"/>
        </w:rPr>
        <w:t xml:space="preserve">On 31 December 2020, IFRS as adopted by the European Union at that date was brought into UK law and became UK-adopted International Accounting Standards, with future changes being subject to endorsement by the UK Endorsement Board. LMS Capital </w:t>
      </w:r>
      <w:r w:rsidR="006406B8">
        <w:rPr>
          <w:rFonts w:ascii="Arial" w:hAnsi="Arial" w:cs="Arial"/>
          <w:lang w:val="en-GB"/>
        </w:rPr>
        <w:t>P</w:t>
      </w:r>
      <w:r w:rsidRPr="00604431">
        <w:rPr>
          <w:rFonts w:ascii="Arial" w:hAnsi="Arial" w:cs="Arial"/>
          <w:lang w:val="en-GB"/>
        </w:rPr>
        <w:t xml:space="preserve">lc transitioned to UK-adopted International Accounting Standards in its </w:t>
      </w:r>
      <w:r w:rsidR="00DA514F">
        <w:rPr>
          <w:rFonts w:ascii="Arial" w:hAnsi="Arial" w:cs="Arial"/>
          <w:lang w:val="en-GB"/>
        </w:rPr>
        <w:t>F</w:t>
      </w:r>
      <w:r w:rsidRPr="00604431">
        <w:rPr>
          <w:rFonts w:ascii="Arial" w:hAnsi="Arial" w:cs="Arial"/>
          <w:lang w:val="en-GB"/>
        </w:rPr>
        <w:t xml:space="preserve">inancial </w:t>
      </w:r>
      <w:r w:rsidR="00DA514F">
        <w:rPr>
          <w:rFonts w:ascii="Arial" w:hAnsi="Arial" w:cs="Arial"/>
          <w:lang w:val="en-GB"/>
        </w:rPr>
        <w:t>S</w:t>
      </w:r>
      <w:r w:rsidRPr="00604431">
        <w:rPr>
          <w:rFonts w:ascii="Arial" w:hAnsi="Arial" w:cs="Arial"/>
          <w:lang w:val="en-GB"/>
        </w:rPr>
        <w:t xml:space="preserve">tatements on 1 January 2021. This change constitutes a change in accounting framework. However, there is no impact on recognition, measurement or disclosure in the period reported as a result of the change in framework. </w:t>
      </w:r>
    </w:p>
    <w:p w14:paraId="3C82F463" w14:textId="77777777" w:rsidR="00604431" w:rsidRPr="00604431" w:rsidRDefault="00604431" w:rsidP="00604431">
      <w:pPr>
        <w:shd w:val="clear" w:color="auto" w:fill="FFFFFF"/>
        <w:spacing w:after="0"/>
        <w:jc w:val="both"/>
        <w:rPr>
          <w:rFonts w:ascii="Arial" w:hAnsi="Arial" w:cs="Arial"/>
          <w:lang w:val="en-GB"/>
        </w:rPr>
      </w:pPr>
    </w:p>
    <w:p w14:paraId="04F6DD9E" w14:textId="6D3E67EA" w:rsidR="00891B3A" w:rsidRDefault="00604431" w:rsidP="00604431">
      <w:pPr>
        <w:shd w:val="clear" w:color="auto" w:fill="FFFFFF"/>
        <w:spacing w:after="0"/>
        <w:jc w:val="both"/>
        <w:rPr>
          <w:rFonts w:ascii="Arial" w:hAnsi="Arial" w:cs="Arial"/>
          <w:lang w:val="en-GB"/>
        </w:rPr>
      </w:pPr>
      <w:r w:rsidRPr="00604431">
        <w:rPr>
          <w:rFonts w:ascii="Arial" w:hAnsi="Arial" w:cs="Arial"/>
          <w:lang w:val="en-GB"/>
        </w:rPr>
        <w:t>This condensed interim financial report for the half-year reporting period ended 30 June 2021 has been prepared in accordance with the UK-adopted International Accounting Standard 34, 'Interim Financial Reporting' and the Disclosure Guidance and Transparency Rules sourcebook of the United Kingdom’s Financial Conduct Authority.</w:t>
      </w:r>
    </w:p>
    <w:p w14:paraId="0E2568E2" w14:textId="77777777" w:rsidR="00604431" w:rsidRPr="00C67A93" w:rsidRDefault="00604431" w:rsidP="00604431">
      <w:pPr>
        <w:shd w:val="clear" w:color="auto" w:fill="FFFFFF"/>
        <w:spacing w:after="0"/>
        <w:jc w:val="both"/>
        <w:rPr>
          <w:rFonts w:ascii="Arial" w:hAnsi="Arial" w:cs="Arial"/>
        </w:rPr>
      </w:pPr>
    </w:p>
    <w:p w14:paraId="3BC99EC8" w14:textId="58AC5D09"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40DD3ABE" w14:textId="77777777" w:rsidR="00891B3A" w:rsidRPr="00C67A93" w:rsidRDefault="00891B3A" w:rsidP="00891B3A">
      <w:pPr>
        <w:pStyle w:val="NormalWeb"/>
        <w:shd w:val="clear" w:color="auto" w:fill="FFFFFF"/>
        <w:spacing w:before="0" w:after="0"/>
        <w:rPr>
          <w:rFonts w:ascii="Arial" w:hAnsi="Arial" w:cs="Arial"/>
        </w:rPr>
      </w:pPr>
    </w:p>
    <w:p w14:paraId="02236DEF" w14:textId="77777777" w:rsidR="00891B3A" w:rsidRPr="00C67A93" w:rsidRDefault="00891B3A" w:rsidP="00891B3A">
      <w:pPr>
        <w:shd w:val="clear" w:color="auto" w:fill="FFFFFF"/>
        <w:spacing w:after="0"/>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 (continued)</w:t>
      </w:r>
    </w:p>
    <w:p w14:paraId="243D1450" w14:textId="77777777" w:rsidR="00891B3A" w:rsidRPr="00C67A93" w:rsidRDefault="00891B3A" w:rsidP="00891B3A">
      <w:pPr>
        <w:shd w:val="clear" w:color="auto" w:fill="FFFFFF"/>
        <w:spacing w:after="0"/>
        <w:jc w:val="both"/>
        <w:rPr>
          <w:rFonts w:ascii="Arial" w:hAnsi="Arial" w:cs="Arial"/>
          <w:b/>
        </w:rPr>
      </w:pPr>
    </w:p>
    <w:p w14:paraId="5640F42A" w14:textId="69D26E3B" w:rsidR="00891B3A" w:rsidRDefault="00891B3A" w:rsidP="00891B3A">
      <w:pPr>
        <w:shd w:val="clear" w:color="auto" w:fill="FFFFFF"/>
        <w:spacing w:after="0"/>
        <w:jc w:val="both"/>
        <w:rPr>
          <w:rFonts w:ascii="Arial" w:hAnsi="Arial" w:cs="Arial"/>
          <w:b/>
        </w:rPr>
      </w:pPr>
      <w:r w:rsidRPr="00C67A93">
        <w:rPr>
          <w:rFonts w:ascii="Arial" w:hAnsi="Arial" w:cs="Arial"/>
          <w:b/>
        </w:rPr>
        <w:t xml:space="preserve">Basis of preparation (continued) </w:t>
      </w:r>
    </w:p>
    <w:p w14:paraId="51D6DE2F" w14:textId="77777777" w:rsidR="00604431" w:rsidRPr="00604431" w:rsidRDefault="00604431" w:rsidP="00604431">
      <w:pPr>
        <w:shd w:val="clear" w:color="auto" w:fill="FFFFFF"/>
        <w:spacing w:after="0"/>
        <w:jc w:val="both"/>
        <w:rPr>
          <w:rFonts w:ascii="Arial" w:hAnsi="Arial" w:cs="Arial"/>
          <w:lang w:val="en-GB"/>
        </w:rPr>
      </w:pPr>
      <w:r w:rsidRPr="00604431">
        <w:rPr>
          <w:rFonts w:ascii="Arial" w:hAnsi="Arial" w:cs="Arial"/>
          <w:lang w:val="en-GB"/>
        </w:rPr>
        <w:t>Consistent with the year ended 31 December 2020, the Directors have concluded that the Company has all the elements of control as prescribed by IFRS 10 “Consolidated Financial Statements” in relation to all its subsidiaries and that the Company satisfies the criteria to be regarded as an investment entity as defined in IFRS 10, IFRS 12 “Disclosure of Interests in Other Entities” and IAS 27 “Consolidated and Separate Financial Statements”. Subsidiaries are therefore measured at fair value through profit or loss, in accordance with IFRS 13 “Fair Value Measurement” and IFRS 9 “Financial Instruments: Recognition and Measurement”.</w:t>
      </w:r>
    </w:p>
    <w:p w14:paraId="48DBB3C9" w14:textId="77777777" w:rsidR="00604431" w:rsidRPr="00C67A93" w:rsidRDefault="00604431" w:rsidP="00891B3A">
      <w:pPr>
        <w:shd w:val="clear" w:color="auto" w:fill="FFFFFF"/>
        <w:spacing w:after="0"/>
        <w:jc w:val="both"/>
        <w:rPr>
          <w:rFonts w:ascii="Arial" w:hAnsi="Arial" w:cs="Arial"/>
          <w:b/>
        </w:rPr>
      </w:pPr>
    </w:p>
    <w:p w14:paraId="14E3DB75" w14:textId="77777777" w:rsidR="00891B3A" w:rsidRPr="00C67A93" w:rsidRDefault="00891B3A" w:rsidP="00891B3A">
      <w:pPr>
        <w:spacing w:after="0"/>
        <w:jc w:val="both"/>
        <w:rPr>
          <w:rFonts w:ascii="Arial" w:hAnsi="Arial" w:cs="Arial"/>
          <w:lang w:val="en-GB"/>
        </w:rPr>
      </w:pPr>
      <w:r w:rsidRPr="00271EE4">
        <w:rPr>
          <w:rFonts w:ascii="Arial" w:hAnsi="Arial" w:cs="Arial"/>
          <w:lang w:val="en-GB"/>
        </w:rPr>
        <w:t>The Company is considered to be a going concern and the accounts have been prepared on a going concern basis. The Directors believe that the Company is well placed to manage its business risks successfully despite the current uncertain economic outlook and have prepared liquidity forecasts for a three-year period from 1 July 2021. In preparing this liquidity forecast, consideration has been given to the expected impact of Covid-19 on the Company and the wider Group.</w:t>
      </w:r>
    </w:p>
    <w:p w14:paraId="0466D613" w14:textId="77777777" w:rsidR="00891B3A" w:rsidRPr="00C67A93" w:rsidRDefault="00891B3A" w:rsidP="00891B3A">
      <w:pPr>
        <w:spacing w:after="0" w:line="360" w:lineRule="auto"/>
        <w:jc w:val="both"/>
        <w:rPr>
          <w:rFonts w:ascii="Arial" w:hAnsi="Arial" w:cs="Arial"/>
          <w:sz w:val="20"/>
          <w:szCs w:val="20"/>
          <w:lang w:val="en-GB"/>
        </w:rPr>
      </w:pPr>
    </w:p>
    <w:p w14:paraId="782F3DB6" w14:textId="77777777" w:rsidR="00891B3A" w:rsidRPr="00C67A93" w:rsidRDefault="00891B3A" w:rsidP="00891B3A">
      <w:pPr>
        <w:spacing w:after="0"/>
        <w:jc w:val="both"/>
        <w:rPr>
          <w:rFonts w:ascii="Arial" w:hAnsi="Arial" w:cs="Arial"/>
          <w:b/>
          <w:bCs/>
          <w:lang w:val="en-GB"/>
        </w:rPr>
      </w:pPr>
      <w:r w:rsidRPr="00C67A93">
        <w:rPr>
          <w:rFonts w:ascii="Arial" w:hAnsi="Arial" w:cs="Arial"/>
          <w:b/>
          <w:bCs/>
          <w:lang w:val="en-GB"/>
        </w:rPr>
        <w:t>IFRS 16 – Leases</w:t>
      </w:r>
    </w:p>
    <w:p w14:paraId="475F72C4" w14:textId="5E5A80C3" w:rsidR="00891B3A" w:rsidRPr="00C67A93" w:rsidRDefault="00891B3A" w:rsidP="00891B3A">
      <w:pPr>
        <w:spacing w:after="0"/>
        <w:jc w:val="both"/>
        <w:rPr>
          <w:rFonts w:ascii="Arial" w:hAnsi="Arial" w:cs="Arial"/>
          <w:lang w:val="en-GB"/>
        </w:rPr>
      </w:pPr>
      <w:bookmarkStart w:id="4" w:name="_Hlk66319031"/>
      <w:r w:rsidRPr="00C67A93">
        <w:rPr>
          <w:rFonts w:ascii="Arial" w:hAnsi="Arial" w:cs="Arial"/>
          <w:lang w:val="en-GB"/>
        </w:rPr>
        <w:t xml:space="preserve">IFRS 16 Leases was issued in January 2016 and provides a single lessee accounting model, requiring lessees to recognize assets and liabilities for all leases unless the lease term is 12 months or less or the underlying asset has a low value. </w:t>
      </w:r>
    </w:p>
    <w:bookmarkEnd w:id="4"/>
    <w:p w14:paraId="33C2A897" w14:textId="77777777" w:rsidR="00891B3A" w:rsidRPr="00C67A93" w:rsidRDefault="00891B3A" w:rsidP="00891B3A">
      <w:pPr>
        <w:spacing w:after="0"/>
        <w:jc w:val="both"/>
        <w:rPr>
          <w:rFonts w:ascii="Arial" w:hAnsi="Arial" w:cs="Arial"/>
          <w:b/>
          <w:lang w:val="en-GB"/>
        </w:rPr>
      </w:pPr>
    </w:p>
    <w:p w14:paraId="4DCA6519" w14:textId="77777777" w:rsidR="00891B3A" w:rsidRPr="00C67A93" w:rsidRDefault="00891B3A" w:rsidP="00891B3A">
      <w:pPr>
        <w:spacing w:after="0"/>
        <w:jc w:val="both"/>
        <w:rPr>
          <w:rFonts w:ascii="Arial" w:hAnsi="Arial" w:cs="Arial"/>
          <w:lang w:val="en-SG"/>
        </w:rPr>
      </w:pPr>
      <w:r w:rsidRPr="00C67A93">
        <w:rPr>
          <w:rFonts w:ascii="Arial" w:hAnsi="Arial" w:cs="Arial"/>
          <w:lang w:val="en-SG"/>
        </w:rPr>
        <w:t>To determine the split between principal and interest in the lease, the Company is required to estimate the interest it would have to pay in order to finance payments under the new lease. The interest rate used by the Company is based on the incremental borrowing rate of 6.5%. The term of the lease is 5 years and when the Company renegotiates the contractual terms of a lease with the lessor, the accounting depends on the nature of the modification: </w:t>
      </w:r>
    </w:p>
    <w:p w14:paraId="68954B6B" w14:textId="77777777" w:rsidR="00891B3A" w:rsidRPr="00C67A93" w:rsidRDefault="00891B3A" w:rsidP="00891B3A">
      <w:pPr>
        <w:numPr>
          <w:ilvl w:val="0"/>
          <w:numId w:val="31"/>
        </w:numPr>
        <w:spacing w:after="0"/>
        <w:jc w:val="both"/>
        <w:rPr>
          <w:rFonts w:ascii="Arial" w:hAnsi="Arial" w:cs="Arial"/>
          <w:lang w:val="en-SG"/>
        </w:rPr>
      </w:pPr>
      <w:r w:rsidRPr="00C67A93">
        <w:rPr>
          <w:rFonts w:ascii="Arial" w:hAnsi="Arial" w:cs="Arial"/>
          <w:lang w:val="en-SG"/>
        </w:rPr>
        <w:t>If the renegotiation results in one or more additional assets being leased for an amount commensurate with the standalone price for the additional rights-of-use obtained, the modification is accounted for as a separate lease in accordance with the above policy; </w:t>
      </w:r>
    </w:p>
    <w:p w14:paraId="427B31D2" w14:textId="77777777" w:rsidR="00891B3A" w:rsidRPr="00C67A93" w:rsidRDefault="00891B3A" w:rsidP="00891B3A">
      <w:pPr>
        <w:numPr>
          <w:ilvl w:val="0"/>
          <w:numId w:val="31"/>
        </w:numPr>
        <w:spacing w:after="0"/>
        <w:jc w:val="both"/>
        <w:rPr>
          <w:rFonts w:ascii="Arial" w:hAnsi="Arial" w:cs="Arial"/>
          <w:lang w:val="en-SG"/>
        </w:rPr>
      </w:pPr>
      <w:r w:rsidRPr="00C67A93">
        <w:rPr>
          <w:rFonts w:ascii="Arial" w:hAnsi="Arial" w:cs="Arial"/>
          <w:lang w:val="en-SG"/>
        </w:rPr>
        <w:t>In all other cases where the renegotiated increases the scope of the lease (whether that is an extension to the lease term, or one or more additional assets being leased), the lease liability is remeasured using the discount rate applicable on the modification date, with the right-of-use asset being adjusted by the same amount; and</w:t>
      </w:r>
    </w:p>
    <w:p w14:paraId="0B3318FD" w14:textId="77777777" w:rsidR="00891B3A" w:rsidRPr="00C67A93" w:rsidRDefault="00891B3A" w:rsidP="00891B3A">
      <w:pPr>
        <w:numPr>
          <w:ilvl w:val="0"/>
          <w:numId w:val="31"/>
        </w:numPr>
        <w:spacing w:after="0"/>
        <w:jc w:val="both"/>
        <w:rPr>
          <w:rFonts w:ascii="Arial" w:hAnsi="Arial" w:cs="Arial"/>
          <w:lang w:val="en-SG"/>
        </w:rPr>
      </w:pPr>
      <w:r w:rsidRPr="00C67A93">
        <w:rPr>
          <w:rFonts w:ascii="Arial" w:hAnsi="Arial" w:cs="Arial"/>
          <w:lang w:val="en-SG"/>
        </w:rPr>
        <w:t>If the renegotiation results in a decrease in the scope of the lease, both the carrying amount of the lease liability and right-of-use asset are reduced by the same proportion to reflect the partial of full termination of the lease with any difference recognised in profit or loss. The lease liability is then further adjusted to ensure its carrying amount reflects the amount of the renegotiated payments over the renegotiated term, with the modified lease payments discounted at the rate applicable on the modification date. The right-of-use asset is adjusted by the same amount.</w:t>
      </w:r>
    </w:p>
    <w:p w14:paraId="42525144" w14:textId="77777777" w:rsidR="00891B3A" w:rsidRPr="00C67A93" w:rsidRDefault="00891B3A" w:rsidP="00891B3A">
      <w:pPr>
        <w:spacing w:after="0"/>
        <w:jc w:val="both"/>
        <w:rPr>
          <w:rFonts w:ascii="Arial" w:hAnsi="Arial" w:cs="Arial"/>
          <w:lang w:val="en-SG"/>
        </w:rPr>
      </w:pPr>
    </w:p>
    <w:p w14:paraId="2C6E437F" w14:textId="77777777" w:rsidR="00891B3A" w:rsidRPr="00C67A93" w:rsidRDefault="00891B3A" w:rsidP="00891B3A">
      <w:pPr>
        <w:spacing w:after="0"/>
        <w:jc w:val="both"/>
        <w:rPr>
          <w:rFonts w:ascii="Arial" w:hAnsi="Arial" w:cs="Arial"/>
          <w:lang w:val="en-SG"/>
        </w:rPr>
      </w:pPr>
    </w:p>
    <w:p w14:paraId="1D20269F"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7576602D" w14:textId="77777777" w:rsidR="00891B3A" w:rsidRPr="00C67A93" w:rsidRDefault="00891B3A" w:rsidP="00891B3A">
      <w:pPr>
        <w:pStyle w:val="NormalWeb"/>
        <w:shd w:val="clear" w:color="auto" w:fill="FFFFFF"/>
        <w:spacing w:before="0" w:after="0"/>
        <w:rPr>
          <w:rFonts w:ascii="Arial" w:hAnsi="Arial" w:cs="Arial"/>
        </w:rPr>
      </w:pPr>
    </w:p>
    <w:p w14:paraId="595483F3" w14:textId="77777777" w:rsidR="00891B3A" w:rsidRPr="00C67A93" w:rsidRDefault="00891B3A" w:rsidP="00891B3A">
      <w:pPr>
        <w:shd w:val="clear" w:color="auto" w:fill="FFFFFF"/>
        <w:spacing w:after="0"/>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 (continued)</w:t>
      </w:r>
    </w:p>
    <w:p w14:paraId="1A56E6CF" w14:textId="77777777" w:rsidR="00891B3A" w:rsidRPr="00C67A93" w:rsidRDefault="00891B3A" w:rsidP="00891B3A">
      <w:pPr>
        <w:spacing w:after="0"/>
        <w:jc w:val="both"/>
        <w:rPr>
          <w:rFonts w:ascii="Arial" w:hAnsi="Arial" w:cs="Arial"/>
          <w:b/>
          <w:bCs/>
          <w:lang w:val="en-GB"/>
        </w:rPr>
      </w:pPr>
    </w:p>
    <w:p w14:paraId="12E14B66" w14:textId="77777777" w:rsidR="00891B3A" w:rsidRPr="00C67A93" w:rsidRDefault="00891B3A" w:rsidP="00891B3A">
      <w:pPr>
        <w:spacing w:after="0"/>
        <w:jc w:val="both"/>
        <w:rPr>
          <w:rFonts w:ascii="Arial" w:hAnsi="Arial" w:cs="Arial"/>
          <w:b/>
          <w:bCs/>
          <w:lang w:val="en-GB"/>
        </w:rPr>
      </w:pPr>
      <w:r w:rsidRPr="00C67A93">
        <w:rPr>
          <w:rFonts w:ascii="Arial" w:hAnsi="Arial" w:cs="Arial"/>
          <w:b/>
          <w:bCs/>
          <w:lang w:val="en-GB"/>
        </w:rPr>
        <w:t>IFRS 2 – Share-based payment</w:t>
      </w:r>
    </w:p>
    <w:p w14:paraId="6816445F" w14:textId="77777777" w:rsidR="00891B3A" w:rsidRPr="00C67A93" w:rsidRDefault="00891B3A" w:rsidP="00891B3A">
      <w:pPr>
        <w:spacing w:after="0"/>
        <w:jc w:val="both"/>
        <w:rPr>
          <w:rFonts w:ascii="Arial" w:hAnsi="Arial" w:cs="Arial"/>
          <w:lang w:val="en-GB"/>
        </w:rPr>
      </w:pPr>
      <w:r w:rsidRPr="00C67A93">
        <w:rPr>
          <w:rFonts w:ascii="Arial" w:hAnsi="Arial" w:cs="Arial"/>
          <w:lang w:val="en-GB"/>
        </w:rPr>
        <w:t>IFRS 2 – Share-based payment</w:t>
      </w:r>
      <w:r w:rsidRPr="00C67A93">
        <w:rPr>
          <w:rFonts w:ascii="Arial" w:hAnsi="Arial" w:cs="Arial"/>
          <w:b/>
          <w:bCs/>
          <w:lang w:val="en-GB"/>
        </w:rPr>
        <w:t xml:space="preserve"> </w:t>
      </w:r>
      <w:r w:rsidRPr="00C67A93">
        <w:rPr>
          <w:rFonts w:ascii="Arial" w:hAnsi="Arial" w:cs="Arial"/>
          <w:lang w:val="en-GB"/>
        </w:rPr>
        <w:t>requires an entity to recognise equity-settled share-based payments measured at fair value at the date of grant. The fair value determined at the grant date of the equity-settled share-based payments is expensed over the vesting period, together with a corresponding increase in other capital reserves, based upon the Company's estimate of the shares that will eventually vest, which involves making assumptions about any performance and service conditions over the vesting period. The vesting period is determined by the period of time the relevant participant must remain in the Company’s employment before the rights to the shares transfer unconditionally to them. The total expense is recognised over the vesting period, which is the period over which all the specified vesting conditions are to be satisfied. At the end of each period, the Company revises its estimates on the number of awards it expects to vest based on the service conditions.</w:t>
      </w:r>
    </w:p>
    <w:p w14:paraId="3949D2D2" w14:textId="77777777" w:rsidR="00891B3A" w:rsidRPr="00C67A93" w:rsidRDefault="00891B3A" w:rsidP="00891B3A">
      <w:pPr>
        <w:spacing w:after="0" w:line="240" w:lineRule="auto"/>
        <w:jc w:val="both"/>
        <w:rPr>
          <w:rFonts w:ascii="Arial" w:hAnsi="Arial" w:cs="Arial"/>
          <w:lang w:val="en-GB"/>
        </w:rPr>
      </w:pPr>
    </w:p>
    <w:p w14:paraId="602981C0" w14:textId="77777777" w:rsidR="00891B3A" w:rsidRPr="00C67A93" w:rsidRDefault="00891B3A" w:rsidP="00891B3A">
      <w:pPr>
        <w:spacing w:after="0"/>
        <w:jc w:val="both"/>
        <w:rPr>
          <w:rFonts w:ascii="Arial" w:hAnsi="Arial" w:cs="Arial"/>
          <w:lang w:val="en-GB"/>
        </w:rPr>
      </w:pPr>
      <w:r w:rsidRPr="00C67A93">
        <w:rPr>
          <w:rFonts w:ascii="Arial" w:hAnsi="Arial" w:cs="Arial"/>
          <w:lang w:val="en-GB"/>
        </w:rPr>
        <w:t>Any awards granted are to be settled by the issuance of equity are deemed to be equity settled share-based payments, accounted for in accordance with IFRS 2 "Share-Based Payment”.</w:t>
      </w:r>
    </w:p>
    <w:p w14:paraId="33639D2F" w14:textId="77777777" w:rsidR="00891B3A" w:rsidRPr="00C67A93" w:rsidRDefault="00891B3A" w:rsidP="00891B3A">
      <w:pPr>
        <w:spacing w:after="0" w:line="240" w:lineRule="auto"/>
        <w:jc w:val="both"/>
        <w:rPr>
          <w:rFonts w:ascii="Arial" w:hAnsi="Arial" w:cs="Arial"/>
          <w:lang w:val="en-GB"/>
        </w:rPr>
      </w:pPr>
    </w:p>
    <w:p w14:paraId="0F91E646" w14:textId="77777777" w:rsidR="00891B3A" w:rsidRPr="00C67A93" w:rsidRDefault="00891B3A" w:rsidP="00891B3A">
      <w:pPr>
        <w:spacing w:after="0"/>
        <w:jc w:val="both"/>
        <w:rPr>
          <w:rFonts w:ascii="Arial" w:hAnsi="Arial" w:cs="Arial"/>
          <w:lang w:val="en-GB"/>
        </w:rPr>
      </w:pPr>
      <w:r w:rsidRPr="00C67A93">
        <w:rPr>
          <w:rFonts w:ascii="Arial" w:hAnsi="Arial" w:cs="Arial"/>
          <w:lang w:val="en-GB"/>
        </w:rPr>
        <w:t xml:space="preserve">Where the terms of an equity-settled transaction are modified, as a minimum, an expense is recognised as if the terms had not been modified. In addition, an expense is recognised for any increase in the value of the transaction as a result of the modification, as measured at the date of modification. </w:t>
      </w:r>
    </w:p>
    <w:p w14:paraId="6B3BC8DE" w14:textId="77777777" w:rsidR="00891B3A" w:rsidRPr="00C67A93" w:rsidRDefault="00891B3A" w:rsidP="00891B3A">
      <w:pPr>
        <w:spacing w:after="0" w:line="240" w:lineRule="auto"/>
        <w:jc w:val="both"/>
        <w:rPr>
          <w:rFonts w:ascii="Arial" w:hAnsi="Arial" w:cs="Arial"/>
          <w:lang w:val="en-GB"/>
        </w:rPr>
      </w:pPr>
    </w:p>
    <w:p w14:paraId="6F95EAC0" w14:textId="77777777" w:rsidR="00891B3A" w:rsidRPr="00C67A93" w:rsidRDefault="00891B3A" w:rsidP="00891B3A">
      <w:pPr>
        <w:spacing w:after="0"/>
        <w:jc w:val="both"/>
        <w:rPr>
          <w:rFonts w:ascii="Arial" w:hAnsi="Arial" w:cs="Arial"/>
          <w:lang w:val="en-GB"/>
        </w:rPr>
      </w:pPr>
      <w:r w:rsidRPr="00C67A93">
        <w:rPr>
          <w:rFonts w:ascii="Arial" w:hAnsi="Arial" w:cs="Arial"/>
          <w:lang w:val="en-GB"/>
        </w:rPr>
        <w:t xml:space="preserve">Where an equity-settled transaction is cancelled, it is treated as if it had vested on the date of the cancellation, and any expense not yet recognised for the transaction is recognised immediately. However, if a new transaction is substituted for the cancelled transaction and designated as a replacement transaction on the date that it is granted, the cancelled and new transactions are treated as if they were a modification of the original transaction, as described in the previous paragraph. </w:t>
      </w:r>
    </w:p>
    <w:p w14:paraId="655BBC90" w14:textId="77777777" w:rsidR="00891B3A" w:rsidRPr="00C67A93" w:rsidRDefault="00891B3A" w:rsidP="00891B3A">
      <w:pPr>
        <w:spacing w:after="0" w:line="240" w:lineRule="auto"/>
        <w:jc w:val="both"/>
        <w:rPr>
          <w:rFonts w:ascii="Arial" w:hAnsi="Arial" w:cs="Arial"/>
          <w:lang w:val="en-GB"/>
        </w:rPr>
      </w:pPr>
    </w:p>
    <w:p w14:paraId="0B5DC10C" w14:textId="4B2AAF0D" w:rsidR="00891B3A" w:rsidRPr="00C67A93" w:rsidRDefault="00891B3A" w:rsidP="00891B3A">
      <w:pPr>
        <w:spacing w:after="0"/>
        <w:jc w:val="both"/>
        <w:rPr>
          <w:rFonts w:ascii="Arial" w:hAnsi="Arial" w:cs="Arial"/>
          <w:lang w:val="en-GB"/>
        </w:rPr>
      </w:pPr>
      <w:r w:rsidRPr="00C67A93">
        <w:rPr>
          <w:rFonts w:ascii="Arial" w:hAnsi="Arial" w:cs="Arial"/>
          <w:lang w:val="en-GB"/>
        </w:rPr>
        <w:t xml:space="preserve">Per the management share plan, </w:t>
      </w:r>
      <w:r w:rsidRPr="00316A23">
        <w:rPr>
          <w:rFonts w:ascii="Arial" w:hAnsi="Arial" w:cs="Arial"/>
          <w:lang w:val="en-GB"/>
        </w:rPr>
        <w:t xml:space="preserve">the vesting period for any awards issued can be up to 5 years and subject to certain conditions. </w:t>
      </w:r>
      <w:r w:rsidR="00316A23" w:rsidRPr="00316A23">
        <w:rPr>
          <w:rFonts w:ascii="Arial" w:hAnsi="Arial" w:cs="Arial"/>
          <w:lang w:val="en-GB"/>
        </w:rPr>
        <w:t>The first awards were issued in the year ended 31 December 2020 and there have been no new issuances in the period ended 30 June 2021.</w:t>
      </w:r>
    </w:p>
    <w:p w14:paraId="26C3AFF2" w14:textId="77777777" w:rsidR="00891B3A" w:rsidRPr="00C67A93" w:rsidRDefault="00891B3A" w:rsidP="00891B3A">
      <w:pPr>
        <w:spacing w:after="0" w:line="360" w:lineRule="auto"/>
        <w:jc w:val="both"/>
        <w:rPr>
          <w:rFonts w:ascii="Arial" w:hAnsi="Arial" w:cs="Arial"/>
          <w:sz w:val="20"/>
          <w:szCs w:val="20"/>
          <w:lang w:val="en-GB"/>
        </w:rPr>
      </w:pPr>
    </w:p>
    <w:p w14:paraId="3C418E70" w14:textId="77777777" w:rsidR="00891B3A" w:rsidRPr="00C67A93" w:rsidRDefault="00891B3A" w:rsidP="00891B3A">
      <w:pPr>
        <w:spacing w:after="0"/>
        <w:jc w:val="both"/>
        <w:outlineLvl w:val="0"/>
        <w:rPr>
          <w:rFonts w:ascii="Arial" w:hAnsi="Arial" w:cs="Arial"/>
          <w:b/>
        </w:rPr>
      </w:pPr>
      <w:r w:rsidRPr="00C67A93">
        <w:rPr>
          <w:rFonts w:ascii="Arial" w:hAnsi="Arial" w:cs="Arial"/>
          <w:b/>
        </w:rPr>
        <w:t xml:space="preserve">Accounting for subsidiaries </w:t>
      </w:r>
    </w:p>
    <w:p w14:paraId="3A022904" w14:textId="44F3625D" w:rsidR="00891B3A" w:rsidRDefault="00891B3A" w:rsidP="00891B3A">
      <w:pPr>
        <w:pStyle w:val="NormalWeb"/>
        <w:shd w:val="clear" w:color="auto" w:fill="FFFFFF"/>
        <w:spacing w:before="0" w:after="0"/>
        <w:ind w:left="0"/>
        <w:jc w:val="both"/>
        <w:rPr>
          <w:rFonts w:ascii="Arial" w:eastAsia="Georgia" w:hAnsi="Arial" w:cs="Arial"/>
          <w:sz w:val="22"/>
          <w:szCs w:val="22"/>
        </w:rPr>
      </w:pPr>
      <w:r w:rsidRPr="00C67A93">
        <w:rPr>
          <w:rFonts w:ascii="Arial" w:eastAsia="Georgia" w:hAnsi="Arial" w:cs="Arial"/>
          <w:sz w:val="22"/>
          <w:szCs w:val="22"/>
        </w:rPr>
        <w:t xml:space="preserve">The Directors have concluded that the Company has all the elements of control as prescribed by IFRS 10 "Consolidated Financial Statements" in relation to all its subsidiaries and that the Company continues to satisfy the three essential criteria to be regarded as an investment entity as defined in IFRS 10, IFRS 12 "Disclosure of </w:t>
      </w:r>
      <w:r w:rsidR="00564A80">
        <w:rPr>
          <w:rFonts w:ascii="Arial" w:eastAsia="Georgia" w:hAnsi="Arial" w:cs="Arial"/>
          <w:sz w:val="22"/>
          <w:szCs w:val="22"/>
        </w:rPr>
        <w:t>I</w:t>
      </w:r>
      <w:r w:rsidR="00815AB8" w:rsidRPr="00C67A93">
        <w:rPr>
          <w:rFonts w:ascii="Arial" w:eastAsia="Georgia" w:hAnsi="Arial" w:cs="Arial"/>
          <w:sz w:val="22"/>
          <w:szCs w:val="22"/>
        </w:rPr>
        <w:t>nterests</w:t>
      </w:r>
      <w:r w:rsidRPr="00C67A93">
        <w:rPr>
          <w:rFonts w:ascii="Arial" w:eastAsia="Georgia" w:hAnsi="Arial" w:cs="Arial"/>
          <w:sz w:val="22"/>
          <w:szCs w:val="22"/>
        </w:rPr>
        <w:t xml:space="preserve"> in Other Entities" and IAS 27 "Separate Financial Statements". The three essential criteria are such that the entity must:</w:t>
      </w:r>
    </w:p>
    <w:p w14:paraId="7FEC5F7B" w14:textId="77777777" w:rsidR="00891B3A" w:rsidRPr="00C67A93" w:rsidRDefault="00891B3A" w:rsidP="00891B3A">
      <w:pPr>
        <w:pStyle w:val="NormalWeb"/>
        <w:numPr>
          <w:ilvl w:val="0"/>
          <w:numId w:val="26"/>
        </w:numPr>
        <w:shd w:val="clear" w:color="auto" w:fill="FFFFFF"/>
        <w:spacing w:before="0" w:after="0"/>
        <w:ind w:left="927"/>
        <w:jc w:val="both"/>
        <w:rPr>
          <w:rFonts w:ascii="Arial" w:eastAsia="Georgia" w:hAnsi="Arial" w:cs="Arial"/>
          <w:sz w:val="22"/>
          <w:szCs w:val="22"/>
        </w:rPr>
      </w:pPr>
      <w:r w:rsidRPr="00C67A93">
        <w:rPr>
          <w:rFonts w:ascii="Arial" w:eastAsia="Georgia" w:hAnsi="Arial" w:cs="Arial"/>
          <w:sz w:val="22"/>
          <w:szCs w:val="22"/>
        </w:rPr>
        <w:t>obtain funds from one or more investors for the purpose of providing these investors with professional investment management services;</w:t>
      </w:r>
    </w:p>
    <w:p w14:paraId="2A17FA81" w14:textId="77777777" w:rsidR="00891B3A" w:rsidRPr="00C67A93" w:rsidRDefault="00891B3A" w:rsidP="00891B3A">
      <w:pPr>
        <w:pStyle w:val="NormalWeb"/>
        <w:numPr>
          <w:ilvl w:val="0"/>
          <w:numId w:val="26"/>
        </w:numPr>
        <w:shd w:val="clear" w:color="auto" w:fill="FFFFFF"/>
        <w:spacing w:before="0" w:after="0"/>
        <w:ind w:left="927"/>
        <w:jc w:val="both"/>
        <w:rPr>
          <w:rFonts w:ascii="Arial" w:eastAsia="Georgia" w:hAnsi="Arial" w:cs="Arial"/>
          <w:sz w:val="22"/>
          <w:szCs w:val="22"/>
        </w:rPr>
      </w:pPr>
      <w:r w:rsidRPr="00C67A93">
        <w:rPr>
          <w:rFonts w:ascii="Arial" w:eastAsia="Georgia" w:hAnsi="Arial" w:cs="Arial"/>
          <w:sz w:val="22"/>
          <w:szCs w:val="22"/>
        </w:rPr>
        <w:t>commit to its investors that its business purpose is to invest its funds solely for returns from capital appreciation, investment income or both; and</w:t>
      </w:r>
    </w:p>
    <w:p w14:paraId="74F1F469" w14:textId="77777777" w:rsidR="00891B3A" w:rsidRPr="00C67A93" w:rsidRDefault="00891B3A" w:rsidP="00891B3A">
      <w:pPr>
        <w:pStyle w:val="NormalWeb"/>
        <w:numPr>
          <w:ilvl w:val="0"/>
          <w:numId w:val="26"/>
        </w:numPr>
        <w:shd w:val="clear" w:color="auto" w:fill="FFFFFF"/>
        <w:spacing w:before="0" w:after="0"/>
        <w:ind w:left="927"/>
        <w:jc w:val="both"/>
        <w:rPr>
          <w:rFonts w:ascii="Arial" w:eastAsia="Georgia" w:hAnsi="Arial" w:cs="Arial"/>
          <w:sz w:val="22"/>
          <w:szCs w:val="22"/>
        </w:rPr>
      </w:pPr>
      <w:r w:rsidRPr="00C67A93">
        <w:rPr>
          <w:rFonts w:ascii="Arial" w:eastAsia="Georgia" w:hAnsi="Arial" w:cs="Arial"/>
          <w:sz w:val="22"/>
          <w:szCs w:val="22"/>
        </w:rPr>
        <w:t>measure and evaluate the performance of substantially all of its investments on a fair value basis.</w:t>
      </w:r>
    </w:p>
    <w:p w14:paraId="378C2849"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16F23D9B" w14:textId="77777777" w:rsidR="00891B3A" w:rsidRPr="00C67A93" w:rsidRDefault="00891B3A" w:rsidP="00891B3A">
      <w:pPr>
        <w:pStyle w:val="NormalWeb"/>
        <w:shd w:val="clear" w:color="auto" w:fill="FFFFFF"/>
        <w:spacing w:before="0" w:after="0"/>
        <w:rPr>
          <w:rFonts w:ascii="Arial" w:hAnsi="Arial" w:cs="Arial"/>
        </w:rPr>
      </w:pPr>
    </w:p>
    <w:p w14:paraId="66323461" w14:textId="77777777" w:rsidR="00891B3A" w:rsidRPr="00C67A93" w:rsidRDefault="00891B3A" w:rsidP="00891B3A">
      <w:pPr>
        <w:shd w:val="clear" w:color="auto" w:fill="FFFFFF"/>
        <w:spacing w:after="0"/>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 (continued)</w:t>
      </w:r>
    </w:p>
    <w:p w14:paraId="2F105B9C" w14:textId="77777777" w:rsidR="00891B3A" w:rsidRPr="00C67A93" w:rsidRDefault="00891B3A" w:rsidP="00891B3A">
      <w:pPr>
        <w:pStyle w:val="NormalWeb"/>
        <w:shd w:val="clear" w:color="auto" w:fill="FFFFFF"/>
        <w:spacing w:before="0" w:after="0"/>
        <w:ind w:left="0"/>
        <w:jc w:val="both"/>
        <w:rPr>
          <w:rFonts w:ascii="Arial" w:eastAsia="Georgia" w:hAnsi="Arial" w:cs="Arial"/>
          <w:sz w:val="22"/>
          <w:szCs w:val="22"/>
        </w:rPr>
      </w:pPr>
    </w:p>
    <w:p w14:paraId="21973881" w14:textId="77777777" w:rsidR="00891B3A" w:rsidRPr="00C67A93" w:rsidRDefault="00891B3A" w:rsidP="00891B3A">
      <w:pPr>
        <w:spacing w:after="0"/>
        <w:jc w:val="both"/>
        <w:outlineLvl w:val="0"/>
        <w:rPr>
          <w:rFonts w:ascii="Arial" w:hAnsi="Arial" w:cs="Arial"/>
          <w:b/>
        </w:rPr>
      </w:pPr>
      <w:r w:rsidRPr="00C67A93">
        <w:rPr>
          <w:rFonts w:ascii="Arial" w:hAnsi="Arial" w:cs="Arial"/>
          <w:b/>
        </w:rPr>
        <w:t>Accounting for subsidiaries (continued)</w:t>
      </w:r>
    </w:p>
    <w:p w14:paraId="415F759E" w14:textId="1F71BEB7" w:rsidR="00891B3A" w:rsidRPr="00C67A93" w:rsidRDefault="00891B3A" w:rsidP="00891B3A">
      <w:pPr>
        <w:pStyle w:val="NormalWeb"/>
        <w:shd w:val="clear" w:color="auto" w:fill="FFFFFF"/>
        <w:spacing w:before="0" w:after="0"/>
        <w:ind w:left="0"/>
        <w:jc w:val="both"/>
        <w:rPr>
          <w:rFonts w:ascii="Arial" w:eastAsia="Georgia" w:hAnsi="Arial" w:cs="Arial"/>
          <w:sz w:val="22"/>
          <w:szCs w:val="22"/>
        </w:rPr>
      </w:pPr>
      <w:r w:rsidRPr="00C67A93">
        <w:rPr>
          <w:rFonts w:ascii="Arial" w:eastAsia="Georgia" w:hAnsi="Arial" w:cs="Arial"/>
          <w:sz w:val="22"/>
          <w:szCs w:val="22"/>
        </w:rPr>
        <w:t>ln satisfying the second essential criteria, the notion of an investment timeframe is critical. An investment entity should not hold its investments indefinitely but should have an exit strategy for their realisation. Although the Company has invested in equity interests that have an indefinite life, it invests typically for a period of up to ten years. ln some cases, the period may be longer, depending on the circumstances of the investment, however, investments are not made with intention of indefinite hold. This is a common approach in the private equity industry.</w:t>
      </w:r>
    </w:p>
    <w:p w14:paraId="0630168D" w14:textId="77777777" w:rsidR="00891B3A" w:rsidRPr="00C67A93" w:rsidRDefault="00891B3A" w:rsidP="00891B3A">
      <w:pPr>
        <w:pStyle w:val="NormalWeb"/>
        <w:shd w:val="clear" w:color="auto" w:fill="FFFFFF"/>
        <w:spacing w:before="0" w:after="0"/>
        <w:ind w:left="0"/>
        <w:jc w:val="both"/>
        <w:rPr>
          <w:rFonts w:ascii="Arial" w:eastAsia="Georgia" w:hAnsi="Arial" w:cs="Arial"/>
          <w:sz w:val="22"/>
          <w:szCs w:val="22"/>
        </w:rPr>
      </w:pPr>
    </w:p>
    <w:p w14:paraId="7DDDE521" w14:textId="77777777" w:rsidR="00891B3A" w:rsidRPr="00C67A93" w:rsidRDefault="00891B3A" w:rsidP="00891B3A">
      <w:pPr>
        <w:pStyle w:val="NormalWeb"/>
        <w:shd w:val="clear" w:color="auto" w:fill="FFFFFF"/>
        <w:spacing w:before="0" w:after="0"/>
        <w:ind w:left="0"/>
        <w:jc w:val="both"/>
        <w:rPr>
          <w:rFonts w:ascii="Arial" w:eastAsia="Georgia" w:hAnsi="Arial" w:cs="Arial"/>
          <w:sz w:val="22"/>
          <w:szCs w:val="22"/>
        </w:rPr>
      </w:pPr>
      <w:r w:rsidRPr="00C67A93">
        <w:rPr>
          <w:rFonts w:ascii="Arial" w:eastAsia="Georgia" w:hAnsi="Arial" w:cs="Arial"/>
          <w:sz w:val="22"/>
          <w:szCs w:val="22"/>
        </w:rPr>
        <w:t>Subsidiaries are therefore measured at fair value through profit or loss, in accordance with IFRS 13 "Fair Value Measurement" and IFRS 9 "Financial instruments".</w:t>
      </w:r>
    </w:p>
    <w:p w14:paraId="44AC0EE3" w14:textId="77777777" w:rsidR="00891B3A" w:rsidRPr="00C67A93" w:rsidRDefault="00891B3A" w:rsidP="00891B3A">
      <w:pPr>
        <w:pStyle w:val="NormalWeb"/>
        <w:shd w:val="clear" w:color="auto" w:fill="FFFFFF"/>
        <w:spacing w:before="0" w:after="0"/>
        <w:ind w:left="0"/>
        <w:jc w:val="both"/>
        <w:rPr>
          <w:rFonts w:ascii="Arial" w:eastAsia="Georgia" w:hAnsi="Arial" w:cs="Arial"/>
          <w:sz w:val="22"/>
          <w:szCs w:val="22"/>
        </w:rPr>
      </w:pPr>
    </w:p>
    <w:p w14:paraId="17C3E386" w14:textId="77777777" w:rsidR="00891B3A" w:rsidRPr="00C67A93" w:rsidRDefault="00891B3A" w:rsidP="00891B3A">
      <w:pPr>
        <w:pStyle w:val="NormalWeb"/>
        <w:shd w:val="clear" w:color="auto" w:fill="FFFFFF"/>
        <w:spacing w:before="0" w:after="0"/>
        <w:ind w:left="0"/>
        <w:jc w:val="both"/>
        <w:rPr>
          <w:rFonts w:ascii="Arial" w:eastAsia="Georgia" w:hAnsi="Arial" w:cs="Arial"/>
          <w:sz w:val="22"/>
          <w:szCs w:val="22"/>
        </w:rPr>
      </w:pPr>
      <w:r w:rsidRPr="00C67A93">
        <w:rPr>
          <w:rFonts w:ascii="Arial" w:eastAsia="Georgia" w:hAnsi="Arial" w:cs="Arial"/>
          <w:sz w:val="22"/>
          <w:szCs w:val="22"/>
        </w:rPr>
        <w:t>The Company’s subsidiaries, which are wholly - owned and over which it exercises control, are listed in note 8.</w:t>
      </w:r>
    </w:p>
    <w:p w14:paraId="50FC42FA" w14:textId="77777777" w:rsidR="00891B3A" w:rsidRPr="00C67A93" w:rsidRDefault="00891B3A" w:rsidP="00891B3A">
      <w:pPr>
        <w:pStyle w:val="NormalWeb"/>
        <w:shd w:val="clear" w:color="auto" w:fill="FFFFFF"/>
        <w:spacing w:before="0" w:after="0"/>
        <w:ind w:left="0"/>
        <w:rPr>
          <w:rFonts w:ascii="Arial" w:hAnsi="Arial" w:cs="Arial"/>
          <w:sz w:val="22"/>
          <w:szCs w:val="22"/>
        </w:rPr>
      </w:pPr>
    </w:p>
    <w:p w14:paraId="78A24C9B" w14:textId="77777777" w:rsidR="00891B3A" w:rsidRPr="00C67A93" w:rsidRDefault="00891B3A" w:rsidP="00891B3A">
      <w:pPr>
        <w:spacing w:after="0"/>
        <w:jc w:val="both"/>
        <w:outlineLvl w:val="0"/>
        <w:rPr>
          <w:rFonts w:ascii="Arial" w:hAnsi="Arial" w:cs="Arial"/>
          <w:b/>
        </w:rPr>
      </w:pPr>
      <w:r w:rsidRPr="00C67A93">
        <w:rPr>
          <w:rFonts w:ascii="Arial" w:hAnsi="Arial" w:cs="Arial"/>
          <w:b/>
        </w:rPr>
        <w:t>Use of estimates and judgements</w:t>
      </w:r>
    </w:p>
    <w:p w14:paraId="0561C3B5" w14:textId="77777777" w:rsidR="00891B3A" w:rsidRPr="00C67A93" w:rsidRDefault="00891B3A" w:rsidP="00891B3A">
      <w:pPr>
        <w:pStyle w:val="NormalWeb"/>
        <w:shd w:val="clear" w:color="auto" w:fill="FFFFFF"/>
        <w:spacing w:before="0" w:after="0"/>
        <w:ind w:left="0"/>
        <w:jc w:val="both"/>
        <w:rPr>
          <w:rFonts w:ascii="Arial" w:hAnsi="Arial" w:cs="Arial"/>
          <w:sz w:val="22"/>
          <w:szCs w:val="22"/>
        </w:rPr>
      </w:pPr>
      <w:r w:rsidRPr="00C67A93">
        <w:rPr>
          <w:rFonts w:ascii="Arial" w:hAnsi="Arial" w:cs="Arial"/>
          <w:sz w:val="22"/>
          <w:szCs w:val="22"/>
        </w:rPr>
        <w:t>The preparation of the Financial Statements require management to make judgements, estimates and assumptions that affect the application of accounting policies and the reported amounts of assets and liabilities, income and expense. Actual results may differ from these estimates. Estimates and underlying assumptions are reviewed on an ongoing basis; revisions to accounting estimates are recognised in the period in which the estimates are revised and in any future periods affected.</w:t>
      </w:r>
    </w:p>
    <w:p w14:paraId="129DB1BA" w14:textId="77777777" w:rsidR="00891B3A" w:rsidRPr="00C67A93" w:rsidRDefault="00891B3A" w:rsidP="00891B3A">
      <w:pPr>
        <w:spacing w:after="0"/>
        <w:jc w:val="both"/>
        <w:outlineLvl w:val="0"/>
        <w:rPr>
          <w:rFonts w:ascii="Arial" w:hAnsi="Arial" w:cs="Arial"/>
          <w:b/>
        </w:rPr>
      </w:pPr>
    </w:p>
    <w:p w14:paraId="46B7DE2C" w14:textId="77777777" w:rsidR="00891B3A" w:rsidRPr="00C67A93" w:rsidRDefault="00891B3A" w:rsidP="00891B3A">
      <w:p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 xml:space="preserve">The areas involving significant judgements are: </w:t>
      </w:r>
    </w:p>
    <w:p w14:paraId="16D32144" w14:textId="77777777" w:rsidR="00891B3A" w:rsidRPr="00C67A93" w:rsidRDefault="00891B3A" w:rsidP="00891B3A">
      <w:pPr>
        <w:numPr>
          <w:ilvl w:val="0"/>
          <w:numId w:val="10"/>
        </w:num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valuation technique selected in estimating fair value of unquoted investments – note 5</w:t>
      </w:r>
    </w:p>
    <w:p w14:paraId="3CAFFB08" w14:textId="77777777" w:rsidR="00891B3A" w:rsidRPr="00C67A93" w:rsidRDefault="00891B3A" w:rsidP="00891B3A">
      <w:pPr>
        <w:numPr>
          <w:ilvl w:val="0"/>
          <w:numId w:val="9"/>
        </w:num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valuation technique selected in estimating fair value of investment held in Funds – note 5</w:t>
      </w:r>
    </w:p>
    <w:p w14:paraId="463E26C4" w14:textId="77777777" w:rsidR="00891B3A" w:rsidRPr="00C67A93" w:rsidRDefault="00891B3A" w:rsidP="00891B3A">
      <w:pPr>
        <w:numPr>
          <w:ilvl w:val="0"/>
          <w:numId w:val="9"/>
        </w:num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 xml:space="preserve">recognition of deferred tax asset for carried forward tax losses </w:t>
      </w:r>
    </w:p>
    <w:p w14:paraId="204AA775" w14:textId="77777777" w:rsidR="00891B3A" w:rsidRPr="00C67A93" w:rsidRDefault="00891B3A" w:rsidP="00891B3A">
      <w:pPr>
        <w:shd w:val="clear" w:color="auto" w:fill="FFFFFF"/>
        <w:spacing w:after="0"/>
        <w:jc w:val="both"/>
        <w:rPr>
          <w:rFonts w:ascii="Arial" w:hAnsi="Arial" w:cs="Arial"/>
          <w:color w:val="000000" w:themeColor="text1"/>
          <w:lang w:val="en-GB"/>
        </w:rPr>
      </w:pPr>
    </w:p>
    <w:p w14:paraId="6B06E58E" w14:textId="77777777" w:rsidR="00891B3A" w:rsidRPr="00C67A93" w:rsidRDefault="00891B3A" w:rsidP="00891B3A">
      <w:p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 xml:space="preserve">The areas involving significant estimates are: </w:t>
      </w:r>
    </w:p>
    <w:p w14:paraId="02A15F51" w14:textId="77777777" w:rsidR="00891B3A" w:rsidRPr="00C67A93" w:rsidRDefault="00891B3A" w:rsidP="00891B3A">
      <w:pPr>
        <w:numPr>
          <w:ilvl w:val="0"/>
          <w:numId w:val="27"/>
        </w:num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estimate inputs used in calculating fair value of unquoted investments – note 5</w:t>
      </w:r>
    </w:p>
    <w:p w14:paraId="03D25B1B" w14:textId="77777777" w:rsidR="00891B3A" w:rsidRPr="00C67A93" w:rsidRDefault="00891B3A" w:rsidP="00891B3A">
      <w:pPr>
        <w:numPr>
          <w:ilvl w:val="0"/>
          <w:numId w:val="27"/>
        </w:num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estimated inputs used in calculating fair value of investment held in Funds – note 5</w:t>
      </w:r>
    </w:p>
    <w:p w14:paraId="37FDC286" w14:textId="77777777" w:rsidR="00891B3A" w:rsidRPr="00C67A93" w:rsidRDefault="00891B3A" w:rsidP="00891B3A">
      <w:pPr>
        <w:numPr>
          <w:ilvl w:val="0"/>
          <w:numId w:val="27"/>
        </w:num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 xml:space="preserve">estimates in calculating the fair value of equity awards </w:t>
      </w:r>
    </w:p>
    <w:p w14:paraId="1D1C637E" w14:textId="77777777" w:rsidR="00891B3A" w:rsidRPr="00C67A93" w:rsidRDefault="00891B3A" w:rsidP="00891B3A">
      <w:pPr>
        <w:numPr>
          <w:ilvl w:val="0"/>
          <w:numId w:val="27"/>
        </w:num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 xml:space="preserve">estimate percentage of incremental borrowing rate on lease liability </w:t>
      </w:r>
    </w:p>
    <w:p w14:paraId="50A172C4" w14:textId="1652BA31" w:rsidR="00815AB8" w:rsidRPr="00815AB8" w:rsidRDefault="00815AB8" w:rsidP="00815AB8">
      <w:pPr>
        <w:numPr>
          <w:ilvl w:val="0"/>
          <w:numId w:val="27"/>
        </w:numPr>
        <w:shd w:val="clear" w:color="auto" w:fill="FFFFFF"/>
        <w:spacing w:after="0"/>
        <w:jc w:val="both"/>
        <w:rPr>
          <w:rFonts w:ascii="Arial" w:hAnsi="Arial" w:cs="Arial"/>
          <w:color w:val="000000" w:themeColor="text1"/>
          <w:lang w:val="en-GB"/>
        </w:rPr>
      </w:pPr>
      <w:r>
        <w:rPr>
          <w:rFonts w:ascii="Arial" w:hAnsi="Arial" w:cs="Arial"/>
          <w:color w:val="000000" w:themeColor="text1"/>
          <w:lang w:val="en-GB"/>
        </w:rPr>
        <w:t>estimate</w:t>
      </w:r>
      <w:r w:rsidRPr="00C67A93">
        <w:rPr>
          <w:rFonts w:ascii="Arial" w:hAnsi="Arial" w:cs="Arial"/>
          <w:color w:val="000000" w:themeColor="text1"/>
          <w:lang w:val="en-GB"/>
        </w:rPr>
        <w:t xml:space="preserve"> in calculating share option for equity</w:t>
      </w:r>
      <w:r>
        <w:rPr>
          <w:rFonts w:ascii="Arial" w:hAnsi="Arial" w:cs="Arial"/>
          <w:color w:val="000000" w:themeColor="text1"/>
          <w:lang w:val="en-GB"/>
        </w:rPr>
        <w:t xml:space="preserve"> </w:t>
      </w:r>
      <w:r w:rsidRPr="00C67A93">
        <w:rPr>
          <w:rFonts w:ascii="Arial" w:hAnsi="Arial" w:cs="Arial"/>
          <w:color w:val="000000" w:themeColor="text1"/>
          <w:lang w:val="en-GB"/>
        </w:rPr>
        <w:t xml:space="preserve">awards  </w:t>
      </w:r>
    </w:p>
    <w:p w14:paraId="54503670" w14:textId="77777777" w:rsidR="00891B3A" w:rsidRPr="00C67A93" w:rsidRDefault="00891B3A" w:rsidP="00891B3A">
      <w:pPr>
        <w:shd w:val="clear" w:color="auto" w:fill="FFFFFF"/>
        <w:spacing w:after="0"/>
        <w:jc w:val="both"/>
        <w:rPr>
          <w:rFonts w:ascii="Arial" w:hAnsi="Arial" w:cs="Arial"/>
          <w:color w:val="000000" w:themeColor="text1"/>
          <w:lang w:val="en-GB"/>
        </w:rPr>
      </w:pPr>
    </w:p>
    <w:p w14:paraId="24453EE1" w14:textId="77777777" w:rsidR="00891B3A" w:rsidRPr="00C67A93" w:rsidRDefault="00891B3A" w:rsidP="00891B3A">
      <w:p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Estimates and judgements are continually evaluated. They are based on historical experience and other factors, including expectations of future events that may have financial impact on the entity and that are believed to be reasonable under the circumstances.</w:t>
      </w:r>
    </w:p>
    <w:p w14:paraId="0F8A0F90" w14:textId="77777777" w:rsidR="00891B3A" w:rsidRPr="00C67A93" w:rsidRDefault="00891B3A" w:rsidP="00891B3A">
      <w:pPr>
        <w:shd w:val="clear" w:color="auto" w:fill="FFFFFF"/>
        <w:spacing w:after="0"/>
        <w:jc w:val="both"/>
        <w:rPr>
          <w:rFonts w:ascii="Arial" w:hAnsi="Arial" w:cs="Arial"/>
          <w:color w:val="000000" w:themeColor="text1"/>
          <w:lang w:val="en-GB"/>
        </w:rPr>
      </w:pPr>
    </w:p>
    <w:p w14:paraId="3E83C847" w14:textId="77777777" w:rsidR="00891B3A" w:rsidRPr="00C67A93" w:rsidRDefault="00891B3A" w:rsidP="00891B3A">
      <w:pPr>
        <w:shd w:val="clear" w:color="auto" w:fill="FFFFFF"/>
        <w:spacing w:after="0"/>
        <w:jc w:val="both"/>
        <w:rPr>
          <w:rFonts w:ascii="Arial" w:hAnsi="Arial" w:cs="Arial"/>
          <w:b/>
          <w:bCs/>
          <w:color w:val="000000" w:themeColor="text1"/>
          <w:lang w:val="en-GB"/>
        </w:rPr>
      </w:pPr>
      <w:r w:rsidRPr="00C67A93">
        <w:rPr>
          <w:rFonts w:ascii="Arial" w:hAnsi="Arial" w:cs="Arial"/>
          <w:b/>
          <w:bCs/>
          <w:color w:val="000000" w:themeColor="text1"/>
          <w:lang w:val="en-GB"/>
        </w:rPr>
        <w:t>Investments in subsidiaries</w:t>
      </w:r>
    </w:p>
    <w:p w14:paraId="60A711C6" w14:textId="3F04CEC2" w:rsidR="00891B3A" w:rsidRDefault="00891B3A" w:rsidP="00891B3A">
      <w:p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 xml:space="preserve">The Company’s investments in subsidiaries are stated at fair value which is considered to be the carrying value of the net assets of each subsidiary. On disposal of such investments the difference between net disposal proceeds and the corresponding carrying amount is recognised in the income statement. </w:t>
      </w:r>
    </w:p>
    <w:p w14:paraId="367CBE6C" w14:textId="77777777" w:rsidR="007E3E53" w:rsidRPr="00C67A93" w:rsidRDefault="007E3E53" w:rsidP="00891B3A">
      <w:pPr>
        <w:shd w:val="clear" w:color="auto" w:fill="FFFFFF"/>
        <w:spacing w:after="0"/>
        <w:jc w:val="both"/>
        <w:rPr>
          <w:rFonts w:ascii="Arial" w:hAnsi="Arial" w:cs="Arial"/>
          <w:color w:val="000000" w:themeColor="text1"/>
          <w:lang w:val="en-GB"/>
        </w:rPr>
      </w:pPr>
    </w:p>
    <w:p w14:paraId="0461CBCC"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36D4160B" w14:textId="77777777" w:rsidR="00891B3A" w:rsidRPr="00C67A93" w:rsidRDefault="00891B3A" w:rsidP="00891B3A">
      <w:pPr>
        <w:pStyle w:val="NormalWeb"/>
        <w:shd w:val="clear" w:color="auto" w:fill="FFFFFF"/>
        <w:spacing w:before="0" w:after="0"/>
        <w:rPr>
          <w:rFonts w:ascii="Arial" w:hAnsi="Arial" w:cs="Arial"/>
        </w:rPr>
      </w:pPr>
    </w:p>
    <w:p w14:paraId="015E8209" w14:textId="77777777" w:rsidR="00891B3A" w:rsidRPr="00C67A93" w:rsidRDefault="00891B3A" w:rsidP="00891B3A">
      <w:pPr>
        <w:shd w:val="clear" w:color="auto" w:fill="FFFFFF"/>
        <w:spacing w:after="0"/>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 (continued)</w:t>
      </w:r>
    </w:p>
    <w:p w14:paraId="21AF452D" w14:textId="77777777" w:rsidR="00891B3A" w:rsidRPr="00C67A93" w:rsidRDefault="00891B3A" w:rsidP="00891B3A">
      <w:pPr>
        <w:shd w:val="clear" w:color="auto" w:fill="FFFFFF"/>
        <w:spacing w:after="0"/>
        <w:jc w:val="both"/>
        <w:rPr>
          <w:rFonts w:ascii="Arial" w:hAnsi="Arial" w:cs="Arial"/>
          <w:color w:val="000000" w:themeColor="text1"/>
          <w:lang w:val="en-GB"/>
        </w:rPr>
      </w:pPr>
    </w:p>
    <w:p w14:paraId="5BFD81C6" w14:textId="77777777" w:rsidR="00891B3A" w:rsidRPr="00C67A93" w:rsidRDefault="00891B3A" w:rsidP="00891B3A">
      <w:pPr>
        <w:shd w:val="clear" w:color="auto" w:fill="FFFFFF"/>
        <w:spacing w:after="0"/>
        <w:jc w:val="both"/>
        <w:rPr>
          <w:rFonts w:ascii="Arial" w:hAnsi="Arial" w:cs="Arial"/>
          <w:b/>
          <w:bCs/>
          <w:color w:val="000000" w:themeColor="text1"/>
          <w:lang w:val="en-GB"/>
        </w:rPr>
      </w:pPr>
      <w:r w:rsidRPr="00C67A93">
        <w:rPr>
          <w:rFonts w:ascii="Arial" w:hAnsi="Arial" w:cs="Arial"/>
          <w:b/>
          <w:bCs/>
          <w:color w:val="000000" w:themeColor="text1"/>
          <w:lang w:val="en-GB"/>
        </w:rPr>
        <w:t>Valuation of investments</w:t>
      </w:r>
    </w:p>
    <w:p w14:paraId="276877A3" w14:textId="19C12EB3" w:rsidR="00891B3A" w:rsidRPr="00C67A93" w:rsidRDefault="00891B3A" w:rsidP="00891B3A">
      <w:p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The Company and its subsidiaries manage their investments with a view to profit from the receipt of dividends and increase in fair value of equity investments which can be realised on sale. Therefore, all quoted, unquoted and managed fund investments are realised on sale and carried in the Statement of Financial Position at fair value.</w:t>
      </w:r>
    </w:p>
    <w:p w14:paraId="6DC27D2E" w14:textId="77777777" w:rsidR="00891B3A" w:rsidRPr="00C67A93" w:rsidRDefault="00891B3A" w:rsidP="00891B3A">
      <w:pPr>
        <w:shd w:val="clear" w:color="auto" w:fill="FFFFFF"/>
        <w:spacing w:after="0"/>
        <w:jc w:val="both"/>
        <w:rPr>
          <w:rFonts w:ascii="Arial" w:hAnsi="Arial" w:cs="Arial"/>
          <w:color w:val="000000" w:themeColor="text1"/>
          <w:lang w:val="en-GB"/>
        </w:rPr>
      </w:pPr>
    </w:p>
    <w:p w14:paraId="59494D2A" w14:textId="77777777" w:rsidR="00891B3A" w:rsidRPr="00C67A93" w:rsidRDefault="00891B3A" w:rsidP="00891B3A">
      <w:pPr>
        <w:shd w:val="clear" w:color="auto" w:fill="FFFFFF"/>
        <w:spacing w:after="0"/>
        <w:jc w:val="both"/>
        <w:rPr>
          <w:rFonts w:ascii="Arial" w:hAnsi="Arial" w:cs="Arial"/>
          <w:color w:val="000000" w:themeColor="text1"/>
          <w:lang w:val="en-GB"/>
        </w:rPr>
      </w:pPr>
      <w:r w:rsidRPr="00C67A93">
        <w:rPr>
          <w:rFonts w:ascii="Arial" w:hAnsi="Arial" w:cs="Arial"/>
          <w:color w:val="000000" w:themeColor="text1"/>
          <w:lang w:val="en-GB"/>
        </w:rPr>
        <w:t>Fair values have been determined in accordance with the International Private Equity and Venture Capital Valuation (IPEV) Guidelines. These guidelines require the valuer to make judgments as to the most appropriate valuation method to be used and the results of the valuations.</w:t>
      </w:r>
    </w:p>
    <w:p w14:paraId="6C221D0C" w14:textId="77777777" w:rsidR="00891B3A" w:rsidRPr="00C67A93" w:rsidRDefault="00891B3A" w:rsidP="00891B3A">
      <w:pPr>
        <w:shd w:val="clear" w:color="auto" w:fill="FFFFFF"/>
        <w:spacing w:after="0"/>
        <w:jc w:val="both"/>
        <w:rPr>
          <w:rFonts w:ascii="Arial" w:hAnsi="Arial" w:cs="Arial"/>
          <w:b/>
        </w:rPr>
      </w:pPr>
    </w:p>
    <w:p w14:paraId="73C13890" w14:textId="77777777" w:rsidR="00891B3A" w:rsidRPr="00C67A93" w:rsidRDefault="00891B3A" w:rsidP="00891B3A">
      <w:pPr>
        <w:shd w:val="clear" w:color="auto" w:fill="FFFFFF"/>
        <w:spacing w:after="0"/>
        <w:jc w:val="both"/>
        <w:rPr>
          <w:rFonts w:ascii="Arial" w:hAnsi="Arial" w:cs="Arial"/>
          <w:b/>
        </w:rPr>
      </w:pPr>
      <w:r w:rsidRPr="00C67A93">
        <w:rPr>
          <w:rFonts w:ascii="Arial" w:hAnsi="Arial" w:cs="Arial"/>
          <w:b/>
        </w:rPr>
        <w:t>Quoted investments</w:t>
      </w:r>
    </w:p>
    <w:p w14:paraId="56A3D908" w14:textId="37AF11B9" w:rsidR="00891B3A" w:rsidRPr="00C67A93" w:rsidRDefault="00891B3A" w:rsidP="00891B3A">
      <w:pPr>
        <w:spacing w:after="0"/>
        <w:jc w:val="both"/>
        <w:rPr>
          <w:rFonts w:ascii="Arial" w:hAnsi="Arial" w:cs="Arial"/>
        </w:rPr>
      </w:pPr>
      <w:r w:rsidRPr="00C67A93">
        <w:rPr>
          <w:rFonts w:ascii="Arial" w:hAnsi="Arial" w:cs="Arial"/>
        </w:rPr>
        <w:t>Quoted investments for which an active market exists are valued at the bid price at the reporting date.</w:t>
      </w:r>
    </w:p>
    <w:p w14:paraId="66C9F753" w14:textId="77777777" w:rsidR="00891B3A" w:rsidRPr="00C67A93" w:rsidRDefault="00891B3A" w:rsidP="00891B3A">
      <w:pPr>
        <w:spacing w:after="0"/>
        <w:jc w:val="both"/>
        <w:outlineLvl w:val="0"/>
        <w:rPr>
          <w:rFonts w:ascii="Arial" w:hAnsi="Arial" w:cs="Arial"/>
          <w:b/>
        </w:rPr>
      </w:pPr>
    </w:p>
    <w:p w14:paraId="6D2208CF" w14:textId="77777777" w:rsidR="00891B3A" w:rsidRPr="00C67A93" w:rsidRDefault="00891B3A" w:rsidP="00891B3A">
      <w:pPr>
        <w:spacing w:after="0"/>
        <w:jc w:val="both"/>
        <w:outlineLvl w:val="0"/>
        <w:rPr>
          <w:rFonts w:ascii="Arial" w:hAnsi="Arial" w:cs="Arial"/>
          <w:b/>
        </w:rPr>
      </w:pPr>
      <w:r w:rsidRPr="00C67A93">
        <w:rPr>
          <w:rFonts w:ascii="Arial" w:hAnsi="Arial" w:cs="Arial"/>
          <w:b/>
        </w:rPr>
        <w:t>Unquoted direct investments</w:t>
      </w:r>
    </w:p>
    <w:p w14:paraId="4DB8EF59" w14:textId="77777777" w:rsidR="00891B3A" w:rsidRPr="00C67A93" w:rsidRDefault="00891B3A" w:rsidP="00891B3A">
      <w:pPr>
        <w:spacing w:after="0"/>
        <w:jc w:val="both"/>
        <w:rPr>
          <w:rFonts w:ascii="Arial" w:hAnsi="Arial" w:cs="Arial"/>
        </w:rPr>
      </w:pPr>
      <w:r w:rsidRPr="00C67A93">
        <w:rPr>
          <w:rFonts w:ascii="Arial" w:hAnsi="Arial" w:cs="Arial"/>
        </w:rPr>
        <w:t>Unquoted direct investments for which there is no ready market are valued using the most appropriate valuation technique with regard to the stage and nature of the investment. Valuation methods that may be used include:</w:t>
      </w:r>
    </w:p>
    <w:p w14:paraId="4AC316CD" w14:textId="77777777" w:rsidR="00891B3A" w:rsidRPr="00C67A93" w:rsidRDefault="00891B3A" w:rsidP="00891B3A">
      <w:pPr>
        <w:widowControl/>
        <w:numPr>
          <w:ilvl w:val="0"/>
          <w:numId w:val="11"/>
        </w:numPr>
        <w:suppressAutoHyphens w:val="0"/>
        <w:autoSpaceDN/>
        <w:spacing w:line="259" w:lineRule="auto"/>
        <w:contextualSpacing/>
        <w:jc w:val="both"/>
        <w:textAlignment w:val="auto"/>
        <w:rPr>
          <w:rFonts w:ascii="Arial" w:eastAsia="Georgia" w:hAnsi="Arial" w:cs="Arial"/>
          <w:lang w:val="en-GB"/>
        </w:rPr>
      </w:pPr>
      <w:r w:rsidRPr="00C67A93">
        <w:rPr>
          <w:rFonts w:ascii="Arial" w:eastAsia="Georgia" w:hAnsi="Arial" w:cs="Arial"/>
          <w:lang w:val="en-GB"/>
        </w:rPr>
        <w:t>investments in an established business are valued using revenue or earnings multiples depending on the stage of development of the business and the extent to which it is generating sustainable revenue or earnings;</w:t>
      </w:r>
    </w:p>
    <w:p w14:paraId="394E9EC6" w14:textId="77777777" w:rsidR="00891B3A" w:rsidRPr="00C67A93" w:rsidRDefault="00891B3A" w:rsidP="00891B3A">
      <w:pPr>
        <w:widowControl/>
        <w:numPr>
          <w:ilvl w:val="0"/>
          <w:numId w:val="11"/>
        </w:numPr>
        <w:suppressAutoHyphens w:val="0"/>
        <w:autoSpaceDN/>
        <w:spacing w:line="259" w:lineRule="auto"/>
        <w:contextualSpacing/>
        <w:jc w:val="both"/>
        <w:textAlignment w:val="auto"/>
        <w:rPr>
          <w:rFonts w:ascii="Arial" w:eastAsia="Georgia" w:hAnsi="Arial" w:cs="Arial"/>
          <w:lang w:val="en-GB"/>
        </w:rPr>
      </w:pPr>
      <w:r w:rsidRPr="00C67A93">
        <w:rPr>
          <w:rFonts w:ascii="Arial" w:eastAsia="Georgia" w:hAnsi="Arial" w:cs="Arial"/>
          <w:lang w:val="en-GB"/>
        </w:rPr>
        <w:t>investments in a business the value of which is derived mainly from its underlying net assets rather than its earnings are valued on the basis of net asset valuation; and</w:t>
      </w:r>
    </w:p>
    <w:p w14:paraId="182DE5C7" w14:textId="2D4D2CC0" w:rsidR="00891B3A" w:rsidRPr="00C67A93" w:rsidRDefault="00891B3A" w:rsidP="00815AB8">
      <w:pPr>
        <w:widowControl/>
        <w:numPr>
          <w:ilvl w:val="0"/>
          <w:numId w:val="11"/>
        </w:numPr>
        <w:suppressAutoHyphens w:val="0"/>
        <w:autoSpaceDN/>
        <w:spacing w:after="0" w:line="259" w:lineRule="auto"/>
        <w:contextualSpacing/>
        <w:jc w:val="both"/>
        <w:textAlignment w:val="auto"/>
        <w:rPr>
          <w:rFonts w:ascii="Arial" w:eastAsia="Georgia" w:hAnsi="Arial" w:cs="Arial"/>
          <w:lang w:val="en-GB"/>
        </w:rPr>
      </w:pPr>
      <w:r w:rsidRPr="00C67A93">
        <w:rPr>
          <w:rFonts w:ascii="Arial" w:eastAsia="Georgia" w:hAnsi="Arial" w:cs="Arial"/>
          <w:lang w:val="en-GB"/>
        </w:rPr>
        <w:t xml:space="preserve">investments in an established business which is generating sustainable revenue or </w:t>
      </w:r>
      <w:r w:rsidR="00815AB8">
        <w:rPr>
          <w:rFonts w:ascii="Arial" w:eastAsia="Georgia" w:hAnsi="Arial" w:cs="Arial"/>
          <w:lang w:val="en-GB"/>
        </w:rPr>
        <w:t xml:space="preserve">earnings </w:t>
      </w:r>
      <w:r w:rsidRPr="00C67A93">
        <w:rPr>
          <w:rFonts w:ascii="Arial" w:eastAsia="Georgia" w:hAnsi="Arial" w:cs="Arial"/>
          <w:lang w:val="en-GB"/>
        </w:rPr>
        <w:t>but for which other valuation methods are not appropriate are valued by calculating the discounted cash flow of future cash flows or earnings;</w:t>
      </w:r>
    </w:p>
    <w:p w14:paraId="626A406D" w14:textId="150E8342" w:rsidR="00815AB8" w:rsidRPr="008D4734" w:rsidRDefault="00815AB8" w:rsidP="00815AB8">
      <w:pPr>
        <w:pStyle w:val="ListParagraph"/>
        <w:numPr>
          <w:ilvl w:val="0"/>
          <w:numId w:val="11"/>
        </w:numPr>
        <w:suppressAutoHyphens w:val="0"/>
        <w:autoSpaceDN/>
        <w:spacing w:after="0"/>
        <w:contextualSpacing/>
        <w:jc w:val="both"/>
        <w:textAlignment w:val="auto"/>
        <w:rPr>
          <w:rFonts w:ascii="Arial" w:eastAsia="Georgia" w:hAnsi="Arial" w:cs="Arial"/>
        </w:rPr>
      </w:pPr>
      <w:r w:rsidRPr="00AC0617">
        <w:rPr>
          <w:rFonts w:ascii="Arial" w:hAnsi="Arial" w:cs="Arial"/>
        </w:rPr>
        <w:t>investments in debt instruments or loan notes are determined on a standalone basis, with the initial investment recorded at the price of the transaction and subsequent adjustments to the valuation are considered for changes in credit risk or market rates. Convertible instruments are valued by disaggregating the convertible feature from the debt instrument and valuing it using a Black-Scholes model</w:t>
      </w:r>
      <w:r w:rsidR="00446FC1">
        <w:rPr>
          <w:rFonts w:ascii="Arial" w:hAnsi="Arial" w:cs="Arial"/>
        </w:rPr>
        <w:t>;</w:t>
      </w:r>
    </w:p>
    <w:p w14:paraId="4A03A96E" w14:textId="418A5B21" w:rsidR="008D4734" w:rsidRPr="008D4734" w:rsidRDefault="008D4734" w:rsidP="008D4734">
      <w:pPr>
        <w:pStyle w:val="ListParagraph"/>
        <w:numPr>
          <w:ilvl w:val="0"/>
          <w:numId w:val="11"/>
        </w:numPr>
        <w:suppressAutoHyphens w:val="0"/>
        <w:autoSpaceDN/>
        <w:spacing w:after="0"/>
        <w:contextualSpacing/>
        <w:jc w:val="both"/>
        <w:textAlignment w:val="auto"/>
        <w:rPr>
          <w:rFonts w:ascii="Arial" w:eastAsia="Georgia" w:hAnsi="Arial" w:cs="Arial"/>
        </w:rPr>
      </w:pPr>
      <w:r w:rsidRPr="008D4734">
        <w:rPr>
          <w:rFonts w:ascii="Arial" w:eastAsia="Georgia" w:hAnsi="Arial" w:cs="Arial"/>
        </w:rPr>
        <w:t>Preference shares are valued at cost</w:t>
      </w:r>
      <w:r w:rsidR="00C22632">
        <w:rPr>
          <w:rFonts w:ascii="Arial" w:eastAsia="Georgia" w:hAnsi="Arial" w:cs="Arial"/>
        </w:rPr>
        <w:t xml:space="preserve"> and</w:t>
      </w:r>
      <w:r w:rsidR="00997F60">
        <w:rPr>
          <w:rFonts w:ascii="Arial" w:eastAsia="Georgia" w:hAnsi="Arial" w:cs="Arial"/>
        </w:rPr>
        <w:t xml:space="preserve"> using</w:t>
      </w:r>
      <w:r w:rsidR="00C22632">
        <w:rPr>
          <w:rFonts w:ascii="Arial" w:eastAsia="Georgia" w:hAnsi="Arial" w:cs="Arial"/>
        </w:rPr>
        <w:t xml:space="preserve"> </w:t>
      </w:r>
      <w:r w:rsidRPr="008D4734">
        <w:rPr>
          <w:rFonts w:ascii="Arial" w:eastAsia="Georgia" w:hAnsi="Arial" w:cs="Arial"/>
        </w:rPr>
        <w:t>a different fair value methodology would not result in a material difference</w:t>
      </w:r>
      <w:r w:rsidR="00446FC1" w:rsidRPr="00AC0617">
        <w:rPr>
          <w:rFonts w:ascii="Arial" w:hAnsi="Arial" w:cs="Arial"/>
        </w:rPr>
        <w:t>; and</w:t>
      </w:r>
    </w:p>
    <w:p w14:paraId="44CA7A68" w14:textId="77777777" w:rsidR="00815AB8" w:rsidRPr="00AC0617" w:rsidRDefault="00815AB8" w:rsidP="00815AB8">
      <w:pPr>
        <w:pStyle w:val="ListParagraph"/>
        <w:numPr>
          <w:ilvl w:val="0"/>
          <w:numId w:val="11"/>
        </w:numPr>
        <w:suppressAutoHyphens w:val="0"/>
        <w:autoSpaceDN/>
        <w:spacing w:after="0"/>
        <w:contextualSpacing/>
        <w:jc w:val="both"/>
        <w:textAlignment w:val="auto"/>
        <w:rPr>
          <w:rFonts w:ascii="Arial" w:eastAsia="Georgia" w:hAnsi="Arial" w:cs="Arial"/>
        </w:rPr>
      </w:pPr>
      <w:r w:rsidRPr="00AC0617">
        <w:rPr>
          <w:rFonts w:ascii="Arial" w:eastAsia="Georgia" w:hAnsi="Arial" w:cs="Arial"/>
        </w:rPr>
        <w:t>the Company</w:t>
      </w:r>
      <w:r>
        <w:rPr>
          <w:rFonts w:ascii="Arial" w:eastAsia="Georgia" w:hAnsi="Arial" w:cs="Arial"/>
        </w:rPr>
        <w:t xml:space="preserve"> </w:t>
      </w:r>
      <w:r w:rsidRPr="00210941">
        <w:rPr>
          <w:rFonts w:ascii="Arial" w:eastAsia="Georgia" w:hAnsi="Arial" w:cs="Arial"/>
          <w:lang w:val="en-GB"/>
        </w:rPr>
        <w:t xml:space="preserve">adopted the latest IPEV guidelines effective from </w:t>
      </w:r>
      <w:r>
        <w:rPr>
          <w:rFonts w:ascii="Arial" w:eastAsia="Georgia" w:hAnsi="Arial" w:cs="Arial"/>
          <w:lang w:val="en-GB"/>
        </w:rPr>
        <w:t>1 January 2019</w:t>
      </w:r>
      <w:r w:rsidRPr="00210941">
        <w:rPr>
          <w:rFonts w:ascii="Arial" w:eastAsia="Georgia" w:hAnsi="Arial" w:cs="Arial"/>
          <w:lang w:val="en-GB"/>
        </w:rPr>
        <w:t xml:space="preserve"> and in addition</w:t>
      </w:r>
      <w:r>
        <w:rPr>
          <w:rFonts w:ascii="Arial" w:eastAsia="Georgia" w:hAnsi="Arial" w:cs="Arial"/>
          <w:lang w:val="en-GB"/>
        </w:rPr>
        <w:t>,</w:t>
      </w:r>
      <w:r w:rsidRPr="00210941">
        <w:rPr>
          <w:rFonts w:ascii="Arial" w:eastAsia="Georgia" w:hAnsi="Arial" w:cs="Arial"/>
          <w:lang w:val="en-GB"/>
        </w:rPr>
        <w:t xml:space="preserve"> the company adopted the</w:t>
      </w:r>
      <w:r>
        <w:rPr>
          <w:rFonts w:ascii="Arial" w:eastAsia="Georgia" w:hAnsi="Arial" w:cs="Arial"/>
          <w:lang w:val="en-GB"/>
        </w:rPr>
        <w:t xml:space="preserve"> </w:t>
      </w:r>
      <w:r w:rsidRPr="00AC0617">
        <w:rPr>
          <w:rFonts w:ascii="Arial" w:eastAsia="Georgia" w:hAnsi="Arial" w:cs="Arial"/>
        </w:rPr>
        <w:t>IPEV special valuation guidelines issued in March 2020 in response to the significant uncertainty surrounding the Coronavirus pandemic.</w:t>
      </w:r>
    </w:p>
    <w:p w14:paraId="5ABC1220" w14:textId="77777777" w:rsidR="00891B3A" w:rsidRPr="00C67A93" w:rsidRDefault="00891B3A" w:rsidP="00891B3A">
      <w:pPr>
        <w:pStyle w:val="NormalWeb"/>
        <w:shd w:val="clear" w:color="auto" w:fill="FFFFFF"/>
        <w:spacing w:before="0" w:after="160"/>
        <w:ind w:left="0"/>
        <w:rPr>
          <w:rFonts w:ascii="Arial" w:hAnsi="Arial" w:cs="Arial"/>
          <w:b/>
          <w:sz w:val="32"/>
          <w:szCs w:val="32"/>
          <w:lang w:val="en-US"/>
        </w:rPr>
      </w:pPr>
    </w:p>
    <w:p w14:paraId="7C1045B7" w14:textId="15EC1735" w:rsidR="00891B3A" w:rsidRDefault="00891B3A" w:rsidP="00891B3A">
      <w:pPr>
        <w:pStyle w:val="NormalWeb"/>
        <w:shd w:val="clear" w:color="auto" w:fill="FFFFFF"/>
        <w:spacing w:before="0" w:after="160"/>
        <w:ind w:left="0"/>
        <w:rPr>
          <w:rFonts w:ascii="Arial" w:hAnsi="Arial" w:cs="Arial"/>
          <w:b/>
          <w:sz w:val="32"/>
          <w:szCs w:val="32"/>
          <w:lang w:val="en-US"/>
        </w:rPr>
      </w:pPr>
    </w:p>
    <w:p w14:paraId="5BC1CA20" w14:textId="77777777" w:rsidR="007E3E53" w:rsidRPr="00C67A93" w:rsidRDefault="007E3E53" w:rsidP="00891B3A">
      <w:pPr>
        <w:pStyle w:val="NormalWeb"/>
        <w:shd w:val="clear" w:color="auto" w:fill="FFFFFF"/>
        <w:spacing w:before="0" w:after="160"/>
        <w:ind w:left="0"/>
        <w:rPr>
          <w:rFonts w:ascii="Arial" w:hAnsi="Arial" w:cs="Arial"/>
          <w:b/>
          <w:sz w:val="32"/>
          <w:szCs w:val="32"/>
          <w:lang w:val="en-US"/>
        </w:rPr>
      </w:pPr>
    </w:p>
    <w:p w14:paraId="174F737F"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5E0E85E8" w14:textId="77777777" w:rsidR="00891B3A" w:rsidRPr="00C67A93" w:rsidRDefault="00891B3A" w:rsidP="00891B3A">
      <w:pPr>
        <w:pStyle w:val="NormalWeb"/>
        <w:shd w:val="clear" w:color="auto" w:fill="FFFFFF"/>
        <w:spacing w:before="0" w:after="0"/>
        <w:ind w:left="0"/>
        <w:rPr>
          <w:rFonts w:ascii="Arial" w:hAnsi="Arial" w:cs="Arial"/>
        </w:rPr>
      </w:pPr>
    </w:p>
    <w:p w14:paraId="6E340D04" w14:textId="77777777" w:rsidR="00891B3A" w:rsidRPr="00C67A93" w:rsidRDefault="00891B3A" w:rsidP="00891B3A">
      <w:pPr>
        <w:shd w:val="clear" w:color="auto" w:fill="FFFFFF"/>
        <w:spacing w:after="0"/>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 (continued)</w:t>
      </w:r>
    </w:p>
    <w:p w14:paraId="5DE43655" w14:textId="77777777" w:rsidR="00891B3A" w:rsidRPr="00C67A93" w:rsidRDefault="00891B3A" w:rsidP="00891B3A">
      <w:pPr>
        <w:widowControl/>
        <w:suppressAutoHyphens w:val="0"/>
        <w:autoSpaceDN/>
        <w:spacing w:line="259" w:lineRule="auto"/>
        <w:contextualSpacing/>
        <w:jc w:val="both"/>
        <w:textAlignment w:val="auto"/>
        <w:rPr>
          <w:rFonts w:ascii="Arial" w:eastAsia="Georgia" w:hAnsi="Arial" w:cs="Arial"/>
          <w:lang w:val="en-GB"/>
        </w:rPr>
      </w:pPr>
    </w:p>
    <w:p w14:paraId="170539AB" w14:textId="77777777" w:rsidR="00891B3A" w:rsidRPr="00C67A93" w:rsidRDefault="00891B3A" w:rsidP="00891B3A">
      <w:pPr>
        <w:spacing w:after="0"/>
        <w:jc w:val="both"/>
        <w:outlineLvl w:val="0"/>
        <w:rPr>
          <w:rFonts w:ascii="Arial" w:hAnsi="Arial" w:cs="Arial"/>
          <w:b/>
        </w:rPr>
      </w:pPr>
      <w:r w:rsidRPr="00C67A93">
        <w:rPr>
          <w:rFonts w:ascii="Arial" w:hAnsi="Arial" w:cs="Arial"/>
          <w:b/>
        </w:rPr>
        <w:t>Funds</w:t>
      </w:r>
    </w:p>
    <w:p w14:paraId="3E81FFFB" w14:textId="77777777" w:rsidR="00891B3A" w:rsidRPr="00C67A93" w:rsidRDefault="00891B3A" w:rsidP="00891B3A">
      <w:pPr>
        <w:spacing w:after="0"/>
        <w:jc w:val="both"/>
        <w:rPr>
          <w:rFonts w:ascii="Arial" w:hAnsi="Arial" w:cs="Arial"/>
          <w:lang w:val="en-GB"/>
        </w:rPr>
      </w:pPr>
      <w:r w:rsidRPr="00C67A93">
        <w:rPr>
          <w:rFonts w:ascii="Arial" w:hAnsi="Arial" w:cs="Arial"/>
          <w:lang w:val="en-GB"/>
        </w:rPr>
        <w:t>Investments in managed funds are valued at fair value. The General Partners of the funds will provide periodic valuations on a fair value basis, the latest available of which the Company will adopt provided it is satisfied that the valuation methods used by the funds are not materially different from the Company’s valuation methods. Adjustments will be made to the fund valuation where the Company believes there is evidence available for an alternative valuation.</w:t>
      </w:r>
    </w:p>
    <w:p w14:paraId="1C461621" w14:textId="77777777" w:rsidR="00891B3A" w:rsidRPr="00C67A93" w:rsidRDefault="00891B3A" w:rsidP="00891B3A">
      <w:pPr>
        <w:spacing w:after="0"/>
        <w:jc w:val="both"/>
        <w:rPr>
          <w:rFonts w:ascii="Arial" w:hAnsi="Arial" w:cs="Arial"/>
        </w:rPr>
      </w:pPr>
    </w:p>
    <w:p w14:paraId="47CBB094" w14:textId="77777777" w:rsidR="00891B3A" w:rsidRPr="00C67A93" w:rsidRDefault="00891B3A" w:rsidP="00891B3A">
      <w:pPr>
        <w:spacing w:after="0"/>
        <w:jc w:val="both"/>
        <w:rPr>
          <w:rFonts w:ascii="Arial" w:hAnsi="Arial" w:cs="Arial"/>
          <w:b/>
        </w:rPr>
      </w:pPr>
      <w:r w:rsidRPr="00C67A93">
        <w:rPr>
          <w:rFonts w:ascii="Arial" w:hAnsi="Arial" w:cs="Arial"/>
          <w:b/>
        </w:rPr>
        <w:t>Impairment of financial assets</w:t>
      </w:r>
    </w:p>
    <w:p w14:paraId="6C41E745" w14:textId="77777777" w:rsidR="00891B3A" w:rsidRPr="00C67A93" w:rsidRDefault="00891B3A" w:rsidP="00891B3A">
      <w:pPr>
        <w:spacing w:after="0"/>
        <w:jc w:val="both"/>
        <w:rPr>
          <w:rFonts w:ascii="Arial" w:hAnsi="Arial" w:cs="Arial"/>
        </w:rPr>
      </w:pPr>
      <w:r w:rsidRPr="00C67A93">
        <w:rPr>
          <w:rFonts w:ascii="Arial" w:hAnsi="Arial" w:cs="Arial"/>
        </w:rPr>
        <w:t>Expected credit losses are required to be measured through a loss allowance at an amount equal to:</w:t>
      </w:r>
    </w:p>
    <w:p w14:paraId="3752232D" w14:textId="77777777" w:rsidR="00891B3A" w:rsidRPr="00C67A93" w:rsidRDefault="00891B3A" w:rsidP="00891B3A">
      <w:pPr>
        <w:pStyle w:val="ListParagraph"/>
        <w:widowControl/>
        <w:numPr>
          <w:ilvl w:val="0"/>
          <w:numId w:val="11"/>
        </w:numPr>
        <w:suppressAutoHyphens w:val="0"/>
        <w:autoSpaceDN/>
        <w:spacing w:before="120" w:after="0" w:line="240" w:lineRule="auto"/>
        <w:ind w:left="357" w:hanging="357"/>
        <w:contextualSpacing/>
        <w:jc w:val="both"/>
        <w:textAlignment w:val="auto"/>
        <w:rPr>
          <w:rFonts w:ascii="Arial" w:eastAsia="Georgia" w:hAnsi="Arial" w:cs="Arial"/>
        </w:rPr>
      </w:pPr>
      <w:r w:rsidRPr="00C67A93">
        <w:rPr>
          <w:rFonts w:ascii="Arial" w:eastAsia="Georgia" w:hAnsi="Arial" w:cs="Arial"/>
        </w:rPr>
        <w:t>the 12-month expected credit losses (expected credit losses from possible default events within 12 months after the reporting date); or</w:t>
      </w:r>
    </w:p>
    <w:p w14:paraId="651C3868" w14:textId="77777777" w:rsidR="00891B3A" w:rsidRPr="00C67A93" w:rsidRDefault="00891B3A" w:rsidP="00891B3A">
      <w:pPr>
        <w:pStyle w:val="ListParagraph"/>
        <w:widowControl/>
        <w:numPr>
          <w:ilvl w:val="0"/>
          <w:numId w:val="11"/>
        </w:numPr>
        <w:suppressAutoHyphens w:val="0"/>
        <w:autoSpaceDN/>
        <w:spacing w:before="120" w:after="0" w:line="240" w:lineRule="auto"/>
        <w:ind w:left="357" w:hanging="357"/>
        <w:contextualSpacing/>
        <w:jc w:val="both"/>
        <w:textAlignment w:val="auto"/>
        <w:rPr>
          <w:rFonts w:ascii="Arial" w:eastAsia="Georgia" w:hAnsi="Arial" w:cs="Arial"/>
        </w:rPr>
      </w:pPr>
      <w:r w:rsidRPr="00C67A93">
        <w:rPr>
          <w:rFonts w:ascii="Arial" w:eastAsia="Georgia" w:hAnsi="Arial" w:cs="Arial"/>
        </w:rPr>
        <w:t>full lifetime expected credit losses (expected credit losses from all possible default events over the life of the financial instrument).</w:t>
      </w:r>
    </w:p>
    <w:p w14:paraId="06ACDD6E" w14:textId="77777777" w:rsidR="00891B3A" w:rsidRPr="00C67A93" w:rsidRDefault="00891B3A" w:rsidP="00891B3A">
      <w:pPr>
        <w:spacing w:after="0"/>
        <w:jc w:val="both"/>
        <w:rPr>
          <w:rFonts w:ascii="Arial" w:hAnsi="Arial" w:cs="Arial"/>
        </w:rPr>
      </w:pPr>
    </w:p>
    <w:p w14:paraId="30B76ACD" w14:textId="7CA7DFAD" w:rsidR="00891B3A" w:rsidRPr="00C67A93" w:rsidRDefault="00891B3A" w:rsidP="00891B3A">
      <w:pPr>
        <w:spacing w:after="0"/>
        <w:jc w:val="both"/>
        <w:rPr>
          <w:rFonts w:ascii="Arial" w:hAnsi="Arial" w:cs="Arial"/>
        </w:rPr>
      </w:pPr>
      <w:r w:rsidRPr="00C67A93">
        <w:rPr>
          <w:rFonts w:ascii="Arial" w:hAnsi="Arial" w:cs="Arial"/>
        </w:rPr>
        <w:t>A loss allowance for full lifetime expected credit losses is required for a financial instrument if the credit risk of that financial instrument has increased significantly since initial recognition, as well as to contract assets or trade receivables that do not constitute a financing transaction.</w:t>
      </w:r>
    </w:p>
    <w:p w14:paraId="078909E7" w14:textId="77777777" w:rsidR="00891B3A" w:rsidRPr="00C67A93" w:rsidRDefault="00891B3A" w:rsidP="00891B3A">
      <w:pPr>
        <w:spacing w:after="0"/>
        <w:jc w:val="both"/>
        <w:rPr>
          <w:rFonts w:ascii="Arial" w:hAnsi="Arial" w:cs="Arial"/>
        </w:rPr>
      </w:pPr>
    </w:p>
    <w:p w14:paraId="2F4D84B6" w14:textId="77777777" w:rsidR="00891B3A" w:rsidRPr="00C67A93" w:rsidRDefault="00891B3A" w:rsidP="00891B3A">
      <w:pPr>
        <w:spacing w:after="0"/>
        <w:jc w:val="both"/>
        <w:rPr>
          <w:rFonts w:ascii="Arial" w:hAnsi="Arial" w:cs="Arial"/>
        </w:rPr>
      </w:pPr>
      <w:r w:rsidRPr="00C67A93">
        <w:rPr>
          <w:rFonts w:ascii="Arial" w:hAnsi="Arial" w:cs="Arial"/>
        </w:rPr>
        <w:t>For all other financial instruments, expected credit losses are measured at an amount equal to the 12-month expected credit losses.</w:t>
      </w:r>
    </w:p>
    <w:p w14:paraId="4BE910E2" w14:textId="77777777" w:rsidR="00891B3A" w:rsidRPr="00C67A93" w:rsidRDefault="00891B3A" w:rsidP="00891B3A">
      <w:pPr>
        <w:spacing w:after="0" w:line="240" w:lineRule="auto"/>
        <w:jc w:val="both"/>
        <w:rPr>
          <w:rFonts w:ascii="Arial" w:hAnsi="Arial" w:cs="Arial"/>
        </w:rPr>
      </w:pPr>
    </w:p>
    <w:p w14:paraId="473994FA" w14:textId="77777777" w:rsidR="00891B3A" w:rsidRPr="00C67A93" w:rsidRDefault="00891B3A" w:rsidP="00891B3A">
      <w:pPr>
        <w:spacing w:after="0"/>
        <w:jc w:val="both"/>
        <w:rPr>
          <w:rFonts w:ascii="Arial" w:hAnsi="Arial" w:cs="Arial"/>
        </w:rPr>
      </w:pPr>
      <w:r w:rsidRPr="00C67A93">
        <w:rPr>
          <w:rFonts w:ascii="Arial" w:hAnsi="Arial" w:cs="Arial"/>
        </w:rPr>
        <w:t xml:space="preserve">Impairment losses on financial assets carried at </w:t>
      </w:r>
      <w:proofErr w:type="spellStart"/>
      <w:r w:rsidRPr="00C67A93">
        <w:rPr>
          <w:rFonts w:ascii="Arial" w:hAnsi="Arial" w:cs="Arial"/>
        </w:rPr>
        <w:t>amortised</w:t>
      </w:r>
      <w:proofErr w:type="spellEnd"/>
      <w:r w:rsidRPr="00C67A93">
        <w:rPr>
          <w:rFonts w:ascii="Arial" w:hAnsi="Arial" w:cs="Arial"/>
        </w:rPr>
        <w:t xml:space="preserve"> cost are reversed in subsequent periods if the expected credit losses decrease.</w:t>
      </w:r>
    </w:p>
    <w:p w14:paraId="071523B9" w14:textId="77777777" w:rsidR="00891B3A" w:rsidRPr="00C67A93" w:rsidRDefault="00891B3A" w:rsidP="00891B3A">
      <w:pPr>
        <w:spacing w:after="0"/>
        <w:jc w:val="both"/>
        <w:rPr>
          <w:rFonts w:ascii="Arial" w:hAnsi="Arial" w:cs="Arial"/>
        </w:rPr>
      </w:pPr>
    </w:p>
    <w:p w14:paraId="51082F12" w14:textId="77777777" w:rsidR="00891B3A" w:rsidRPr="00C67A93" w:rsidRDefault="00891B3A" w:rsidP="00891B3A">
      <w:pPr>
        <w:spacing w:after="0" w:line="259" w:lineRule="auto"/>
        <w:jc w:val="both"/>
        <w:rPr>
          <w:rFonts w:ascii="Arial" w:hAnsi="Arial" w:cs="Arial"/>
          <w:b/>
        </w:rPr>
      </w:pPr>
      <w:r w:rsidRPr="00C67A93">
        <w:rPr>
          <w:rFonts w:ascii="Arial" w:hAnsi="Arial" w:cs="Arial"/>
          <w:b/>
        </w:rPr>
        <w:t>Carried interest</w:t>
      </w:r>
    </w:p>
    <w:p w14:paraId="4202AE97" w14:textId="25A615E6" w:rsidR="00891B3A" w:rsidRPr="00C67A93" w:rsidRDefault="00891B3A" w:rsidP="00891B3A">
      <w:pPr>
        <w:spacing w:after="0"/>
        <w:jc w:val="both"/>
        <w:rPr>
          <w:rFonts w:ascii="Arial" w:hAnsi="Arial" w:cs="Arial"/>
        </w:rPr>
      </w:pPr>
      <w:r w:rsidRPr="00C67A93">
        <w:rPr>
          <w:rFonts w:ascii="Arial" w:hAnsi="Arial" w:cs="Arial"/>
        </w:rPr>
        <w:t xml:space="preserve">The Company historically offered its executives, including Board executives, the opportunity to participate in the returns from successful investments.  A variety of incentive and carried interest arrangements were put in place during the years up to and including 2011. No new schemes have been introduced since. As is commonplace in the private equity industry, executives may, in certain circumstances, retain their entitlement under such schemes after they have left the employment of the Company. The liability under such incentive schemes is accrued if its performance conditions, measured at the balance sheet date, would be achieved if the remaining assets in that scheme were </w:t>
      </w:r>
      <w:proofErr w:type="spellStart"/>
      <w:r w:rsidRPr="00C67A93">
        <w:rPr>
          <w:rFonts w:ascii="Arial" w:hAnsi="Arial" w:cs="Arial"/>
        </w:rPr>
        <w:t>realised</w:t>
      </w:r>
      <w:proofErr w:type="spellEnd"/>
      <w:r w:rsidRPr="00C67A93">
        <w:rPr>
          <w:rFonts w:ascii="Arial" w:hAnsi="Arial" w:cs="Arial"/>
        </w:rPr>
        <w:t xml:space="preserve"> at their fair value at the balance sheet date. An accrual is made equal to the amount which the Company would have to pay to any remaining scheme participants from a </w:t>
      </w:r>
      <w:proofErr w:type="spellStart"/>
      <w:r w:rsidRPr="00C67A93">
        <w:rPr>
          <w:rFonts w:ascii="Arial" w:hAnsi="Arial" w:cs="Arial"/>
        </w:rPr>
        <w:t>realisation</w:t>
      </w:r>
      <w:proofErr w:type="spellEnd"/>
      <w:r w:rsidRPr="00C67A93">
        <w:rPr>
          <w:rFonts w:ascii="Arial" w:hAnsi="Arial" w:cs="Arial"/>
        </w:rPr>
        <w:t xml:space="preserve"> at the balance sheet value at the balance sheet date. Employer’s national insurance, where applicable, is also accrued.</w:t>
      </w:r>
    </w:p>
    <w:p w14:paraId="7BF0A3A7" w14:textId="77777777" w:rsidR="00891B3A" w:rsidRPr="00C67A93" w:rsidRDefault="00891B3A" w:rsidP="00891B3A">
      <w:pPr>
        <w:spacing w:after="0"/>
        <w:jc w:val="both"/>
        <w:rPr>
          <w:rFonts w:ascii="Arial" w:hAnsi="Arial" w:cs="Arial"/>
          <w:b/>
        </w:rPr>
      </w:pPr>
    </w:p>
    <w:p w14:paraId="59C344D6" w14:textId="4F322AB1" w:rsidR="00891B3A" w:rsidRPr="00C67A93" w:rsidRDefault="00891B3A" w:rsidP="00891B3A">
      <w:pPr>
        <w:spacing w:after="0"/>
        <w:jc w:val="both"/>
        <w:rPr>
          <w:rFonts w:ascii="Arial" w:hAnsi="Arial" w:cs="Arial"/>
          <w:b/>
        </w:rPr>
      </w:pPr>
      <w:r w:rsidRPr="00C67A93">
        <w:rPr>
          <w:rFonts w:ascii="Arial" w:hAnsi="Arial" w:cs="Arial"/>
          <w:b/>
        </w:rPr>
        <w:t>Foreign currencies</w:t>
      </w:r>
    </w:p>
    <w:p w14:paraId="3334B9A8" w14:textId="77777777" w:rsidR="00891B3A" w:rsidRPr="00C67A93" w:rsidRDefault="00891B3A" w:rsidP="00891B3A">
      <w:pPr>
        <w:spacing w:after="0"/>
        <w:jc w:val="both"/>
        <w:rPr>
          <w:rFonts w:ascii="Arial" w:hAnsi="Arial" w:cs="Arial"/>
        </w:rPr>
      </w:pPr>
      <w:r w:rsidRPr="00C67A93">
        <w:rPr>
          <w:rFonts w:ascii="Arial" w:hAnsi="Arial" w:cs="Arial"/>
        </w:rPr>
        <w:t>Transactions in foreign currencies are recorded at the rate of exchange at the date of transaction. Monetary assets and monetary liabilities denominated in foreign currencies at the reporting date are reported at the rates of exchange prevailing at that date and exchange differences are included in the income statement.</w:t>
      </w:r>
    </w:p>
    <w:p w14:paraId="08C33BCD" w14:textId="2C04CCD1"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44D9CBD0" w14:textId="77777777" w:rsidR="00891B3A" w:rsidRPr="00C67A93" w:rsidRDefault="00891B3A" w:rsidP="00891B3A">
      <w:pPr>
        <w:pStyle w:val="NormalWeb"/>
        <w:shd w:val="clear" w:color="auto" w:fill="FFFFFF"/>
        <w:spacing w:before="0" w:after="0"/>
        <w:ind w:left="0"/>
        <w:rPr>
          <w:rFonts w:ascii="Arial" w:hAnsi="Arial" w:cs="Arial"/>
        </w:rPr>
      </w:pPr>
    </w:p>
    <w:p w14:paraId="726CC812" w14:textId="77777777" w:rsidR="00891B3A" w:rsidRPr="00C67A93" w:rsidRDefault="00891B3A" w:rsidP="00891B3A">
      <w:pPr>
        <w:shd w:val="clear" w:color="auto" w:fill="FFFFFF"/>
        <w:spacing w:after="0"/>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 (continued)</w:t>
      </w:r>
    </w:p>
    <w:p w14:paraId="52444EC1" w14:textId="77777777" w:rsidR="00891B3A" w:rsidRPr="00C67A93" w:rsidRDefault="00891B3A" w:rsidP="00891B3A">
      <w:pPr>
        <w:spacing w:after="0"/>
        <w:jc w:val="both"/>
        <w:rPr>
          <w:rFonts w:ascii="Arial" w:hAnsi="Arial" w:cs="Arial"/>
          <w:b/>
        </w:rPr>
      </w:pPr>
    </w:p>
    <w:p w14:paraId="218E1177" w14:textId="77777777" w:rsidR="00891B3A" w:rsidRPr="00C67A93" w:rsidRDefault="00891B3A" w:rsidP="00891B3A">
      <w:pPr>
        <w:spacing w:after="0"/>
        <w:jc w:val="both"/>
        <w:rPr>
          <w:rFonts w:ascii="Arial" w:hAnsi="Arial" w:cs="Arial"/>
          <w:b/>
        </w:rPr>
      </w:pPr>
      <w:r w:rsidRPr="00C67A93">
        <w:rPr>
          <w:rFonts w:ascii="Arial" w:hAnsi="Arial" w:cs="Arial"/>
          <w:b/>
        </w:rPr>
        <w:t>Operating and other receivables</w:t>
      </w:r>
    </w:p>
    <w:p w14:paraId="6240C36B" w14:textId="77777777" w:rsidR="00891B3A" w:rsidRPr="00C67A93" w:rsidRDefault="00891B3A" w:rsidP="00891B3A">
      <w:pPr>
        <w:spacing w:after="0"/>
        <w:jc w:val="both"/>
        <w:rPr>
          <w:rFonts w:ascii="Arial" w:hAnsi="Arial" w:cs="Arial"/>
        </w:rPr>
      </w:pPr>
      <w:r w:rsidRPr="00C67A93">
        <w:rPr>
          <w:rFonts w:ascii="Arial" w:hAnsi="Arial" w:cs="Arial"/>
        </w:rPr>
        <w:t xml:space="preserve">Operating and other receivables are </w:t>
      </w:r>
      <w:proofErr w:type="spellStart"/>
      <w:r w:rsidRPr="00C67A93">
        <w:rPr>
          <w:rFonts w:ascii="Arial" w:hAnsi="Arial" w:cs="Arial"/>
        </w:rPr>
        <w:t>recognised</w:t>
      </w:r>
      <w:proofErr w:type="spellEnd"/>
      <w:r w:rsidRPr="00C67A93">
        <w:rPr>
          <w:rFonts w:ascii="Arial" w:hAnsi="Arial" w:cs="Arial"/>
        </w:rPr>
        <w:t xml:space="preserve"> initially at fair value. Subsequent to initial recognition, they are measured at </w:t>
      </w:r>
      <w:proofErr w:type="spellStart"/>
      <w:r w:rsidRPr="00C67A93">
        <w:rPr>
          <w:rFonts w:ascii="Arial" w:hAnsi="Arial" w:cs="Arial"/>
        </w:rPr>
        <w:t>amortised</w:t>
      </w:r>
      <w:proofErr w:type="spellEnd"/>
      <w:r w:rsidRPr="00C67A93">
        <w:rPr>
          <w:rFonts w:ascii="Arial" w:hAnsi="Arial" w:cs="Arial"/>
        </w:rPr>
        <w:t xml:space="preserve"> cost using the effective interest method, less any impairment losses. The assets held at </w:t>
      </w:r>
      <w:proofErr w:type="spellStart"/>
      <w:r w:rsidRPr="00C67A93">
        <w:rPr>
          <w:rFonts w:ascii="Arial" w:hAnsi="Arial" w:cs="Arial"/>
        </w:rPr>
        <w:t>amortised</w:t>
      </w:r>
      <w:proofErr w:type="spellEnd"/>
      <w:r w:rsidRPr="00C67A93">
        <w:rPr>
          <w:rFonts w:ascii="Arial" w:hAnsi="Arial" w:cs="Arial"/>
        </w:rPr>
        <w:t xml:space="preserve"> cost are immaterial.</w:t>
      </w:r>
    </w:p>
    <w:p w14:paraId="6995BAC2" w14:textId="77777777" w:rsidR="00891B3A" w:rsidRPr="00C67A93" w:rsidRDefault="00891B3A" w:rsidP="00891B3A">
      <w:pPr>
        <w:spacing w:after="0"/>
        <w:jc w:val="both"/>
        <w:rPr>
          <w:rFonts w:ascii="Arial" w:hAnsi="Arial" w:cs="Arial"/>
          <w:sz w:val="18"/>
          <w:szCs w:val="18"/>
        </w:rPr>
      </w:pPr>
    </w:p>
    <w:p w14:paraId="302A8AFB" w14:textId="77777777" w:rsidR="00891B3A" w:rsidRPr="00C67A93" w:rsidRDefault="00891B3A" w:rsidP="00891B3A">
      <w:pPr>
        <w:spacing w:after="0"/>
        <w:jc w:val="both"/>
        <w:rPr>
          <w:rFonts w:ascii="Arial" w:hAnsi="Arial" w:cs="Arial"/>
          <w:b/>
        </w:rPr>
      </w:pPr>
      <w:r w:rsidRPr="00C67A93">
        <w:rPr>
          <w:rFonts w:ascii="Arial" w:hAnsi="Arial" w:cs="Arial"/>
          <w:b/>
        </w:rPr>
        <w:t>Cash and cash equivalents</w:t>
      </w:r>
    </w:p>
    <w:p w14:paraId="6B22853D" w14:textId="77777777" w:rsidR="00891B3A" w:rsidRPr="00C67A93" w:rsidRDefault="00891B3A" w:rsidP="00891B3A">
      <w:pPr>
        <w:spacing w:after="0"/>
        <w:jc w:val="both"/>
        <w:rPr>
          <w:rFonts w:ascii="Arial" w:hAnsi="Arial" w:cs="Arial"/>
        </w:rPr>
      </w:pPr>
      <w:r w:rsidRPr="00C67A93">
        <w:rPr>
          <w:rFonts w:ascii="Arial" w:hAnsi="Arial" w:cs="Arial"/>
        </w:rPr>
        <w:t>Cash, for the purpose of the cash flow statement, comprises of cash in hand and cash equivalents.</w:t>
      </w:r>
    </w:p>
    <w:p w14:paraId="265E6EFF" w14:textId="77777777" w:rsidR="00891B3A" w:rsidRPr="00C67A93" w:rsidRDefault="00891B3A" w:rsidP="00891B3A">
      <w:pPr>
        <w:spacing w:after="0"/>
        <w:jc w:val="both"/>
        <w:rPr>
          <w:rFonts w:ascii="Arial" w:hAnsi="Arial" w:cs="Arial"/>
        </w:rPr>
      </w:pPr>
    </w:p>
    <w:p w14:paraId="0FD4ED9A" w14:textId="77777777" w:rsidR="00891B3A" w:rsidRPr="00C67A93" w:rsidRDefault="00891B3A" w:rsidP="00891B3A">
      <w:pPr>
        <w:spacing w:after="0"/>
        <w:jc w:val="both"/>
        <w:rPr>
          <w:rFonts w:ascii="Arial" w:hAnsi="Arial" w:cs="Arial"/>
        </w:rPr>
      </w:pPr>
      <w:r w:rsidRPr="00C67A93">
        <w:rPr>
          <w:rFonts w:ascii="Arial" w:hAnsi="Arial" w:cs="Arial"/>
        </w:rPr>
        <w:t>Cash equivalents are short-term highly liquid investments that are readily convertible to known amounts of cash and which are subject to an insignificant risk of changes in value.</w:t>
      </w:r>
    </w:p>
    <w:p w14:paraId="76ABF2ED" w14:textId="77777777" w:rsidR="00891B3A" w:rsidRPr="00C67A93" w:rsidRDefault="00891B3A" w:rsidP="00891B3A">
      <w:pPr>
        <w:spacing w:after="0"/>
        <w:jc w:val="both"/>
        <w:rPr>
          <w:rFonts w:ascii="Arial" w:hAnsi="Arial" w:cs="Arial"/>
          <w:sz w:val="18"/>
          <w:szCs w:val="18"/>
        </w:rPr>
      </w:pPr>
    </w:p>
    <w:p w14:paraId="3D9360F7" w14:textId="77777777" w:rsidR="00891B3A" w:rsidRPr="00C67A93" w:rsidRDefault="00891B3A" w:rsidP="00891B3A">
      <w:pPr>
        <w:spacing w:after="0"/>
        <w:jc w:val="both"/>
        <w:rPr>
          <w:rFonts w:ascii="Arial" w:hAnsi="Arial" w:cs="Arial"/>
          <w:b/>
        </w:rPr>
      </w:pPr>
      <w:r w:rsidRPr="00C67A93">
        <w:rPr>
          <w:rFonts w:ascii="Arial" w:hAnsi="Arial" w:cs="Arial"/>
          <w:b/>
        </w:rPr>
        <w:t>Financial liabilities</w:t>
      </w:r>
    </w:p>
    <w:p w14:paraId="59FBA8BD" w14:textId="77777777" w:rsidR="00891B3A" w:rsidRPr="00C67A93" w:rsidRDefault="00891B3A" w:rsidP="00891B3A">
      <w:pPr>
        <w:spacing w:after="0"/>
        <w:jc w:val="both"/>
        <w:rPr>
          <w:rFonts w:ascii="Arial" w:hAnsi="Arial" w:cs="Arial"/>
        </w:rPr>
      </w:pPr>
      <w:r w:rsidRPr="00C67A93">
        <w:rPr>
          <w:rFonts w:ascii="Arial" w:hAnsi="Arial" w:cs="Arial"/>
        </w:rPr>
        <w:t xml:space="preserve">The Company’s financial liabilities include operating and other payables. These are initially </w:t>
      </w:r>
      <w:proofErr w:type="spellStart"/>
      <w:r w:rsidRPr="00C67A93">
        <w:rPr>
          <w:rFonts w:ascii="Arial" w:hAnsi="Arial" w:cs="Arial"/>
        </w:rPr>
        <w:t>recognised</w:t>
      </w:r>
      <w:proofErr w:type="spellEnd"/>
      <w:r w:rsidRPr="00C67A93">
        <w:rPr>
          <w:rFonts w:ascii="Arial" w:hAnsi="Arial" w:cs="Arial"/>
        </w:rPr>
        <w:t xml:space="preserve"> at fair value. Subsequent measurement is at </w:t>
      </w:r>
      <w:proofErr w:type="spellStart"/>
      <w:r w:rsidRPr="00C67A93">
        <w:rPr>
          <w:rFonts w:ascii="Arial" w:hAnsi="Arial" w:cs="Arial"/>
        </w:rPr>
        <w:t>amortised</w:t>
      </w:r>
      <w:proofErr w:type="spellEnd"/>
      <w:r w:rsidRPr="00C67A93">
        <w:rPr>
          <w:rFonts w:ascii="Arial" w:hAnsi="Arial" w:cs="Arial"/>
        </w:rPr>
        <w:t xml:space="preserve"> cost using the effective interest method.</w:t>
      </w:r>
    </w:p>
    <w:p w14:paraId="26853FAA" w14:textId="77777777" w:rsidR="00891B3A" w:rsidRPr="00C67A93" w:rsidRDefault="00891B3A" w:rsidP="00891B3A">
      <w:pPr>
        <w:spacing w:after="0"/>
        <w:jc w:val="both"/>
        <w:rPr>
          <w:rFonts w:ascii="Arial" w:hAnsi="Arial" w:cs="Arial"/>
          <w:b/>
        </w:rPr>
      </w:pPr>
    </w:p>
    <w:p w14:paraId="60E830E7" w14:textId="77777777" w:rsidR="00891B3A" w:rsidRPr="00C67A93" w:rsidRDefault="00891B3A" w:rsidP="00891B3A">
      <w:pPr>
        <w:spacing w:after="0"/>
        <w:jc w:val="both"/>
        <w:rPr>
          <w:rFonts w:ascii="Arial" w:hAnsi="Arial" w:cs="Arial"/>
          <w:b/>
        </w:rPr>
      </w:pPr>
      <w:r w:rsidRPr="00C67A93">
        <w:rPr>
          <w:rFonts w:ascii="Arial" w:hAnsi="Arial" w:cs="Arial"/>
          <w:b/>
        </w:rPr>
        <w:t>Dividend payable</w:t>
      </w:r>
    </w:p>
    <w:p w14:paraId="46A8E715" w14:textId="587F80C3" w:rsidR="00891B3A" w:rsidRPr="00C67A93" w:rsidRDefault="00891B3A" w:rsidP="00891B3A">
      <w:pPr>
        <w:spacing w:after="0"/>
        <w:jc w:val="both"/>
        <w:rPr>
          <w:rFonts w:ascii="Arial" w:hAnsi="Arial" w:cs="Arial"/>
        </w:rPr>
      </w:pPr>
      <w:r w:rsidRPr="00C67A93">
        <w:rPr>
          <w:rFonts w:ascii="Arial" w:hAnsi="Arial" w:cs="Arial"/>
        </w:rPr>
        <w:t>Dividend distribution</w:t>
      </w:r>
      <w:r w:rsidR="000F03D8">
        <w:rPr>
          <w:rFonts w:ascii="Arial" w:hAnsi="Arial" w:cs="Arial"/>
        </w:rPr>
        <w:t>s</w:t>
      </w:r>
      <w:r w:rsidRPr="00C67A93">
        <w:rPr>
          <w:rFonts w:ascii="Arial" w:hAnsi="Arial" w:cs="Arial"/>
        </w:rPr>
        <w:t xml:space="preserve"> to shareholders </w:t>
      </w:r>
      <w:r w:rsidR="000F03D8">
        <w:rPr>
          <w:rFonts w:ascii="Arial" w:hAnsi="Arial" w:cs="Arial"/>
        </w:rPr>
        <w:t>are</w:t>
      </w:r>
      <w:r w:rsidRPr="00C67A93">
        <w:rPr>
          <w:rFonts w:ascii="Arial" w:hAnsi="Arial" w:cs="Arial"/>
        </w:rPr>
        <w:t xml:space="preserve"> </w:t>
      </w:r>
      <w:proofErr w:type="spellStart"/>
      <w:r w:rsidRPr="00C67A93">
        <w:rPr>
          <w:rFonts w:ascii="Arial" w:hAnsi="Arial" w:cs="Arial"/>
        </w:rPr>
        <w:t>recognised</w:t>
      </w:r>
      <w:proofErr w:type="spellEnd"/>
      <w:r w:rsidRPr="00C67A93">
        <w:rPr>
          <w:rFonts w:ascii="Arial" w:hAnsi="Arial" w:cs="Arial"/>
        </w:rPr>
        <w:t xml:space="preserve"> as a liability in the Company's Financial Statements when approved at an </w:t>
      </w:r>
      <w:r w:rsidR="000F03D8">
        <w:rPr>
          <w:rFonts w:ascii="Arial" w:hAnsi="Arial" w:cs="Arial"/>
        </w:rPr>
        <w:t>A</w:t>
      </w:r>
      <w:r w:rsidRPr="00C67A93">
        <w:rPr>
          <w:rFonts w:ascii="Arial" w:hAnsi="Arial" w:cs="Arial"/>
        </w:rPr>
        <w:t xml:space="preserve">nnual </w:t>
      </w:r>
      <w:r w:rsidR="000F03D8">
        <w:rPr>
          <w:rFonts w:ascii="Arial" w:hAnsi="Arial" w:cs="Arial"/>
        </w:rPr>
        <w:t>G</w:t>
      </w:r>
      <w:r w:rsidRPr="00C67A93">
        <w:rPr>
          <w:rFonts w:ascii="Arial" w:hAnsi="Arial" w:cs="Arial"/>
        </w:rPr>
        <w:t xml:space="preserve">eneral </w:t>
      </w:r>
      <w:r w:rsidR="000F03D8">
        <w:rPr>
          <w:rFonts w:ascii="Arial" w:hAnsi="Arial" w:cs="Arial"/>
        </w:rPr>
        <w:t>M</w:t>
      </w:r>
      <w:r w:rsidRPr="00C67A93">
        <w:rPr>
          <w:rFonts w:ascii="Arial" w:hAnsi="Arial" w:cs="Arial"/>
        </w:rPr>
        <w:t>eeting by the shareholders for final dividends</w:t>
      </w:r>
      <w:r w:rsidR="000F03D8">
        <w:rPr>
          <w:rFonts w:ascii="Arial" w:hAnsi="Arial" w:cs="Arial"/>
        </w:rPr>
        <w:t>.</w:t>
      </w:r>
      <w:r w:rsidRPr="00C67A93">
        <w:rPr>
          <w:rFonts w:ascii="Arial" w:hAnsi="Arial" w:cs="Arial"/>
        </w:rPr>
        <w:t xml:space="preserve"> </w:t>
      </w:r>
      <w:r w:rsidR="000F03D8">
        <w:rPr>
          <w:rFonts w:ascii="Arial" w:hAnsi="Arial" w:cs="Arial"/>
        </w:rPr>
        <w:t>I</w:t>
      </w:r>
      <w:r w:rsidRPr="00C67A93">
        <w:rPr>
          <w:rFonts w:ascii="Arial" w:hAnsi="Arial" w:cs="Arial"/>
        </w:rPr>
        <w:t xml:space="preserve">nterim dividends </w:t>
      </w:r>
      <w:r w:rsidR="000F03D8">
        <w:rPr>
          <w:rFonts w:ascii="Arial" w:hAnsi="Arial" w:cs="Arial"/>
        </w:rPr>
        <w:t xml:space="preserve">are </w:t>
      </w:r>
      <w:proofErr w:type="spellStart"/>
      <w:r w:rsidR="000F03D8">
        <w:rPr>
          <w:rFonts w:ascii="Arial" w:hAnsi="Arial" w:cs="Arial"/>
        </w:rPr>
        <w:t>recognised</w:t>
      </w:r>
      <w:proofErr w:type="spellEnd"/>
      <w:r w:rsidR="000F03D8">
        <w:rPr>
          <w:rFonts w:ascii="Arial" w:hAnsi="Arial" w:cs="Arial"/>
        </w:rPr>
        <w:t xml:space="preserve"> </w:t>
      </w:r>
      <w:r w:rsidRPr="00C67A93">
        <w:rPr>
          <w:rFonts w:ascii="Arial" w:hAnsi="Arial" w:cs="Arial"/>
        </w:rPr>
        <w:t>when paid.</w:t>
      </w:r>
    </w:p>
    <w:p w14:paraId="58B5F050" w14:textId="77777777" w:rsidR="00891B3A" w:rsidRPr="00C67A93" w:rsidRDefault="00891B3A" w:rsidP="00891B3A">
      <w:pPr>
        <w:spacing w:after="0"/>
        <w:jc w:val="both"/>
        <w:rPr>
          <w:rFonts w:ascii="Arial" w:hAnsi="Arial" w:cs="Arial"/>
          <w:sz w:val="18"/>
          <w:szCs w:val="18"/>
        </w:rPr>
      </w:pPr>
    </w:p>
    <w:p w14:paraId="56D1052D" w14:textId="77777777" w:rsidR="00891B3A" w:rsidRPr="00C67A93" w:rsidRDefault="00891B3A" w:rsidP="00891B3A">
      <w:pPr>
        <w:spacing w:after="0"/>
        <w:jc w:val="both"/>
        <w:rPr>
          <w:rFonts w:ascii="Arial" w:hAnsi="Arial" w:cs="Arial"/>
          <w:b/>
          <w:i/>
        </w:rPr>
      </w:pPr>
      <w:r w:rsidRPr="00C67A93">
        <w:rPr>
          <w:rFonts w:ascii="Arial" w:hAnsi="Arial" w:cs="Arial"/>
          <w:b/>
          <w:i/>
        </w:rPr>
        <w:t>Income</w:t>
      </w:r>
    </w:p>
    <w:p w14:paraId="2BC08091" w14:textId="77777777" w:rsidR="00891B3A" w:rsidRPr="00C67A93" w:rsidRDefault="00891B3A" w:rsidP="00891B3A">
      <w:pPr>
        <w:spacing w:after="0"/>
        <w:jc w:val="both"/>
        <w:rPr>
          <w:rFonts w:ascii="Arial" w:hAnsi="Arial" w:cs="Arial"/>
          <w:b/>
          <w:i/>
        </w:rPr>
      </w:pPr>
    </w:p>
    <w:p w14:paraId="1310FFC3" w14:textId="77777777" w:rsidR="00891B3A" w:rsidRPr="00C67A93" w:rsidRDefault="00891B3A" w:rsidP="00891B3A">
      <w:pPr>
        <w:spacing w:after="0"/>
        <w:jc w:val="both"/>
        <w:rPr>
          <w:rFonts w:ascii="Arial" w:hAnsi="Arial" w:cs="Arial"/>
          <w:b/>
        </w:rPr>
      </w:pPr>
      <w:r w:rsidRPr="00C67A93">
        <w:rPr>
          <w:rFonts w:ascii="Arial" w:hAnsi="Arial" w:cs="Arial"/>
          <w:b/>
        </w:rPr>
        <w:t>Gains and losses on investments</w:t>
      </w:r>
    </w:p>
    <w:p w14:paraId="0E30A174" w14:textId="77777777" w:rsidR="00891B3A" w:rsidRPr="00C67A93" w:rsidRDefault="00891B3A" w:rsidP="00891B3A">
      <w:pPr>
        <w:spacing w:after="0"/>
        <w:jc w:val="both"/>
        <w:rPr>
          <w:rFonts w:ascii="Arial" w:hAnsi="Arial" w:cs="Arial"/>
        </w:rPr>
      </w:pPr>
      <w:proofErr w:type="spellStart"/>
      <w:r w:rsidRPr="00C67A93">
        <w:rPr>
          <w:rFonts w:ascii="Arial" w:hAnsi="Arial" w:cs="Arial"/>
        </w:rPr>
        <w:t>Realised</w:t>
      </w:r>
      <w:proofErr w:type="spellEnd"/>
      <w:r w:rsidRPr="00C67A93">
        <w:rPr>
          <w:rFonts w:ascii="Arial" w:hAnsi="Arial" w:cs="Arial"/>
        </w:rPr>
        <w:t xml:space="preserve"> and </w:t>
      </w:r>
      <w:proofErr w:type="spellStart"/>
      <w:r w:rsidRPr="00C67A93">
        <w:rPr>
          <w:rFonts w:ascii="Arial" w:hAnsi="Arial" w:cs="Arial"/>
        </w:rPr>
        <w:t>unrealised</w:t>
      </w:r>
      <w:proofErr w:type="spellEnd"/>
      <w:r w:rsidRPr="00C67A93">
        <w:rPr>
          <w:rFonts w:ascii="Arial" w:hAnsi="Arial" w:cs="Arial"/>
        </w:rPr>
        <w:t xml:space="preserve"> gains and losses on investments are </w:t>
      </w:r>
      <w:proofErr w:type="spellStart"/>
      <w:r w:rsidRPr="00C67A93">
        <w:rPr>
          <w:rFonts w:ascii="Arial" w:hAnsi="Arial" w:cs="Arial"/>
        </w:rPr>
        <w:t>recognised</w:t>
      </w:r>
      <w:proofErr w:type="spellEnd"/>
      <w:r w:rsidRPr="00C67A93">
        <w:rPr>
          <w:rFonts w:ascii="Arial" w:hAnsi="Arial" w:cs="Arial"/>
        </w:rPr>
        <w:t xml:space="preserve"> in the income statement in the period in which they arise.</w:t>
      </w:r>
    </w:p>
    <w:p w14:paraId="7AAE88CC" w14:textId="77777777" w:rsidR="00891B3A" w:rsidRPr="00C67A93" w:rsidRDefault="00891B3A" w:rsidP="00891B3A">
      <w:pPr>
        <w:spacing w:after="0"/>
        <w:jc w:val="both"/>
        <w:rPr>
          <w:rFonts w:ascii="Arial" w:hAnsi="Arial" w:cs="Arial"/>
          <w:sz w:val="18"/>
          <w:szCs w:val="18"/>
        </w:rPr>
      </w:pPr>
    </w:p>
    <w:p w14:paraId="14C2FA04" w14:textId="77777777" w:rsidR="00891B3A" w:rsidRPr="00C67A93" w:rsidRDefault="00891B3A" w:rsidP="00891B3A">
      <w:pPr>
        <w:spacing w:after="0"/>
        <w:jc w:val="both"/>
        <w:rPr>
          <w:rFonts w:ascii="Arial" w:hAnsi="Arial" w:cs="Arial"/>
          <w:b/>
        </w:rPr>
      </w:pPr>
      <w:r w:rsidRPr="00C67A93">
        <w:rPr>
          <w:rFonts w:ascii="Arial" w:hAnsi="Arial" w:cs="Arial"/>
          <w:b/>
        </w:rPr>
        <w:t>Interest income</w:t>
      </w:r>
    </w:p>
    <w:p w14:paraId="16FE2154" w14:textId="77777777" w:rsidR="00891B3A" w:rsidRPr="00C67A93" w:rsidRDefault="00891B3A" w:rsidP="00891B3A">
      <w:pPr>
        <w:spacing w:after="0"/>
        <w:jc w:val="both"/>
        <w:rPr>
          <w:rFonts w:ascii="Arial" w:hAnsi="Arial" w:cs="Arial"/>
        </w:rPr>
      </w:pPr>
      <w:r w:rsidRPr="00C67A93">
        <w:rPr>
          <w:rFonts w:ascii="Arial" w:hAnsi="Arial" w:cs="Arial"/>
        </w:rPr>
        <w:t xml:space="preserve">Interest income is </w:t>
      </w:r>
      <w:proofErr w:type="spellStart"/>
      <w:r w:rsidRPr="00C67A93">
        <w:rPr>
          <w:rFonts w:ascii="Arial" w:hAnsi="Arial" w:cs="Arial"/>
        </w:rPr>
        <w:t>recognised</w:t>
      </w:r>
      <w:proofErr w:type="spellEnd"/>
      <w:r w:rsidRPr="00C67A93">
        <w:rPr>
          <w:rFonts w:ascii="Arial" w:hAnsi="Arial" w:cs="Arial"/>
        </w:rPr>
        <w:t xml:space="preserve"> as it accrues using the effective interest method.</w:t>
      </w:r>
    </w:p>
    <w:p w14:paraId="2E515DFF" w14:textId="77777777" w:rsidR="00891B3A" w:rsidRPr="00C67A93" w:rsidRDefault="00891B3A" w:rsidP="00891B3A">
      <w:pPr>
        <w:spacing w:after="0"/>
        <w:jc w:val="both"/>
        <w:rPr>
          <w:rFonts w:ascii="Arial" w:hAnsi="Arial" w:cs="Arial"/>
          <w:sz w:val="18"/>
          <w:szCs w:val="18"/>
        </w:rPr>
      </w:pPr>
    </w:p>
    <w:p w14:paraId="028FC83F" w14:textId="77777777" w:rsidR="00891B3A" w:rsidRPr="00C67A93" w:rsidRDefault="00891B3A" w:rsidP="00891B3A">
      <w:pPr>
        <w:spacing w:after="0"/>
        <w:jc w:val="both"/>
        <w:rPr>
          <w:rFonts w:ascii="Arial" w:hAnsi="Arial" w:cs="Arial"/>
          <w:b/>
        </w:rPr>
      </w:pPr>
      <w:r w:rsidRPr="00C67A93">
        <w:rPr>
          <w:rFonts w:ascii="Arial" w:hAnsi="Arial" w:cs="Arial"/>
          <w:b/>
        </w:rPr>
        <w:t>Dividend income</w:t>
      </w:r>
    </w:p>
    <w:p w14:paraId="6101CCBC" w14:textId="77777777" w:rsidR="00891B3A" w:rsidRPr="00C67A93" w:rsidRDefault="00891B3A" w:rsidP="00891B3A">
      <w:pPr>
        <w:spacing w:after="0" w:line="259" w:lineRule="auto"/>
        <w:jc w:val="both"/>
        <w:rPr>
          <w:rFonts w:ascii="Arial" w:hAnsi="Arial" w:cs="Arial"/>
        </w:rPr>
      </w:pPr>
      <w:r w:rsidRPr="00C67A93">
        <w:rPr>
          <w:rFonts w:ascii="Arial" w:hAnsi="Arial" w:cs="Arial"/>
        </w:rPr>
        <w:t xml:space="preserve">Dividend income is </w:t>
      </w:r>
      <w:proofErr w:type="spellStart"/>
      <w:r w:rsidRPr="00C67A93">
        <w:rPr>
          <w:rFonts w:ascii="Arial" w:hAnsi="Arial" w:cs="Arial"/>
        </w:rPr>
        <w:t>recognised</w:t>
      </w:r>
      <w:proofErr w:type="spellEnd"/>
      <w:r w:rsidRPr="00C67A93">
        <w:rPr>
          <w:rFonts w:ascii="Arial" w:hAnsi="Arial" w:cs="Arial"/>
        </w:rPr>
        <w:t xml:space="preserve"> on the date the Company’s right to receive payment is established.</w:t>
      </w:r>
    </w:p>
    <w:p w14:paraId="1D183CD1" w14:textId="77777777" w:rsidR="00891B3A" w:rsidRPr="00C67A93" w:rsidRDefault="00891B3A" w:rsidP="00891B3A">
      <w:pPr>
        <w:spacing w:after="0" w:line="259" w:lineRule="auto"/>
        <w:jc w:val="both"/>
        <w:rPr>
          <w:rFonts w:ascii="Arial" w:hAnsi="Arial" w:cs="Arial"/>
          <w:b/>
          <w:i/>
        </w:rPr>
      </w:pPr>
    </w:p>
    <w:p w14:paraId="45E1D35A" w14:textId="77777777" w:rsidR="00891B3A" w:rsidRPr="00C67A93" w:rsidRDefault="00891B3A" w:rsidP="00891B3A">
      <w:pPr>
        <w:spacing w:after="0" w:line="259" w:lineRule="auto"/>
        <w:jc w:val="both"/>
        <w:rPr>
          <w:rFonts w:ascii="Arial" w:hAnsi="Arial" w:cs="Arial"/>
          <w:b/>
          <w:i/>
        </w:rPr>
      </w:pPr>
      <w:r w:rsidRPr="00C67A93">
        <w:rPr>
          <w:rFonts w:ascii="Arial" w:hAnsi="Arial" w:cs="Arial"/>
          <w:b/>
          <w:i/>
        </w:rPr>
        <w:t>Expenditure</w:t>
      </w:r>
    </w:p>
    <w:p w14:paraId="0375EABB" w14:textId="77777777" w:rsidR="00891B3A" w:rsidRPr="00C67A93" w:rsidRDefault="00891B3A" w:rsidP="00891B3A">
      <w:pPr>
        <w:spacing w:after="0" w:line="259" w:lineRule="auto"/>
        <w:jc w:val="both"/>
        <w:rPr>
          <w:rFonts w:ascii="Arial" w:hAnsi="Arial" w:cs="Arial"/>
          <w:b/>
          <w:i/>
        </w:rPr>
      </w:pPr>
    </w:p>
    <w:p w14:paraId="5DBAC2E7" w14:textId="77777777" w:rsidR="00891B3A" w:rsidRPr="00C67A93" w:rsidRDefault="00891B3A" w:rsidP="00891B3A">
      <w:pPr>
        <w:spacing w:after="0" w:line="259" w:lineRule="auto"/>
        <w:jc w:val="both"/>
        <w:rPr>
          <w:rFonts w:ascii="Arial" w:hAnsi="Arial" w:cs="Arial"/>
          <w:b/>
        </w:rPr>
      </w:pPr>
      <w:r w:rsidRPr="00C67A93">
        <w:rPr>
          <w:rFonts w:ascii="Arial" w:hAnsi="Arial" w:cs="Arial"/>
          <w:b/>
        </w:rPr>
        <w:t>Income tax expense</w:t>
      </w:r>
    </w:p>
    <w:p w14:paraId="60D3EFE2" w14:textId="77777777" w:rsidR="00891B3A" w:rsidRPr="00C67A93" w:rsidRDefault="00891B3A" w:rsidP="00891B3A">
      <w:pPr>
        <w:spacing w:after="0" w:line="259" w:lineRule="auto"/>
        <w:jc w:val="both"/>
        <w:rPr>
          <w:rFonts w:ascii="Arial" w:hAnsi="Arial" w:cs="Arial"/>
        </w:rPr>
      </w:pPr>
      <w:r w:rsidRPr="00C67A93">
        <w:rPr>
          <w:rFonts w:ascii="Arial" w:hAnsi="Arial" w:cs="Arial"/>
        </w:rPr>
        <w:t xml:space="preserve">Income tax expense comprises of current and deferred tax. Income tax expense is </w:t>
      </w:r>
      <w:proofErr w:type="spellStart"/>
      <w:r w:rsidRPr="00C67A93">
        <w:rPr>
          <w:rFonts w:ascii="Arial" w:hAnsi="Arial" w:cs="Arial"/>
        </w:rPr>
        <w:t>recognised</w:t>
      </w:r>
      <w:proofErr w:type="spellEnd"/>
      <w:r w:rsidRPr="00C67A93">
        <w:rPr>
          <w:rFonts w:ascii="Arial" w:hAnsi="Arial" w:cs="Arial"/>
        </w:rPr>
        <w:t xml:space="preserve"> in the income statement except to the extent that it relates to items recognized in other comprehensive income or directly in equity.</w:t>
      </w:r>
    </w:p>
    <w:p w14:paraId="3DA69462" w14:textId="77777777" w:rsidR="00891B3A" w:rsidRPr="00C67A93" w:rsidRDefault="00891B3A" w:rsidP="00891B3A">
      <w:pPr>
        <w:spacing w:after="0" w:line="259" w:lineRule="auto"/>
        <w:jc w:val="both"/>
        <w:rPr>
          <w:rFonts w:ascii="Arial" w:hAnsi="Arial" w:cs="Arial"/>
          <w:b/>
          <w:i/>
        </w:rPr>
      </w:pPr>
    </w:p>
    <w:p w14:paraId="3A9740EE" w14:textId="77777777" w:rsidR="00891B3A" w:rsidRPr="00C67A93" w:rsidRDefault="00891B3A" w:rsidP="00891B3A">
      <w:pPr>
        <w:spacing w:after="0" w:line="259" w:lineRule="auto"/>
        <w:jc w:val="both"/>
        <w:rPr>
          <w:rFonts w:ascii="Arial" w:hAnsi="Arial" w:cs="Arial"/>
          <w:b/>
          <w:i/>
        </w:rPr>
      </w:pPr>
    </w:p>
    <w:p w14:paraId="57A2AF52" w14:textId="77777777" w:rsidR="00891B3A" w:rsidRPr="00C67A93" w:rsidRDefault="00891B3A" w:rsidP="00891B3A">
      <w:pPr>
        <w:spacing w:after="0" w:line="259" w:lineRule="auto"/>
        <w:jc w:val="both"/>
        <w:rPr>
          <w:rFonts w:ascii="Arial" w:hAnsi="Arial" w:cs="Arial"/>
          <w:b/>
          <w:i/>
        </w:rPr>
      </w:pPr>
    </w:p>
    <w:p w14:paraId="28FCB4F2"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01B68055" w14:textId="77777777" w:rsidR="00891B3A" w:rsidRPr="00C67A93" w:rsidRDefault="00891B3A" w:rsidP="00891B3A">
      <w:pPr>
        <w:pStyle w:val="NormalWeb"/>
        <w:shd w:val="clear" w:color="auto" w:fill="FFFFFF"/>
        <w:spacing w:before="0" w:after="0"/>
        <w:rPr>
          <w:rFonts w:ascii="Arial" w:hAnsi="Arial" w:cs="Arial"/>
        </w:rPr>
      </w:pPr>
    </w:p>
    <w:p w14:paraId="5165FD3E" w14:textId="77777777" w:rsidR="00891B3A" w:rsidRPr="00C67A93" w:rsidRDefault="00891B3A" w:rsidP="00891B3A">
      <w:pPr>
        <w:shd w:val="clear" w:color="auto" w:fill="FFFFFF"/>
        <w:spacing w:after="0"/>
        <w:rPr>
          <w:rFonts w:ascii="Arial" w:hAnsi="Arial" w:cs="Arial"/>
          <w:b/>
          <w:sz w:val="28"/>
          <w:szCs w:val="28"/>
        </w:rPr>
      </w:pPr>
      <w:r w:rsidRPr="00C67A93">
        <w:rPr>
          <w:rFonts w:ascii="Arial" w:hAnsi="Arial" w:cs="Arial"/>
          <w:b/>
          <w:sz w:val="28"/>
          <w:szCs w:val="28"/>
        </w:rPr>
        <w:t>1.</w:t>
      </w:r>
      <w:r w:rsidRPr="00C67A93">
        <w:rPr>
          <w:rFonts w:ascii="Arial" w:hAnsi="Arial" w:cs="Arial"/>
          <w:b/>
          <w:sz w:val="28"/>
          <w:szCs w:val="28"/>
        </w:rPr>
        <w:tab/>
        <w:t>Principal accounting policies (continued)</w:t>
      </w:r>
    </w:p>
    <w:p w14:paraId="50B10E7D" w14:textId="77777777" w:rsidR="00891B3A" w:rsidRPr="00C67A93" w:rsidRDefault="00891B3A" w:rsidP="00891B3A">
      <w:pPr>
        <w:spacing w:after="0" w:line="259" w:lineRule="auto"/>
        <w:jc w:val="both"/>
        <w:rPr>
          <w:rFonts w:ascii="Arial" w:hAnsi="Arial" w:cs="Arial"/>
          <w:b/>
          <w:i/>
        </w:rPr>
      </w:pPr>
    </w:p>
    <w:p w14:paraId="3385AF85" w14:textId="77777777" w:rsidR="00891B3A" w:rsidRPr="00C67A93" w:rsidRDefault="00891B3A" w:rsidP="00891B3A">
      <w:pPr>
        <w:spacing w:after="0" w:line="259" w:lineRule="auto"/>
        <w:jc w:val="both"/>
        <w:rPr>
          <w:rFonts w:ascii="Arial" w:hAnsi="Arial" w:cs="Arial"/>
          <w:b/>
          <w:i/>
        </w:rPr>
      </w:pPr>
      <w:r w:rsidRPr="00C67A93">
        <w:rPr>
          <w:rFonts w:ascii="Arial" w:hAnsi="Arial" w:cs="Arial"/>
          <w:b/>
          <w:i/>
        </w:rPr>
        <w:t>Expenditure (continued)</w:t>
      </w:r>
    </w:p>
    <w:p w14:paraId="2AAB608D" w14:textId="77777777" w:rsidR="00891B3A" w:rsidRPr="00C67A93" w:rsidRDefault="00891B3A" w:rsidP="00891B3A">
      <w:pPr>
        <w:spacing w:after="0" w:line="259" w:lineRule="auto"/>
        <w:jc w:val="both"/>
        <w:rPr>
          <w:rFonts w:ascii="Arial" w:hAnsi="Arial" w:cs="Arial"/>
          <w:b/>
          <w:i/>
        </w:rPr>
      </w:pPr>
    </w:p>
    <w:p w14:paraId="0BA3D5E5" w14:textId="77777777" w:rsidR="00891B3A" w:rsidRPr="00C67A93" w:rsidRDefault="00891B3A" w:rsidP="00891B3A">
      <w:pPr>
        <w:spacing w:after="0" w:line="259" w:lineRule="auto"/>
        <w:jc w:val="both"/>
        <w:rPr>
          <w:rFonts w:ascii="Arial" w:hAnsi="Arial" w:cs="Arial"/>
          <w:b/>
        </w:rPr>
      </w:pPr>
      <w:r w:rsidRPr="00C67A93">
        <w:rPr>
          <w:rFonts w:ascii="Arial" w:hAnsi="Arial" w:cs="Arial"/>
          <w:b/>
        </w:rPr>
        <w:t>Income tax expense</w:t>
      </w:r>
      <w:r w:rsidRPr="00C67A93">
        <w:rPr>
          <w:rFonts w:ascii="Arial" w:hAnsi="Arial" w:cs="Arial"/>
          <w:b/>
          <w:i/>
          <w:iCs/>
        </w:rPr>
        <w:t xml:space="preserve"> (continued)</w:t>
      </w:r>
    </w:p>
    <w:p w14:paraId="27516F69" w14:textId="77777777" w:rsidR="00891B3A" w:rsidRPr="00C67A93" w:rsidRDefault="00891B3A" w:rsidP="00891B3A">
      <w:pPr>
        <w:spacing w:after="0" w:line="259" w:lineRule="auto"/>
        <w:jc w:val="both"/>
        <w:rPr>
          <w:rFonts w:ascii="Arial" w:hAnsi="Arial" w:cs="Arial"/>
        </w:rPr>
      </w:pPr>
      <w:r w:rsidRPr="00C67A93">
        <w:rPr>
          <w:rFonts w:ascii="Arial" w:hAnsi="Arial" w:cs="Arial"/>
        </w:rPr>
        <w:t>Current tax is the expected tax payable on the taxable income for the year, using tax rates enacted or substantively enacted at the reporting date, and any adjustment to tax payable in respect of previous years.</w:t>
      </w:r>
    </w:p>
    <w:p w14:paraId="7A2BD1FA" w14:textId="77777777" w:rsidR="00891B3A" w:rsidRPr="00C67A93" w:rsidRDefault="00891B3A" w:rsidP="00891B3A">
      <w:pPr>
        <w:spacing w:after="0" w:line="259" w:lineRule="auto"/>
        <w:jc w:val="both"/>
        <w:rPr>
          <w:rFonts w:ascii="Arial" w:hAnsi="Arial" w:cs="Arial"/>
        </w:rPr>
      </w:pPr>
    </w:p>
    <w:p w14:paraId="7E2364EB" w14:textId="77777777" w:rsidR="00891B3A" w:rsidRPr="00C67A93" w:rsidRDefault="00891B3A" w:rsidP="00891B3A">
      <w:pPr>
        <w:spacing w:after="0" w:line="259" w:lineRule="auto"/>
        <w:jc w:val="both"/>
        <w:rPr>
          <w:rFonts w:ascii="Arial" w:hAnsi="Arial" w:cs="Arial"/>
        </w:rPr>
      </w:pPr>
      <w:r w:rsidRPr="00C67A93">
        <w:rPr>
          <w:rFonts w:ascii="Arial" w:hAnsi="Arial" w:cs="Arial"/>
        </w:rPr>
        <w:t xml:space="preserve">Deferred tax is </w:t>
      </w:r>
      <w:proofErr w:type="spellStart"/>
      <w:r w:rsidRPr="00C67A93">
        <w:rPr>
          <w:rFonts w:ascii="Arial" w:hAnsi="Arial" w:cs="Arial"/>
        </w:rPr>
        <w:t>recognised</w:t>
      </w:r>
      <w:proofErr w:type="spellEnd"/>
      <w:r w:rsidRPr="00C67A93">
        <w:rPr>
          <w:rFonts w:ascii="Arial" w:hAnsi="Arial" w:cs="Arial"/>
        </w:rPr>
        <w:t xml:space="preserve"> using the balance sheet liability approach, providing for temporary differences between the carrying amounts of assets and liabilities for financial reporting purposes and the amounts used for taxation purposes. Deferred tax is measured at the tax rates that are expected to be applied to the temporary differences when they reverse, based on the laws that have been enacted or substantively enacted by the reporting date. A deferred tax asset is </w:t>
      </w:r>
      <w:proofErr w:type="spellStart"/>
      <w:r w:rsidRPr="00C67A93">
        <w:rPr>
          <w:rFonts w:ascii="Arial" w:hAnsi="Arial" w:cs="Arial"/>
        </w:rPr>
        <w:t>recognised</w:t>
      </w:r>
      <w:proofErr w:type="spellEnd"/>
      <w:r w:rsidRPr="00C67A93">
        <w:rPr>
          <w:rFonts w:ascii="Arial" w:hAnsi="Arial" w:cs="Arial"/>
        </w:rPr>
        <w:t xml:space="preserve"> to the extent that it is probable that future taxable profits will be available against which temporary differences can be </w:t>
      </w:r>
      <w:proofErr w:type="spellStart"/>
      <w:r w:rsidRPr="00C67A93">
        <w:rPr>
          <w:rFonts w:ascii="Arial" w:hAnsi="Arial" w:cs="Arial"/>
        </w:rPr>
        <w:t>utilised</w:t>
      </w:r>
      <w:proofErr w:type="spellEnd"/>
      <w:r w:rsidRPr="00C67A93">
        <w:rPr>
          <w:rFonts w:ascii="Arial" w:hAnsi="Arial" w:cs="Arial"/>
        </w:rPr>
        <w:t xml:space="preserve">. Deferred tax assets are reviewed at each reporting date and are reduced to the extent that it is no longer probable that the related tax benefit will be </w:t>
      </w:r>
      <w:proofErr w:type="spellStart"/>
      <w:r w:rsidRPr="00C67A93">
        <w:rPr>
          <w:rFonts w:ascii="Arial" w:hAnsi="Arial" w:cs="Arial"/>
        </w:rPr>
        <w:t>realised</w:t>
      </w:r>
      <w:proofErr w:type="spellEnd"/>
      <w:r w:rsidRPr="00C67A93">
        <w:rPr>
          <w:rFonts w:ascii="Arial" w:hAnsi="Arial" w:cs="Arial"/>
        </w:rPr>
        <w:t>.</w:t>
      </w:r>
    </w:p>
    <w:p w14:paraId="2EE38A60" w14:textId="77777777" w:rsidR="00891B3A" w:rsidRPr="00C67A93" w:rsidRDefault="00891B3A" w:rsidP="00891B3A">
      <w:pPr>
        <w:spacing w:after="0" w:line="259" w:lineRule="auto"/>
        <w:jc w:val="both"/>
        <w:rPr>
          <w:rFonts w:ascii="Arial" w:hAnsi="Arial" w:cs="Arial"/>
        </w:rPr>
      </w:pPr>
    </w:p>
    <w:p w14:paraId="6A405A37" w14:textId="77777777" w:rsidR="00891B3A" w:rsidRPr="00C67A93" w:rsidRDefault="00891B3A" w:rsidP="00891B3A">
      <w:pPr>
        <w:spacing w:after="0" w:line="259" w:lineRule="auto"/>
        <w:jc w:val="both"/>
        <w:rPr>
          <w:rFonts w:ascii="Arial" w:hAnsi="Arial" w:cs="Arial"/>
        </w:rPr>
      </w:pPr>
      <w:r w:rsidRPr="00C67A93">
        <w:rPr>
          <w:rFonts w:ascii="Arial" w:hAnsi="Arial" w:cs="Arial"/>
        </w:rPr>
        <w:t xml:space="preserve">Additional income taxes that arise from the distribution of dividends are </w:t>
      </w:r>
      <w:proofErr w:type="spellStart"/>
      <w:r w:rsidRPr="00C67A93">
        <w:rPr>
          <w:rFonts w:ascii="Arial" w:hAnsi="Arial" w:cs="Arial"/>
        </w:rPr>
        <w:t>recognised</w:t>
      </w:r>
      <w:proofErr w:type="spellEnd"/>
      <w:r w:rsidRPr="00C67A93">
        <w:rPr>
          <w:rFonts w:ascii="Arial" w:hAnsi="Arial" w:cs="Arial"/>
        </w:rPr>
        <w:t xml:space="preserve"> at the same time as the liability to pay the related dividend is </w:t>
      </w:r>
      <w:proofErr w:type="spellStart"/>
      <w:r w:rsidRPr="00C67A93">
        <w:rPr>
          <w:rFonts w:ascii="Arial" w:hAnsi="Arial" w:cs="Arial"/>
        </w:rPr>
        <w:t>recognised</w:t>
      </w:r>
      <w:proofErr w:type="spellEnd"/>
      <w:r w:rsidRPr="00C67A93">
        <w:rPr>
          <w:rFonts w:ascii="Arial" w:hAnsi="Arial" w:cs="Arial"/>
        </w:rPr>
        <w:t>.</w:t>
      </w:r>
    </w:p>
    <w:p w14:paraId="41D1EBE9" w14:textId="77777777" w:rsidR="00891B3A" w:rsidRPr="00C67A93" w:rsidRDefault="00891B3A" w:rsidP="00891B3A">
      <w:pPr>
        <w:shd w:val="clear" w:color="auto" w:fill="FFFFFF"/>
        <w:rPr>
          <w:rFonts w:ascii="Arial" w:hAnsi="Arial" w:cs="Arial"/>
          <w:b/>
          <w:sz w:val="28"/>
          <w:szCs w:val="28"/>
        </w:rPr>
      </w:pPr>
    </w:p>
    <w:p w14:paraId="2D54341E" w14:textId="77777777" w:rsidR="00891B3A" w:rsidRPr="00C67A93" w:rsidRDefault="00891B3A" w:rsidP="00891B3A">
      <w:pPr>
        <w:shd w:val="clear" w:color="auto" w:fill="FFFFFF"/>
        <w:rPr>
          <w:rFonts w:ascii="Arial" w:hAnsi="Arial" w:cs="Arial"/>
          <w:b/>
          <w:sz w:val="28"/>
          <w:szCs w:val="28"/>
        </w:rPr>
      </w:pPr>
      <w:r w:rsidRPr="00C67A93">
        <w:rPr>
          <w:rFonts w:ascii="Arial" w:hAnsi="Arial" w:cs="Arial"/>
          <w:b/>
          <w:sz w:val="28"/>
          <w:szCs w:val="28"/>
        </w:rPr>
        <w:t>2.</w:t>
      </w:r>
      <w:r w:rsidRPr="00C67A93">
        <w:rPr>
          <w:rFonts w:ascii="Arial" w:hAnsi="Arial" w:cs="Arial"/>
          <w:b/>
          <w:sz w:val="28"/>
          <w:szCs w:val="28"/>
        </w:rPr>
        <w:tab/>
        <w:t>Net gains/(losses) on investments</w:t>
      </w:r>
    </w:p>
    <w:p w14:paraId="12604103" w14:textId="77777777" w:rsidR="00891B3A" w:rsidRPr="00C67A93" w:rsidRDefault="00891B3A" w:rsidP="00891B3A">
      <w:pPr>
        <w:shd w:val="clear" w:color="auto" w:fill="FFFFFF"/>
        <w:jc w:val="both"/>
        <w:rPr>
          <w:rFonts w:ascii="Arial" w:hAnsi="Arial" w:cs="Arial"/>
        </w:rPr>
      </w:pPr>
      <w:r w:rsidRPr="00C67A93">
        <w:rPr>
          <w:rFonts w:ascii="Arial" w:hAnsi="Arial" w:cs="Arial"/>
        </w:rPr>
        <w:t xml:space="preserve">The gains and losses on investments were as follows: </w:t>
      </w:r>
    </w:p>
    <w:tbl>
      <w:tblPr>
        <w:tblW w:w="0" w:type="auto"/>
        <w:tblInd w:w="108" w:type="dxa"/>
        <w:tblCellMar>
          <w:left w:w="57" w:type="dxa"/>
          <w:right w:w="57" w:type="dxa"/>
        </w:tblCellMar>
        <w:tblLook w:val="04A0" w:firstRow="1" w:lastRow="0" w:firstColumn="1" w:lastColumn="0" w:noHBand="0" w:noVBand="1"/>
      </w:tblPr>
      <w:tblGrid>
        <w:gridCol w:w="1793"/>
        <w:gridCol w:w="1382"/>
        <w:gridCol w:w="1382"/>
        <w:gridCol w:w="615"/>
        <w:gridCol w:w="170"/>
        <w:gridCol w:w="1382"/>
        <w:gridCol w:w="1382"/>
        <w:gridCol w:w="748"/>
      </w:tblGrid>
      <w:tr w:rsidR="00891B3A" w:rsidRPr="00C42BBA" w14:paraId="68910810" w14:textId="77777777" w:rsidTr="00891B3A">
        <w:trPr>
          <w:trHeight w:val="242"/>
        </w:trPr>
        <w:tc>
          <w:tcPr>
            <w:tcW w:w="0" w:type="auto"/>
            <w:tcBorders>
              <w:top w:val="nil"/>
              <w:left w:val="nil"/>
              <w:bottom w:val="nil"/>
              <w:right w:val="nil"/>
            </w:tcBorders>
            <w:shd w:val="clear" w:color="auto" w:fill="auto"/>
            <w:noWrap/>
            <w:vAlign w:val="bottom"/>
            <w:hideMark/>
          </w:tcPr>
          <w:tbl>
            <w:tblPr>
              <w:tblW w:w="1679" w:type="dxa"/>
              <w:tblCellSpacing w:w="0" w:type="dxa"/>
              <w:tblCellMar>
                <w:left w:w="0" w:type="dxa"/>
                <w:right w:w="0" w:type="dxa"/>
              </w:tblCellMar>
              <w:tblLook w:val="04A0" w:firstRow="1" w:lastRow="0" w:firstColumn="1" w:lastColumn="0" w:noHBand="0" w:noVBand="1"/>
            </w:tblPr>
            <w:tblGrid>
              <w:gridCol w:w="1679"/>
            </w:tblGrid>
            <w:tr w:rsidR="00891B3A" w:rsidRPr="00C67A93" w14:paraId="5FEC5A09" w14:textId="77777777" w:rsidTr="00891B3A">
              <w:trPr>
                <w:trHeight w:val="242"/>
                <w:tblCellSpacing w:w="0" w:type="dxa"/>
              </w:trPr>
              <w:tc>
                <w:tcPr>
                  <w:tcW w:w="1679" w:type="dxa"/>
                  <w:tcBorders>
                    <w:top w:val="nil"/>
                    <w:left w:val="nil"/>
                    <w:bottom w:val="nil"/>
                    <w:right w:val="nil"/>
                  </w:tcBorders>
                  <w:shd w:val="clear" w:color="000000" w:fill="FFFFFF"/>
                  <w:noWrap/>
                  <w:vAlign w:val="bottom"/>
                  <w:hideMark/>
                </w:tcPr>
                <w:p w14:paraId="11AAC8F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r>
          </w:tbl>
          <w:p w14:paraId="0946EEDA"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0" w:type="auto"/>
            <w:gridSpan w:val="3"/>
            <w:tcBorders>
              <w:top w:val="nil"/>
              <w:left w:val="nil"/>
              <w:bottom w:val="single" w:sz="4" w:space="0" w:color="auto"/>
              <w:right w:val="nil"/>
            </w:tcBorders>
            <w:shd w:val="clear" w:color="auto" w:fill="auto"/>
            <w:noWrap/>
            <w:vAlign w:val="bottom"/>
            <w:hideMark/>
          </w:tcPr>
          <w:p w14:paraId="0145E409"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Six months ended 30 June 2021</w:t>
            </w:r>
          </w:p>
        </w:tc>
        <w:tc>
          <w:tcPr>
            <w:tcW w:w="0" w:type="auto"/>
            <w:tcBorders>
              <w:top w:val="nil"/>
              <w:left w:val="nil"/>
              <w:bottom w:val="nil"/>
              <w:right w:val="nil"/>
            </w:tcBorders>
            <w:shd w:val="clear" w:color="000000" w:fill="FFFFFF"/>
            <w:noWrap/>
            <w:vAlign w:val="bottom"/>
            <w:hideMark/>
          </w:tcPr>
          <w:p w14:paraId="7149E1A4" w14:textId="77777777" w:rsidR="00891B3A" w:rsidRPr="00C42BBA"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42BBA">
              <w:rPr>
                <w:rFonts w:ascii="Arial" w:eastAsia="Times New Roman" w:hAnsi="Arial" w:cs="Arial"/>
                <w:sz w:val="19"/>
                <w:szCs w:val="19"/>
                <w:lang w:val="en-SG" w:eastAsia="en-SG"/>
              </w:rPr>
              <w:t> </w:t>
            </w:r>
          </w:p>
        </w:tc>
        <w:tc>
          <w:tcPr>
            <w:tcW w:w="0" w:type="auto"/>
            <w:gridSpan w:val="3"/>
            <w:tcBorders>
              <w:top w:val="nil"/>
              <w:left w:val="nil"/>
              <w:bottom w:val="single" w:sz="4" w:space="0" w:color="auto"/>
              <w:right w:val="nil"/>
            </w:tcBorders>
            <w:shd w:val="clear" w:color="auto" w:fill="auto"/>
            <w:noWrap/>
            <w:vAlign w:val="bottom"/>
            <w:hideMark/>
          </w:tcPr>
          <w:p w14:paraId="3A624F82"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Six months ended 30 June 2020</w:t>
            </w:r>
          </w:p>
        </w:tc>
      </w:tr>
      <w:tr w:rsidR="00891B3A" w:rsidRPr="00C42BBA" w14:paraId="7D164737" w14:textId="77777777" w:rsidTr="00891B3A">
        <w:trPr>
          <w:trHeight w:val="269"/>
        </w:trPr>
        <w:tc>
          <w:tcPr>
            <w:tcW w:w="0" w:type="auto"/>
            <w:tcBorders>
              <w:top w:val="nil"/>
              <w:left w:val="nil"/>
              <w:bottom w:val="nil"/>
              <w:right w:val="nil"/>
            </w:tcBorders>
            <w:shd w:val="clear" w:color="000000" w:fill="FFFFFF"/>
            <w:noWrap/>
            <w:vAlign w:val="bottom"/>
            <w:hideMark/>
          </w:tcPr>
          <w:p w14:paraId="1EEF45DA"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FFFFFF"/>
                <w:sz w:val="20"/>
                <w:szCs w:val="20"/>
                <w:lang w:val="en-SG" w:eastAsia="en-SG"/>
              </w:rPr>
            </w:pPr>
            <w:r w:rsidRPr="00C67A93">
              <w:rPr>
                <w:rFonts w:ascii="Arial" w:eastAsia="Times New Roman" w:hAnsi="Arial" w:cs="Arial"/>
                <w:color w:val="FFFFFF"/>
                <w:sz w:val="20"/>
                <w:szCs w:val="20"/>
                <w:lang w:val="en-SG" w:eastAsia="en-SG"/>
              </w:rPr>
              <w:t> </w:t>
            </w:r>
          </w:p>
        </w:tc>
        <w:tc>
          <w:tcPr>
            <w:tcW w:w="0" w:type="auto"/>
            <w:tcBorders>
              <w:top w:val="nil"/>
              <w:left w:val="nil"/>
              <w:bottom w:val="nil"/>
              <w:right w:val="nil"/>
            </w:tcBorders>
            <w:shd w:val="clear" w:color="000000" w:fill="FFFFFF"/>
            <w:noWrap/>
            <w:vAlign w:val="bottom"/>
            <w:hideMark/>
          </w:tcPr>
          <w:p w14:paraId="5C576F38"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Realised</w:t>
            </w:r>
          </w:p>
        </w:tc>
        <w:tc>
          <w:tcPr>
            <w:tcW w:w="0" w:type="auto"/>
            <w:tcBorders>
              <w:top w:val="nil"/>
              <w:left w:val="nil"/>
              <w:bottom w:val="nil"/>
              <w:right w:val="nil"/>
            </w:tcBorders>
            <w:shd w:val="clear" w:color="000000" w:fill="FFFFFF"/>
            <w:noWrap/>
            <w:vAlign w:val="bottom"/>
            <w:hideMark/>
          </w:tcPr>
          <w:p w14:paraId="2152ABEF"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Unrealised</w:t>
            </w:r>
          </w:p>
        </w:tc>
        <w:tc>
          <w:tcPr>
            <w:tcW w:w="0" w:type="auto"/>
            <w:tcBorders>
              <w:top w:val="nil"/>
              <w:left w:val="nil"/>
              <w:bottom w:val="nil"/>
              <w:right w:val="nil"/>
            </w:tcBorders>
            <w:shd w:val="clear" w:color="000000" w:fill="FFFFFF"/>
            <w:vAlign w:val="bottom"/>
            <w:hideMark/>
          </w:tcPr>
          <w:p w14:paraId="7B9ABB93"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42BBA">
              <w:rPr>
                <w:rFonts w:ascii="Arial" w:eastAsia="Times New Roman" w:hAnsi="Arial" w:cs="Arial"/>
                <w:b/>
                <w:bCs/>
                <w:color w:val="000000"/>
                <w:sz w:val="19"/>
                <w:szCs w:val="19"/>
                <w:lang w:val="en-SG" w:eastAsia="en-SG"/>
              </w:rPr>
              <w:t> </w:t>
            </w:r>
          </w:p>
        </w:tc>
        <w:tc>
          <w:tcPr>
            <w:tcW w:w="0" w:type="auto"/>
            <w:tcBorders>
              <w:top w:val="nil"/>
              <w:left w:val="nil"/>
              <w:bottom w:val="nil"/>
              <w:right w:val="nil"/>
            </w:tcBorders>
            <w:shd w:val="clear" w:color="000000" w:fill="FFFFFF"/>
            <w:noWrap/>
            <w:vAlign w:val="bottom"/>
            <w:hideMark/>
          </w:tcPr>
          <w:p w14:paraId="7A1AE8BD"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 </w:t>
            </w:r>
          </w:p>
        </w:tc>
        <w:tc>
          <w:tcPr>
            <w:tcW w:w="0" w:type="auto"/>
            <w:tcBorders>
              <w:top w:val="nil"/>
              <w:left w:val="nil"/>
              <w:bottom w:val="nil"/>
              <w:right w:val="nil"/>
            </w:tcBorders>
            <w:shd w:val="clear" w:color="000000" w:fill="FFFFFF"/>
            <w:noWrap/>
            <w:vAlign w:val="bottom"/>
            <w:hideMark/>
          </w:tcPr>
          <w:p w14:paraId="755FA20D"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Realised</w:t>
            </w:r>
          </w:p>
        </w:tc>
        <w:tc>
          <w:tcPr>
            <w:tcW w:w="0" w:type="auto"/>
            <w:tcBorders>
              <w:top w:val="nil"/>
              <w:left w:val="nil"/>
              <w:bottom w:val="nil"/>
              <w:right w:val="nil"/>
            </w:tcBorders>
            <w:shd w:val="clear" w:color="000000" w:fill="FFFFFF"/>
            <w:noWrap/>
            <w:vAlign w:val="bottom"/>
            <w:hideMark/>
          </w:tcPr>
          <w:p w14:paraId="70D8D59D"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Unrealised</w:t>
            </w:r>
          </w:p>
        </w:tc>
        <w:tc>
          <w:tcPr>
            <w:tcW w:w="0" w:type="auto"/>
            <w:tcBorders>
              <w:top w:val="nil"/>
              <w:left w:val="nil"/>
              <w:bottom w:val="nil"/>
              <w:right w:val="nil"/>
            </w:tcBorders>
            <w:shd w:val="clear" w:color="000000" w:fill="FFFFFF"/>
            <w:noWrap/>
            <w:vAlign w:val="bottom"/>
            <w:hideMark/>
          </w:tcPr>
          <w:p w14:paraId="4987E2D8"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 </w:t>
            </w:r>
          </w:p>
        </w:tc>
      </w:tr>
      <w:tr w:rsidR="00891B3A" w:rsidRPr="00C42BBA" w14:paraId="399590D0" w14:textId="77777777" w:rsidTr="00891B3A">
        <w:trPr>
          <w:trHeight w:val="269"/>
        </w:trPr>
        <w:tc>
          <w:tcPr>
            <w:tcW w:w="0" w:type="auto"/>
            <w:tcBorders>
              <w:top w:val="nil"/>
              <w:left w:val="nil"/>
              <w:bottom w:val="nil"/>
              <w:right w:val="nil"/>
            </w:tcBorders>
            <w:shd w:val="clear" w:color="000000" w:fill="FFFFFF"/>
            <w:noWrap/>
            <w:vAlign w:val="bottom"/>
            <w:hideMark/>
          </w:tcPr>
          <w:p w14:paraId="5AB70583"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color w:val="FFFFFF"/>
                <w:sz w:val="20"/>
                <w:szCs w:val="20"/>
                <w:lang w:val="en-SG" w:eastAsia="en-SG"/>
              </w:rPr>
            </w:pPr>
            <w:r w:rsidRPr="00C67A93">
              <w:rPr>
                <w:rFonts w:ascii="Arial" w:eastAsia="Times New Roman" w:hAnsi="Arial" w:cs="Arial"/>
                <w:color w:val="FFFFFF"/>
                <w:sz w:val="20"/>
                <w:szCs w:val="20"/>
                <w:lang w:val="en-SG" w:eastAsia="en-SG"/>
              </w:rPr>
              <w:t> </w:t>
            </w:r>
          </w:p>
        </w:tc>
        <w:tc>
          <w:tcPr>
            <w:tcW w:w="0" w:type="auto"/>
            <w:tcBorders>
              <w:top w:val="nil"/>
              <w:left w:val="nil"/>
              <w:bottom w:val="nil"/>
              <w:right w:val="nil"/>
            </w:tcBorders>
            <w:shd w:val="clear" w:color="000000" w:fill="FFFFFF"/>
            <w:noWrap/>
            <w:vAlign w:val="bottom"/>
            <w:hideMark/>
          </w:tcPr>
          <w:p w14:paraId="3A5B483C"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gains/(losses)</w:t>
            </w:r>
          </w:p>
        </w:tc>
        <w:tc>
          <w:tcPr>
            <w:tcW w:w="0" w:type="auto"/>
            <w:tcBorders>
              <w:top w:val="nil"/>
              <w:left w:val="nil"/>
              <w:bottom w:val="nil"/>
              <w:right w:val="nil"/>
            </w:tcBorders>
            <w:shd w:val="clear" w:color="000000" w:fill="FFFFFF"/>
            <w:noWrap/>
            <w:vAlign w:val="bottom"/>
            <w:hideMark/>
          </w:tcPr>
          <w:p w14:paraId="5AEEF0E0"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gains/(losses)</w:t>
            </w:r>
          </w:p>
        </w:tc>
        <w:tc>
          <w:tcPr>
            <w:tcW w:w="0" w:type="auto"/>
            <w:tcBorders>
              <w:top w:val="nil"/>
              <w:left w:val="nil"/>
              <w:bottom w:val="nil"/>
              <w:right w:val="nil"/>
            </w:tcBorders>
            <w:shd w:val="clear" w:color="000000" w:fill="FFFFFF"/>
            <w:vAlign w:val="bottom"/>
            <w:hideMark/>
          </w:tcPr>
          <w:p w14:paraId="1B9B9B5E"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19"/>
                <w:szCs w:val="19"/>
                <w:lang w:val="en-SG" w:eastAsia="en-SG"/>
              </w:rPr>
            </w:pPr>
            <w:r w:rsidRPr="00C42BBA">
              <w:rPr>
                <w:rFonts w:ascii="Arial" w:eastAsia="Times New Roman" w:hAnsi="Arial" w:cs="Arial"/>
                <w:b/>
                <w:bCs/>
                <w:color w:val="000000"/>
                <w:sz w:val="19"/>
                <w:szCs w:val="19"/>
                <w:lang w:val="en-SG" w:eastAsia="en-SG"/>
              </w:rPr>
              <w:t>Total</w:t>
            </w:r>
          </w:p>
        </w:tc>
        <w:tc>
          <w:tcPr>
            <w:tcW w:w="0" w:type="auto"/>
            <w:tcBorders>
              <w:top w:val="nil"/>
              <w:left w:val="nil"/>
              <w:bottom w:val="nil"/>
              <w:right w:val="nil"/>
            </w:tcBorders>
            <w:shd w:val="clear" w:color="000000" w:fill="FFFFFF"/>
            <w:noWrap/>
            <w:vAlign w:val="bottom"/>
            <w:hideMark/>
          </w:tcPr>
          <w:p w14:paraId="3BA41E65"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 </w:t>
            </w:r>
          </w:p>
        </w:tc>
        <w:tc>
          <w:tcPr>
            <w:tcW w:w="0" w:type="auto"/>
            <w:tcBorders>
              <w:top w:val="nil"/>
              <w:left w:val="nil"/>
              <w:bottom w:val="nil"/>
              <w:right w:val="nil"/>
            </w:tcBorders>
            <w:shd w:val="clear" w:color="000000" w:fill="FFFFFF"/>
            <w:noWrap/>
            <w:vAlign w:val="bottom"/>
            <w:hideMark/>
          </w:tcPr>
          <w:p w14:paraId="222ED9D7"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gains/(losses)</w:t>
            </w:r>
          </w:p>
        </w:tc>
        <w:tc>
          <w:tcPr>
            <w:tcW w:w="0" w:type="auto"/>
            <w:tcBorders>
              <w:top w:val="nil"/>
              <w:left w:val="nil"/>
              <w:bottom w:val="nil"/>
              <w:right w:val="nil"/>
            </w:tcBorders>
            <w:shd w:val="clear" w:color="000000" w:fill="FFFFFF"/>
            <w:noWrap/>
            <w:vAlign w:val="bottom"/>
            <w:hideMark/>
          </w:tcPr>
          <w:p w14:paraId="7A67DC14"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gains/(losses)</w:t>
            </w:r>
          </w:p>
        </w:tc>
        <w:tc>
          <w:tcPr>
            <w:tcW w:w="0" w:type="auto"/>
            <w:tcBorders>
              <w:top w:val="nil"/>
              <w:left w:val="nil"/>
              <w:bottom w:val="nil"/>
              <w:right w:val="nil"/>
            </w:tcBorders>
            <w:shd w:val="clear" w:color="000000" w:fill="FFFFFF"/>
            <w:vAlign w:val="bottom"/>
            <w:hideMark/>
          </w:tcPr>
          <w:p w14:paraId="7D72D656"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Total</w:t>
            </w:r>
          </w:p>
        </w:tc>
      </w:tr>
      <w:tr w:rsidR="00891B3A" w:rsidRPr="00C42BBA" w14:paraId="0B316D9A" w14:textId="77777777" w:rsidTr="00891B3A">
        <w:trPr>
          <w:trHeight w:val="269"/>
        </w:trPr>
        <w:tc>
          <w:tcPr>
            <w:tcW w:w="0" w:type="auto"/>
            <w:tcBorders>
              <w:top w:val="nil"/>
              <w:left w:val="nil"/>
              <w:bottom w:val="single" w:sz="4" w:space="0" w:color="auto"/>
              <w:right w:val="nil"/>
            </w:tcBorders>
            <w:shd w:val="clear" w:color="000000" w:fill="FFFFFF"/>
            <w:noWrap/>
            <w:vAlign w:val="bottom"/>
            <w:hideMark/>
          </w:tcPr>
          <w:p w14:paraId="39E140DF"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Asset type</w:t>
            </w:r>
          </w:p>
        </w:tc>
        <w:tc>
          <w:tcPr>
            <w:tcW w:w="0" w:type="auto"/>
            <w:tcBorders>
              <w:top w:val="nil"/>
              <w:left w:val="nil"/>
              <w:bottom w:val="single" w:sz="4" w:space="0" w:color="auto"/>
              <w:right w:val="nil"/>
            </w:tcBorders>
            <w:shd w:val="clear" w:color="000000" w:fill="FFFFFF"/>
            <w:noWrap/>
            <w:vAlign w:val="bottom"/>
            <w:hideMark/>
          </w:tcPr>
          <w:p w14:paraId="11828587"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£'000</w:t>
            </w:r>
          </w:p>
        </w:tc>
        <w:tc>
          <w:tcPr>
            <w:tcW w:w="0" w:type="auto"/>
            <w:tcBorders>
              <w:top w:val="nil"/>
              <w:left w:val="nil"/>
              <w:bottom w:val="single" w:sz="4" w:space="0" w:color="auto"/>
              <w:right w:val="nil"/>
            </w:tcBorders>
            <w:shd w:val="clear" w:color="000000" w:fill="FFFFFF"/>
            <w:noWrap/>
            <w:vAlign w:val="bottom"/>
            <w:hideMark/>
          </w:tcPr>
          <w:p w14:paraId="57494FB4"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£'000</w:t>
            </w:r>
          </w:p>
        </w:tc>
        <w:tc>
          <w:tcPr>
            <w:tcW w:w="0" w:type="auto"/>
            <w:tcBorders>
              <w:top w:val="nil"/>
              <w:left w:val="nil"/>
              <w:bottom w:val="single" w:sz="4" w:space="0" w:color="auto"/>
              <w:right w:val="nil"/>
            </w:tcBorders>
            <w:shd w:val="clear" w:color="000000" w:fill="FFFFFF"/>
            <w:noWrap/>
            <w:vAlign w:val="bottom"/>
            <w:hideMark/>
          </w:tcPr>
          <w:p w14:paraId="3283870E"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£'000</w:t>
            </w:r>
          </w:p>
        </w:tc>
        <w:tc>
          <w:tcPr>
            <w:tcW w:w="0" w:type="auto"/>
            <w:tcBorders>
              <w:top w:val="nil"/>
              <w:left w:val="nil"/>
              <w:bottom w:val="nil"/>
              <w:right w:val="nil"/>
            </w:tcBorders>
            <w:shd w:val="clear" w:color="000000" w:fill="FFFFFF"/>
            <w:noWrap/>
            <w:vAlign w:val="bottom"/>
            <w:hideMark/>
          </w:tcPr>
          <w:p w14:paraId="7AE0F5AE" w14:textId="77777777" w:rsidR="00891B3A" w:rsidRPr="00C42BBA" w:rsidRDefault="00891B3A" w:rsidP="00891B3A">
            <w:pPr>
              <w:widowControl/>
              <w:suppressAutoHyphens w:val="0"/>
              <w:autoSpaceDN/>
              <w:spacing w:after="0" w:line="240" w:lineRule="auto"/>
              <w:textAlignment w:val="auto"/>
              <w:rPr>
                <w:rFonts w:ascii="Arial" w:eastAsia="Times New Roman" w:hAnsi="Arial" w:cs="Arial"/>
                <w:sz w:val="19"/>
                <w:szCs w:val="19"/>
                <w:lang w:val="en-SG" w:eastAsia="en-SG"/>
              </w:rPr>
            </w:pPr>
            <w:r w:rsidRPr="00C42BBA">
              <w:rPr>
                <w:rFonts w:ascii="Arial" w:eastAsia="Times New Roman" w:hAnsi="Arial" w:cs="Arial"/>
                <w:sz w:val="19"/>
                <w:szCs w:val="19"/>
                <w:lang w:val="en-SG" w:eastAsia="en-SG"/>
              </w:rPr>
              <w:t> </w:t>
            </w:r>
          </w:p>
        </w:tc>
        <w:tc>
          <w:tcPr>
            <w:tcW w:w="0" w:type="auto"/>
            <w:tcBorders>
              <w:top w:val="nil"/>
              <w:left w:val="nil"/>
              <w:bottom w:val="single" w:sz="4" w:space="0" w:color="auto"/>
              <w:right w:val="nil"/>
            </w:tcBorders>
            <w:shd w:val="clear" w:color="000000" w:fill="FFFFFF"/>
            <w:noWrap/>
            <w:vAlign w:val="bottom"/>
            <w:hideMark/>
          </w:tcPr>
          <w:p w14:paraId="233E0CFF"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£'000</w:t>
            </w:r>
          </w:p>
        </w:tc>
        <w:tc>
          <w:tcPr>
            <w:tcW w:w="0" w:type="auto"/>
            <w:tcBorders>
              <w:top w:val="nil"/>
              <w:left w:val="nil"/>
              <w:bottom w:val="single" w:sz="4" w:space="0" w:color="auto"/>
              <w:right w:val="nil"/>
            </w:tcBorders>
            <w:shd w:val="clear" w:color="000000" w:fill="FFFFFF"/>
            <w:noWrap/>
            <w:vAlign w:val="bottom"/>
            <w:hideMark/>
          </w:tcPr>
          <w:p w14:paraId="1E8564FC"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£'000</w:t>
            </w:r>
          </w:p>
        </w:tc>
        <w:tc>
          <w:tcPr>
            <w:tcW w:w="0" w:type="auto"/>
            <w:tcBorders>
              <w:top w:val="nil"/>
              <w:left w:val="nil"/>
              <w:bottom w:val="single" w:sz="4" w:space="0" w:color="auto"/>
              <w:right w:val="nil"/>
            </w:tcBorders>
            <w:shd w:val="clear" w:color="000000" w:fill="FFFFFF"/>
            <w:noWrap/>
            <w:vAlign w:val="bottom"/>
            <w:hideMark/>
          </w:tcPr>
          <w:p w14:paraId="7E7FE2EC" w14:textId="77777777" w:rsidR="00891B3A" w:rsidRPr="00C42BBA" w:rsidRDefault="00891B3A" w:rsidP="00891B3A">
            <w:pPr>
              <w:widowControl/>
              <w:suppressAutoHyphens w:val="0"/>
              <w:autoSpaceDN/>
              <w:spacing w:after="0" w:line="240" w:lineRule="auto"/>
              <w:jc w:val="right"/>
              <w:textAlignment w:val="auto"/>
              <w:rPr>
                <w:rFonts w:ascii="Arial" w:eastAsia="Times New Roman" w:hAnsi="Arial" w:cs="Arial"/>
                <w:b/>
                <w:bCs/>
                <w:sz w:val="19"/>
                <w:szCs w:val="19"/>
                <w:lang w:val="en-SG" w:eastAsia="en-SG"/>
              </w:rPr>
            </w:pPr>
            <w:r w:rsidRPr="00C42BBA">
              <w:rPr>
                <w:rFonts w:ascii="Arial" w:eastAsia="Times New Roman" w:hAnsi="Arial" w:cs="Arial"/>
                <w:b/>
                <w:bCs/>
                <w:sz w:val="19"/>
                <w:szCs w:val="19"/>
                <w:lang w:val="en-SG" w:eastAsia="en-SG"/>
              </w:rPr>
              <w:t>£'000</w:t>
            </w:r>
          </w:p>
        </w:tc>
      </w:tr>
      <w:tr w:rsidR="00891B3A" w:rsidRPr="00C67A93" w14:paraId="2CF024B4" w14:textId="77777777" w:rsidTr="00891B3A">
        <w:trPr>
          <w:trHeight w:val="269"/>
        </w:trPr>
        <w:tc>
          <w:tcPr>
            <w:tcW w:w="0" w:type="auto"/>
            <w:tcBorders>
              <w:top w:val="nil"/>
              <w:left w:val="nil"/>
              <w:bottom w:val="nil"/>
              <w:right w:val="nil"/>
            </w:tcBorders>
            <w:shd w:val="clear" w:color="000000" w:fill="FFFFFF"/>
            <w:noWrap/>
            <w:vAlign w:val="bottom"/>
            <w:hideMark/>
          </w:tcPr>
          <w:p w14:paraId="024655C9"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0" w:type="auto"/>
            <w:tcBorders>
              <w:top w:val="nil"/>
              <w:left w:val="nil"/>
              <w:bottom w:val="nil"/>
              <w:right w:val="nil"/>
            </w:tcBorders>
            <w:shd w:val="clear" w:color="auto" w:fill="FDE9D9" w:themeFill="accent6" w:themeFillTint="33"/>
            <w:noWrap/>
            <w:vAlign w:val="bottom"/>
            <w:hideMark/>
          </w:tcPr>
          <w:p w14:paraId="5F55B34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auto" w:fill="FDE9D9" w:themeFill="accent6" w:themeFillTint="33"/>
            <w:noWrap/>
            <w:vAlign w:val="bottom"/>
            <w:hideMark/>
          </w:tcPr>
          <w:p w14:paraId="75CB413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auto" w:fill="FDE9D9" w:themeFill="accent6" w:themeFillTint="33"/>
            <w:noWrap/>
            <w:vAlign w:val="bottom"/>
            <w:hideMark/>
          </w:tcPr>
          <w:p w14:paraId="119117E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000000" w:fill="FFFFFF"/>
            <w:noWrap/>
            <w:vAlign w:val="bottom"/>
            <w:hideMark/>
          </w:tcPr>
          <w:p w14:paraId="064F7CD9"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noWrap/>
            <w:vAlign w:val="bottom"/>
            <w:hideMark/>
          </w:tcPr>
          <w:p w14:paraId="3275489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000000" w:fill="FFFFFF"/>
            <w:noWrap/>
            <w:vAlign w:val="bottom"/>
            <w:hideMark/>
          </w:tcPr>
          <w:p w14:paraId="586E350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000000" w:fill="FFFFFF"/>
            <w:noWrap/>
            <w:vAlign w:val="bottom"/>
            <w:hideMark/>
          </w:tcPr>
          <w:p w14:paraId="16F415A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r>
      <w:tr w:rsidR="00891B3A" w:rsidRPr="00C67A93" w14:paraId="0C0D649A" w14:textId="77777777" w:rsidTr="00891B3A">
        <w:trPr>
          <w:trHeight w:val="269"/>
        </w:trPr>
        <w:tc>
          <w:tcPr>
            <w:tcW w:w="0" w:type="auto"/>
            <w:tcBorders>
              <w:top w:val="nil"/>
              <w:left w:val="nil"/>
              <w:bottom w:val="nil"/>
              <w:right w:val="nil"/>
            </w:tcBorders>
            <w:shd w:val="clear" w:color="000000" w:fill="FFFFFF"/>
            <w:noWrap/>
            <w:vAlign w:val="bottom"/>
            <w:hideMark/>
          </w:tcPr>
          <w:p w14:paraId="13BCD03B"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Quoted</w:t>
            </w:r>
          </w:p>
        </w:tc>
        <w:tc>
          <w:tcPr>
            <w:tcW w:w="0" w:type="auto"/>
            <w:tcBorders>
              <w:top w:val="nil"/>
              <w:left w:val="nil"/>
              <w:bottom w:val="nil"/>
              <w:right w:val="nil"/>
            </w:tcBorders>
            <w:shd w:val="clear" w:color="auto" w:fill="FDE9D9" w:themeFill="accent6" w:themeFillTint="33"/>
            <w:vAlign w:val="bottom"/>
          </w:tcPr>
          <w:p w14:paraId="4D8D1BC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p>
        </w:tc>
        <w:tc>
          <w:tcPr>
            <w:tcW w:w="0" w:type="auto"/>
            <w:tcBorders>
              <w:top w:val="nil"/>
              <w:left w:val="nil"/>
              <w:bottom w:val="nil"/>
              <w:right w:val="nil"/>
            </w:tcBorders>
            <w:shd w:val="clear" w:color="auto" w:fill="FDE9D9" w:themeFill="accent6" w:themeFillTint="33"/>
            <w:vAlign w:val="bottom"/>
          </w:tcPr>
          <w:p w14:paraId="3970ACC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88</w:t>
            </w:r>
          </w:p>
        </w:tc>
        <w:tc>
          <w:tcPr>
            <w:tcW w:w="0" w:type="auto"/>
            <w:tcBorders>
              <w:top w:val="nil"/>
              <w:left w:val="nil"/>
              <w:bottom w:val="nil"/>
              <w:right w:val="nil"/>
            </w:tcBorders>
            <w:shd w:val="clear" w:color="auto" w:fill="FDE9D9" w:themeFill="accent6" w:themeFillTint="33"/>
            <w:vAlign w:val="bottom"/>
          </w:tcPr>
          <w:p w14:paraId="32A0A98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88</w:t>
            </w:r>
          </w:p>
        </w:tc>
        <w:tc>
          <w:tcPr>
            <w:tcW w:w="0" w:type="auto"/>
            <w:tcBorders>
              <w:top w:val="nil"/>
              <w:left w:val="nil"/>
              <w:bottom w:val="nil"/>
              <w:right w:val="nil"/>
            </w:tcBorders>
            <w:shd w:val="clear" w:color="000000" w:fill="FFFFFF"/>
            <w:noWrap/>
            <w:vAlign w:val="bottom"/>
            <w:hideMark/>
          </w:tcPr>
          <w:p w14:paraId="58938C9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vAlign w:val="bottom"/>
            <w:hideMark/>
          </w:tcPr>
          <w:p w14:paraId="2F851E5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(335) </w:t>
            </w:r>
          </w:p>
        </w:tc>
        <w:tc>
          <w:tcPr>
            <w:tcW w:w="0" w:type="auto"/>
            <w:tcBorders>
              <w:top w:val="nil"/>
              <w:left w:val="nil"/>
              <w:bottom w:val="nil"/>
              <w:right w:val="nil"/>
            </w:tcBorders>
            <w:shd w:val="clear" w:color="000000" w:fill="FFFFFF"/>
            <w:vAlign w:val="bottom"/>
            <w:hideMark/>
          </w:tcPr>
          <w:p w14:paraId="20EA1D9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(257)</w:t>
            </w:r>
          </w:p>
        </w:tc>
        <w:tc>
          <w:tcPr>
            <w:tcW w:w="0" w:type="auto"/>
            <w:tcBorders>
              <w:top w:val="nil"/>
              <w:left w:val="nil"/>
              <w:bottom w:val="nil"/>
              <w:right w:val="nil"/>
            </w:tcBorders>
            <w:shd w:val="clear" w:color="000000" w:fill="FFFFFF"/>
            <w:vAlign w:val="bottom"/>
            <w:hideMark/>
          </w:tcPr>
          <w:p w14:paraId="507DFAD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(592)</w:t>
            </w:r>
          </w:p>
        </w:tc>
      </w:tr>
      <w:tr w:rsidR="00891B3A" w:rsidRPr="00C67A93" w14:paraId="5F44ED2A" w14:textId="77777777" w:rsidTr="00891B3A">
        <w:trPr>
          <w:trHeight w:val="269"/>
        </w:trPr>
        <w:tc>
          <w:tcPr>
            <w:tcW w:w="0" w:type="auto"/>
            <w:tcBorders>
              <w:top w:val="nil"/>
              <w:left w:val="nil"/>
              <w:bottom w:val="nil"/>
              <w:right w:val="nil"/>
            </w:tcBorders>
            <w:shd w:val="clear" w:color="000000" w:fill="FFFFFF"/>
            <w:noWrap/>
            <w:vAlign w:val="bottom"/>
            <w:hideMark/>
          </w:tcPr>
          <w:p w14:paraId="78D90E88"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Unquoted</w:t>
            </w:r>
          </w:p>
        </w:tc>
        <w:tc>
          <w:tcPr>
            <w:tcW w:w="0" w:type="auto"/>
            <w:tcBorders>
              <w:top w:val="nil"/>
              <w:left w:val="nil"/>
              <w:bottom w:val="nil"/>
              <w:right w:val="nil"/>
            </w:tcBorders>
            <w:shd w:val="clear" w:color="auto" w:fill="FDE9D9" w:themeFill="accent6" w:themeFillTint="33"/>
            <w:vAlign w:val="bottom"/>
          </w:tcPr>
          <w:p w14:paraId="3A0F662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(5)</w:t>
            </w:r>
          </w:p>
        </w:tc>
        <w:tc>
          <w:tcPr>
            <w:tcW w:w="0" w:type="auto"/>
            <w:tcBorders>
              <w:top w:val="nil"/>
              <w:left w:val="nil"/>
              <w:bottom w:val="nil"/>
              <w:right w:val="nil"/>
            </w:tcBorders>
            <w:shd w:val="clear" w:color="auto" w:fill="FDE9D9" w:themeFill="accent6" w:themeFillTint="33"/>
            <w:vAlign w:val="bottom"/>
          </w:tcPr>
          <w:p w14:paraId="7BCEABA0" w14:textId="0468EA04"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r w:rsidR="00353EDE">
              <w:rPr>
                <w:rFonts w:ascii="Arial" w:eastAsia="Times New Roman" w:hAnsi="Arial" w:cs="Arial"/>
                <w:b/>
                <w:bCs/>
                <w:sz w:val="20"/>
                <w:szCs w:val="20"/>
                <w:lang w:val="en-SG" w:eastAsia="en-SG"/>
              </w:rPr>
              <w:t>7</w:t>
            </w:r>
            <w:r w:rsidRPr="00C67A93">
              <w:rPr>
                <w:rFonts w:ascii="Arial" w:eastAsia="Times New Roman" w:hAnsi="Arial" w:cs="Arial"/>
                <w:b/>
                <w:bCs/>
                <w:sz w:val="20"/>
                <w:szCs w:val="20"/>
                <w:lang w:val="en-SG" w:eastAsia="en-SG"/>
              </w:rPr>
              <w:t>45)</w:t>
            </w:r>
          </w:p>
        </w:tc>
        <w:tc>
          <w:tcPr>
            <w:tcW w:w="0" w:type="auto"/>
            <w:tcBorders>
              <w:top w:val="nil"/>
              <w:left w:val="nil"/>
              <w:bottom w:val="nil"/>
              <w:right w:val="nil"/>
            </w:tcBorders>
            <w:shd w:val="clear" w:color="auto" w:fill="FDE9D9" w:themeFill="accent6" w:themeFillTint="33"/>
            <w:vAlign w:val="bottom"/>
          </w:tcPr>
          <w:p w14:paraId="429B0193" w14:textId="5103253C"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r w:rsidR="00353EDE">
              <w:rPr>
                <w:rFonts w:ascii="Arial" w:eastAsia="Times New Roman" w:hAnsi="Arial" w:cs="Arial"/>
                <w:b/>
                <w:bCs/>
                <w:sz w:val="20"/>
                <w:szCs w:val="20"/>
                <w:lang w:val="en-SG" w:eastAsia="en-SG"/>
              </w:rPr>
              <w:t>7</w:t>
            </w:r>
            <w:r w:rsidRPr="00C67A93">
              <w:rPr>
                <w:rFonts w:ascii="Arial" w:eastAsia="Times New Roman" w:hAnsi="Arial" w:cs="Arial"/>
                <w:b/>
                <w:bCs/>
                <w:sz w:val="20"/>
                <w:szCs w:val="20"/>
                <w:lang w:val="en-SG" w:eastAsia="en-SG"/>
              </w:rPr>
              <w:t>50)</w:t>
            </w:r>
          </w:p>
        </w:tc>
        <w:tc>
          <w:tcPr>
            <w:tcW w:w="0" w:type="auto"/>
            <w:tcBorders>
              <w:top w:val="nil"/>
              <w:left w:val="nil"/>
              <w:bottom w:val="nil"/>
              <w:right w:val="nil"/>
            </w:tcBorders>
            <w:shd w:val="clear" w:color="000000" w:fill="FFFFFF"/>
            <w:noWrap/>
            <w:vAlign w:val="bottom"/>
            <w:hideMark/>
          </w:tcPr>
          <w:p w14:paraId="4F98465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vAlign w:val="bottom"/>
            <w:hideMark/>
          </w:tcPr>
          <w:p w14:paraId="1FCF143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6 </w:t>
            </w:r>
          </w:p>
        </w:tc>
        <w:tc>
          <w:tcPr>
            <w:tcW w:w="0" w:type="auto"/>
            <w:tcBorders>
              <w:top w:val="nil"/>
              <w:left w:val="nil"/>
              <w:bottom w:val="nil"/>
              <w:right w:val="nil"/>
            </w:tcBorders>
            <w:shd w:val="clear" w:color="000000" w:fill="FFFFFF"/>
            <w:vAlign w:val="bottom"/>
            <w:hideMark/>
          </w:tcPr>
          <w:p w14:paraId="6647DDB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(1,171) </w:t>
            </w:r>
          </w:p>
        </w:tc>
        <w:tc>
          <w:tcPr>
            <w:tcW w:w="0" w:type="auto"/>
            <w:tcBorders>
              <w:top w:val="nil"/>
              <w:left w:val="nil"/>
              <w:bottom w:val="nil"/>
              <w:right w:val="nil"/>
            </w:tcBorders>
            <w:shd w:val="clear" w:color="000000" w:fill="FFFFFF"/>
            <w:vAlign w:val="bottom"/>
            <w:hideMark/>
          </w:tcPr>
          <w:p w14:paraId="6E12B8B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(1,165) </w:t>
            </w:r>
          </w:p>
        </w:tc>
      </w:tr>
      <w:tr w:rsidR="00891B3A" w:rsidRPr="00D96A90" w14:paraId="29B36F47" w14:textId="77777777" w:rsidTr="00891B3A">
        <w:trPr>
          <w:trHeight w:val="269"/>
        </w:trPr>
        <w:tc>
          <w:tcPr>
            <w:tcW w:w="0" w:type="auto"/>
            <w:tcBorders>
              <w:top w:val="nil"/>
              <w:left w:val="nil"/>
              <w:bottom w:val="nil"/>
              <w:right w:val="nil"/>
            </w:tcBorders>
            <w:shd w:val="clear" w:color="000000" w:fill="FFFFFF"/>
            <w:noWrap/>
            <w:vAlign w:val="bottom"/>
            <w:hideMark/>
          </w:tcPr>
          <w:p w14:paraId="724B565F"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Funds</w:t>
            </w:r>
          </w:p>
        </w:tc>
        <w:tc>
          <w:tcPr>
            <w:tcW w:w="0" w:type="auto"/>
            <w:tcBorders>
              <w:top w:val="nil"/>
              <w:left w:val="nil"/>
              <w:bottom w:val="nil"/>
              <w:right w:val="nil"/>
            </w:tcBorders>
            <w:shd w:val="clear" w:color="auto" w:fill="FDE9D9" w:themeFill="accent6" w:themeFillTint="33"/>
            <w:vAlign w:val="bottom"/>
          </w:tcPr>
          <w:p w14:paraId="4F3D6CDA"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w:t>
            </w:r>
          </w:p>
        </w:tc>
        <w:tc>
          <w:tcPr>
            <w:tcW w:w="0" w:type="auto"/>
            <w:tcBorders>
              <w:top w:val="nil"/>
              <w:left w:val="nil"/>
              <w:bottom w:val="nil"/>
              <w:right w:val="nil"/>
            </w:tcBorders>
            <w:shd w:val="clear" w:color="auto" w:fill="FDE9D9" w:themeFill="accent6" w:themeFillTint="33"/>
            <w:vAlign w:val="bottom"/>
          </w:tcPr>
          <w:p w14:paraId="0285C83B" w14:textId="696072C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1,</w:t>
            </w:r>
            <w:r w:rsidR="00353EDE">
              <w:rPr>
                <w:rFonts w:ascii="Arial" w:eastAsia="Times New Roman" w:hAnsi="Arial" w:cs="Arial"/>
                <w:b/>
                <w:bCs/>
                <w:sz w:val="20"/>
                <w:szCs w:val="20"/>
                <w:lang w:val="en-SG" w:eastAsia="en-SG"/>
              </w:rPr>
              <w:t>8</w:t>
            </w:r>
            <w:r w:rsidRPr="00D96A90">
              <w:rPr>
                <w:rFonts w:ascii="Arial" w:eastAsia="Times New Roman" w:hAnsi="Arial" w:cs="Arial"/>
                <w:b/>
                <w:bCs/>
                <w:sz w:val="20"/>
                <w:szCs w:val="20"/>
                <w:lang w:val="en-SG" w:eastAsia="en-SG"/>
              </w:rPr>
              <w:t>77</w:t>
            </w:r>
          </w:p>
        </w:tc>
        <w:tc>
          <w:tcPr>
            <w:tcW w:w="0" w:type="auto"/>
            <w:tcBorders>
              <w:top w:val="nil"/>
              <w:left w:val="nil"/>
              <w:bottom w:val="nil"/>
              <w:right w:val="nil"/>
            </w:tcBorders>
            <w:shd w:val="clear" w:color="auto" w:fill="FDE9D9" w:themeFill="accent6" w:themeFillTint="33"/>
            <w:vAlign w:val="bottom"/>
          </w:tcPr>
          <w:p w14:paraId="615F3B86" w14:textId="394E80CF"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1,</w:t>
            </w:r>
            <w:r w:rsidR="00353EDE">
              <w:rPr>
                <w:rFonts w:ascii="Arial" w:eastAsia="Times New Roman" w:hAnsi="Arial" w:cs="Arial"/>
                <w:b/>
                <w:bCs/>
                <w:sz w:val="20"/>
                <w:szCs w:val="20"/>
                <w:lang w:val="en-SG" w:eastAsia="en-SG"/>
              </w:rPr>
              <w:t>8</w:t>
            </w:r>
            <w:r w:rsidRPr="00D96A90">
              <w:rPr>
                <w:rFonts w:ascii="Arial" w:eastAsia="Times New Roman" w:hAnsi="Arial" w:cs="Arial"/>
                <w:b/>
                <w:bCs/>
                <w:sz w:val="20"/>
                <w:szCs w:val="20"/>
                <w:lang w:val="en-SG" w:eastAsia="en-SG"/>
              </w:rPr>
              <w:t>77</w:t>
            </w:r>
          </w:p>
        </w:tc>
        <w:tc>
          <w:tcPr>
            <w:tcW w:w="0" w:type="auto"/>
            <w:tcBorders>
              <w:top w:val="nil"/>
              <w:left w:val="nil"/>
              <w:bottom w:val="nil"/>
              <w:right w:val="nil"/>
            </w:tcBorders>
            <w:shd w:val="clear" w:color="000000" w:fill="FFFFFF"/>
            <w:noWrap/>
            <w:vAlign w:val="bottom"/>
            <w:hideMark/>
          </w:tcPr>
          <w:p w14:paraId="1D7B7773"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single" w:sz="4" w:space="0" w:color="auto"/>
              <w:right w:val="nil"/>
            </w:tcBorders>
            <w:shd w:val="clear" w:color="000000" w:fill="FFFFFF"/>
            <w:vAlign w:val="bottom"/>
            <w:hideMark/>
          </w:tcPr>
          <w:p w14:paraId="24A2333F"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xml:space="preserve">- </w:t>
            </w:r>
          </w:p>
        </w:tc>
        <w:tc>
          <w:tcPr>
            <w:tcW w:w="0" w:type="auto"/>
            <w:tcBorders>
              <w:top w:val="nil"/>
              <w:left w:val="nil"/>
              <w:bottom w:val="single" w:sz="4" w:space="0" w:color="auto"/>
              <w:right w:val="nil"/>
            </w:tcBorders>
            <w:shd w:val="clear" w:color="000000" w:fill="FFFFFF"/>
            <w:vAlign w:val="bottom"/>
            <w:hideMark/>
          </w:tcPr>
          <w:p w14:paraId="7D94C1C3"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(3,450)</w:t>
            </w:r>
          </w:p>
        </w:tc>
        <w:tc>
          <w:tcPr>
            <w:tcW w:w="0" w:type="auto"/>
            <w:tcBorders>
              <w:top w:val="nil"/>
              <w:left w:val="nil"/>
              <w:bottom w:val="single" w:sz="4" w:space="0" w:color="auto"/>
              <w:right w:val="nil"/>
            </w:tcBorders>
            <w:shd w:val="clear" w:color="000000" w:fill="FFFFFF"/>
            <w:vAlign w:val="bottom"/>
            <w:hideMark/>
          </w:tcPr>
          <w:p w14:paraId="4EDA59CA"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(3,450)</w:t>
            </w:r>
          </w:p>
        </w:tc>
      </w:tr>
      <w:tr w:rsidR="00891B3A" w:rsidRPr="00D96A90" w14:paraId="4AB87242" w14:textId="77777777" w:rsidTr="00891B3A">
        <w:trPr>
          <w:trHeight w:val="269"/>
        </w:trPr>
        <w:tc>
          <w:tcPr>
            <w:tcW w:w="0" w:type="auto"/>
            <w:tcBorders>
              <w:top w:val="nil"/>
              <w:left w:val="nil"/>
              <w:bottom w:val="nil"/>
              <w:right w:val="nil"/>
            </w:tcBorders>
            <w:shd w:val="clear" w:color="000000" w:fill="FFFFFF"/>
            <w:noWrap/>
            <w:vAlign w:val="bottom"/>
            <w:hideMark/>
          </w:tcPr>
          <w:p w14:paraId="63C0C8EA"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single" w:sz="4" w:space="0" w:color="auto"/>
              <w:left w:val="nil"/>
              <w:bottom w:val="single" w:sz="4" w:space="0" w:color="auto"/>
              <w:right w:val="nil"/>
            </w:tcBorders>
            <w:shd w:val="clear" w:color="auto" w:fill="FDE9D9" w:themeFill="accent6" w:themeFillTint="33"/>
            <w:vAlign w:val="bottom"/>
          </w:tcPr>
          <w:p w14:paraId="75E895D7"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(5)</w:t>
            </w:r>
          </w:p>
        </w:tc>
        <w:tc>
          <w:tcPr>
            <w:tcW w:w="0" w:type="auto"/>
            <w:tcBorders>
              <w:top w:val="single" w:sz="4" w:space="0" w:color="auto"/>
              <w:left w:val="nil"/>
              <w:bottom w:val="single" w:sz="4" w:space="0" w:color="auto"/>
              <w:right w:val="nil"/>
            </w:tcBorders>
            <w:shd w:val="clear" w:color="auto" w:fill="FDE9D9" w:themeFill="accent6" w:themeFillTint="33"/>
            <w:vAlign w:val="bottom"/>
          </w:tcPr>
          <w:p w14:paraId="76C95B54"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1,</w:t>
            </w:r>
            <w:r>
              <w:rPr>
                <w:rFonts w:ascii="Arial" w:eastAsia="Times New Roman" w:hAnsi="Arial" w:cs="Arial"/>
                <w:b/>
                <w:bCs/>
                <w:sz w:val="20"/>
                <w:szCs w:val="20"/>
                <w:lang w:val="en-SG" w:eastAsia="en-SG"/>
              </w:rPr>
              <w:t>2</w:t>
            </w:r>
            <w:r w:rsidRPr="00D96A90">
              <w:rPr>
                <w:rFonts w:ascii="Arial" w:eastAsia="Times New Roman" w:hAnsi="Arial" w:cs="Arial"/>
                <w:b/>
                <w:bCs/>
                <w:sz w:val="20"/>
                <w:szCs w:val="20"/>
                <w:lang w:val="en-SG" w:eastAsia="en-SG"/>
              </w:rPr>
              <w:t>20</w:t>
            </w:r>
          </w:p>
        </w:tc>
        <w:tc>
          <w:tcPr>
            <w:tcW w:w="0" w:type="auto"/>
            <w:tcBorders>
              <w:top w:val="single" w:sz="4" w:space="0" w:color="auto"/>
              <w:left w:val="nil"/>
              <w:bottom w:val="single" w:sz="4" w:space="0" w:color="auto"/>
              <w:right w:val="nil"/>
            </w:tcBorders>
            <w:shd w:val="clear" w:color="auto" w:fill="FDE9D9" w:themeFill="accent6" w:themeFillTint="33"/>
            <w:vAlign w:val="bottom"/>
          </w:tcPr>
          <w:p w14:paraId="25C19A08"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1,215</w:t>
            </w:r>
          </w:p>
        </w:tc>
        <w:tc>
          <w:tcPr>
            <w:tcW w:w="0" w:type="auto"/>
            <w:tcBorders>
              <w:top w:val="nil"/>
              <w:left w:val="nil"/>
              <w:bottom w:val="nil"/>
              <w:right w:val="nil"/>
            </w:tcBorders>
            <w:shd w:val="clear" w:color="000000" w:fill="FFFFFF"/>
            <w:noWrap/>
            <w:vAlign w:val="bottom"/>
            <w:hideMark/>
          </w:tcPr>
          <w:p w14:paraId="0F3EE9C5"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single" w:sz="4" w:space="0" w:color="auto"/>
              <w:right w:val="nil"/>
            </w:tcBorders>
            <w:shd w:val="clear" w:color="000000" w:fill="FFFFFF"/>
            <w:vAlign w:val="bottom"/>
            <w:hideMark/>
          </w:tcPr>
          <w:p w14:paraId="7B9ADB44"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xml:space="preserve">(329) </w:t>
            </w:r>
          </w:p>
        </w:tc>
        <w:tc>
          <w:tcPr>
            <w:tcW w:w="0" w:type="auto"/>
            <w:tcBorders>
              <w:top w:val="nil"/>
              <w:left w:val="nil"/>
              <w:bottom w:val="single" w:sz="4" w:space="0" w:color="auto"/>
              <w:right w:val="nil"/>
            </w:tcBorders>
            <w:shd w:val="clear" w:color="000000" w:fill="FFFFFF"/>
            <w:vAlign w:val="bottom"/>
            <w:hideMark/>
          </w:tcPr>
          <w:p w14:paraId="7EDAC273"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(4,878)</w:t>
            </w:r>
          </w:p>
        </w:tc>
        <w:tc>
          <w:tcPr>
            <w:tcW w:w="0" w:type="auto"/>
            <w:tcBorders>
              <w:top w:val="nil"/>
              <w:left w:val="nil"/>
              <w:bottom w:val="single" w:sz="4" w:space="0" w:color="auto"/>
              <w:right w:val="nil"/>
            </w:tcBorders>
            <w:shd w:val="clear" w:color="000000" w:fill="FFFFFF"/>
            <w:vAlign w:val="bottom"/>
            <w:hideMark/>
          </w:tcPr>
          <w:p w14:paraId="2962B4A2"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(5,207)</w:t>
            </w:r>
          </w:p>
        </w:tc>
      </w:tr>
      <w:tr w:rsidR="00891B3A" w:rsidRPr="00D96A90" w14:paraId="6BC59184" w14:textId="77777777" w:rsidTr="00891B3A">
        <w:trPr>
          <w:trHeight w:val="269"/>
        </w:trPr>
        <w:tc>
          <w:tcPr>
            <w:tcW w:w="0" w:type="auto"/>
            <w:tcBorders>
              <w:top w:val="nil"/>
              <w:left w:val="nil"/>
              <w:bottom w:val="nil"/>
              <w:right w:val="nil"/>
            </w:tcBorders>
            <w:shd w:val="clear" w:color="000000" w:fill="FFFFFF"/>
            <w:noWrap/>
            <w:vAlign w:val="bottom"/>
            <w:hideMark/>
          </w:tcPr>
          <w:p w14:paraId="21042BCA"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vAlign w:val="bottom"/>
            <w:hideMark/>
          </w:tcPr>
          <w:p w14:paraId="3810A7BF"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000000" w:fill="FFFFFF"/>
            <w:vAlign w:val="bottom"/>
            <w:hideMark/>
          </w:tcPr>
          <w:p w14:paraId="7200092D"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auto" w:fill="FDE9D9" w:themeFill="accent6" w:themeFillTint="33"/>
            <w:vAlign w:val="bottom"/>
          </w:tcPr>
          <w:p w14:paraId="066CE56F"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0" w:type="auto"/>
            <w:tcBorders>
              <w:top w:val="nil"/>
              <w:left w:val="nil"/>
              <w:bottom w:val="nil"/>
              <w:right w:val="nil"/>
            </w:tcBorders>
            <w:shd w:val="clear" w:color="000000" w:fill="FFFFFF"/>
            <w:noWrap/>
            <w:vAlign w:val="bottom"/>
            <w:hideMark/>
          </w:tcPr>
          <w:p w14:paraId="1AAA7DF6"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vAlign w:val="bottom"/>
            <w:hideMark/>
          </w:tcPr>
          <w:p w14:paraId="19AF0768"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D96A90">
              <w:rPr>
                <w:rFonts w:ascii="Arial" w:eastAsia="Times New Roman" w:hAnsi="Arial" w:cs="Arial"/>
                <w:bCs/>
                <w:sz w:val="20"/>
                <w:szCs w:val="20"/>
                <w:lang w:val="en-SG" w:eastAsia="en-SG"/>
              </w:rPr>
              <w:t> </w:t>
            </w:r>
          </w:p>
        </w:tc>
        <w:tc>
          <w:tcPr>
            <w:tcW w:w="0" w:type="auto"/>
            <w:tcBorders>
              <w:top w:val="nil"/>
              <w:left w:val="nil"/>
              <w:bottom w:val="nil"/>
              <w:right w:val="nil"/>
            </w:tcBorders>
            <w:shd w:val="clear" w:color="000000" w:fill="FFFFFF"/>
            <w:vAlign w:val="bottom"/>
            <w:hideMark/>
          </w:tcPr>
          <w:p w14:paraId="6ABBEDBB"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D96A90">
              <w:rPr>
                <w:rFonts w:ascii="Arial" w:eastAsia="Times New Roman" w:hAnsi="Arial" w:cs="Arial"/>
                <w:bCs/>
                <w:sz w:val="20"/>
                <w:szCs w:val="20"/>
                <w:lang w:val="en-SG" w:eastAsia="en-SG"/>
              </w:rPr>
              <w:t> </w:t>
            </w:r>
          </w:p>
        </w:tc>
        <w:tc>
          <w:tcPr>
            <w:tcW w:w="0" w:type="auto"/>
            <w:tcBorders>
              <w:top w:val="nil"/>
              <w:left w:val="nil"/>
              <w:bottom w:val="nil"/>
              <w:right w:val="nil"/>
            </w:tcBorders>
            <w:shd w:val="clear" w:color="000000" w:fill="FFFFFF"/>
            <w:vAlign w:val="bottom"/>
            <w:hideMark/>
          </w:tcPr>
          <w:p w14:paraId="469C0DAD"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D96A90">
              <w:rPr>
                <w:rFonts w:ascii="Arial" w:eastAsia="Times New Roman" w:hAnsi="Arial" w:cs="Arial"/>
                <w:bCs/>
                <w:sz w:val="20"/>
                <w:szCs w:val="20"/>
                <w:lang w:val="en-SG" w:eastAsia="en-SG"/>
              </w:rPr>
              <w:t> </w:t>
            </w:r>
          </w:p>
        </w:tc>
      </w:tr>
      <w:tr w:rsidR="00891B3A" w:rsidRPr="00D96A90" w14:paraId="40CEC49B" w14:textId="77777777" w:rsidTr="00891B3A">
        <w:trPr>
          <w:trHeight w:val="269"/>
        </w:trPr>
        <w:tc>
          <w:tcPr>
            <w:tcW w:w="0" w:type="auto"/>
            <w:gridSpan w:val="2"/>
            <w:tcBorders>
              <w:top w:val="nil"/>
              <w:left w:val="nil"/>
              <w:bottom w:val="nil"/>
              <w:right w:val="nil"/>
            </w:tcBorders>
            <w:shd w:val="clear" w:color="000000" w:fill="FFFFFF"/>
            <w:noWrap/>
            <w:vAlign w:val="bottom"/>
            <w:hideMark/>
          </w:tcPr>
          <w:p w14:paraId="156C75D5"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Credit for incentive plans</w:t>
            </w:r>
          </w:p>
        </w:tc>
        <w:tc>
          <w:tcPr>
            <w:tcW w:w="0" w:type="auto"/>
            <w:tcBorders>
              <w:top w:val="nil"/>
              <w:left w:val="nil"/>
              <w:bottom w:val="nil"/>
              <w:right w:val="nil"/>
            </w:tcBorders>
            <w:shd w:val="clear" w:color="000000" w:fill="FFFFFF"/>
            <w:vAlign w:val="bottom"/>
            <w:hideMark/>
          </w:tcPr>
          <w:p w14:paraId="7CF13009"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 </w:t>
            </w:r>
          </w:p>
        </w:tc>
        <w:tc>
          <w:tcPr>
            <w:tcW w:w="0" w:type="auto"/>
            <w:tcBorders>
              <w:top w:val="nil"/>
              <w:left w:val="nil"/>
              <w:bottom w:val="single" w:sz="4" w:space="0" w:color="auto"/>
              <w:right w:val="nil"/>
            </w:tcBorders>
            <w:shd w:val="clear" w:color="auto" w:fill="FDE9D9" w:themeFill="accent6" w:themeFillTint="33"/>
            <w:vAlign w:val="bottom"/>
          </w:tcPr>
          <w:p w14:paraId="4BCCCA4C"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43 </w:t>
            </w:r>
          </w:p>
        </w:tc>
        <w:tc>
          <w:tcPr>
            <w:tcW w:w="0" w:type="auto"/>
            <w:tcBorders>
              <w:top w:val="nil"/>
              <w:left w:val="nil"/>
              <w:bottom w:val="nil"/>
              <w:right w:val="nil"/>
            </w:tcBorders>
            <w:shd w:val="clear" w:color="000000" w:fill="FFFFFF"/>
            <w:noWrap/>
            <w:vAlign w:val="bottom"/>
            <w:hideMark/>
          </w:tcPr>
          <w:p w14:paraId="0A79975C"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vAlign w:val="bottom"/>
            <w:hideMark/>
          </w:tcPr>
          <w:p w14:paraId="75B05E6A"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D96A90">
              <w:rPr>
                <w:rFonts w:ascii="Arial" w:eastAsia="Times New Roman" w:hAnsi="Arial" w:cs="Arial"/>
                <w:bCs/>
                <w:sz w:val="20"/>
                <w:szCs w:val="20"/>
                <w:lang w:val="en-SG" w:eastAsia="en-SG"/>
              </w:rPr>
              <w:t> </w:t>
            </w:r>
          </w:p>
        </w:tc>
        <w:tc>
          <w:tcPr>
            <w:tcW w:w="0" w:type="auto"/>
            <w:tcBorders>
              <w:top w:val="nil"/>
              <w:left w:val="nil"/>
              <w:bottom w:val="nil"/>
              <w:right w:val="nil"/>
            </w:tcBorders>
            <w:shd w:val="clear" w:color="000000" w:fill="FFFFFF"/>
            <w:vAlign w:val="bottom"/>
          </w:tcPr>
          <w:p w14:paraId="0A22F8FB"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p>
        </w:tc>
        <w:tc>
          <w:tcPr>
            <w:tcW w:w="0" w:type="auto"/>
            <w:tcBorders>
              <w:top w:val="nil"/>
              <w:left w:val="nil"/>
              <w:bottom w:val="single" w:sz="4" w:space="0" w:color="auto"/>
              <w:right w:val="nil"/>
            </w:tcBorders>
            <w:shd w:val="clear" w:color="000000" w:fill="FFFFFF"/>
            <w:vAlign w:val="bottom"/>
            <w:hideMark/>
          </w:tcPr>
          <w:p w14:paraId="7AB65B05"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xml:space="preserve">64 </w:t>
            </w:r>
          </w:p>
        </w:tc>
      </w:tr>
      <w:tr w:rsidR="00891B3A" w:rsidRPr="00D96A90" w14:paraId="2072C70B" w14:textId="77777777" w:rsidTr="00891B3A">
        <w:trPr>
          <w:trHeight w:val="269"/>
        </w:trPr>
        <w:tc>
          <w:tcPr>
            <w:tcW w:w="0" w:type="auto"/>
            <w:tcBorders>
              <w:top w:val="nil"/>
              <w:left w:val="nil"/>
              <w:bottom w:val="nil"/>
              <w:right w:val="nil"/>
            </w:tcBorders>
            <w:shd w:val="clear" w:color="000000" w:fill="FFFFFF"/>
            <w:noWrap/>
            <w:vAlign w:val="bottom"/>
            <w:hideMark/>
          </w:tcPr>
          <w:p w14:paraId="57593677"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vAlign w:val="bottom"/>
            <w:hideMark/>
          </w:tcPr>
          <w:p w14:paraId="148B4A00"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 </w:t>
            </w:r>
          </w:p>
        </w:tc>
        <w:tc>
          <w:tcPr>
            <w:tcW w:w="0" w:type="auto"/>
            <w:tcBorders>
              <w:top w:val="nil"/>
              <w:left w:val="nil"/>
              <w:right w:val="nil"/>
            </w:tcBorders>
            <w:shd w:val="clear" w:color="000000" w:fill="FFFFFF"/>
            <w:vAlign w:val="bottom"/>
            <w:hideMark/>
          </w:tcPr>
          <w:p w14:paraId="3EA2A283"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0" w:type="auto"/>
            <w:tcBorders>
              <w:top w:val="nil"/>
              <w:left w:val="nil"/>
              <w:right w:val="nil"/>
            </w:tcBorders>
            <w:shd w:val="clear" w:color="auto" w:fill="FDE9D9" w:themeFill="accent6" w:themeFillTint="33"/>
            <w:vAlign w:val="bottom"/>
          </w:tcPr>
          <w:p w14:paraId="0041647E"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1,258</w:t>
            </w:r>
          </w:p>
        </w:tc>
        <w:tc>
          <w:tcPr>
            <w:tcW w:w="0" w:type="auto"/>
            <w:tcBorders>
              <w:top w:val="nil"/>
              <w:left w:val="nil"/>
              <w:bottom w:val="nil"/>
              <w:right w:val="nil"/>
            </w:tcBorders>
            <w:shd w:val="clear" w:color="000000" w:fill="FFFFFF"/>
            <w:noWrap/>
            <w:vAlign w:val="bottom"/>
            <w:hideMark/>
          </w:tcPr>
          <w:p w14:paraId="67B8F4A3"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nil"/>
              <w:right w:val="nil"/>
            </w:tcBorders>
            <w:shd w:val="clear" w:color="000000" w:fill="FFFFFF"/>
            <w:vAlign w:val="bottom"/>
            <w:hideMark/>
          </w:tcPr>
          <w:p w14:paraId="3D8DFA44"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D96A90">
              <w:rPr>
                <w:rFonts w:ascii="Arial" w:eastAsia="Times New Roman" w:hAnsi="Arial" w:cs="Arial"/>
                <w:bCs/>
                <w:sz w:val="20"/>
                <w:szCs w:val="20"/>
                <w:lang w:val="en-SG" w:eastAsia="en-SG"/>
              </w:rPr>
              <w:t> </w:t>
            </w:r>
          </w:p>
        </w:tc>
        <w:tc>
          <w:tcPr>
            <w:tcW w:w="0" w:type="auto"/>
            <w:tcBorders>
              <w:top w:val="nil"/>
              <w:left w:val="nil"/>
              <w:right w:val="nil"/>
            </w:tcBorders>
            <w:shd w:val="clear" w:color="000000" w:fill="FFFFFF"/>
            <w:vAlign w:val="bottom"/>
          </w:tcPr>
          <w:p w14:paraId="0AC6DDE5"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p>
        </w:tc>
        <w:tc>
          <w:tcPr>
            <w:tcW w:w="0" w:type="auto"/>
            <w:tcBorders>
              <w:top w:val="nil"/>
              <w:left w:val="nil"/>
              <w:right w:val="nil"/>
            </w:tcBorders>
            <w:shd w:val="clear" w:color="000000" w:fill="FFFFFF"/>
            <w:vAlign w:val="bottom"/>
            <w:hideMark/>
          </w:tcPr>
          <w:p w14:paraId="0A3B4FD8"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(5,143)</w:t>
            </w:r>
          </w:p>
        </w:tc>
      </w:tr>
      <w:tr w:rsidR="00891B3A" w:rsidRPr="00D96A90" w14:paraId="6578C479" w14:textId="77777777" w:rsidTr="00891B3A">
        <w:trPr>
          <w:trHeight w:val="269"/>
        </w:trPr>
        <w:tc>
          <w:tcPr>
            <w:tcW w:w="0" w:type="auto"/>
            <w:gridSpan w:val="3"/>
            <w:tcBorders>
              <w:top w:val="nil"/>
              <w:left w:val="nil"/>
              <w:bottom w:val="nil"/>
              <w:right w:val="nil"/>
            </w:tcBorders>
            <w:shd w:val="clear" w:color="000000" w:fill="FFFFFF"/>
            <w:noWrap/>
            <w:vAlign w:val="bottom"/>
          </w:tcPr>
          <w:p w14:paraId="6E4AC5F6"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D96A90">
              <w:rPr>
                <w:rFonts w:ascii="Arial" w:eastAsia="Times New Roman" w:hAnsi="Arial" w:cs="Arial"/>
                <w:sz w:val="20"/>
                <w:szCs w:val="20"/>
                <w:lang w:val="en-SG" w:eastAsia="en-SG"/>
              </w:rPr>
              <w:t>Net (losses)/gains on foreign currency</w:t>
            </w:r>
          </w:p>
        </w:tc>
        <w:tc>
          <w:tcPr>
            <w:tcW w:w="0" w:type="auto"/>
            <w:tcBorders>
              <w:top w:val="nil"/>
              <w:left w:val="nil"/>
              <w:right w:val="nil"/>
            </w:tcBorders>
            <w:shd w:val="clear" w:color="auto" w:fill="FDE9D9" w:themeFill="accent6" w:themeFillTint="33"/>
            <w:vAlign w:val="center"/>
          </w:tcPr>
          <w:p w14:paraId="45996DD2"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(168)</w:t>
            </w:r>
          </w:p>
        </w:tc>
        <w:tc>
          <w:tcPr>
            <w:tcW w:w="0" w:type="auto"/>
            <w:tcBorders>
              <w:top w:val="nil"/>
              <w:left w:val="nil"/>
              <w:bottom w:val="nil"/>
              <w:right w:val="nil"/>
            </w:tcBorders>
            <w:shd w:val="clear" w:color="000000" w:fill="FFFFFF"/>
            <w:noWrap/>
            <w:vAlign w:val="center"/>
          </w:tcPr>
          <w:p w14:paraId="2A16EA15"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0" w:type="auto"/>
            <w:tcBorders>
              <w:top w:val="nil"/>
              <w:left w:val="nil"/>
              <w:bottom w:val="nil"/>
              <w:right w:val="nil"/>
            </w:tcBorders>
            <w:shd w:val="clear" w:color="000000" w:fill="FFFFFF"/>
            <w:vAlign w:val="center"/>
          </w:tcPr>
          <w:p w14:paraId="4C1EE478"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p>
        </w:tc>
        <w:tc>
          <w:tcPr>
            <w:tcW w:w="0" w:type="auto"/>
            <w:tcBorders>
              <w:top w:val="nil"/>
              <w:left w:val="nil"/>
              <w:right w:val="nil"/>
            </w:tcBorders>
            <w:shd w:val="clear" w:color="000000" w:fill="FFFFFF"/>
            <w:vAlign w:val="center"/>
          </w:tcPr>
          <w:p w14:paraId="582FBC50"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p>
        </w:tc>
        <w:tc>
          <w:tcPr>
            <w:tcW w:w="0" w:type="auto"/>
            <w:tcBorders>
              <w:top w:val="nil"/>
              <w:left w:val="nil"/>
              <w:right w:val="nil"/>
            </w:tcBorders>
            <w:shd w:val="clear" w:color="000000" w:fill="FFFFFF"/>
            <w:vAlign w:val="center"/>
          </w:tcPr>
          <w:p w14:paraId="3A583868"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672</w:t>
            </w:r>
          </w:p>
        </w:tc>
      </w:tr>
      <w:tr w:rsidR="00891B3A" w:rsidRPr="00D96A90" w14:paraId="40A96916" w14:textId="77777777" w:rsidTr="00891B3A">
        <w:trPr>
          <w:trHeight w:val="244"/>
        </w:trPr>
        <w:tc>
          <w:tcPr>
            <w:tcW w:w="0" w:type="auto"/>
            <w:gridSpan w:val="3"/>
            <w:tcBorders>
              <w:top w:val="nil"/>
              <w:left w:val="nil"/>
              <w:bottom w:val="nil"/>
              <w:right w:val="nil"/>
            </w:tcBorders>
            <w:shd w:val="clear" w:color="000000" w:fill="FFFFFF"/>
            <w:noWrap/>
            <w:vAlign w:val="bottom"/>
            <w:hideMark/>
          </w:tcPr>
          <w:p w14:paraId="651635DD"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xml:space="preserve">Operating and similar </w:t>
            </w:r>
          </w:p>
          <w:p w14:paraId="201D4C4F"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expenses of subsidiaries</w:t>
            </w:r>
            <w:r w:rsidRPr="00D96A90">
              <w:rPr>
                <w:rFonts w:ascii="Arial" w:eastAsia="Times New Roman" w:hAnsi="Arial" w:cs="Arial"/>
                <w:b/>
                <w:bCs/>
                <w:sz w:val="20"/>
                <w:szCs w:val="20"/>
                <w:lang w:val="en-SG" w:eastAsia="en-SG"/>
              </w:rPr>
              <w:t> </w:t>
            </w:r>
          </w:p>
        </w:tc>
        <w:tc>
          <w:tcPr>
            <w:tcW w:w="0" w:type="auto"/>
            <w:tcBorders>
              <w:top w:val="nil"/>
              <w:left w:val="nil"/>
              <w:bottom w:val="single" w:sz="4" w:space="0" w:color="auto"/>
              <w:right w:val="nil"/>
            </w:tcBorders>
            <w:shd w:val="clear" w:color="auto" w:fill="FDE9D9" w:themeFill="accent6" w:themeFillTint="33"/>
            <w:noWrap/>
            <w:vAlign w:val="bottom"/>
          </w:tcPr>
          <w:p w14:paraId="1F053131" w14:textId="0AC5C509"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(1</w:t>
            </w:r>
            <w:r w:rsidR="00CE248B">
              <w:rPr>
                <w:rFonts w:ascii="Arial" w:eastAsia="Times New Roman" w:hAnsi="Arial" w:cs="Arial"/>
                <w:b/>
                <w:bCs/>
                <w:sz w:val="20"/>
                <w:szCs w:val="20"/>
                <w:lang w:val="en-SG" w:eastAsia="en-SG"/>
              </w:rPr>
              <w:t>16</w:t>
            </w:r>
            <w:r w:rsidRPr="00D96A90">
              <w:rPr>
                <w:rFonts w:ascii="Arial" w:eastAsia="Times New Roman" w:hAnsi="Arial" w:cs="Arial"/>
                <w:b/>
                <w:bCs/>
                <w:sz w:val="20"/>
                <w:szCs w:val="20"/>
                <w:lang w:val="en-SG" w:eastAsia="en-SG"/>
              </w:rPr>
              <w:t>)</w:t>
            </w:r>
          </w:p>
        </w:tc>
        <w:tc>
          <w:tcPr>
            <w:tcW w:w="0" w:type="auto"/>
            <w:tcBorders>
              <w:top w:val="nil"/>
              <w:left w:val="nil"/>
              <w:bottom w:val="nil"/>
              <w:right w:val="nil"/>
            </w:tcBorders>
            <w:shd w:val="clear" w:color="000000" w:fill="FFFFFF"/>
            <w:noWrap/>
            <w:vAlign w:val="bottom"/>
            <w:hideMark/>
          </w:tcPr>
          <w:p w14:paraId="253CEB03"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single" w:sz="4" w:space="0" w:color="auto"/>
              <w:right w:val="nil"/>
            </w:tcBorders>
            <w:shd w:val="clear" w:color="000000" w:fill="FFFFFF"/>
            <w:vAlign w:val="bottom"/>
            <w:hideMark/>
          </w:tcPr>
          <w:p w14:paraId="2D108D23"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D96A90">
              <w:rPr>
                <w:rFonts w:ascii="Arial" w:eastAsia="Times New Roman" w:hAnsi="Arial" w:cs="Arial"/>
                <w:bCs/>
                <w:sz w:val="20"/>
                <w:szCs w:val="20"/>
                <w:lang w:val="en-SG" w:eastAsia="en-SG"/>
              </w:rPr>
              <w:t> </w:t>
            </w:r>
          </w:p>
        </w:tc>
        <w:tc>
          <w:tcPr>
            <w:tcW w:w="0" w:type="auto"/>
            <w:tcBorders>
              <w:top w:val="nil"/>
              <w:left w:val="nil"/>
              <w:bottom w:val="single" w:sz="4" w:space="0" w:color="auto"/>
              <w:right w:val="nil"/>
            </w:tcBorders>
            <w:shd w:val="clear" w:color="000000" w:fill="FFFFFF"/>
            <w:vAlign w:val="bottom"/>
          </w:tcPr>
          <w:p w14:paraId="6F033048"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p>
        </w:tc>
        <w:tc>
          <w:tcPr>
            <w:tcW w:w="0" w:type="auto"/>
            <w:tcBorders>
              <w:top w:val="nil"/>
              <w:left w:val="nil"/>
              <w:bottom w:val="single" w:sz="4" w:space="0" w:color="auto"/>
              <w:right w:val="nil"/>
            </w:tcBorders>
            <w:shd w:val="clear" w:color="auto" w:fill="auto"/>
            <w:noWrap/>
            <w:vAlign w:val="bottom"/>
            <w:hideMark/>
          </w:tcPr>
          <w:p w14:paraId="68603FAD"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p w14:paraId="4F77C410"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(325)</w:t>
            </w:r>
          </w:p>
        </w:tc>
      </w:tr>
      <w:tr w:rsidR="00891B3A" w:rsidRPr="00C67A93" w14:paraId="2D64F4F3" w14:textId="77777777" w:rsidTr="00891B3A">
        <w:trPr>
          <w:trHeight w:val="269"/>
        </w:trPr>
        <w:tc>
          <w:tcPr>
            <w:tcW w:w="0" w:type="auto"/>
            <w:gridSpan w:val="3"/>
            <w:tcBorders>
              <w:top w:val="single" w:sz="4" w:space="0" w:color="auto"/>
              <w:left w:val="nil"/>
              <w:bottom w:val="single" w:sz="4" w:space="0" w:color="auto"/>
              <w:right w:val="nil"/>
            </w:tcBorders>
            <w:shd w:val="clear" w:color="000000" w:fill="FFFFFF"/>
            <w:noWrap/>
            <w:vAlign w:val="bottom"/>
            <w:hideMark/>
          </w:tcPr>
          <w:p w14:paraId="3E315193"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0" w:type="auto"/>
            <w:tcBorders>
              <w:top w:val="single" w:sz="4" w:space="0" w:color="auto"/>
              <w:left w:val="nil"/>
              <w:bottom w:val="single" w:sz="4" w:space="0" w:color="auto"/>
              <w:right w:val="nil"/>
            </w:tcBorders>
            <w:shd w:val="clear" w:color="auto" w:fill="FDE9D9" w:themeFill="accent6" w:themeFillTint="33"/>
            <w:vAlign w:val="bottom"/>
          </w:tcPr>
          <w:p w14:paraId="0513536A" w14:textId="37D9DE58"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9</w:t>
            </w:r>
            <w:r w:rsidR="00CE248B">
              <w:rPr>
                <w:rFonts w:ascii="Arial" w:eastAsia="Times New Roman" w:hAnsi="Arial" w:cs="Arial"/>
                <w:b/>
                <w:bCs/>
                <w:sz w:val="20"/>
                <w:szCs w:val="20"/>
                <w:lang w:val="en-SG" w:eastAsia="en-SG"/>
              </w:rPr>
              <w:t>74</w:t>
            </w:r>
          </w:p>
        </w:tc>
        <w:tc>
          <w:tcPr>
            <w:tcW w:w="0" w:type="auto"/>
            <w:tcBorders>
              <w:top w:val="nil"/>
              <w:left w:val="nil"/>
              <w:bottom w:val="nil"/>
              <w:right w:val="nil"/>
            </w:tcBorders>
            <w:shd w:val="clear" w:color="000000" w:fill="FFFFFF"/>
            <w:noWrap/>
            <w:vAlign w:val="bottom"/>
            <w:hideMark/>
          </w:tcPr>
          <w:p w14:paraId="5173C945"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0" w:type="auto"/>
            <w:tcBorders>
              <w:top w:val="nil"/>
              <w:left w:val="nil"/>
              <w:bottom w:val="single" w:sz="4" w:space="0" w:color="auto"/>
              <w:right w:val="nil"/>
            </w:tcBorders>
            <w:shd w:val="clear" w:color="000000" w:fill="FFFFFF"/>
            <w:vAlign w:val="bottom"/>
            <w:hideMark/>
          </w:tcPr>
          <w:p w14:paraId="61FD4C02"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D96A90">
              <w:rPr>
                <w:rFonts w:ascii="Arial" w:eastAsia="Times New Roman" w:hAnsi="Arial" w:cs="Arial"/>
                <w:bCs/>
                <w:sz w:val="20"/>
                <w:szCs w:val="20"/>
                <w:lang w:val="en-SG" w:eastAsia="en-SG"/>
              </w:rPr>
              <w:t> </w:t>
            </w:r>
          </w:p>
        </w:tc>
        <w:tc>
          <w:tcPr>
            <w:tcW w:w="0" w:type="auto"/>
            <w:tcBorders>
              <w:top w:val="single" w:sz="4" w:space="0" w:color="auto"/>
              <w:left w:val="nil"/>
              <w:bottom w:val="single" w:sz="4" w:space="0" w:color="auto"/>
              <w:right w:val="nil"/>
            </w:tcBorders>
            <w:shd w:val="clear" w:color="000000" w:fill="FFFFFF"/>
            <w:vAlign w:val="bottom"/>
          </w:tcPr>
          <w:p w14:paraId="4D59D0CD"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p>
        </w:tc>
        <w:tc>
          <w:tcPr>
            <w:tcW w:w="0" w:type="auto"/>
            <w:tcBorders>
              <w:top w:val="single" w:sz="4" w:space="0" w:color="auto"/>
              <w:left w:val="nil"/>
              <w:bottom w:val="single" w:sz="4" w:space="0" w:color="auto"/>
              <w:right w:val="nil"/>
            </w:tcBorders>
            <w:shd w:val="clear" w:color="000000" w:fill="FFFFFF"/>
            <w:vAlign w:val="bottom"/>
            <w:hideMark/>
          </w:tcPr>
          <w:p w14:paraId="09AC2DC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(4,796)</w:t>
            </w:r>
          </w:p>
        </w:tc>
      </w:tr>
    </w:tbl>
    <w:p w14:paraId="589CE921" w14:textId="7BE7872B" w:rsidR="00AD3485" w:rsidRDefault="00AD3485" w:rsidP="00891B3A">
      <w:pPr>
        <w:widowControl/>
        <w:suppressAutoHyphens w:val="0"/>
        <w:spacing w:after="160" w:line="240" w:lineRule="auto"/>
        <w:rPr>
          <w:rFonts w:ascii="Arial" w:hAnsi="Arial" w:cs="Arial"/>
          <w:b/>
          <w:sz w:val="32"/>
          <w:szCs w:val="32"/>
        </w:rPr>
      </w:pPr>
    </w:p>
    <w:p w14:paraId="7C396837" w14:textId="31FA568B" w:rsidR="008D4734" w:rsidRDefault="008D4734" w:rsidP="00891B3A">
      <w:pPr>
        <w:widowControl/>
        <w:suppressAutoHyphens w:val="0"/>
        <w:spacing w:after="160" w:line="240" w:lineRule="auto"/>
        <w:rPr>
          <w:rFonts w:ascii="Arial" w:hAnsi="Arial" w:cs="Arial"/>
          <w:b/>
          <w:sz w:val="32"/>
          <w:szCs w:val="32"/>
        </w:rPr>
      </w:pPr>
    </w:p>
    <w:p w14:paraId="6BD6EDC2" w14:textId="77777777" w:rsidR="008D4734" w:rsidRDefault="008D4734" w:rsidP="00891B3A">
      <w:pPr>
        <w:widowControl/>
        <w:suppressAutoHyphens w:val="0"/>
        <w:spacing w:after="160" w:line="240" w:lineRule="auto"/>
        <w:rPr>
          <w:rFonts w:ascii="Arial" w:hAnsi="Arial" w:cs="Arial"/>
          <w:b/>
          <w:sz w:val="32"/>
          <w:szCs w:val="32"/>
        </w:rPr>
      </w:pPr>
    </w:p>
    <w:p w14:paraId="226875C2"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1C7A50B2" w14:textId="415FFFE4" w:rsidR="00891B3A" w:rsidRDefault="00891B3A" w:rsidP="00891B3A">
      <w:pPr>
        <w:pStyle w:val="NormalWeb"/>
        <w:shd w:val="clear" w:color="auto" w:fill="FFFFFF"/>
        <w:spacing w:before="0" w:after="0"/>
        <w:rPr>
          <w:rFonts w:ascii="Arial" w:hAnsi="Arial" w:cs="Arial"/>
          <w:b/>
        </w:rPr>
      </w:pPr>
    </w:p>
    <w:p w14:paraId="67C33BD4" w14:textId="77777777" w:rsidR="008D4734" w:rsidRPr="00C67A93" w:rsidRDefault="008D4734" w:rsidP="008D4734">
      <w:pPr>
        <w:shd w:val="clear" w:color="auto" w:fill="FFFFFF"/>
        <w:rPr>
          <w:rFonts w:ascii="Arial" w:hAnsi="Arial" w:cs="Arial"/>
          <w:b/>
          <w:sz w:val="28"/>
          <w:szCs w:val="28"/>
        </w:rPr>
      </w:pPr>
      <w:r w:rsidRPr="00C67A93">
        <w:rPr>
          <w:rFonts w:ascii="Arial" w:hAnsi="Arial" w:cs="Arial"/>
          <w:b/>
          <w:sz w:val="28"/>
          <w:szCs w:val="28"/>
        </w:rPr>
        <w:t>2.</w:t>
      </w:r>
      <w:r w:rsidRPr="00C67A93">
        <w:rPr>
          <w:rFonts w:ascii="Arial" w:hAnsi="Arial" w:cs="Arial"/>
          <w:b/>
          <w:sz w:val="28"/>
          <w:szCs w:val="28"/>
        </w:rPr>
        <w:tab/>
        <w:t>Net gains/(losses) on investments</w:t>
      </w:r>
      <w:r>
        <w:rPr>
          <w:rFonts w:ascii="Arial" w:hAnsi="Arial" w:cs="Arial"/>
          <w:b/>
          <w:sz w:val="28"/>
          <w:szCs w:val="28"/>
        </w:rPr>
        <w:t xml:space="preserve"> (continued)</w:t>
      </w:r>
    </w:p>
    <w:p w14:paraId="3E1BE947" w14:textId="4B94F566" w:rsidR="008D4734" w:rsidRDefault="008D4734" w:rsidP="008D4734">
      <w:pPr>
        <w:spacing w:after="0"/>
        <w:jc w:val="both"/>
        <w:rPr>
          <w:rFonts w:ascii="Arial" w:hAnsi="Arial" w:cs="Arial"/>
        </w:rPr>
      </w:pPr>
      <w:r w:rsidRPr="008D4734">
        <w:rPr>
          <w:rFonts w:ascii="Arial" w:hAnsi="Arial" w:cs="Arial"/>
        </w:rPr>
        <w:t xml:space="preserve">In September 2020, a subsidiary of the Company deposited £7 million for an investment in Dacian Petroleum, a Romanian oil and gas production company. The completion of the transaction is subject to regulatory and local government approvals in Romania, which are progressing. The £7 million investment is structured primarily as debt with a 7-year maturity and bearing interest at 14% per annum from 20 September 2020. The subsidiary has not </w:t>
      </w:r>
      <w:proofErr w:type="spellStart"/>
      <w:r w:rsidRPr="008D4734">
        <w:rPr>
          <w:rFonts w:ascii="Arial" w:hAnsi="Arial" w:cs="Arial"/>
        </w:rPr>
        <w:t>recognised</w:t>
      </w:r>
      <w:proofErr w:type="spellEnd"/>
      <w:r w:rsidRPr="008D4734">
        <w:rPr>
          <w:rFonts w:ascii="Arial" w:hAnsi="Arial" w:cs="Arial"/>
        </w:rPr>
        <w:t xml:space="preserve"> the interest income of £0.</w:t>
      </w:r>
      <w:r>
        <w:rPr>
          <w:rFonts w:ascii="Arial" w:hAnsi="Arial" w:cs="Arial"/>
        </w:rPr>
        <w:t>7</w:t>
      </w:r>
      <w:r w:rsidRPr="008D4734">
        <w:rPr>
          <w:rFonts w:ascii="Arial" w:hAnsi="Arial" w:cs="Arial"/>
        </w:rPr>
        <w:t xml:space="preserve"> million as the transaction was not complete at 3</w:t>
      </w:r>
      <w:r>
        <w:rPr>
          <w:rFonts w:ascii="Arial" w:hAnsi="Arial" w:cs="Arial"/>
        </w:rPr>
        <w:t>0</w:t>
      </w:r>
      <w:r w:rsidRPr="008D4734">
        <w:rPr>
          <w:rFonts w:ascii="Arial" w:hAnsi="Arial" w:cs="Arial"/>
        </w:rPr>
        <w:t xml:space="preserve"> </w:t>
      </w:r>
      <w:r>
        <w:rPr>
          <w:rFonts w:ascii="Arial" w:hAnsi="Arial" w:cs="Arial"/>
        </w:rPr>
        <w:t>June</w:t>
      </w:r>
      <w:r w:rsidRPr="008D4734">
        <w:rPr>
          <w:rFonts w:ascii="Arial" w:hAnsi="Arial" w:cs="Arial"/>
        </w:rPr>
        <w:t xml:space="preserve"> 202</w:t>
      </w:r>
      <w:r>
        <w:rPr>
          <w:rFonts w:ascii="Arial" w:hAnsi="Arial" w:cs="Arial"/>
        </w:rPr>
        <w:t>1</w:t>
      </w:r>
      <w:r w:rsidRPr="008D4734">
        <w:rPr>
          <w:rFonts w:ascii="Arial" w:hAnsi="Arial" w:cs="Arial"/>
        </w:rPr>
        <w:t xml:space="preserve"> but continues to believe it is probable that the approvals will be obtained and the transaction will close.</w:t>
      </w:r>
    </w:p>
    <w:p w14:paraId="612CB294" w14:textId="77777777" w:rsidR="008D4734" w:rsidRPr="008D4734" w:rsidRDefault="008D4734" w:rsidP="008D4734">
      <w:pPr>
        <w:spacing w:after="0" w:line="240" w:lineRule="auto"/>
        <w:jc w:val="both"/>
        <w:rPr>
          <w:rFonts w:ascii="Arial" w:hAnsi="Arial" w:cs="Arial"/>
        </w:rPr>
      </w:pPr>
    </w:p>
    <w:p w14:paraId="1AE895B0" w14:textId="77777777" w:rsidR="008D4734" w:rsidRPr="00C67A93" w:rsidRDefault="008D4734" w:rsidP="00891B3A">
      <w:pPr>
        <w:pStyle w:val="NormalWeb"/>
        <w:shd w:val="clear" w:color="auto" w:fill="FFFFFF"/>
        <w:spacing w:before="0" w:after="0"/>
        <w:rPr>
          <w:rFonts w:ascii="Arial" w:hAnsi="Arial" w:cs="Arial"/>
          <w:b/>
        </w:rPr>
      </w:pPr>
    </w:p>
    <w:p w14:paraId="1B767F81" w14:textId="77777777" w:rsidR="00891B3A" w:rsidRPr="00C67A93" w:rsidRDefault="00891B3A" w:rsidP="00891B3A">
      <w:pPr>
        <w:shd w:val="clear" w:color="auto" w:fill="FFFFFF"/>
        <w:jc w:val="both"/>
        <w:rPr>
          <w:rFonts w:ascii="Arial" w:hAnsi="Arial" w:cs="Arial"/>
          <w:b/>
          <w:sz w:val="28"/>
          <w:szCs w:val="28"/>
        </w:rPr>
      </w:pPr>
      <w:r w:rsidRPr="00C67A93">
        <w:rPr>
          <w:rFonts w:ascii="Arial" w:hAnsi="Arial" w:cs="Arial"/>
          <w:b/>
          <w:sz w:val="28"/>
          <w:szCs w:val="28"/>
        </w:rPr>
        <w:t>3.</w:t>
      </w:r>
      <w:r w:rsidRPr="00C67A93">
        <w:rPr>
          <w:rFonts w:ascii="Arial" w:hAnsi="Arial" w:cs="Arial"/>
          <w:b/>
          <w:sz w:val="28"/>
          <w:szCs w:val="28"/>
        </w:rPr>
        <w:tab/>
        <w:t>Profit/(loss) per ordinary share</w:t>
      </w:r>
    </w:p>
    <w:p w14:paraId="2C062C3D" w14:textId="77777777" w:rsidR="00891B3A" w:rsidRPr="00C67A93" w:rsidRDefault="00891B3A" w:rsidP="00891B3A">
      <w:pPr>
        <w:shd w:val="clear" w:color="auto" w:fill="FFFFFF"/>
        <w:jc w:val="both"/>
        <w:rPr>
          <w:rFonts w:ascii="Arial" w:hAnsi="Arial" w:cs="Arial"/>
        </w:rPr>
      </w:pPr>
      <w:r w:rsidRPr="00C67A93">
        <w:rPr>
          <w:rFonts w:ascii="Arial" w:hAnsi="Arial" w:cs="Arial"/>
        </w:rPr>
        <w:t>The calculation of the basic and diluted profit/(loss) per share, in accordance with IAS 33, is based on the following data:</w:t>
      </w:r>
    </w:p>
    <w:tbl>
      <w:tblPr>
        <w:tblW w:w="9070" w:type="dxa"/>
        <w:tblCellMar>
          <w:left w:w="0" w:type="dxa"/>
          <w:right w:w="0" w:type="dxa"/>
        </w:tblCellMar>
        <w:tblLook w:val="04A0" w:firstRow="1" w:lastRow="0" w:firstColumn="1" w:lastColumn="0" w:noHBand="0" w:noVBand="1"/>
      </w:tblPr>
      <w:tblGrid>
        <w:gridCol w:w="4654"/>
        <w:gridCol w:w="1435"/>
        <w:gridCol w:w="1649"/>
        <w:gridCol w:w="1332"/>
      </w:tblGrid>
      <w:tr w:rsidR="00891B3A" w:rsidRPr="00C67A93" w14:paraId="1AB7CA28" w14:textId="77777777" w:rsidTr="00BA3465">
        <w:trPr>
          <w:trHeight w:val="20"/>
        </w:trPr>
        <w:tc>
          <w:tcPr>
            <w:tcW w:w="4662" w:type="dxa"/>
            <w:tcBorders>
              <w:top w:val="nil"/>
              <w:left w:val="nil"/>
              <w:bottom w:val="nil"/>
              <w:right w:val="nil"/>
            </w:tcBorders>
            <w:shd w:val="clear" w:color="000000" w:fill="FFFFFF"/>
            <w:noWrap/>
            <w:vAlign w:val="bottom"/>
            <w:hideMark/>
          </w:tcPr>
          <w:p w14:paraId="03DBF8B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427" w:type="dxa"/>
            <w:tcBorders>
              <w:top w:val="nil"/>
              <w:left w:val="nil"/>
              <w:bottom w:val="nil"/>
              <w:right w:val="nil"/>
            </w:tcBorders>
            <w:shd w:val="clear" w:color="000000" w:fill="FFFFFF"/>
            <w:noWrap/>
            <w:vAlign w:val="bottom"/>
            <w:hideMark/>
          </w:tcPr>
          <w:p w14:paraId="28E1C5D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2981" w:type="dxa"/>
            <w:gridSpan w:val="2"/>
            <w:tcBorders>
              <w:top w:val="nil"/>
              <w:left w:val="nil"/>
              <w:bottom w:val="single" w:sz="4" w:space="0" w:color="auto"/>
              <w:right w:val="nil"/>
            </w:tcBorders>
            <w:shd w:val="clear" w:color="auto" w:fill="auto"/>
            <w:noWrap/>
            <w:vAlign w:val="bottom"/>
            <w:hideMark/>
          </w:tcPr>
          <w:p w14:paraId="7870CEBB" w14:textId="77777777" w:rsidR="00891B3A" w:rsidRPr="00C67A93" w:rsidRDefault="00891B3A" w:rsidP="00891B3A">
            <w:pPr>
              <w:widowControl/>
              <w:suppressAutoHyphens w:val="0"/>
              <w:autoSpaceDN/>
              <w:spacing w:after="0" w:line="240" w:lineRule="auto"/>
              <w:jc w:val="center"/>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Six months ended</w:t>
            </w:r>
          </w:p>
        </w:tc>
      </w:tr>
      <w:tr w:rsidR="00891B3A" w:rsidRPr="00C67A93" w14:paraId="48C8933B" w14:textId="77777777" w:rsidTr="00BA3465">
        <w:trPr>
          <w:trHeight w:val="20"/>
        </w:trPr>
        <w:tc>
          <w:tcPr>
            <w:tcW w:w="4662" w:type="dxa"/>
            <w:tcBorders>
              <w:top w:val="nil"/>
              <w:left w:val="nil"/>
              <w:bottom w:val="nil"/>
              <w:right w:val="nil"/>
            </w:tcBorders>
            <w:shd w:val="clear" w:color="000000" w:fill="FFFFFF"/>
            <w:noWrap/>
            <w:vAlign w:val="bottom"/>
            <w:hideMark/>
          </w:tcPr>
          <w:p w14:paraId="17D31B8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427" w:type="dxa"/>
            <w:tcBorders>
              <w:top w:val="nil"/>
              <w:left w:val="nil"/>
              <w:bottom w:val="nil"/>
              <w:right w:val="nil"/>
            </w:tcBorders>
            <w:shd w:val="clear" w:color="000000" w:fill="FFFFFF"/>
            <w:vAlign w:val="bottom"/>
            <w:hideMark/>
          </w:tcPr>
          <w:p w14:paraId="18D2D57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auto" w:fill="FDE9D9" w:themeFill="accent6" w:themeFillTint="33"/>
            <w:noWrap/>
            <w:vAlign w:val="bottom"/>
            <w:hideMark/>
          </w:tcPr>
          <w:p w14:paraId="6B54198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30 June 2021</w:t>
            </w:r>
          </w:p>
        </w:tc>
        <w:tc>
          <w:tcPr>
            <w:tcW w:w="1335" w:type="dxa"/>
            <w:tcBorders>
              <w:top w:val="nil"/>
              <w:left w:val="nil"/>
              <w:bottom w:val="nil"/>
              <w:right w:val="nil"/>
            </w:tcBorders>
            <w:shd w:val="clear" w:color="000000" w:fill="FFFFFF"/>
            <w:vAlign w:val="bottom"/>
            <w:hideMark/>
          </w:tcPr>
          <w:p w14:paraId="146383E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30 June 2020</w:t>
            </w:r>
          </w:p>
        </w:tc>
      </w:tr>
      <w:tr w:rsidR="00891B3A" w:rsidRPr="00C67A93" w14:paraId="75822931" w14:textId="77777777" w:rsidTr="00BA3465">
        <w:trPr>
          <w:trHeight w:val="20"/>
        </w:trPr>
        <w:tc>
          <w:tcPr>
            <w:tcW w:w="4662" w:type="dxa"/>
            <w:tcBorders>
              <w:top w:val="nil"/>
              <w:left w:val="nil"/>
              <w:bottom w:val="single" w:sz="4" w:space="0" w:color="auto"/>
              <w:right w:val="nil"/>
            </w:tcBorders>
            <w:shd w:val="clear" w:color="000000" w:fill="FFFFFF"/>
            <w:noWrap/>
            <w:vAlign w:val="bottom"/>
            <w:hideMark/>
          </w:tcPr>
          <w:p w14:paraId="51C5158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427" w:type="dxa"/>
            <w:tcBorders>
              <w:top w:val="nil"/>
              <w:left w:val="nil"/>
              <w:bottom w:val="single" w:sz="4" w:space="0" w:color="auto"/>
              <w:right w:val="nil"/>
            </w:tcBorders>
            <w:shd w:val="clear" w:color="000000" w:fill="FFFFFF"/>
            <w:noWrap/>
            <w:vAlign w:val="bottom"/>
            <w:hideMark/>
          </w:tcPr>
          <w:p w14:paraId="10D6ABE4"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single" w:sz="4" w:space="0" w:color="auto"/>
              <w:right w:val="nil"/>
            </w:tcBorders>
            <w:shd w:val="clear" w:color="auto" w:fill="FDE9D9" w:themeFill="accent6" w:themeFillTint="33"/>
            <w:noWrap/>
            <w:vAlign w:val="bottom"/>
            <w:hideMark/>
          </w:tcPr>
          <w:p w14:paraId="168CFBE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£'000</w:t>
            </w:r>
          </w:p>
        </w:tc>
        <w:tc>
          <w:tcPr>
            <w:tcW w:w="1335" w:type="dxa"/>
            <w:tcBorders>
              <w:top w:val="nil"/>
              <w:left w:val="nil"/>
              <w:bottom w:val="single" w:sz="4" w:space="0" w:color="auto"/>
              <w:right w:val="nil"/>
            </w:tcBorders>
            <w:shd w:val="clear" w:color="000000" w:fill="FFFFFF"/>
            <w:vAlign w:val="bottom"/>
            <w:hideMark/>
          </w:tcPr>
          <w:p w14:paraId="39A7CD7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£'000</w:t>
            </w:r>
          </w:p>
        </w:tc>
      </w:tr>
      <w:tr w:rsidR="00891B3A" w:rsidRPr="00C67A93" w14:paraId="4BCE8178" w14:textId="77777777" w:rsidTr="00BA3465">
        <w:trPr>
          <w:trHeight w:val="20"/>
        </w:trPr>
        <w:tc>
          <w:tcPr>
            <w:tcW w:w="4662" w:type="dxa"/>
            <w:tcBorders>
              <w:top w:val="nil"/>
              <w:left w:val="nil"/>
              <w:bottom w:val="nil"/>
              <w:right w:val="nil"/>
            </w:tcBorders>
            <w:shd w:val="clear" w:color="000000" w:fill="FFFFFF"/>
            <w:noWrap/>
            <w:vAlign w:val="bottom"/>
            <w:hideMark/>
          </w:tcPr>
          <w:p w14:paraId="1D732A4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Profit/(loss)</w:t>
            </w:r>
          </w:p>
        </w:tc>
        <w:tc>
          <w:tcPr>
            <w:tcW w:w="1427" w:type="dxa"/>
            <w:tcBorders>
              <w:top w:val="nil"/>
              <w:left w:val="nil"/>
              <w:bottom w:val="nil"/>
              <w:right w:val="nil"/>
            </w:tcBorders>
            <w:shd w:val="clear" w:color="000000" w:fill="FFFFFF"/>
            <w:noWrap/>
            <w:vAlign w:val="bottom"/>
            <w:hideMark/>
          </w:tcPr>
          <w:p w14:paraId="6629817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0" w:type="auto"/>
            <w:tcBorders>
              <w:top w:val="nil"/>
              <w:left w:val="nil"/>
              <w:bottom w:val="nil"/>
              <w:right w:val="nil"/>
            </w:tcBorders>
            <w:shd w:val="clear" w:color="auto" w:fill="FDE9D9" w:themeFill="accent6" w:themeFillTint="33"/>
            <w:noWrap/>
            <w:vAlign w:val="bottom"/>
            <w:hideMark/>
          </w:tcPr>
          <w:p w14:paraId="6157A6D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335" w:type="dxa"/>
            <w:tcBorders>
              <w:top w:val="nil"/>
              <w:left w:val="nil"/>
              <w:bottom w:val="nil"/>
              <w:right w:val="nil"/>
            </w:tcBorders>
            <w:shd w:val="clear" w:color="000000" w:fill="FFFFFF"/>
            <w:vAlign w:val="bottom"/>
            <w:hideMark/>
          </w:tcPr>
          <w:p w14:paraId="7AA94BD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 </w:t>
            </w:r>
          </w:p>
        </w:tc>
      </w:tr>
      <w:tr w:rsidR="00891B3A" w:rsidRPr="00C67A93" w14:paraId="355F9BD9" w14:textId="77777777" w:rsidTr="00BA3465">
        <w:trPr>
          <w:trHeight w:val="20"/>
        </w:trPr>
        <w:tc>
          <w:tcPr>
            <w:tcW w:w="4662" w:type="dxa"/>
            <w:tcBorders>
              <w:top w:val="nil"/>
              <w:left w:val="nil"/>
              <w:bottom w:val="nil"/>
              <w:right w:val="nil"/>
            </w:tcBorders>
            <w:shd w:val="clear" w:color="000000" w:fill="FFFFFF"/>
            <w:noWrap/>
            <w:vAlign w:val="bottom"/>
            <w:hideMark/>
          </w:tcPr>
          <w:p w14:paraId="4C49ABD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Profit/(loss) for the purpose of net profit/(loss) per share attributable to equity holders of the parent</w:t>
            </w:r>
          </w:p>
        </w:tc>
        <w:tc>
          <w:tcPr>
            <w:tcW w:w="1427" w:type="dxa"/>
            <w:tcBorders>
              <w:top w:val="nil"/>
              <w:left w:val="nil"/>
              <w:bottom w:val="nil"/>
              <w:right w:val="nil"/>
            </w:tcBorders>
            <w:shd w:val="clear" w:color="000000" w:fill="FFFFFF"/>
            <w:noWrap/>
            <w:vAlign w:val="bottom"/>
            <w:hideMark/>
          </w:tcPr>
          <w:p w14:paraId="4152296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646" w:type="dxa"/>
            <w:tcBorders>
              <w:top w:val="nil"/>
              <w:left w:val="nil"/>
              <w:bottom w:val="nil"/>
              <w:right w:val="nil"/>
            </w:tcBorders>
            <w:shd w:val="clear" w:color="auto" w:fill="FDE9D9" w:themeFill="accent6" w:themeFillTint="33"/>
            <w:vAlign w:val="bottom"/>
          </w:tcPr>
          <w:p w14:paraId="080A32A7" w14:textId="050993FE" w:rsidR="00891B3A" w:rsidRPr="00C67A93" w:rsidRDefault="00CE248B"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Pr>
                <w:rFonts w:ascii="Arial" w:eastAsia="Times New Roman" w:hAnsi="Arial" w:cs="Arial"/>
                <w:b/>
                <w:bCs/>
                <w:sz w:val="20"/>
                <w:szCs w:val="20"/>
                <w:lang w:val="en-SG" w:eastAsia="en-SG"/>
              </w:rPr>
              <w:t>138</w:t>
            </w:r>
          </w:p>
        </w:tc>
        <w:tc>
          <w:tcPr>
            <w:tcW w:w="1335" w:type="dxa"/>
            <w:tcBorders>
              <w:top w:val="nil"/>
              <w:left w:val="nil"/>
              <w:bottom w:val="nil"/>
              <w:right w:val="nil"/>
            </w:tcBorders>
            <w:shd w:val="clear" w:color="auto" w:fill="auto"/>
            <w:vAlign w:val="bottom"/>
            <w:hideMark/>
          </w:tcPr>
          <w:p w14:paraId="0A45DDE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(6,069)</w:t>
            </w:r>
          </w:p>
        </w:tc>
      </w:tr>
      <w:tr w:rsidR="00891B3A" w:rsidRPr="00C67A93" w14:paraId="1183130B" w14:textId="77777777" w:rsidTr="00BA3465">
        <w:trPr>
          <w:trHeight w:val="20"/>
        </w:trPr>
        <w:tc>
          <w:tcPr>
            <w:tcW w:w="4662" w:type="dxa"/>
            <w:tcBorders>
              <w:top w:val="nil"/>
              <w:left w:val="nil"/>
              <w:bottom w:val="single" w:sz="4" w:space="0" w:color="auto"/>
              <w:right w:val="nil"/>
            </w:tcBorders>
            <w:shd w:val="clear" w:color="000000" w:fill="FFFFFF"/>
            <w:noWrap/>
            <w:vAlign w:val="bottom"/>
            <w:hideMark/>
          </w:tcPr>
          <w:p w14:paraId="2FEAAA00"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 </w:t>
            </w:r>
          </w:p>
        </w:tc>
        <w:tc>
          <w:tcPr>
            <w:tcW w:w="1427" w:type="dxa"/>
            <w:tcBorders>
              <w:top w:val="nil"/>
              <w:left w:val="nil"/>
              <w:bottom w:val="single" w:sz="4" w:space="0" w:color="auto"/>
              <w:right w:val="nil"/>
            </w:tcBorders>
            <w:shd w:val="clear" w:color="000000" w:fill="FFFFFF"/>
            <w:noWrap/>
            <w:vAlign w:val="bottom"/>
            <w:hideMark/>
          </w:tcPr>
          <w:p w14:paraId="5888977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646" w:type="dxa"/>
            <w:tcBorders>
              <w:top w:val="nil"/>
              <w:left w:val="nil"/>
              <w:bottom w:val="single" w:sz="4" w:space="0" w:color="auto"/>
              <w:right w:val="nil"/>
            </w:tcBorders>
            <w:shd w:val="clear" w:color="auto" w:fill="FDE9D9" w:themeFill="accent6" w:themeFillTint="33"/>
            <w:vAlign w:val="bottom"/>
          </w:tcPr>
          <w:p w14:paraId="0B28A04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35" w:type="dxa"/>
            <w:tcBorders>
              <w:top w:val="nil"/>
              <w:left w:val="nil"/>
              <w:bottom w:val="single" w:sz="4" w:space="0" w:color="auto"/>
              <w:right w:val="nil"/>
            </w:tcBorders>
            <w:shd w:val="clear" w:color="000000" w:fill="FFFFFF"/>
            <w:vAlign w:val="bottom"/>
            <w:hideMark/>
          </w:tcPr>
          <w:p w14:paraId="3099A60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r>
      <w:tr w:rsidR="00891B3A" w:rsidRPr="00C67A93" w14:paraId="1A1B154D" w14:textId="77777777" w:rsidTr="00BA3465">
        <w:trPr>
          <w:trHeight w:val="20"/>
        </w:trPr>
        <w:tc>
          <w:tcPr>
            <w:tcW w:w="4662" w:type="dxa"/>
            <w:tcBorders>
              <w:top w:val="nil"/>
              <w:left w:val="nil"/>
              <w:bottom w:val="nil"/>
              <w:right w:val="nil"/>
            </w:tcBorders>
            <w:shd w:val="clear" w:color="000000" w:fill="FFFFFF"/>
            <w:noWrap/>
            <w:vAlign w:val="bottom"/>
            <w:hideMark/>
          </w:tcPr>
          <w:p w14:paraId="580AC115"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Number of shares</w:t>
            </w:r>
          </w:p>
        </w:tc>
        <w:tc>
          <w:tcPr>
            <w:tcW w:w="1427" w:type="dxa"/>
            <w:tcBorders>
              <w:top w:val="nil"/>
              <w:left w:val="nil"/>
              <w:bottom w:val="nil"/>
              <w:right w:val="nil"/>
            </w:tcBorders>
            <w:shd w:val="clear" w:color="000000" w:fill="FFFFFF"/>
            <w:noWrap/>
            <w:vAlign w:val="bottom"/>
            <w:hideMark/>
          </w:tcPr>
          <w:p w14:paraId="2F9E20A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646" w:type="dxa"/>
            <w:tcBorders>
              <w:top w:val="nil"/>
              <w:left w:val="nil"/>
              <w:bottom w:val="nil"/>
              <w:right w:val="nil"/>
            </w:tcBorders>
            <w:shd w:val="clear" w:color="auto" w:fill="FDE9D9" w:themeFill="accent6" w:themeFillTint="33"/>
            <w:vAlign w:val="bottom"/>
          </w:tcPr>
          <w:p w14:paraId="6057F206"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35" w:type="dxa"/>
            <w:tcBorders>
              <w:top w:val="nil"/>
              <w:left w:val="nil"/>
              <w:bottom w:val="nil"/>
              <w:right w:val="nil"/>
            </w:tcBorders>
            <w:shd w:val="clear" w:color="000000" w:fill="FFFFFF"/>
            <w:vAlign w:val="bottom"/>
            <w:hideMark/>
          </w:tcPr>
          <w:p w14:paraId="28ECA8F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r>
      <w:tr w:rsidR="00891B3A" w:rsidRPr="00C67A93" w14:paraId="0A8A3093" w14:textId="77777777" w:rsidTr="00BA3465">
        <w:trPr>
          <w:trHeight w:val="20"/>
        </w:trPr>
        <w:tc>
          <w:tcPr>
            <w:tcW w:w="4662" w:type="dxa"/>
            <w:tcBorders>
              <w:top w:val="nil"/>
              <w:left w:val="nil"/>
              <w:bottom w:val="nil"/>
              <w:right w:val="nil"/>
            </w:tcBorders>
            <w:shd w:val="clear" w:color="000000" w:fill="FFFFFF"/>
            <w:noWrap/>
            <w:vAlign w:val="bottom"/>
            <w:hideMark/>
          </w:tcPr>
          <w:p w14:paraId="1C0CF155" w14:textId="55E27CA6" w:rsidR="00891B3A" w:rsidRPr="00C67A93" w:rsidRDefault="00891B3A" w:rsidP="00891B3A">
            <w:pPr>
              <w:widowControl/>
              <w:suppressAutoHyphens w:val="0"/>
              <w:autoSpaceDN/>
              <w:spacing w:after="0" w:line="240" w:lineRule="auto"/>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 xml:space="preserve">Weighted average number of ordinary shares for </w:t>
            </w:r>
          </w:p>
        </w:tc>
        <w:tc>
          <w:tcPr>
            <w:tcW w:w="1427" w:type="dxa"/>
            <w:tcBorders>
              <w:top w:val="nil"/>
              <w:left w:val="nil"/>
              <w:bottom w:val="nil"/>
              <w:right w:val="nil"/>
            </w:tcBorders>
            <w:shd w:val="clear" w:color="000000" w:fill="FFFFFF"/>
            <w:noWrap/>
            <w:vAlign w:val="bottom"/>
            <w:hideMark/>
          </w:tcPr>
          <w:p w14:paraId="379312D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646" w:type="dxa"/>
            <w:tcBorders>
              <w:top w:val="nil"/>
              <w:left w:val="nil"/>
              <w:bottom w:val="nil"/>
              <w:right w:val="nil"/>
            </w:tcBorders>
            <w:shd w:val="clear" w:color="auto" w:fill="FDE9D9" w:themeFill="accent6" w:themeFillTint="33"/>
            <w:vAlign w:val="bottom"/>
          </w:tcPr>
          <w:p w14:paraId="2047589E"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35" w:type="dxa"/>
            <w:tcBorders>
              <w:top w:val="nil"/>
              <w:left w:val="nil"/>
              <w:bottom w:val="nil"/>
              <w:right w:val="nil"/>
            </w:tcBorders>
            <w:shd w:val="clear" w:color="000000" w:fill="FFFFFF"/>
            <w:vAlign w:val="bottom"/>
            <w:hideMark/>
          </w:tcPr>
          <w:p w14:paraId="6C1F5EF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r>
      <w:tr w:rsidR="00891B3A" w:rsidRPr="00C67A93" w14:paraId="34372DC8" w14:textId="77777777" w:rsidTr="00BA3465">
        <w:trPr>
          <w:trHeight w:val="20"/>
        </w:trPr>
        <w:tc>
          <w:tcPr>
            <w:tcW w:w="4662" w:type="dxa"/>
            <w:tcBorders>
              <w:top w:val="nil"/>
              <w:left w:val="nil"/>
              <w:bottom w:val="nil"/>
              <w:right w:val="nil"/>
            </w:tcBorders>
            <w:shd w:val="clear" w:color="000000" w:fill="FFFFFF"/>
            <w:noWrap/>
            <w:vAlign w:val="bottom"/>
            <w:hideMark/>
          </w:tcPr>
          <w:p w14:paraId="727635F7" w14:textId="3C320F0D" w:rsidR="00891B3A" w:rsidRPr="00C67A93" w:rsidRDefault="000F03D8" w:rsidP="00891B3A">
            <w:pPr>
              <w:widowControl/>
              <w:suppressAutoHyphens w:val="0"/>
              <w:autoSpaceDN/>
              <w:spacing w:after="0" w:line="240" w:lineRule="auto"/>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 xml:space="preserve">the </w:t>
            </w:r>
            <w:r w:rsidR="00891B3A" w:rsidRPr="00C67A93">
              <w:rPr>
                <w:rFonts w:ascii="Arial" w:eastAsia="Times New Roman" w:hAnsi="Arial" w:cs="Arial"/>
                <w:bCs/>
                <w:sz w:val="20"/>
                <w:szCs w:val="20"/>
                <w:lang w:val="en-SG" w:eastAsia="en-SG"/>
              </w:rPr>
              <w:t>purposes of basic profit/(loss) per share</w:t>
            </w:r>
          </w:p>
        </w:tc>
        <w:tc>
          <w:tcPr>
            <w:tcW w:w="1427" w:type="dxa"/>
            <w:tcBorders>
              <w:top w:val="nil"/>
              <w:left w:val="nil"/>
              <w:bottom w:val="nil"/>
              <w:right w:val="nil"/>
            </w:tcBorders>
            <w:shd w:val="clear" w:color="000000" w:fill="FFFFFF"/>
            <w:noWrap/>
            <w:vAlign w:val="bottom"/>
            <w:hideMark/>
          </w:tcPr>
          <w:p w14:paraId="3C01384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646" w:type="dxa"/>
            <w:tcBorders>
              <w:top w:val="nil"/>
              <w:left w:val="nil"/>
              <w:bottom w:val="nil"/>
              <w:right w:val="nil"/>
            </w:tcBorders>
            <w:shd w:val="clear" w:color="auto" w:fill="FDE9D9" w:themeFill="accent6" w:themeFillTint="33"/>
            <w:vAlign w:val="bottom"/>
          </w:tcPr>
          <w:p w14:paraId="15D88C8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sz w:val="20"/>
                <w:szCs w:val="20"/>
                <w:lang w:val="en-SG" w:eastAsia="en-SG"/>
              </w:rPr>
              <w:t xml:space="preserve">     </w:t>
            </w:r>
            <w:r w:rsidRPr="00C67A93">
              <w:rPr>
                <w:rFonts w:ascii="Arial" w:eastAsia="Times New Roman" w:hAnsi="Arial" w:cs="Arial"/>
                <w:b/>
                <w:bCs/>
                <w:sz w:val="20"/>
                <w:szCs w:val="20"/>
                <w:lang w:val="en-SG" w:eastAsia="en-SG"/>
              </w:rPr>
              <w:t>80,727,450</w:t>
            </w:r>
          </w:p>
        </w:tc>
        <w:tc>
          <w:tcPr>
            <w:tcW w:w="1335" w:type="dxa"/>
            <w:tcBorders>
              <w:top w:val="nil"/>
              <w:left w:val="nil"/>
              <w:bottom w:val="nil"/>
              <w:right w:val="nil"/>
            </w:tcBorders>
            <w:shd w:val="clear" w:color="000000" w:fill="FFFFFF"/>
            <w:vAlign w:val="bottom"/>
            <w:hideMark/>
          </w:tcPr>
          <w:p w14:paraId="2F92F7B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xml:space="preserve">     80,727,450 </w:t>
            </w:r>
          </w:p>
        </w:tc>
      </w:tr>
      <w:tr w:rsidR="00891B3A" w:rsidRPr="00C67A93" w14:paraId="7B0ADE18" w14:textId="77777777" w:rsidTr="00BA3465">
        <w:trPr>
          <w:trHeight w:val="20"/>
        </w:trPr>
        <w:tc>
          <w:tcPr>
            <w:tcW w:w="4662" w:type="dxa"/>
            <w:tcBorders>
              <w:top w:val="nil"/>
              <w:left w:val="nil"/>
              <w:bottom w:val="single" w:sz="4" w:space="0" w:color="auto"/>
              <w:right w:val="nil"/>
            </w:tcBorders>
            <w:shd w:val="clear" w:color="000000" w:fill="FFFFFF"/>
            <w:noWrap/>
            <w:vAlign w:val="bottom"/>
            <w:hideMark/>
          </w:tcPr>
          <w:p w14:paraId="20CFB4A1" w14:textId="326A6B99"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p>
        </w:tc>
        <w:tc>
          <w:tcPr>
            <w:tcW w:w="1427" w:type="dxa"/>
            <w:tcBorders>
              <w:top w:val="nil"/>
              <w:left w:val="nil"/>
              <w:bottom w:val="single" w:sz="4" w:space="0" w:color="auto"/>
              <w:right w:val="nil"/>
            </w:tcBorders>
            <w:shd w:val="clear" w:color="000000" w:fill="FFFFFF"/>
            <w:noWrap/>
            <w:vAlign w:val="bottom"/>
            <w:hideMark/>
          </w:tcPr>
          <w:p w14:paraId="5B5144C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646" w:type="dxa"/>
            <w:tcBorders>
              <w:top w:val="nil"/>
              <w:left w:val="nil"/>
              <w:bottom w:val="single" w:sz="4" w:space="0" w:color="auto"/>
              <w:right w:val="nil"/>
            </w:tcBorders>
            <w:shd w:val="clear" w:color="auto" w:fill="FDE9D9" w:themeFill="accent6" w:themeFillTint="33"/>
            <w:vAlign w:val="bottom"/>
          </w:tcPr>
          <w:p w14:paraId="57C85A4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35" w:type="dxa"/>
            <w:tcBorders>
              <w:top w:val="nil"/>
              <w:left w:val="nil"/>
              <w:bottom w:val="single" w:sz="4" w:space="0" w:color="auto"/>
              <w:right w:val="nil"/>
            </w:tcBorders>
            <w:shd w:val="clear" w:color="000000" w:fill="FFFFFF"/>
            <w:vAlign w:val="bottom"/>
            <w:hideMark/>
          </w:tcPr>
          <w:p w14:paraId="3C3C941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r>
      <w:tr w:rsidR="00BA3465" w:rsidRPr="00C67A93" w14:paraId="4891EC2C" w14:textId="77777777" w:rsidTr="00BA3465">
        <w:trPr>
          <w:trHeight w:val="20"/>
        </w:trPr>
        <w:tc>
          <w:tcPr>
            <w:tcW w:w="4662" w:type="dxa"/>
            <w:tcBorders>
              <w:top w:val="nil"/>
              <w:left w:val="nil"/>
              <w:right w:val="nil"/>
            </w:tcBorders>
            <w:shd w:val="clear" w:color="000000" w:fill="FFFFFF"/>
            <w:noWrap/>
            <w:vAlign w:val="bottom"/>
          </w:tcPr>
          <w:p w14:paraId="777AB150" w14:textId="37AE8827" w:rsidR="00BA3465" w:rsidRPr="00C67A93" w:rsidRDefault="00BA3465"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Profit/(loss) per share</w:t>
            </w:r>
          </w:p>
        </w:tc>
        <w:tc>
          <w:tcPr>
            <w:tcW w:w="1427" w:type="dxa"/>
            <w:tcBorders>
              <w:top w:val="nil"/>
              <w:left w:val="nil"/>
              <w:right w:val="nil"/>
            </w:tcBorders>
            <w:shd w:val="clear" w:color="000000" w:fill="FFFFFF"/>
            <w:noWrap/>
            <w:vAlign w:val="bottom"/>
          </w:tcPr>
          <w:p w14:paraId="38F13C41" w14:textId="77777777" w:rsidR="00BA3465" w:rsidRPr="00C67A93" w:rsidRDefault="00BA3465"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646" w:type="dxa"/>
            <w:tcBorders>
              <w:top w:val="nil"/>
              <w:left w:val="nil"/>
              <w:right w:val="nil"/>
            </w:tcBorders>
            <w:shd w:val="clear" w:color="auto" w:fill="FDE9D9" w:themeFill="accent6" w:themeFillTint="33"/>
            <w:vAlign w:val="bottom"/>
          </w:tcPr>
          <w:p w14:paraId="19A1681A" w14:textId="77777777" w:rsidR="00BA3465" w:rsidRPr="00C67A93" w:rsidRDefault="00BA3465"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35" w:type="dxa"/>
            <w:tcBorders>
              <w:top w:val="nil"/>
              <w:left w:val="nil"/>
              <w:right w:val="nil"/>
            </w:tcBorders>
            <w:shd w:val="clear" w:color="000000" w:fill="FFFFFF"/>
            <w:vAlign w:val="bottom"/>
          </w:tcPr>
          <w:p w14:paraId="602362CB" w14:textId="77777777" w:rsidR="00BA3465" w:rsidRPr="00C67A93" w:rsidRDefault="00BA3465"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891B3A" w:rsidRPr="00C67A93" w14:paraId="7C22E87C" w14:textId="77777777" w:rsidTr="00BA3465">
        <w:trPr>
          <w:trHeight w:val="20"/>
        </w:trPr>
        <w:tc>
          <w:tcPr>
            <w:tcW w:w="4662" w:type="dxa"/>
            <w:tcBorders>
              <w:left w:val="nil"/>
              <w:right w:val="nil"/>
            </w:tcBorders>
            <w:shd w:val="clear" w:color="000000" w:fill="FFFFFF"/>
            <w:noWrap/>
            <w:vAlign w:val="bottom"/>
            <w:hideMark/>
          </w:tcPr>
          <w:p w14:paraId="6AF73C72"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 xml:space="preserve">Basic </w:t>
            </w:r>
          </w:p>
        </w:tc>
        <w:tc>
          <w:tcPr>
            <w:tcW w:w="1427" w:type="dxa"/>
            <w:tcBorders>
              <w:left w:val="nil"/>
              <w:right w:val="nil"/>
            </w:tcBorders>
            <w:shd w:val="clear" w:color="000000" w:fill="FFFFFF"/>
            <w:noWrap/>
            <w:vAlign w:val="bottom"/>
            <w:hideMark/>
          </w:tcPr>
          <w:p w14:paraId="29D6D9D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w:t>
            </w:r>
          </w:p>
        </w:tc>
        <w:tc>
          <w:tcPr>
            <w:tcW w:w="1646" w:type="dxa"/>
            <w:tcBorders>
              <w:left w:val="nil"/>
              <w:right w:val="nil"/>
            </w:tcBorders>
            <w:shd w:val="clear" w:color="auto" w:fill="FDE9D9" w:themeFill="accent6" w:themeFillTint="33"/>
            <w:vAlign w:val="bottom"/>
          </w:tcPr>
          <w:p w14:paraId="326F4999" w14:textId="5EFC6819"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w:t>
            </w:r>
            <w:r w:rsidR="00A56E7F">
              <w:rPr>
                <w:rFonts w:ascii="Arial" w:eastAsia="Times New Roman" w:hAnsi="Arial" w:cs="Arial"/>
                <w:b/>
                <w:bCs/>
                <w:sz w:val="20"/>
                <w:szCs w:val="20"/>
                <w:lang w:val="en-SG" w:eastAsia="en-SG"/>
              </w:rPr>
              <w:t>2</w:t>
            </w:r>
            <w:r w:rsidRPr="00C67A93">
              <w:rPr>
                <w:rFonts w:ascii="Arial" w:eastAsia="Times New Roman" w:hAnsi="Arial" w:cs="Arial"/>
                <w:b/>
                <w:bCs/>
                <w:sz w:val="20"/>
                <w:szCs w:val="20"/>
                <w:lang w:val="en-SG" w:eastAsia="en-SG"/>
              </w:rPr>
              <w:t>p</w:t>
            </w:r>
          </w:p>
        </w:tc>
        <w:tc>
          <w:tcPr>
            <w:tcW w:w="1335" w:type="dxa"/>
            <w:tcBorders>
              <w:left w:val="nil"/>
              <w:right w:val="nil"/>
            </w:tcBorders>
            <w:shd w:val="clear" w:color="000000" w:fill="FFFFFF"/>
            <w:vAlign w:val="bottom"/>
            <w:hideMark/>
          </w:tcPr>
          <w:p w14:paraId="7267332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(7.5p)</w:t>
            </w:r>
          </w:p>
        </w:tc>
      </w:tr>
      <w:tr w:rsidR="00891B3A" w:rsidRPr="00C67A93" w14:paraId="0DB97251" w14:textId="77777777" w:rsidTr="00BA3465">
        <w:trPr>
          <w:trHeight w:val="20"/>
        </w:trPr>
        <w:tc>
          <w:tcPr>
            <w:tcW w:w="4662" w:type="dxa"/>
            <w:tcBorders>
              <w:left w:val="nil"/>
              <w:bottom w:val="single" w:sz="4" w:space="0" w:color="auto"/>
              <w:right w:val="nil"/>
            </w:tcBorders>
            <w:shd w:val="clear" w:color="000000" w:fill="FFFFFF"/>
            <w:noWrap/>
            <w:vAlign w:val="bottom"/>
          </w:tcPr>
          <w:p w14:paraId="623DE497"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Cs/>
                <w:sz w:val="20"/>
                <w:szCs w:val="20"/>
                <w:lang w:val="en-SG" w:eastAsia="en-SG"/>
              </w:rPr>
            </w:pPr>
            <w:r w:rsidRPr="00C67A93">
              <w:rPr>
                <w:rFonts w:ascii="Arial" w:eastAsia="Times New Roman" w:hAnsi="Arial" w:cs="Arial"/>
                <w:bCs/>
                <w:sz w:val="20"/>
                <w:szCs w:val="20"/>
                <w:lang w:val="en-SG" w:eastAsia="en-SG"/>
              </w:rPr>
              <w:t>Diluted</w:t>
            </w:r>
          </w:p>
        </w:tc>
        <w:tc>
          <w:tcPr>
            <w:tcW w:w="1427" w:type="dxa"/>
            <w:tcBorders>
              <w:left w:val="nil"/>
              <w:bottom w:val="single" w:sz="4" w:space="0" w:color="auto"/>
              <w:right w:val="nil"/>
            </w:tcBorders>
            <w:shd w:val="clear" w:color="000000" w:fill="FFFFFF"/>
            <w:noWrap/>
            <w:vAlign w:val="bottom"/>
          </w:tcPr>
          <w:p w14:paraId="7B77655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646" w:type="dxa"/>
            <w:tcBorders>
              <w:left w:val="nil"/>
              <w:bottom w:val="single" w:sz="4" w:space="0" w:color="auto"/>
              <w:right w:val="nil"/>
            </w:tcBorders>
            <w:shd w:val="clear" w:color="auto" w:fill="FDE9D9" w:themeFill="accent6" w:themeFillTint="33"/>
            <w:vAlign w:val="bottom"/>
          </w:tcPr>
          <w:p w14:paraId="2E76ED48" w14:textId="6F8B8390"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0.</w:t>
            </w:r>
            <w:r w:rsidR="00A56E7F">
              <w:rPr>
                <w:rFonts w:ascii="Arial" w:eastAsia="Times New Roman" w:hAnsi="Arial" w:cs="Arial"/>
                <w:b/>
                <w:bCs/>
                <w:sz w:val="20"/>
                <w:szCs w:val="20"/>
                <w:lang w:val="en-SG" w:eastAsia="en-SG"/>
              </w:rPr>
              <w:t>2</w:t>
            </w:r>
            <w:r w:rsidRPr="00C67A93">
              <w:rPr>
                <w:rFonts w:ascii="Arial" w:eastAsia="Times New Roman" w:hAnsi="Arial" w:cs="Arial"/>
                <w:b/>
                <w:bCs/>
                <w:sz w:val="20"/>
                <w:szCs w:val="20"/>
                <w:lang w:val="en-SG" w:eastAsia="en-SG"/>
              </w:rPr>
              <w:t>p</w:t>
            </w:r>
          </w:p>
        </w:tc>
        <w:tc>
          <w:tcPr>
            <w:tcW w:w="1335" w:type="dxa"/>
            <w:tcBorders>
              <w:left w:val="nil"/>
              <w:bottom w:val="single" w:sz="4" w:space="0" w:color="auto"/>
              <w:right w:val="nil"/>
            </w:tcBorders>
            <w:shd w:val="clear" w:color="000000" w:fill="FFFFFF"/>
            <w:vAlign w:val="bottom"/>
          </w:tcPr>
          <w:p w14:paraId="2379AB9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(7.5p)</w:t>
            </w:r>
          </w:p>
        </w:tc>
      </w:tr>
      <w:tr w:rsidR="00891B3A" w:rsidRPr="00C67A93" w14:paraId="65F28950" w14:textId="77777777" w:rsidTr="00BA3465">
        <w:trPr>
          <w:trHeight w:val="20"/>
        </w:trPr>
        <w:tc>
          <w:tcPr>
            <w:tcW w:w="4662" w:type="dxa"/>
            <w:tcBorders>
              <w:top w:val="single" w:sz="4" w:space="0" w:color="auto"/>
              <w:left w:val="nil"/>
              <w:right w:val="nil"/>
            </w:tcBorders>
            <w:shd w:val="clear" w:color="000000" w:fill="FFFFFF"/>
            <w:noWrap/>
            <w:vAlign w:val="bottom"/>
          </w:tcPr>
          <w:p w14:paraId="1E633D75"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bCs/>
                <w:sz w:val="40"/>
                <w:szCs w:val="40"/>
                <w:lang w:val="en-SG" w:eastAsia="en-SG"/>
              </w:rPr>
            </w:pPr>
          </w:p>
        </w:tc>
        <w:tc>
          <w:tcPr>
            <w:tcW w:w="1427" w:type="dxa"/>
            <w:tcBorders>
              <w:top w:val="single" w:sz="4" w:space="0" w:color="auto"/>
              <w:left w:val="nil"/>
              <w:right w:val="nil"/>
            </w:tcBorders>
            <w:shd w:val="clear" w:color="000000" w:fill="FFFFFF"/>
            <w:noWrap/>
            <w:vAlign w:val="bottom"/>
          </w:tcPr>
          <w:p w14:paraId="6039758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646" w:type="dxa"/>
            <w:tcBorders>
              <w:top w:val="single" w:sz="4" w:space="0" w:color="auto"/>
              <w:left w:val="nil"/>
              <w:right w:val="nil"/>
            </w:tcBorders>
            <w:shd w:val="clear" w:color="000000" w:fill="FFFFFF"/>
            <w:vAlign w:val="bottom"/>
          </w:tcPr>
          <w:p w14:paraId="175F0647"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335" w:type="dxa"/>
            <w:tcBorders>
              <w:top w:val="single" w:sz="4" w:space="0" w:color="auto"/>
              <w:left w:val="nil"/>
              <w:right w:val="nil"/>
            </w:tcBorders>
            <w:shd w:val="clear" w:color="000000" w:fill="FFFFFF"/>
            <w:vAlign w:val="bottom"/>
          </w:tcPr>
          <w:p w14:paraId="33808EC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Cs/>
                <w:sz w:val="20"/>
                <w:szCs w:val="20"/>
                <w:lang w:val="en-SG" w:eastAsia="en-SG"/>
              </w:rPr>
            </w:pPr>
          </w:p>
        </w:tc>
      </w:tr>
    </w:tbl>
    <w:p w14:paraId="768887B2" w14:textId="77777777" w:rsidR="00891B3A" w:rsidRPr="00C67A93" w:rsidRDefault="00891B3A" w:rsidP="00891B3A">
      <w:pPr>
        <w:widowControl/>
        <w:suppressAutoHyphens w:val="0"/>
        <w:autoSpaceDN/>
        <w:spacing w:after="160" w:line="360" w:lineRule="auto"/>
        <w:contextualSpacing/>
        <w:textAlignment w:val="auto"/>
        <w:rPr>
          <w:rFonts w:ascii="Arial" w:eastAsia="Georgia" w:hAnsi="Arial" w:cs="Arial"/>
          <w:b/>
          <w:sz w:val="28"/>
          <w:szCs w:val="28"/>
          <w:lang w:val="en-GB"/>
        </w:rPr>
      </w:pPr>
      <w:r w:rsidRPr="00C67A93">
        <w:rPr>
          <w:rFonts w:ascii="Arial" w:hAnsi="Arial" w:cs="Arial"/>
          <w:b/>
          <w:sz w:val="28"/>
          <w:szCs w:val="28"/>
        </w:rPr>
        <w:t>4.</w:t>
      </w:r>
      <w:r w:rsidRPr="00C67A93">
        <w:rPr>
          <w:rFonts w:ascii="Arial" w:hAnsi="Arial" w:cs="Arial"/>
          <w:b/>
          <w:sz w:val="28"/>
          <w:szCs w:val="28"/>
        </w:rPr>
        <w:tab/>
      </w:r>
      <w:r w:rsidRPr="00C67A93">
        <w:rPr>
          <w:rFonts w:ascii="Arial" w:eastAsia="Georgia" w:hAnsi="Arial" w:cs="Arial"/>
          <w:b/>
          <w:sz w:val="28"/>
          <w:szCs w:val="28"/>
          <w:lang w:val="en-GB"/>
        </w:rPr>
        <w:t>Dividends</w:t>
      </w:r>
    </w:p>
    <w:p w14:paraId="6ECAB6E4" w14:textId="61FA8F63" w:rsidR="00891B3A" w:rsidRPr="00C67A93" w:rsidRDefault="00891B3A" w:rsidP="00891B3A">
      <w:pPr>
        <w:widowControl/>
        <w:spacing w:after="160" w:line="259" w:lineRule="auto"/>
        <w:rPr>
          <w:rFonts w:ascii="Arial" w:eastAsia="Georgia" w:hAnsi="Arial" w:cs="Arial"/>
          <w:bCs/>
          <w:lang w:val="en-GB"/>
        </w:rPr>
      </w:pPr>
      <w:r w:rsidRPr="00C67A93">
        <w:rPr>
          <w:rFonts w:ascii="Arial" w:eastAsia="Georgia" w:hAnsi="Arial" w:cs="Arial"/>
          <w:bCs/>
          <w:lang w:val="en-GB"/>
        </w:rPr>
        <w:t>Dividends declared during the period ending 30 June 2021</w:t>
      </w:r>
      <w:r w:rsidR="004044DD">
        <w:rPr>
          <w:rFonts w:ascii="Arial" w:eastAsia="Georgia" w:hAnsi="Arial" w:cs="Arial"/>
          <w:bCs/>
          <w:lang w:val="en-GB"/>
        </w:rPr>
        <w:t xml:space="preserve"> and 30 June 2020</w:t>
      </w:r>
      <w:r w:rsidRPr="00C67A93">
        <w:rPr>
          <w:rFonts w:ascii="Arial" w:eastAsia="Georgia" w:hAnsi="Arial" w:cs="Arial"/>
          <w:bCs/>
          <w:lang w:val="en-GB"/>
        </w:rPr>
        <w:t xml:space="preserve"> are as follows.</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1842"/>
        <w:gridCol w:w="1954"/>
        <w:gridCol w:w="1161"/>
        <w:gridCol w:w="1560"/>
      </w:tblGrid>
      <w:tr w:rsidR="00891B3A" w:rsidRPr="00C67A93" w14:paraId="759A5C9A" w14:textId="77777777" w:rsidTr="00943F4C">
        <w:tc>
          <w:tcPr>
            <w:tcW w:w="1407" w:type="pct"/>
            <w:tcBorders>
              <w:bottom w:val="single" w:sz="4" w:space="0" w:color="auto"/>
            </w:tcBorders>
            <w:vAlign w:val="bottom"/>
          </w:tcPr>
          <w:p w14:paraId="71D73326" w14:textId="77777777" w:rsidR="00891B3A" w:rsidRPr="00C67A93" w:rsidRDefault="00891B3A" w:rsidP="00891B3A">
            <w:pPr>
              <w:spacing w:after="0"/>
              <w:rPr>
                <w:rFonts w:eastAsia="Georgia"/>
                <w:bCs/>
                <w:sz w:val="20"/>
                <w:szCs w:val="20"/>
              </w:rPr>
            </w:pPr>
          </w:p>
        </w:tc>
        <w:tc>
          <w:tcPr>
            <w:tcW w:w="1015" w:type="pct"/>
            <w:tcBorders>
              <w:bottom w:val="single" w:sz="4" w:space="0" w:color="auto"/>
            </w:tcBorders>
            <w:vAlign w:val="bottom"/>
          </w:tcPr>
          <w:p w14:paraId="67D22F6A" w14:textId="6FA2D698" w:rsidR="00891B3A" w:rsidRPr="00C67A93" w:rsidRDefault="00891B3A" w:rsidP="00891B3A">
            <w:pPr>
              <w:spacing w:after="0"/>
              <w:rPr>
                <w:rFonts w:eastAsia="Georgia"/>
                <w:bCs/>
                <w:sz w:val="20"/>
                <w:szCs w:val="20"/>
              </w:rPr>
            </w:pPr>
            <w:r w:rsidRPr="00C67A93">
              <w:rPr>
                <w:rFonts w:eastAsia="Georgia"/>
                <w:bCs/>
                <w:sz w:val="20"/>
                <w:szCs w:val="20"/>
              </w:rPr>
              <w:t xml:space="preserve">Dividend </w:t>
            </w:r>
            <w:r w:rsidR="00AF055C">
              <w:rPr>
                <w:rFonts w:eastAsia="Georgia"/>
                <w:bCs/>
                <w:sz w:val="20"/>
                <w:szCs w:val="20"/>
              </w:rPr>
              <w:t>d</w:t>
            </w:r>
            <w:r w:rsidRPr="00C67A93">
              <w:rPr>
                <w:rFonts w:eastAsia="Georgia"/>
                <w:bCs/>
                <w:sz w:val="20"/>
                <w:szCs w:val="20"/>
              </w:rPr>
              <w:t>ate</w:t>
            </w:r>
          </w:p>
        </w:tc>
        <w:tc>
          <w:tcPr>
            <w:tcW w:w="1077" w:type="pct"/>
            <w:tcBorders>
              <w:bottom w:val="single" w:sz="4" w:space="0" w:color="auto"/>
            </w:tcBorders>
            <w:vAlign w:val="bottom"/>
          </w:tcPr>
          <w:p w14:paraId="0571E408" w14:textId="550F6E58" w:rsidR="00891B3A" w:rsidRPr="00C67A93" w:rsidRDefault="00891B3A" w:rsidP="00891B3A">
            <w:pPr>
              <w:spacing w:after="0"/>
              <w:rPr>
                <w:rFonts w:eastAsia="Georgia"/>
                <w:bCs/>
                <w:sz w:val="20"/>
                <w:szCs w:val="20"/>
              </w:rPr>
            </w:pPr>
            <w:r w:rsidRPr="00C67A93">
              <w:rPr>
                <w:rFonts w:eastAsia="Georgia"/>
                <w:bCs/>
                <w:sz w:val="20"/>
                <w:szCs w:val="20"/>
              </w:rPr>
              <w:t xml:space="preserve">Payment </w:t>
            </w:r>
            <w:r w:rsidR="00AF055C">
              <w:rPr>
                <w:rFonts w:eastAsia="Georgia"/>
                <w:bCs/>
                <w:sz w:val="20"/>
                <w:szCs w:val="20"/>
              </w:rPr>
              <w:t>d</w:t>
            </w:r>
            <w:r w:rsidRPr="00C67A93">
              <w:rPr>
                <w:rFonts w:eastAsia="Georgia"/>
                <w:bCs/>
                <w:sz w:val="20"/>
                <w:szCs w:val="20"/>
              </w:rPr>
              <w:t>ate</w:t>
            </w:r>
          </w:p>
        </w:tc>
        <w:tc>
          <w:tcPr>
            <w:tcW w:w="640" w:type="pct"/>
            <w:tcBorders>
              <w:bottom w:val="single" w:sz="4" w:space="0" w:color="auto"/>
            </w:tcBorders>
            <w:vAlign w:val="bottom"/>
          </w:tcPr>
          <w:p w14:paraId="7D45B74E" w14:textId="77777777" w:rsidR="00891B3A" w:rsidRPr="00C67A93" w:rsidRDefault="00891B3A" w:rsidP="00891B3A">
            <w:pPr>
              <w:spacing w:after="0"/>
              <w:jc w:val="right"/>
              <w:rPr>
                <w:rFonts w:eastAsia="Georgia"/>
                <w:bCs/>
                <w:sz w:val="20"/>
                <w:szCs w:val="20"/>
              </w:rPr>
            </w:pPr>
            <w:r w:rsidRPr="00C67A93">
              <w:rPr>
                <w:rFonts w:eastAsia="Georgia"/>
                <w:bCs/>
                <w:sz w:val="20"/>
                <w:szCs w:val="20"/>
              </w:rPr>
              <w:t>Dividend</w:t>
            </w:r>
          </w:p>
          <w:p w14:paraId="76963893" w14:textId="77777777" w:rsidR="00891B3A" w:rsidRPr="00C67A93" w:rsidRDefault="00891B3A" w:rsidP="00891B3A">
            <w:pPr>
              <w:spacing w:after="0"/>
              <w:jc w:val="right"/>
              <w:rPr>
                <w:rFonts w:eastAsia="Georgia"/>
                <w:bCs/>
                <w:sz w:val="20"/>
                <w:szCs w:val="20"/>
              </w:rPr>
            </w:pPr>
            <w:r w:rsidRPr="00C67A93">
              <w:rPr>
                <w:rFonts w:eastAsia="Georgia"/>
                <w:bCs/>
                <w:sz w:val="20"/>
                <w:szCs w:val="20"/>
              </w:rPr>
              <w:t>£'000</w:t>
            </w:r>
          </w:p>
        </w:tc>
        <w:tc>
          <w:tcPr>
            <w:tcW w:w="860" w:type="pct"/>
            <w:tcBorders>
              <w:bottom w:val="single" w:sz="4" w:space="0" w:color="auto"/>
            </w:tcBorders>
            <w:vAlign w:val="bottom"/>
          </w:tcPr>
          <w:p w14:paraId="7C054860" w14:textId="77777777" w:rsidR="00891B3A" w:rsidRPr="00C67A93" w:rsidRDefault="00891B3A" w:rsidP="00AA4D0D">
            <w:pPr>
              <w:spacing w:after="0"/>
              <w:jc w:val="right"/>
              <w:rPr>
                <w:rFonts w:eastAsia="Georgia"/>
                <w:bCs/>
                <w:sz w:val="20"/>
                <w:szCs w:val="20"/>
              </w:rPr>
            </w:pPr>
            <w:r w:rsidRPr="00C67A93">
              <w:rPr>
                <w:rFonts w:eastAsia="Georgia"/>
                <w:bCs/>
                <w:sz w:val="20"/>
                <w:szCs w:val="20"/>
              </w:rPr>
              <w:t xml:space="preserve">Dividend </w:t>
            </w:r>
          </w:p>
          <w:p w14:paraId="0005B26B" w14:textId="09B6222E" w:rsidR="00891B3A" w:rsidRPr="00C67A93" w:rsidRDefault="00AF055C" w:rsidP="00AA4D0D">
            <w:pPr>
              <w:spacing w:after="0"/>
              <w:jc w:val="right"/>
              <w:rPr>
                <w:rFonts w:eastAsia="Georgia"/>
                <w:bCs/>
                <w:sz w:val="20"/>
                <w:szCs w:val="20"/>
              </w:rPr>
            </w:pPr>
            <w:r>
              <w:rPr>
                <w:rFonts w:eastAsia="Georgia"/>
                <w:bCs/>
                <w:sz w:val="20"/>
                <w:szCs w:val="20"/>
              </w:rPr>
              <w:t>p</w:t>
            </w:r>
            <w:r w:rsidR="00C36029">
              <w:rPr>
                <w:rFonts w:eastAsia="Georgia"/>
                <w:bCs/>
                <w:sz w:val="20"/>
                <w:szCs w:val="20"/>
              </w:rPr>
              <w:t xml:space="preserve">ence </w:t>
            </w:r>
            <w:r w:rsidR="00891B3A" w:rsidRPr="00C67A93">
              <w:rPr>
                <w:rFonts w:eastAsia="Georgia"/>
                <w:bCs/>
                <w:sz w:val="20"/>
                <w:szCs w:val="20"/>
              </w:rPr>
              <w:t xml:space="preserve">per </w:t>
            </w:r>
            <w:r>
              <w:rPr>
                <w:rFonts w:eastAsia="Georgia"/>
                <w:bCs/>
                <w:sz w:val="20"/>
                <w:szCs w:val="20"/>
              </w:rPr>
              <w:t>s</w:t>
            </w:r>
            <w:r w:rsidR="00891B3A" w:rsidRPr="00C67A93">
              <w:rPr>
                <w:rFonts w:eastAsia="Georgia"/>
                <w:bCs/>
                <w:sz w:val="20"/>
                <w:szCs w:val="20"/>
              </w:rPr>
              <w:t xml:space="preserve">hare </w:t>
            </w:r>
          </w:p>
        </w:tc>
      </w:tr>
      <w:tr w:rsidR="00891B3A" w:rsidRPr="00C67A93" w14:paraId="039F3D7F" w14:textId="77777777" w:rsidTr="00891B3A">
        <w:tc>
          <w:tcPr>
            <w:tcW w:w="1407" w:type="pct"/>
            <w:tcBorders>
              <w:top w:val="single" w:sz="4" w:space="0" w:color="auto"/>
            </w:tcBorders>
            <w:vAlign w:val="bottom"/>
          </w:tcPr>
          <w:p w14:paraId="3DDF86D1" w14:textId="77777777" w:rsidR="00891B3A" w:rsidRPr="00C67A93" w:rsidRDefault="00891B3A" w:rsidP="00891B3A">
            <w:pPr>
              <w:spacing w:after="0"/>
              <w:rPr>
                <w:rFonts w:eastAsia="Georgia"/>
                <w:b/>
                <w:sz w:val="20"/>
                <w:szCs w:val="20"/>
              </w:rPr>
            </w:pPr>
          </w:p>
        </w:tc>
        <w:tc>
          <w:tcPr>
            <w:tcW w:w="1015" w:type="pct"/>
            <w:tcBorders>
              <w:top w:val="single" w:sz="4" w:space="0" w:color="auto"/>
            </w:tcBorders>
            <w:vAlign w:val="bottom"/>
          </w:tcPr>
          <w:p w14:paraId="4343E5E7" w14:textId="77777777" w:rsidR="00891B3A" w:rsidRPr="00C67A93" w:rsidRDefault="00891B3A" w:rsidP="00891B3A">
            <w:pPr>
              <w:spacing w:after="0"/>
              <w:rPr>
                <w:rFonts w:eastAsia="Georgia"/>
                <w:bCs/>
                <w:sz w:val="20"/>
                <w:szCs w:val="20"/>
              </w:rPr>
            </w:pPr>
          </w:p>
        </w:tc>
        <w:tc>
          <w:tcPr>
            <w:tcW w:w="1077" w:type="pct"/>
            <w:tcBorders>
              <w:top w:val="single" w:sz="4" w:space="0" w:color="auto"/>
            </w:tcBorders>
            <w:vAlign w:val="bottom"/>
          </w:tcPr>
          <w:p w14:paraId="1ED7B0ED" w14:textId="77777777" w:rsidR="00891B3A" w:rsidRPr="00C67A93" w:rsidRDefault="00891B3A" w:rsidP="00891B3A">
            <w:pPr>
              <w:spacing w:after="0"/>
              <w:rPr>
                <w:rFonts w:eastAsia="Georgia"/>
                <w:bCs/>
                <w:sz w:val="20"/>
                <w:szCs w:val="20"/>
              </w:rPr>
            </w:pPr>
          </w:p>
        </w:tc>
        <w:tc>
          <w:tcPr>
            <w:tcW w:w="640" w:type="pct"/>
            <w:tcBorders>
              <w:top w:val="single" w:sz="4" w:space="0" w:color="auto"/>
            </w:tcBorders>
            <w:vAlign w:val="bottom"/>
          </w:tcPr>
          <w:p w14:paraId="53AB3E0D" w14:textId="77777777" w:rsidR="00891B3A" w:rsidRPr="00C67A93" w:rsidRDefault="00891B3A" w:rsidP="00891B3A">
            <w:pPr>
              <w:spacing w:after="0"/>
              <w:jc w:val="right"/>
              <w:rPr>
                <w:rFonts w:eastAsia="Georgia"/>
                <w:bCs/>
                <w:sz w:val="20"/>
                <w:szCs w:val="20"/>
              </w:rPr>
            </w:pPr>
          </w:p>
        </w:tc>
        <w:tc>
          <w:tcPr>
            <w:tcW w:w="860" w:type="pct"/>
            <w:tcBorders>
              <w:top w:val="single" w:sz="4" w:space="0" w:color="auto"/>
            </w:tcBorders>
            <w:vAlign w:val="bottom"/>
          </w:tcPr>
          <w:p w14:paraId="6B785D46" w14:textId="77777777" w:rsidR="00891B3A" w:rsidRPr="00C67A93" w:rsidRDefault="00891B3A" w:rsidP="00891B3A">
            <w:pPr>
              <w:spacing w:after="0"/>
              <w:jc w:val="right"/>
              <w:rPr>
                <w:rFonts w:eastAsia="Georgia"/>
                <w:bCs/>
                <w:sz w:val="20"/>
                <w:szCs w:val="20"/>
              </w:rPr>
            </w:pPr>
          </w:p>
        </w:tc>
      </w:tr>
      <w:tr w:rsidR="00891B3A" w:rsidRPr="00C67A93" w14:paraId="5A715521" w14:textId="77777777" w:rsidTr="00891B3A">
        <w:tc>
          <w:tcPr>
            <w:tcW w:w="1407" w:type="pct"/>
            <w:tcBorders>
              <w:bottom w:val="single" w:sz="4" w:space="0" w:color="auto"/>
            </w:tcBorders>
            <w:vAlign w:val="bottom"/>
          </w:tcPr>
          <w:p w14:paraId="0F06D661" w14:textId="77777777" w:rsidR="00891B3A" w:rsidRPr="00C67A93" w:rsidRDefault="00891B3A" w:rsidP="00891B3A">
            <w:pPr>
              <w:spacing w:after="0"/>
              <w:rPr>
                <w:rFonts w:eastAsia="Georgia"/>
                <w:bCs/>
                <w:sz w:val="20"/>
                <w:szCs w:val="20"/>
              </w:rPr>
            </w:pPr>
            <w:r w:rsidRPr="00C67A93">
              <w:rPr>
                <w:rFonts w:eastAsia="Georgia"/>
                <w:bCs/>
                <w:sz w:val="20"/>
                <w:szCs w:val="20"/>
              </w:rPr>
              <w:t>Special interim dividend</w:t>
            </w:r>
          </w:p>
        </w:tc>
        <w:tc>
          <w:tcPr>
            <w:tcW w:w="1015" w:type="pct"/>
            <w:tcBorders>
              <w:bottom w:val="single" w:sz="4" w:space="0" w:color="auto"/>
            </w:tcBorders>
            <w:vAlign w:val="bottom"/>
          </w:tcPr>
          <w:p w14:paraId="145B0548" w14:textId="77777777" w:rsidR="00891B3A" w:rsidRPr="00C67A93" w:rsidRDefault="00891B3A" w:rsidP="00891B3A">
            <w:pPr>
              <w:spacing w:after="0"/>
              <w:rPr>
                <w:rFonts w:eastAsia="Georgia"/>
                <w:bCs/>
                <w:sz w:val="20"/>
                <w:szCs w:val="20"/>
              </w:rPr>
            </w:pPr>
            <w:r w:rsidRPr="00C67A93">
              <w:rPr>
                <w:rFonts w:eastAsia="Georgia"/>
                <w:bCs/>
                <w:sz w:val="20"/>
                <w:szCs w:val="20"/>
              </w:rPr>
              <w:t>20 December 2019</w:t>
            </w:r>
          </w:p>
        </w:tc>
        <w:tc>
          <w:tcPr>
            <w:tcW w:w="1077" w:type="pct"/>
            <w:tcBorders>
              <w:bottom w:val="single" w:sz="4" w:space="0" w:color="auto"/>
            </w:tcBorders>
            <w:vAlign w:val="bottom"/>
          </w:tcPr>
          <w:p w14:paraId="02E65DEC" w14:textId="77777777" w:rsidR="00891B3A" w:rsidRPr="00C67A93" w:rsidRDefault="00891B3A" w:rsidP="00891B3A">
            <w:pPr>
              <w:spacing w:after="0"/>
              <w:rPr>
                <w:rFonts w:eastAsia="Georgia"/>
                <w:bCs/>
                <w:sz w:val="20"/>
                <w:szCs w:val="20"/>
              </w:rPr>
            </w:pPr>
            <w:r w:rsidRPr="00C67A93">
              <w:rPr>
                <w:rFonts w:eastAsia="Georgia"/>
                <w:bCs/>
                <w:sz w:val="20"/>
                <w:szCs w:val="20"/>
              </w:rPr>
              <w:t>14 January 2020</w:t>
            </w:r>
          </w:p>
        </w:tc>
        <w:tc>
          <w:tcPr>
            <w:tcW w:w="640" w:type="pct"/>
            <w:tcBorders>
              <w:bottom w:val="single" w:sz="4" w:space="0" w:color="auto"/>
            </w:tcBorders>
            <w:vAlign w:val="bottom"/>
          </w:tcPr>
          <w:p w14:paraId="5AADD424" w14:textId="77777777" w:rsidR="00891B3A" w:rsidRPr="00C67A93" w:rsidRDefault="00891B3A" w:rsidP="00891B3A">
            <w:pPr>
              <w:spacing w:after="0"/>
              <w:jc w:val="right"/>
              <w:rPr>
                <w:rFonts w:eastAsia="Georgia"/>
                <w:bCs/>
                <w:sz w:val="20"/>
                <w:szCs w:val="20"/>
              </w:rPr>
            </w:pPr>
            <w:r w:rsidRPr="00C67A93">
              <w:rPr>
                <w:rFonts w:eastAsia="Georgia"/>
                <w:bCs/>
                <w:sz w:val="20"/>
                <w:szCs w:val="20"/>
              </w:rPr>
              <w:t>3,431</w:t>
            </w:r>
          </w:p>
        </w:tc>
        <w:tc>
          <w:tcPr>
            <w:tcW w:w="860" w:type="pct"/>
            <w:tcBorders>
              <w:bottom w:val="single" w:sz="4" w:space="0" w:color="auto"/>
            </w:tcBorders>
            <w:vAlign w:val="bottom"/>
          </w:tcPr>
          <w:p w14:paraId="59B045C4" w14:textId="77777777" w:rsidR="00891B3A" w:rsidRPr="00C67A93" w:rsidRDefault="00891B3A" w:rsidP="00891B3A">
            <w:pPr>
              <w:spacing w:after="0"/>
              <w:jc w:val="right"/>
              <w:rPr>
                <w:rFonts w:eastAsia="Georgia"/>
                <w:bCs/>
                <w:sz w:val="20"/>
                <w:szCs w:val="20"/>
              </w:rPr>
            </w:pPr>
            <w:r w:rsidRPr="00C67A93">
              <w:rPr>
                <w:rFonts w:eastAsia="Georgia"/>
                <w:bCs/>
                <w:sz w:val="20"/>
                <w:szCs w:val="20"/>
              </w:rPr>
              <w:t>4.25</w:t>
            </w:r>
          </w:p>
        </w:tc>
      </w:tr>
      <w:tr w:rsidR="00891B3A" w:rsidRPr="00C67A93" w14:paraId="70C24A2D" w14:textId="77777777" w:rsidTr="00891B3A">
        <w:tc>
          <w:tcPr>
            <w:tcW w:w="1407" w:type="pct"/>
            <w:tcBorders>
              <w:top w:val="single" w:sz="4" w:space="0" w:color="auto"/>
            </w:tcBorders>
            <w:vAlign w:val="bottom"/>
          </w:tcPr>
          <w:p w14:paraId="48DBC687" w14:textId="77777777" w:rsidR="00891B3A" w:rsidRPr="00C67A93" w:rsidRDefault="00891B3A" w:rsidP="00891B3A">
            <w:pPr>
              <w:spacing w:after="0"/>
              <w:rPr>
                <w:rFonts w:eastAsia="Georgia"/>
                <w:b/>
                <w:sz w:val="20"/>
                <w:szCs w:val="20"/>
              </w:rPr>
            </w:pPr>
            <w:r w:rsidRPr="00C67A93">
              <w:rPr>
                <w:rFonts w:eastAsia="Georgia"/>
                <w:b/>
                <w:sz w:val="20"/>
                <w:szCs w:val="20"/>
              </w:rPr>
              <w:t>Total</w:t>
            </w:r>
            <w:r>
              <w:rPr>
                <w:rFonts w:eastAsia="Georgia"/>
                <w:b/>
                <w:sz w:val="20"/>
                <w:szCs w:val="20"/>
              </w:rPr>
              <w:t xml:space="preserve"> as at 30 June 2020</w:t>
            </w:r>
          </w:p>
        </w:tc>
        <w:tc>
          <w:tcPr>
            <w:tcW w:w="1015" w:type="pct"/>
            <w:tcBorders>
              <w:top w:val="single" w:sz="4" w:space="0" w:color="auto"/>
            </w:tcBorders>
            <w:vAlign w:val="bottom"/>
          </w:tcPr>
          <w:p w14:paraId="325C0654" w14:textId="77777777" w:rsidR="00891B3A" w:rsidRPr="00C67A93" w:rsidRDefault="00891B3A" w:rsidP="00891B3A">
            <w:pPr>
              <w:spacing w:after="0"/>
              <w:rPr>
                <w:rFonts w:eastAsia="Georgia"/>
                <w:bCs/>
                <w:sz w:val="20"/>
                <w:szCs w:val="20"/>
              </w:rPr>
            </w:pPr>
          </w:p>
        </w:tc>
        <w:tc>
          <w:tcPr>
            <w:tcW w:w="1077" w:type="pct"/>
            <w:tcBorders>
              <w:top w:val="single" w:sz="4" w:space="0" w:color="auto"/>
            </w:tcBorders>
            <w:vAlign w:val="bottom"/>
          </w:tcPr>
          <w:p w14:paraId="0F6BA3D4" w14:textId="77777777" w:rsidR="00891B3A" w:rsidRPr="00C67A93" w:rsidRDefault="00891B3A" w:rsidP="00891B3A">
            <w:pPr>
              <w:spacing w:after="0"/>
              <w:rPr>
                <w:rFonts w:eastAsia="Georgia"/>
                <w:bCs/>
                <w:sz w:val="20"/>
                <w:szCs w:val="20"/>
              </w:rPr>
            </w:pPr>
          </w:p>
        </w:tc>
        <w:tc>
          <w:tcPr>
            <w:tcW w:w="640" w:type="pct"/>
            <w:tcBorders>
              <w:top w:val="single" w:sz="4" w:space="0" w:color="auto"/>
            </w:tcBorders>
            <w:vAlign w:val="bottom"/>
          </w:tcPr>
          <w:p w14:paraId="2F78B14A" w14:textId="77777777" w:rsidR="00891B3A" w:rsidRPr="00C67A93" w:rsidRDefault="00891B3A" w:rsidP="00891B3A">
            <w:pPr>
              <w:spacing w:after="0"/>
              <w:jc w:val="right"/>
              <w:rPr>
                <w:rFonts w:eastAsia="Georgia"/>
                <w:bCs/>
                <w:sz w:val="20"/>
                <w:szCs w:val="20"/>
              </w:rPr>
            </w:pPr>
            <w:r w:rsidRPr="00C67A93">
              <w:rPr>
                <w:rFonts w:eastAsia="Georgia"/>
                <w:bCs/>
                <w:sz w:val="20"/>
                <w:szCs w:val="20"/>
              </w:rPr>
              <w:t>3,431</w:t>
            </w:r>
          </w:p>
        </w:tc>
        <w:tc>
          <w:tcPr>
            <w:tcW w:w="860" w:type="pct"/>
            <w:tcBorders>
              <w:top w:val="single" w:sz="4" w:space="0" w:color="auto"/>
            </w:tcBorders>
            <w:vAlign w:val="bottom"/>
          </w:tcPr>
          <w:p w14:paraId="44364357" w14:textId="77777777" w:rsidR="00891B3A" w:rsidRPr="00C67A93" w:rsidRDefault="00891B3A" w:rsidP="00891B3A">
            <w:pPr>
              <w:spacing w:after="0"/>
              <w:jc w:val="right"/>
              <w:rPr>
                <w:rFonts w:eastAsia="Georgia"/>
                <w:bCs/>
                <w:sz w:val="20"/>
                <w:szCs w:val="20"/>
              </w:rPr>
            </w:pPr>
            <w:r w:rsidRPr="00C67A93">
              <w:rPr>
                <w:rFonts w:eastAsia="Georgia"/>
                <w:bCs/>
                <w:sz w:val="20"/>
                <w:szCs w:val="20"/>
              </w:rPr>
              <w:t>4.25</w:t>
            </w:r>
          </w:p>
        </w:tc>
      </w:tr>
      <w:tr w:rsidR="00891B3A" w:rsidRPr="00C67A93" w14:paraId="2A870C34" w14:textId="77777777" w:rsidTr="00891B3A">
        <w:tc>
          <w:tcPr>
            <w:tcW w:w="1407" w:type="pct"/>
            <w:tcBorders>
              <w:bottom w:val="single" w:sz="4" w:space="0" w:color="auto"/>
            </w:tcBorders>
            <w:vAlign w:val="bottom"/>
          </w:tcPr>
          <w:p w14:paraId="68A49DED" w14:textId="77777777" w:rsidR="00891B3A" w:rsidRPr="00C67A93" w:rsidRDefault="00891B3A" w:rsidP="00891B3A">
            <w:pPr>
              <w:spacing w:after="0"/>
              <w:rPr>
                <w:rFonts w:eastAsia="Georgia"/>
                <w:b/>
                <w:sz w:val="20"/>
                <w:szCs w:val="20"/>
              </w:rPr>
            </w:pPr>
          </w:p>
        </w:tc>
        <w:tc>
          <w:tcPr>
            <w:tcW w:w="1015" w:type="pct"/>
            <w:tcBorders>
              <w:bottom w:val="single" w:sz="4" w:space="0" w:color="auto"/>
            </w:tcBorders>
            <w:vAlign w:val="bottom"/>
          </w:tcPr>
          <w:p w14:paraId="0E4B776D" w14:textId="77777777" w:rsidR="00891B3A" w:rsidRPr="00C67A93" w:rsidRDefault="00891B3A" w:rsidP="00891B3A">
            <w:pPr>
              <w:spacing w:after="0"/>
              <w:rPr>
                <w:rFonts w:eastAsia="Georgia"/>
                <w:bCs/>
                <w:sz w:val="20"/>
                <w:szCs w:val="20"/>
              </w:rPr>
            </w:pPr>
          </w:p>
        </w:tc>
        <w:tc>
          <w:tcPr>
            <w:tcW w:w="1077" w:type="pct"/>
            <w:tcBorders>
              <w:bottom w:val="single" w:sz="4" w:space="0" w:color="auto"/>
            </w:tcBorders>
            <w:vAlign w:val="bottom"/>
          </w:tcPr>
          <w:p w14:paraId="00313A69" w14:textId="77777777" w:rsidR="00891B3A" w:rsidRPr="00C67A93" w:rsidRDefault="00891B3A" w:rsidP="00891B3A">
            <w:pPr>
              <w:spacing w:after="0"/>
              <w:rPr>
                <w:rFonts w:eastAsia="Georgia"/>
                <w:bCs/>
                <w:sz w:val="20"/>
                <w:szCs w:val="20"/>
              </w:rPr>
            </w:pPr>
          </w:p>
        </w:tc>
        <w:tc>
          <w:tcPr>
            <w:tcW w:w="640" w:type="pct"/>
            <w:tcBorders>
              <w:bottom w:val="single" w:sz="4" w:space="0" w:color="auto"/>
            </w:tcBorders>
            <w:vAlign w:val="bottom"/>
          </w:tcPr>
          <w:p w14:paraId="7B9A8F41" w14:textId="77777777" w:rsidR="00891B3A" w:rsidRPr="00C67A93" w:rsidRDefault="00891B3A" w:rsidP="00891B3A">
            <w:pPr>
              <w:spacing w:after="0"/>
              <w:jc w:val="right"/>
              <w:rPr>
                <w:rFonts w:eastAsia="Georgia"/>
                <w:bCs/>
                <w:sz w:val="20"/>
                <w:szCs w:val="20"/>
              </w:rPr>
            </w:pPr>
          </w:p>
        </w:tc>
        <w:tc>
          <w:tcPr>
            <w:tcW w:w="860" w:type="pct"/>
            <w:tcBorders>
              <w:bottom w:val="single" w:sz="4" w:space="0" w:color="auto"/>
            </w:tcBorders>
            <w:vAlign w:val="bottom"/>
          </w:tcPr>
          <w:p w14:paraId="7376AAE5" w14:textId="77777777" w:rsidR="00891B3A" w:rsidRPr="00C67A93" w:rsidRDefault="00891B3A" w:rsidP="00891B3A">
            <w:pPr>
              <w:spacing w:after="0"/>
              <w:jc w:val="right"/>
              <w:rPr>
                <w:rFonts w:eastAsia="Georgia"/>
                <w:bCs/>
                <w:sz w:val="20"/>
                <w:szCs w:val="20"/>
              </w:rPr>
            </w:pPr>
          </w:p>
        </w:tc>
      </w:tr>
      <w:tr w:rsidR="00891B3A" w:rsidRPr="00C67A93" w14:paraId="42DD3130" w14:textId="77777777" w:rsidTr="00891B3A">
        <w:tc>
          <w:tcPr>
            <w:tcW w:w="1407" w:type="pct"/>
            <w:vAlign w:val="bottom"/>
          </w:tcPr>
          <w:p w14:paraId="19EBE7DB" w14:textId="77777777" w:rsidR="00891B3A" w:rsidRPr="00C67A93" w:rsidRDefault="00891B3A" w:rsidP="00891B3A">
            <w:pPr>
              <w:spacing w:after="0"/>
              <w:rPr>
                <w:rFonts w:eastAsia="Georgia"/>
                <w:b/>
                <w:sz w:val="20"/>
                <w:szCs w:val="20"/>
              </w:rPr>
            </w:pPr>
          </w:p>
        </w:tc>
        <w:tc>
          <w:tcPr>
            <w:tcW w:w="1015" w:type="pct"/>
            <w:vAlign w:val="bottom"/>
          </w:tcPr>
          <w:p w14:paraId="0A2A828C" w14:textId="77777777" w:rsidR="00891B3A" w:rsidRPr="00C67A93" w:rsidRDefault="00891B3A" w:rsidP="00891B3A">
            <w:pPr>
              <w:spacing w:after="0"/>
              <w:rPr>
                <w:rFonts w:eastAsia="Georgia"/>
                <w:bCs/>
                <w:sz w:val="20"/>
                <w:szCs w:val="20"/>
              </w:rPr>
            </w:pPr>
          </w:p>
        </w:tc>
        <w:tc>
          <w:tcPr>
            <w:tcW w:w="1077" w:type="pct"/>
            <w:vAlign w:val="bottom"/>
          </w:tcPr>
          <w:p w14:paraId="1BDEDB00" w14:textId="77777777" w:rsidR="00891B3A" w:rsidRPr="00C67A93" w:rsidRDefault="00891B3A" w:rsidP="00891B3A">
            <w:pPr>
              <w:spacing w:after="0"/>
              <w:rPr>
                <w:rFonts w:eastAsia="Georgia"/>
                <w:bCs/>
                <w:sz w:val="20"/>
                <w:szCs w:val="20"/>
              </w:rPr>
            </w:pPr>
          </w:p>
        </w:tc>
        <w:tc>
          <w:tcPr>
            <w:tcW w:w="640" w:type="pct"/>
            <w:vAlign w:val="bottom"/>
          </w:tcPr>
          <w:p w14:paraId="4F8453EF" w14:textId="77777777" w:rsidR="00891B3A" w:rsidRPr="00C67A93" w:rsidRDefault="00891B3A" w:rsidP="00891B3A">
            <w:pPr>
              <w:spacing w:after="0"/>
              <w:jc w:val="right"/>
              <w:rPr>
                <w:rFonts w:eastAsia="Georgia"/>
                <w:bCs/>
                <w:sz w:val="20"/>
                <w:szCs w:val="20"/>
              </w:rPr>
            </w:pPr>
          </w:p>
        </w:tc>
        <w:tc>
          <w:tcPr>
            <w:tcW w:w="860" w:type="pct"/>
            <w:vAlign w:val="bottom"/>
          </w:tcPr>
          <w:p w14:paraId="2294D5DD" w14:textId="77777777" w:rsidR="00891B3A" w:rsidRPr="00C67A93" w:rsidRDefault="00891B3A" w:rsidP="00891B3A">
            <w:pPr>
              <w:spacing w:after="0"/>
              <w:jc w:val="right"/>
              <w:rPr>
                <w:rFonts w:eastAsia="Georgia"/>
                <w:bCs/>
                <w:sz w:val="20"/>
                <w:szCs w:val="20"/>
              </w:rPr>
            </w:pPr>
          </w:p>
        </w:tc>
      </w:tr>
      <w:tr w:rsidR="00891B3A" w:rsidRPr="00C67A93" w14:paraId="1746AA0C" w14:textId="77777777" w:rsidTr="00891B3A">
        <w:tc>
          <w:tcPr>
            <w:tcW w:w="1407" w:type="pct"/>
          </w:tcPr>
          <w:p w14:paraId="3AB4D73A" w14:textId="77777777" w:rsidR="00891B3A" w:rsidRPr="00C67A93" w:rsidRDefault="00891B3A" w:rsidP="00891B3A">
            <w:pPr>
              <w:spacing w:after="0"/>
              <w:rPr>
                <w:rFonts w:eastAsia="Georgia"/>
                <w:bCs/>
                <w:sz w:val="20"/>
                <w:szCs w:val="20"/>
              </w:rPr>
            </w:pPr>
            <w:r w:rsidRPr="00C67A93">
              <w:rPr>
                <w:rFonts w:eastAsia="Georgia"/>
                <w:bCs/>
                <w:sz w:val="20"/>
                <w:szCs w:val="20"/>
              </w:rPr>
              <w:t>Final dividend</w:t>
            </w:r>
          </w:p>
        </w:tc>
        <w:tc>
          <w:tcPr>
            <w:tcW w:w="1015" w:type="pct"/>
          </w:tcPr>
          <w:p w14:paraId="46B1AF46" w14:textId="77777777" w:rsidR="00891B3A" w:rsidRPr="00C67A93" w:rsidRDefault="00891B3A" w:rsidP="00891B3A">
            <w:pPr>
              <w:spacing w:after="0"/>
              <w:jc w:val="both"/>
              <w:rPr>
                <w:rFonts w:eastAsia="Georgia"/>
                <w:bCs/>
                <w:sz w:val="20"/>
                <w:szCs w:val="20"/>
              </w:rPr>
            </w:pPr>
            <w:r w:rsidRPr="00C67A93">
              <w:rPr>
                <w:rFonts w:eastAsia="Georgia"/>
                <w:bCs/>
                <w:sz w:val="20"/>
                <w:szCs w:val="20"/>
              </w:rPr>
              <w:t>21 May 2021</w:t>
            </w:r>
          </w:p>
        </w:tc>
        <w:tc>
          <w:tcPr>
            <w:tcW w:w="1077" w:type="pct"/>
          </w:tcPr>
          <w:p w14:paraId="299DFD27" w14:textId="77777777" w:rsidR="00891B3A" w:rsidRPr="00C67A93" w:rsidRDefault="00891B3A" w:rsidP="00891B3A">
            <w:pPr>
              <w:spacing w:after="0"/>
              <w:rPr>
                <w:rFonts w:eastAsia="Georgia"/>
                <w:bCs/>
                <w:sz w:val="20"/>
                <w:szCs w:val="20"/>
              </w:rPr>
            </w:pPr>
            <w:r w:rsidRPr="00C67A93">
              <w:rPr>
                <w:rFonts w:eastAsia="Georgia"/>
                <w:bCs/>
                <w:sz w:val="20"/>
                <w:szCs w:val="20"/>
              </w:rPr>
              <w:t>14 June 2021</w:t>
            </w:r>
          </w:p>
        </w:tc>
        <w:tc>
          <w:tcPr>
            <w:tcW w:w="640" w:type="pct"/>
            <w:vAlign w:val="bottom"/>
          </w:tcPr>
          <w:p w14:paraId="2D058A26" w14:textId="77777777" w:rsidR="00891B3A" w:rsidRPr="00C67A93" w:rsidRDefault="00891B3A" w:rsidP="00891B3A">
            <w:pPr>
              <w:spacing w:after="0"/>
              <w:jc w:val="right"/>
              <w:rPr>
                <w:rFonts w:eastAsia="Georgia"/>
                <w:b/>
                <w:sz w:val="20"/>
                <w:szCs w:val="20"/>
              </w:rPr>
            </w:pPr>
            <w:r w:rsidRPr="00C67A93">
              <w:rPr>
                <w:rFonts w:eastAsia="Georgia"/>
                <w:b/>
                <w:sz w:val="20"/>
                <w:szCs w:val="20"/>
              </w:rPr>
              <w:t>484</w:t>
            </w:r>
          </w:p>
        </w:tc>
        <w:tc>
          <w:tcPr>
            <w:tcW w:w="860" w:type="pct"/>
            <w:vAlign w:val="bottom"/>
          </w:tcPr>
          <w:p w14:paraId="4891AA7F" w14:textId="77777777" w:rsidR="00891B3A" w:rsidRPr="00C67A93" w:rsidRDefault="00891B3A" w:rsidP="00891B3A">
            <w:pPr>
              <w:spacing w:after="0"/>
              <w:jc w:val="right"/>
              <w:rPr>
                <w:rFonts w:eastAsia="Georgia"/>
                <w:b/>
                <w:sz w:val="20"/>
                <w:szCs w:val="20"/>
              </w:rPr>
            </w:pPr>
            <w:r w:rsidRPr="00C67A93">
              <w:rPr>
                <w:rFonts w:eastAsia="Georgia"/>
                <w:b/>
                <w:sz w:val="20"/>
                <w:szCs w:val="20"/>
              </w:rPr>
              <w:t>0.6</w:t>
            </w:r>
          </w:p>
        </w:tc>
      </w:tr>
      <w:tr w:rsidR="00891B3A" w:rsidRPr="00C67A93" w14:paraId="3166F82C" w14:textId="77777777" w:rsidTr="008D4734">
        <w:trPr>
          <w:trHeight w:val="58"/>
        </w:trPr>
        <w:tc>
          <w:tcPr>
            <w:tcW w:w="1407" w:type="pct"/>
            <w:tcBorders>
              <w:top w:val="single" w:sz="4" w:space="0" w:color="auto"/>
              <w:bottom w:val="single" w:sz="4" w:space="0" w:color="auto"/>
            </w:tcBorders>
            <w:vAlign w:val="bottom"/>
          </w:tcPr>
          <w:p w14:paraId="0CF65505" w14:textId="77777777" w:rsidR="00891B3A" w:rsidRPr="00C67A93" w:rsidRDefault="00891B3A" w:rsidP="008D4734">
            <w:pPr>
              <w:spacing w:after="0"/>
              <w:rPr>
                <w:rFonts w:eastAsia="Georgia"/>
                <w:b/>
                <w:sz w:val="20"/>
                <w:szCs w:val="20"/>
              </w:rPr>
            </w:pPr>
            <w:r w:rsidRPr="00C67A93">
              <w:rPr>
                <w:rFonts w:eastAsia="Georgia"/>
                <w:b/>
                <w:sz w:val="20"/>
                <w:szCs w:val="20"/>
              </w:rPr>
              <w:t>Total</w:t>
            </w:r>
            <w:r>
              <w:rPr>
                <w:rFonts w:eastAsia="Georgia"/>
                <w:b/>
                <w:sz w:val="20"/>
                <w:szCs w:val="20"/>
              </w:rPr>
              <w:t xml:space="preserve"> as at 30 June 2021</w:t>
            </w:r>
          </w:p>
        </w:tc>
        <w:tc>
          <w:tcPr>
            <w:tcW w:w="1015" w:type="pct"/>
            <w:tcBorders>
              <w:top w:val="single" w:sz="4" w:space="0" w:color="auto"/>
              <w:bottom w:val="single" w:sz="4" w:space="0" w:color="auto"/>
            </w:tcBorders>
          </w:tcPr>
          <w:p w14:paraId="61285F4E" w14:textId="77777777" w:rsidR="00891B3A" w:rsidRPr="00C67A93" w:rsidRDefault="00891B3A" w:rsidP="00891B3A">
            <w:pPr>
              <w:spacing w:after="0"/>
              <w:rPr>
                <w:rFonts w:eastAsia="Georgia"/>
                <w:bCs/>
                <w:sz w:val="20"/>
                <w:szCs w:val="20"/>
                <w:highlight w:val="yellow"/>
              </w:rPr>
            </w:pPr>
          </w:p>
        </w:tc>
        <w:tc>
          <w:tcPr>
            <w:tcW w:w="1077" w:type="pct"/>
            <w:tcBorders>
              <w:top w:val="single" w:sz="4" w:space="0" w:color="auto"/>
              <w:bottom w:val="single" w:sz="4" w:space="0" w:color="auto"/>
            </w:tcBorders>
          </w:tcPr>
          <w:p w14:paraId="64DD1FE8" w14:textId="77777777" w:rsidR="00891B3A" w:rsidRPr="00C67A93" w:rsidRDefault="00891B3A" w:rsidP="00891B3A">
            <w:pPr>
              <w:spacing w:after="0"/>
              <w:rPr>
                <w:rFonts w:eastAsia="Georgia"/>
                <w:bCs/>
                <w:sz w:val="20"/>
                <w:szCs w:val="20"/>
              </w:rPr>
            </w:pPr>
          </w:p>
        </w:tc>
        <w:tc>
          <w:tcPr>
            <w:tcW w:w="640" w:type="pct"/>
            <w:tcBorders>
              <w:top w:val="single" w:sz="4" w:space="0" w:color="auto"/>
              <w:bottom w:val="single" w:sz="4" w:space="0" w:color="auto"/>
            </w:tcBorders>
            <w:vAlign w:val="bottom"/>
          </w:tcPr>
          <w:p w14:paraId="121DE8B1" w14:textId="77777777" w:rsidR="00891B3A" w:rsidRPr="00C67A93" w:rsidRDefault="00891B3A" w:rsidP="00891B3A">
            <w:pPr>
              <w:spacing w:after="0"/>
              <w:jc w:val="right"/>
              <w:rPr>
                <w:rFonts w:eastAsia="Georgia"/>
                <w:b/>
                <w:sz w:val="20"/>
                <w:szCs w:val="20"/>
              </w:rPr>
            </w:pPr>
            <w:r w:rsidRPr="00C67A93">
              <w:rPr>
                <w:rFonts w:eastAsia="Georgia"/>
                <w:b/>
                <w:sz w:val="20"/>
                <w:szCs w:val="20"/>
              </w:rPr>
              <w:t>484</w:t>
            </w:r>
          </w:p>
        </w:tc>
        <w:tc>
          <w:tcPr>
            <w:tcW w:w="860" w:type="pct"/>
            <w:tcBorders>
              <w:top w:val="single" w:sz="4" w:space="0" w:color="auto"/>
              <w:bottom w:val="single" w:sz="4" w:space="0" w:color="auto"/>
            </w:tcBorders>
            <w:vAlign w:val="bottom"/>
          </w:tcPr>
          <w:p w14:paraId="207486E0" w14:textId="77777777" w:rsidR="00891B3A" w:rsidRPr="00C67A93" w:rsidRDefault="00891B3A" w:rsidP="00891B3A">
            <w:pPr>
              <w:spacing w:after="0"/>
              <w:jc w:val="right"/>
              <w:rPr>
                <w:rFonts w:eastAsia="Georgia"/>
                <w:b/>
                <w:sz w:val="20"/>
                <w:szCs w:val="20"/>
              </w:rPr>
            </w:pPr>
            <w:r w:rsidRPr="00C67A93">
              <w:rPr>
                <w:rFonts w:eastAsia="Georgia"/>
                <w:b/>
                <w:sz w:val="20"/>
                <w:szCs w:val="20"/>
              </w:rPr>
              <w:t>0.6</w:t>
            </w:r>
          </w:p>
        </w:tc>
      </w:tr>
    </w:tbl>
    <w:p w14:paraId="1F37EA10" w14:textId="77777777" w:rsidR="00F437C8" w:rsidRDefault="00F437C8" w:rsidP="00F437C8">
      <w:pPr>
        <w:shd w:val="clear" w:color="auto" w:fill="FFFFFF"/>
        <w:spacing w:after="0" w:line="240" w:lineRule="auto"/>
        <w:rPr>
          <w:rFonts w:ascii="Arial" w:hAnsi="Arial" w:cs="Arial"/>
        </w:rPr>
      </w:pPr>
    </w:p>
    <w:p w14:paraId="365CA72D" w14:textId="68F1CC4F" w:rsidR="00F437C8" w:rsidRPr="00F437C8" w:rsidRDefault="00F437C8" w:rsidP="00891B3A">
      <w:pPr>
        <w:shd w:val="clear" w:color="auto" w:fill="FFFFFF"/>
        <w:rPr>
          <w:rFonts w:ascii="Arial" w:hAnsi="Arial" w:cs="Arial"/>
          <w:bCs/>
          <w:sz w:val="28"/>
          <w:szCs w:val="28"/>
        </w:rPr>
      </w:pPr>
      <w:r w:rsidRPr="00AC0617">
        <w:rPr>
          <w:rFonts w:ascii="Arial" w:hAnsi="Arial" w:cs="Arial"/>
        </w:rPr>
        <w:t xml:space="preserve">The Board has approved the interim dividend for the 2021 year of 0.3 pence per share to be paid on </w:t>
      </w:r>
      <w:r>
        <w:rPr>
          <w:rFonts w:ascii="Arial" w:hAnsi="Arial" w:cs="Arial"/>
        </w:rPr>
        <w:t>15</w:t>
      </w:r>
      <w:r w:rsidRPr="00AC0617">
        <w:rPr>
          <w:rFonts w:ascii="Arial" w:hAnsi="Arial" w:cs="Arial"/>
        </w:rPr>
        <w:t xml:space="preserve"> September 2021.</w:t>
      </w:r>
    </w:p>
    <w:p w14:paraId="54AF34B3"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60859510" w14:textId="77777777" w:rsidR="00891B3A" w:rsidRPr="00C67A93" w:rsidRDefault="00891B3A" w:rsidP="00891B3A">
      <w:pPr>
        <w:widowControl/>
        <w:suppressAutoHyphens w:val="0"/>
        <w:spacing w:after="0" w:line="240" w:lineRule="auto"/>
        <w:rPr>
          <w:rFonts w:ascii="Arial" w:hAnsi="Arial" w:cs="Arial"/>
          <w:b/>
          <w:sz w:val="20"/>
          <w:szCs w:val="20"/>
        </w:rPr>
      </w:pPr>
    </w:p>
    <w:p w14:paraId="7FB45F13" w14:textId="77777777" w:rsidR="00891B3A" w:rsidRPr="00C67A93" w:rsidRDefault="00891B3A" w:rsidP="00891B3A">
      <w:pPr>
        <w:shd w:val="clear" w:color="auto" w:fill="FFFFFF"/>
        <w:rPr>
          <w:rFonts w:ascii="Arial" w:hAnsi="Arial" w:cs="Arial"/>
          <w:b/>
          <w:sz w:val="28"/>
          <w:szCs w:val="28"/>
        </w:rPr>
      </w:pPr>
      <w:r w:rsidRPr="00C67A93">
        <w:rPr>
          <w:rFonts w:ascii="Arial" w:hAnsi="Arial" w:cs="Arial"/>
          <w:b/>
          <w:sz w:val="28"/>
          <w:szCs w:val="28"/>
        </w:rPr>
        <w:t>5.</w:t>
      </w:r>
      <w:r w:rsidRPr="00C67A93">
        <w:rPr>
          <w:rFonts w:ascii="Arial" w:hAnsi="Arial" w:cs="Arial"/>
          <w:b/>
          <w:sz w:val="28"/>
          <w:szCs w:val="28"/>
        </w:rPr>
        <w:tab/>
        <w:t xml:space="preserve">Investments </w:t>
      </w:r>
    </w:p>
    <w:p w14:paraId="45B05B0E" w14:textId="77777777" w:rsidR="00891B3A" w:rsidRPr="00C67A93" w:rsidRDefault="00891B3A" w:rsidP="00891B3A">
      <w:pPr>
        <w:shd w:val="clear" w:color="auto" w:fill="FFFFFF"/>
        <w:spacing w:after="0"/>
        <w:jc w:val="both"/>
        <w:rPr>
          <w:rFonts w:ascii="Arial" w:hAnsi="Arial" w:cs="Arial"/>
        </w:rPr>
      </w:pPr>
      <w:r w:rsidRPr="00C67A93">
        <w:rPr>
          <w:rFonts w:ascii="Arial" w:hAnsi="Arial" w:cs="Arial"/>
        </w:rPr>
        <w:t>The Company’s investments comprised the following:</w:t>
      </w:r>
    </w:p>
    <w:tbl>
      <w:tblPr>
        <w:tblW w:w="5000" w:type="pct"/>
        <w:tblLook w:val="04A0" w:firstRow="1" w:lastRow="0" w:firstColumn="1" w:lastColumn="0" w:noHBand="0" w:noVBand="1"/>
      </w:tblPr>
      <w:tblGrid>
        <w:gridCol w:w="5339"/>
        <w:gridCol w:w="1861"/>
        <w:gridCol w:w="1870"/>
      </w:tblGrid>
      <w:tr w:rsidR="00891B3A" w:rsidRPr="00C67A93" w14:paraId="39BEE6DA" w14:textId="77777777" w:rsidTr="00891B3A">
        <w:trPr>
          <w:trHeight w:val="272"/>
        </w:trPr>
        <w:tc>
          <w:tcPr>
            <w:tcW w:w="2943" w:type="pct"/>
            <w:tcBorders>
              <w:top w:val="nil"/>
              <w:left w:val="nil"/>
              <w:bottom w:val="nil"/>
              <w:right w:val="nil"/>
            </w:tcBorders>
            <w:shd w:val="clear" w:color="000000" w:fill="FFFFFF"/>
            <w:noWrap/>
            <w:vAlign w:val="bottom"/>
            <w:hideMark/>
          </w:tcPr>
          <w:p w14:paraId="19A20B5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026" w:type="pct"/>
            <w:tcBorders>
              <w:top w:val="nil"/>
              <w:left w:val="nil"/>
              <w:bottom w:val="single" w:sz="4" w:space="0" w:color="auto"/>
              <w:right w:val="nil"/>
            </w:tcBorders>
            <w:shd w:val="clear" w:color="000000" w:fill="FFFFFF"/>
            <w:noWrap/>
            <w:vAlign w:val="bottom"/>
            <w:hideMark/>
          </w:tcPr>
          <w:p w14:paraId="789AE279"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 xml:space="preserve">30 June </w:t>
            </w:r>
          </w:p>
        </w:tc>
        <w:tc>
          <w:tcPr>
            <w:tcW w:w="1031" w:type="pct"/>
            <w:tcBorders>
              <w:top w:val="nil"/>
              <w:left w:val="nil"/>
              <w:bottom w:val="single" w:sz="4" w:space="0" w:color="auto"/>
              <w:right w:val="nil"/>
            </w:tcBorders>
            <w:shd w:val="clear" w:color="000000" w:fill="FFFFFF"/>
            <w:vAlign w:val="bottom"/>
            <w:hideMark/>
          </w:tcPr>
          <w:p w14:paraId="68EF272D"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color w:val="000000"/>
                <w:sz w:val="20"/>
                <w:szCs w:val="20"/>
                <w:lang w:val="en-SG" w:eastAsia="en-SG"/>
              </w:rPr>
            </w:pPr>
            <w:r w:rsidRPr="00C67A93">
              <w:rPr>
                <w:rFonts w:ascii="Arial" w:eastAsia="Times New Roman" w:hAnsi="Arial" w:cs="Arial"/>
                <w:b/>
                <w:bCs/>
                <w:color w:val="000000"/>
                <w:sz w:val="20"/>
                <w:szCs w:val="20"/>
                <w:lang w:val="en-SG" w:eastAsia="en-SG"/>
              </w:rPr>
              <w:t xml:space="preserve">31 December </w:t>
            </w:r>
          </w:p>
        </w:tc>
      </w:tr>
      <w:tr w:rsidR="00891B3A" w:rsidRPr="00C67A93" w14:paraId="56AD4C66" w14:textId="77777777" w:rsidTr="00891B3A">
        <w:trPr>
          <w:trHeight w:val="272"/>
        </w:trPr>
        <w:tc>
          <w:tcPr>
            <w:tcW w:w="2943" w:type="pct"/>
            <w:tcBorders>
              <w:top w:val="nil"/>
              <w:left w:val="nil"/>
              <w:bottom w:val="nil"/>
              <w:right w:val="nil"/>
            </w:tcBorders>
            <w:shd w:val="clear" w:color="000000" w:fill="FFFFFF"/>
            <w:noWrap/>
            <w:vAlign w:val="bottom"/>
            <w:hideMark/>
          </w:tcPr>
          <w:p w14:paraId="6BAB1C8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026" w:type="pct"/>
            <w:tcBorders>
              <w:top w:val="single" w:sz="4" w:space="0" w:color="auto"/>
              <w:left w:val="nil"/>
              <w:right w:val="nil"/>
            </w:tcBorders>
            <w:shd w:val="clear" w:color="auto" w:fill="FDE9D9" w:themeFill="accent6" w:themeFillTint="33"/>
            <w:noWrap/>
            <w:vAlign w:val="bottom"/>
          </w:tcPr>
          <w:p w14:paraId="1E73218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2021</w:t>
            </w:r>
          </w:p>
        </w:tc>
        <w:tc>
          <w:tcPr>
            <w:tcW w:w="1031" w:type="pct"/>
            <w:tcBorders>
              <w:top w:val="single" w:sz="4" w:space="0" w:color="auto"/>
              <w:left w:val="nil"/>
              <w:right w:val="nil"/>
            </w:tcBorders>
            <w:shd w:val="clear" w:color="000000" w:fill="FFFFFF"/>
            <w:vAlign w:val="bottom"/>
          </w:tcPr>
          <w:p w14:paraId="41D9AC21"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color w:val="000000"/>
                <w:sz w:val="20"/>
                <w:szCs w:val="20"/>
                <w:lang w:val="en-SG" w:eastAsia="en-SG"/>
              </w:rPr>
              <w:t>2020</w:t>
            </w:r>
          </w:p>
        </w:tc>
      </w:tr>
      <w:tr w:rsidR="00891B3A" w:rsidRPr="00C67A93" w14:paraId="74859048" w14:textId="77777777" w:rsidTr="00891B3A">
        <w:trPr>
          <w:trHeight w:val="256"/>
        </w:trPr>
        <w:tc>
          <w:tcPr>
            <w:tcW w:w="2943" w:type="pct"/>
            <w:tcBorders>
              <w:top w:val="nil"/>
              <w:left w:val="nil"/>
              <w:bottom w:val="nil"/>
              <w:right w:val="nil"/>
            </w:tcBorders>
            <w:shd w:val="clear" w:color="000000" w:fill="FFFFFF"/>
            <w:noWrap/>
            <w:vAlign w:val="bottom"/>
            <w:hideMark/>
          </w:tcPr>
          <w:p w14:paraId="5158B9C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026" w:type="pct"/>
            <w:tcBorders>
              <w:left w:val="nil"/>
              <w:bottom w:val="nil"/>
              <w:right w:val="nil"/>
            </w:tcBorders>
            <w:shd w:val="clear" w:color="auto" w:fill="FDE9D9" w:themeFill="accent6" w:themeFillTint="33"/>
            <w:noWrap/>
            <w:vAlign w:val="bottom"/>
            <w:hideMark/>
          </w:tcPr>
          <w:p w14:paraId="53DCB1A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b/>
                <w:bCs/>
                <w:sz w:val="20"/>
                <w:szCs w:val="20"/>
                <w:lang w:val="en-SG" w:eastAsia="en-SG"/>
              </w:rPr>
              <w:t>£'000</w:t>
            </w:r>
          </w:p>
        </w:tc>
        <w:tc>
          <w:tcPr>
            <w:tcW w:w="1031" w:type="pct"/>
            <w:tcBorders>
              <w:left w:val="nil"/>
              <w:bottom w:val="nil"/>
              <w:right w:val="nil"/>
            </w:tcBorders>
            <w:shd w:val="clear" w:color="000000" w:fill="FFFFFF"/>
            <w:noWrap/>
            <w:vAlign w:val="bottom"/>
            <w:hideMark/>
          </w:tcPr>
          <w:p w14:paraId="54985F1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b/>
                <w:bCs/>
                <w:sz w:val="20"/>
                <w:szCs w:val="20"/>
                <w:lang w:val="en-SG" w:eastAsia="en-SG"/>
              </w:rPr>
              <w:t>£'000</w:t>
            </w:r>
          </w:p>
        </w:tc>
      </w:tr>
      <w:tr w:rsidR="00891B3A" w:rsidRPr="00C67A93" w14:paraId="06BCFC51" w14:textId="77777777" w:rsidTr="00891B3A">
        <w:trPr>
          <w:trHeight w:val="345"/>
        </w:trPr>
        <w:tc>
          <w:tcPr>
            <w:tcW w:w="2943" w:type="pct"/>
            <w:tcBorders>
              <w:top w:val="single" w:sz="4" w:space="0" w:color="auto"/>
              <w:left w:val="nil"/>
              <w:bottom w:val="single" w:sz="4" w:space="0" w:color="auto"/>
              <w:right w:val="nil"/>
            </w:tcBorders>
            <w:shd w:val="clear" w:color="000000" w:fill="FFFFFF"/>
            <w:noWrap/>
            <w:vAlign w:val="bottom"/>
            <w:hideMark/>
          </w:tcPr>
          <w:p w14:paraId="42FD1590"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Total investments</w:t>
            </w:r>
          </w:p>
        </w:tc>
        <w:tc>
          <w:tcPr>
            <w:tcW w:w="1026" w:type="pct"/>
            <w:tcBorders>
              <w:top w:val="single" w:sz="4" w:space="0" w:color="auto"/>
              <w:left w:val="nil"/>
              <w:bottom w:val="single" w:sz="4" w:space="0" w:color="auto"/>
              <w:right w:val="nil"/>
            </w:tcBorders>
            <w:shd w:val="clear" w:color="auto" w:fill="FDE9D9" w:themeFill="accent6" w:themeFillTint="33"/>
            <w:noWrap/>
            <w:vAlign w:val="bottom"/>
          </w:tcPr>
          <w:p w14:paraId="02311573" w14:textId="21A9AA02"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sidR="00D3351D">
              <w:rPr>
                <w:rFonts w:ascii="Arial" w:eastAsia="Times New Roman" w:hAnsi="Arial" w:cs="Arial"/>
                <w:b/>
                <w:bCs/>
                <w:sz w:val="20"/>
                <w:szCs w:val="20"/>
                <w:lang w:val="en-SG" w:eastAsia="en-SG"/>
              </w:rPr>
              <w:t>1</w:t>
            </w:r>
            <w:r w:rsidRPr="00C67A93">
              <w:rPr>
                <w:rFonts w:ascii="Arial" w:eastAsia="Times New Roman" w:hAnsi="Arial" w:cs="Arial"/>
                <w:b/>
                <w:bCs/>
                <w:sz w:val="20"/>
                <w:szCs w:val="20"/>
                <w:lang w:val="en-SG" w:eastAsia="en-SG"/>
              </w:rPr>
              <w:t>,</w:t>
            </w:r>
            <w:r w:rsidR="00D3351D">
              <w:rPr>
                <w:rFonts w:ascii="Arial" w:eastAsia="Times New Roman" w:hAnsi="Arial" w:cs="Arial"/>
                <w:b/>
                <w:bCs/>
                <w:sz w:val="20"/>
                <w:szCs w:val="20"/>
                <w:lang w:val="en-SG" w:eastAsia="en-SG"/>
              </w:rPr>
              <w:t>054</w:t>
            </w:r>
          </w:p>
        </w:tc>
        <w:tc>
          <w:tcPr>
            <w:tcW w:w="1031" w:type="pct"/>
            <w:tcBorders>
              <w:top w:val="single" w:sz="4" w:space="0" w:color="auto"/>
              <w:left w:val="nil"/>
              <w:bottom w:val="single" w:sz="4" w:space="0" w:color="auto"/>
              <w:right w:val="nil"/>
            </w:tcBorders>
            <w:shd w:val="clear" w:color="000000" w:fill="FFFFFF"/>
            <w:noWrap/>
            <w:vAlign w:val="bottom"/>
          </w:tcPr>
          <w:p w14:paraId="301091F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sz w:val="20"/>
                <w:szCs w:val="20"/>
              </w:rPr>
              <w:t>70,610</w:t>
            </w:r>
          </w:p>
        </w:tc>
      </w:tr>
      <w:tr w:rsidR="00891B3A" w:rsidRPr="00C67A93" w14:paraId="09836E5B" w14:textId="77777777" w:rsidTr="00891B3A">
        <w:trPr>
          <w:trHeight w:val="343"/>
        </w:trPr>
        <w:tc>
          <w:tcPr>
            <w:tcW w:w="2943" w:type="pct"/>
            <w:tcBorders>
              <w:top w:val="nil"/>
              <w:left w:val="nil"/>
              <w:bottom w:val="nil"/>
              <w:right w:val="nil"/>
            </w:tcBorders>
            <w:shd w:val="clear" w:color="000000" w:fill="FFFFFF"/>
            <w:noWrap/>
            <w:vAlign w:val="bottom"/>
            <w:hideMark/>
          </w:tcPr>
          <w:p w14:paraId="1B286766"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These comprise:</w:t>
            </w:r>
          </w:p>
        </w:tc>
        <w:tc>
          <w:tcPr>
            <w:tcW w:w="1026" w:type="pct"/>
            <w:tcBorders>
              <w:top w:val="nil"/>
              <w:left w:val="nil"/>
              <w:bottom w:val="nil"/>
              <w:right w:val="nil"/>
            </w:tcBorders>
            <w:shd w:val="clear" w:color="auto" w:fill="FDE9D9" w:themeFill="accent6" w:themeFillTint="33"/>
            <w:noWrap/>
            <w:vAlign w:val="bottom"/>
          </w:tcPr>
          <w:p w14:paraId="781381D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b/>
                <w:bCs/>
                <w:sz w:val="20"/>
                <w:szCs w:val="20"/>
                <w:lang w:val="en-SG" w:eastAsia="en-SG"/>
              </w:rPr>
            </w:pPr>
          </w:p>
        </w:tc>
        <w:tc>
          <w:tcPr>
            <w:tcW w:w="1031" w:type="pct"/>
            <w:tcBorders>
              <w:top w:val="nil"/>
              <w:left w:val="nil"/>
              <w:bottom w:val="nil"/>
              <w:right w:val="nil"/>
            </w:tcBorders>
            <w:shd w:val="clear" w:color="000000" w:fill="FFFFFF"/>
            <w:noWrap/>
          </w:tcPr>
          <w:p w14:paraId="1F6890B0"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sz w:val="20"/>
                <w:szCs w:val="20"/>
              </w:rPr>
              <w:t xml:space="preserve"> </w:t>
            </w:r>
          </w:p>
        </w:tc>
      </w:tr>
      <w:tr w:rsidR="00891B3A" w:rsidRPr="00C67A93" w14:paraId="1B92F243" w14:textId="77777777" w:rsidTr="00891B3A">
        <w:trPr>
          <w:trHeight w:val="345"/>
        </w:trPr>
        <w:tc>
          <w:tcPr>
            <w:tcW w:w="2943" w:type="pct"/>
            <w:tcBorders>
              <w:top w:val="nil"/>
              <w:left w:val="nil"/>
              <w:right w:val="nil"/>
            </w:tcBorders>
            <w:shd w:val="clear" w:color="000000" w:fill="FFFFFF"/>
            <w:noWrap/>
            <w:vAlign w:val="bottom"/>
            <w:hideMark/>
          </w:tcPr>
          <w:p w14:paraId="122D584D"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Investment portfolio of the Company</w:t>
            </w:r>
          </w:p>
        </w:tc>
        <w:tc>
          <w:tcPr>
            <w:tcW w:w="1026" w:type="pct"/>
            <w:tcBorders>
              <w:top w:val="nil"/>
              <w:left w:val="nil"/>
              <w:right w:val="nil"/>
            </w:tcBorders>
            <w:shd w:val="clear" w:color="auto" w:fill="FDE9D9" w:themeFill="accent6" w:themeFillTint="33"/>
            <w:vAlign w:val="bottom"/>
          </w:tcPr>
          <w:p w14:paraId="70A14122"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w:t>
            </w:r>
          </w:p>
        </w:tc>
        <w:tc>
          <w:tcPr>
            <w:tcW w:w="1031" w:type="pct"/>
            <w:tcBorders>
              <w:top w:val="nil"/>
              <w:left w:val="nil"/>
              <w:right w:val="nil"/>
            </w:tcBorders>
            <w:shd w:val="clear" w:color="000000" w:fill="FFFFFF"/>
            <w:vAlign w:val="bottom"/>
          </w:tcPr>
          <w:p w14:paraId="754CBA4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sz w:val="20"/>
                <w:szCs w:val="20"/>
              </w:rPr>
              <w:t>755</w:t>
            </w:r>
          </w:p>
        </w:tc>
      </w:tr>
      <w:tr w:rsidR="00891B3A" w:rsidRPr="00D96A90" w14:paraId="20F68741" w14:textId="77777777" w:rsidTr="00891B3A">
        <w:trPr>
          <w:trHeight w:val="345"/>
        </w:trPr>
        <w:tc>
          <w:tcPr>
            <w:tcW w:w="2943" w:type="pct"/>
            <w:tcBorders>
              <w:top w:val="nil"/>
              <w:left w:val="nil"/>
              <w:bottom w:val="single" w:sz="4" w:space="0" w:color="auto"/>
              <w:right w:val="nil"/>
            </w:tcBorders>
            <w:shd w:val="clear" w:color="000000" w:fill="FFFFFF"/>
            <w:noWrap/>
            <w:vAlign w:val="bottom"/>
            <w:hideMark/>
          </w:tcPr>
          <w:p w14:paraId="6F64BE4B"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Investment portfolio of subsidiaries</w:t>
            </w:r>
          </w:p>
        </w:tc>
        <w:tc>
          <w:tcPr>
            <w:tcW w:w="1026" w:type="pct"/>
            <w:tcBorders>
              <w:top w:val="nil"/>
              <w:left w:val="nil"/>
              <w:bottom w:val="single" w:sz="4" w:space="0" w:color="auto"/>
              <w:right w:val="nil"/>
            </w:tcBorders>
            <w:shd w:val="clear" w:color="auto" w:fill="FDE9D9" w:themeFill="accent6" w:themeFillTint="33"/>
            <w:vAlign w:val="bottom"/>
          </w:tcPr>
          <w:p w14:paraId="06E527CE" w14:textId="715A7C34"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21,</w:t>
            </w:r>
            <w:r w:rsidR="00044196">
              <w:rPr>
                <w:rFonts w:ascii="Arial" w:eastAsia="Times New Roman" w:hAnsi="Arial" w:cs="Arial"/>
                <w:b/>
                <w:bCs/>
                <w:sz w:val="20"/>
                <w:szCs w:val="20"/>
                <w:lang w:val="en-SG" w:eastAsia="en-SG"/>
              </w:rPr>
              <w:t>415</w:t>
            </w:r>
          </w:p>
        </w:tc>
        <w:tc>
          <w:tcPr>
            <w:tcW w:w="1031" w:type="pct"/>
            <w:tcBorders>
              <w:top w:val="nil"/>
              <w:left w:val="nil"/>
              <w:bottom w:val="single" w:sz="4" w:space="0" w:color="auto"/>
              <w:right w:val="nil"/>
            </w:tcBorders>
            <w:shd w:val="clear" w:color="000000" w:fill="FFFFFF"/>
            <w:vAlign w:val="bottom"/>
          </w:tcPr>
          <w:p w14:paraId="2034B453"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hAnsi="Arial" w:cs="Arial"/>
                <w:sz w:val="20"/>
                <w:szCs w:val="20"/>
              </w:rPr>
              <w:t>21,438</w:t>
            </w:r>
          </w:p>
        </w:tc>
      </w:tr>
      <w:tr w:rsidR="00891B3A" w:rsidRPr="00D96A90" w14:paraId="75A69B4B" w14:textId="77777777" w:rsidTr="00943F4C">
        <w:trPr>
          <w:trHeight w:val="345"/>
        </w:trPr>
        <w:tc>
          <w:tcPr>
            <w:tcW w:w="2943" w:type="pct"/>
            <w:tcBorders>
              <w:top w:val="single" w:sz="4" w:space="0" w:color="auto"/>
              <w:left w:val="nil"/>
              <w:bottom w:val="nil"/>
              <w:right w:val="nil"/>
            </w:tcBorders>
            <w:shd w:val="clear" w:color="000000" w:fill="FFFFFF"/>
            <w:noWrap/>
            <w:vAlign w:val="bottom"/>
          </w:tcPr>
          <w:p w14:paraId="2CAF9DCF"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Investment portfolio total</w:t>
            </w:r>
          </w:p>
        </w:tc>
        <w:tc>
          <w:tcPr>
            <w:tcW w:w="1026" w:type="pct"/>
            <w:tcBorders>
              <w:top w:val="single" w:sz="4" w:space="0" w:color="auto"/>
              <w:left w:val="nil"/>
              <w:bottom w:val="nil"/>
              <w:right w:val="nil"/>
            </w:tcBorders>
            <w:shd w:val="clear" w:color="auto" w:fill="FDE9D9" w:themeFill="accent6" w:themeFillTint="33"/>
            <w:vAlign w:val="bottom"/>
          </w:tcPr>
          <w:p w14:paraId="6845D5D4" w14:textId="1B040763"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21,</w:t>
            </w:r>
            <w:r w:rsidR="00044196">
              <w:rPr>
                <w:rFonts w:ascii="Arial" w:eastAsia="Times New Roman" w:hAnsi="Arial" w:cs="Arial"/>
                <w:b/>
                <w:bCs/>
                <w:sz w:val="20"/>
                <w:szCs w:val="20"/>
                <w:lang w:val="en-SG" w:eastAsia="en-SG"/>
              </w:rPr>
              <w:t>415</w:t>
            </w:r>
          </w:p>
        </w:tc>
        <w:tc>
          <w:tcPr>
            <w:tcW w:w="1031" w:type="pct"/>
            <w:tcBorders>
              <w:top w:val="single" w:sz="4" w:space="0" w:color="auto"/>
              <w:left w:val="nil"/>
              <w:bottom w:val="nil"/>
              <w:right w:val="nil"/>
            </w:tcBorders>
            <w:shd w:val="clear" w:color="000000" w:fill="FFFFFF"/>
            <w:vAlign w:val="bottom"/>
          </w:tcPr>
          <w:p w14:paraId="5A2918BB"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hAnsi="Arial" w:cs="Arial"/>
                <w:sz w:val="20"/>
                <w:szCs w:val="20"/>
              </w:rPr>
              <w:t>22,193</w:t>
            </w:r>
          </w:p>
        </w:tc>
      </w:tr>
      <w:tr w:rsidR="00891B3A" w:rsidRPr="00D96A90" w14:paraId="45F4D594" w14:textId="77777777" w:rsidTr="00943F4C">
        <w:trPr>
          <w:trHeight w:val="345"/>
        </w:trPr>
        <w:tc>
          <w:tcPr>
            <w:tcW w:w="2943" w:type="pct"/>
            <w:tcBorders>
              <w:top w:val="nil"/>
              <w:left w:val="nil"/>
              <w:bottom w:val="nil"/>
              <w:right w:val="nil"/>
            </w:tcBorders>
            <w:shd w:val="clear" w:color="000000" w:fill="FFFFFF"/>
            <w:noWrap/>
            <w:vAlign w:val="bottom"/>
            <w:hideMark/>
          </w:tcPr>
          <w:p w14:paraId="13A07287"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Other net assets of subsidiaries</w:t>
            </w:r>
          </w:p>
        </w:tc>
        <w:tc>
          <w:tcPr>
            <w:tcW w:w="1026" w:type="pct"/>
            <w:tcBorders>
              <w:top w:val="nil"/>
              <w:left w:val="nil"/>
              <w:bottom w:val="nil"/>
              <w:right w:val="nil"/>
            </w:tcBorders>
            <w:shd w:val="clear" w:color="auto" w:fill="FDE9D9" w:themeFill="accent6" w:themeFillTint="33"/>
            <w:vAlign w:val="bottom"/>
          </w:tcPr>
          <w:p w14:paraId="0D565646" w14:textId="6512C4B7" w:rsidR="00891B3A" w:rsidRPr="00D96A90" w:rsidRDefault="00D3351D"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49,</w:t>
            </w:r>
            <w:r>
              <w:rPr>
                <w:rFonts w:ascii="Arial" w:eastAsia="Times New Roman" w:hAnsi="Arial" w:cs="Arial"/>
                <w:b/>
                <w:bCs/>
                <w:sz w:val="20"/>
                <w:szCs w:val="20"/>
                <w:lang w:val="en-SG" w:eastAsia="en-SG"/>
              </w:rPr>
              <w:t>639</w:t>
            </w:r>
          </w:p>
        </w:tc>
        <w:tc>
          <w:tcPr>
            <w:tcW w:w="1031" w:type="pct"/>
            <w:tcBorders>
              <w:top w:val="nil"/>
              <w:left w:val="nil"/>
              <w:bottom w:val="nil"/>
              <w:right w:val="nil"/>
            </w:tcBorders>
            <w:shd w:val="clear" w:color="000000" w:fill="FFFFFF"/>
            <w:vAlign w:val="bottom"/>
          </w:tcPr>
          <w:p w14:paraId="44387BDE"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hAnsi="Arial" w:cs="Arial"/>
                <w:sz w:val="20"/>
                <w:szCs w:val="20"/>
              </w:rPr>
              <w:t>48,417</w:t>
            </w:r>
          </w:p>
        </w:tc>
      </w:tr>
      <w:tr w:rsidR="00891B3A" w:rsidRPr="00D96A90" w14:paraId="2DD8389A" w14:textId="77777777" w:rsidTr="00943F4C">
        <w:trPr>
          <w:trHeight w:val="345"/>
        </w:trPr>
        <w:tc>
          <w:tcPr>
            <w:tcW w:w="2943" w:type="pct"/>
            <w:tcBorders>
              <w:top w:val="single" w:sz="4" w:space="0" w:color="auto"/>
              <w:left w:val="nil"/>
              <w:bottom w:val="single" w:sz="4" w:space="0" w:color="auto"/>
              <w:right w:val="nil"/>
            </w:tcBorders>
            <w:shd w:val="clear" w:color="000000" w:fill="FFFFFF"/>
            <w:noWrap/>
            <w:vAlign w:val="bottom"/>
            <w:hideMark/>
          </w:tcPr>
          <w:p w14:paraId="5CB2781D" w14:textId="77777777" w:rsidR="00891B3A" w:rsidRPr="00D96A90"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 </w:t>
            </w:r>
          </w:p>
        </w:tc>
        <w:tc>
          <w:tcPr>
            <w:tcW w:w="1026" w:type="pct"/>
            <w:tcBorders>
              <w:top w:val="single" w:sz="4" w:space="0" w:color="auto"/>
              <w:left w:val="nil"/>
              <w:bottom w:val="single" w:sz="4" w:space="0" w:color="auto"/>
              <w:right w:val="nil"/>
            </w:tcBorders>
            <w:shd w:val="clear" w:color="auto" w:fill="FDE9D9" w:themeFill="accent6" w:themeFillTint="33"/>
            <w:vAlign w:val="bottom"/>
          </w:tcPr>
          <w:p w14:paraId="45B6D936" w14:textId="0D675B99" w:rsidR="00891B3A" w:rsidRPr="00D96A90"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7</w:t>
            </w:r>
            <w:r w:rsidR="00905779">
              <w:rPr>
                <w:rFonts w:ascii="Arial" w:eastAsia="Times New Roman" w:hAnsi="Arial" w:cs="Arial"/>
                <w:b/>
                <w:bCs/>
                <w:sz w:val="20"/>
                <w:szCs w:val="20"/>
                <w:lang w:val="en-SG" w:eastAsia="en-SG"/>
              </w:rPr>
              <w:t>1</w:t>
            </w:r>
            <w:r w:rsidRPr="00D96A90">
              <w:rPr>
                <w:rFonts w:ascii="Arial" w:eastAsia="Times New Roman" w:hAnsi="Arial" w:cs="Arial"/>
                <w:b/>
                <w:bCs/>
                <w:sz w:val="20"/>
                <w:szCs w:val="20"/>
                <w:lang w:val="en-SG" w:eastAsia="en-SG"/>
              </w:rPr>
              <w:t>,</w:t>
            </w:r>
            <w:r w:rsidR="00905779">
              <w:rPr>
                <w:rFonts w:ascii="Arial" w:eastAsia="Times New Roman" w:hAnsi="Arial" w:cs="Arial"/>
                <w:b/>
                <w:bCs/>
                <w:sz w:val="20"/>
                <w:szCs w:val="20"/>
                <w:lang w:val="en-SG" w:eastAsia="en-SG"/>
              </w:rPr>
              <w:t>054</w:t>
            </w:r>
          </w:p>
        </w:tc>
        <w:tc>
          <w:tcPr>
            <w:tcW w:w="1031" w:type="pct"/>
            <w:tcBorders>
              <w:top w:val="single" w:sz="4" w:space="0" w:color="auto"/>
              <w:left w:val="nil"/>
              <w:bottom w:val="single" w:sz="4" w:space="0" w:color="auto"/>
              <w:right w:val="nil"/>
            </w:tcBorders>
            <w:shd w:val="clear" w:color="000000" w:fill="FFFFFF"/>
            <w:vAlign w:val="bottom"/>
          </w:tcPr>
          <w:p w14:paraId="12B7BCF2" w14:textId="77777777" w:rsidR="00891B3A" w:rsidRPr="00D96A90"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D96A90">
              <w:rPr>
                <w:rFonts w:ascii="Arial" w:hAnsi="Arial" w:cs="Arial"/>
                <w:sz w:val="20"/>
                <w:szCs w:val="20"/>
              </w:rPr>
              <w:t>70,610</w:t>
            </w:r>
          </w:p>
        </w:tc>
      </w:tr>
    </w:tbl>
    <w:p w14:paraId="5B00379F" w14:textId="77777777" w:rsidR="00891B3A" w:rsidRPr="00D96A90" w:rsidRDefault="00891B3A" w:rsidP="00891B3A">
      <w:pPr>
        <w:widowControl/>
        <w:suppressAutoHyphens w:val="0"/>
        <w:spacing w:after="0" w:line="240" w:lineRule="auto"/>
        <w:rPr>
          <w:rFonts w:ascii="Arial" w:hAnsi="Arial" w:cs="Arial"/>
          <w:sz w:val="20"/>
          <w:szCs w:val="20"/>
        </w:rPr>
      </w:pPr>
    </w:p>
    <w:p w14:paraId="3262BA23" w14:textId="77777777" w:rsidR="00891B3A" w:rsidRPr="00D96A90" w:rsidRDefault="00891B3A" w:rsidP="00891B3A">
      <w:pPr>
        <w:shd w:val="clear" w:color="auto" w:fill="FFFFFF"/>
        <w:rPr>
          <w:rFonts w:ascii="Arial" w:hAnsi="Arial" w:cs="Arial"/>
        </w:rPr>
      </w:pPr>
      <w:r w:rsidRPr="00D96A90">
        <w:rPr>
          <w:rFonts w:ascii="Arial" w:hAnsi="Arial" w:cs="Arial"/>
        </w:rPr>
        <w:t xml:space="preserve">The carrying amounts of the Company and its subsidiaries investment portfolios were as follows: </w:t>
      </w:r>
    </w:p>
    <w:tbl>
      <w:tblPr>
        <w:tblW w:w="5000" w:type="pct"/>
        <w:tblLook w:val="04A0" w:firstRow="1" w:lastRow="0" w:firstColumn="1" w:lastColumn="0" w:noHBand="0" w:noVBand="1"/>
      </w:tblPr>
      <w:tblGrid>
        <w:gridCol w:w="3717"/>
        <w:gridCol w:w="1417"/>
        <w:gridCol w:w="1281"/>
        <w:gridCol w:w="1273"/>
        <w:gridCol w:w="1382"/>
      </w:tblGrid>
      <w:tr w:rsidR="00891B3A" w:rsidRPr="00D96A90" w14:paraId="53FAC6C5" w14:textId="77777777" w:rsidTr="00905779">
        <w:trPr>
          <w:trHeight w:val="282"/>
        </w:trPr>
        <w:tc>
          <w:tcPr>
            <w:tcW w:w="2049" w:type="pct"/>
            <w:shd w:val="clear" w:color="auto" w:fill="FFFFFF"/>
            <w:noWrap/>
            <w:vAlign w:val="bottom"/>
            <w:hideMark/>
          </w:tcPr>
          <w:p w14:paraId="108B8F5C" w14:textId="77777777" w:rsidR="00891B3A" w:rsidRPr="00D96A90" w:rsidRDefault="00891B3A" w:rsidP="00891B3A">
            <w:pPr>
              <w:spacing w:after="0"/>
              <w:rPr>
                <w:rFonts w:ascii="Arial" w:eastAsia="Times New Roman" w:hAnsi="Arial" w:cs="Arial"/>
                <w:color w:val="FFFFFF"/>
                <w:sz w:val="20"/>
                <w:szCs w:val="20"/>
                <w:lang w:val="en-SG" w:eastAsia="en-SG"/>
              </w:rPr>
            </w:pPr>
            <w:r w:rsidRPr="00D96A90">
              <w:rPr>
                <w:rFonts w:ascii="Arial" w:eastAsia="Times New Roman" w:hAnsi="Arial" w:cs="Arial"/>
                <w:color w:val="FFFFFF"/>
                <w:sz w:val="20"/>
                <w:szCs w:val="20"/>
                <w:lang w:val="en-SG" w:eastAsia="en-SG"/>
              </w:rPr>
              <w:t> Investments by the company</w:t>
            </w:r>
          </w:p>
        </w:tc>
        <w:tc>
          <w:tcPr>
            <w:tcW w:w="1487" w:type="pct"/>
            <w:gridSpan w:val="2"/>
            <w:tcBorders>
              <w:top w:val="nil"/>
              <w:left w:val="nil"/>
              <w:bottom w:val="single" w:sz="4" w:space="0" w:color="auto"/>
              <w:right w:val="nil"/>
            </w:tcBorders>
            <w:shd w:val="clear" w:color="auto" w:fill="FFFFFF"/>
            <w:noWrap/>
            <w:vAlign w:val="bottom"/>
            <w:hideMark/>
          </w:tcPr>
          <w:p w14:paraId="55076A34" w14:textId="77777777" w:rsidR="00891B3A" w:rsidRPr="00D96A90" w:rsidRDefault="00891B3A" w:rsidP="00891B3A">
            <w:pPr>
              <w:spacing w:after="0"/>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 xml:space="preserve">30 June </w:t>
            </w:r>
          </w:p>
        </w:tc>
        <w:tc>
          <w:tcPr>
            <w:tcW w:w="1464" w:type="pct"/>
            <w:gridSpan w:val="2"/>
            <w:tcBorders>
              <w:top w:val="nil"/>
              <w:left w:val="nil"/>
              <w:bottom w:val="single" w:sz="4" w:space="0" w:color="auto"/>
              <w:right w:val="nil"/>
            </w:tcBorders>
            <w:shd w:val="clear" w:color="auto" w:fill="FFFFFF"/>
            <w:noWrap/>
            <w:vAlign w:val="bottom"/>
            <w:hideMark/>
          </w:tcPr>
          <w:p w14:paraId="1882260F" w14:textId="77777777" w:rsidR="00891B3A" w:rsidRPr="00D96A90" w:rsidRDefault="00891B3A" w:rsidP="00891B3A">
            <w:pPr>
              <w:spacing w:after="0"/>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 xml:space="preserve">31 December </w:t>
            </w:r>
          </w:p>
        </w:tc>
      </w:tr>
      <w:tr w:rsidR="00891B3A" w:rsidRPr="00D96A90" w14:paraId="64CCC9F7" w14:textId="77777777" w:rsidTr="00905779">
        <w:trPr>
          <w:trHeight w:val="282"/>
        </w:trPr>
        <w:tc>
          <w:tcPr>
            <w:tcW w:w="2049" w:type="pct"/>
            <w:shd w:val="clear" w:color="auto" w:fill="FFFFFF"/>
            <w:noWrap/>
            <w:vAlign w:val="bottom"/>
          </w:tcPr>
          <w:p w14:paraId="56A84BAE" w14:textId="77777777" w:rsidR="00891B3A" w:rsidRPr="00D96A90" w:rsidRDefault="00891B3A" w:rsidP="00891B3A">
            <w:pPr>
              <w:spacing w:after="0"/>
              <w:rPr>
                <w:rFonts w:ascii="Arial" w:eastAsia="Times New Roman" w:hAnsi="Arial" w:cs="Arial"/>
                <w:color w:val="FFFFFF"/>
                <w:sz w:val="20"/>
                <w:szCs w:val="20"/>
                <w:lang w:val="en-SG" w:eastAsia="en-SG"/>
              </w:rPr>
            </w:pPr>
            <w:r w:rsidRPr="00D96A90">
              <w:rPr>
                <w:rFonts w:ascii="Arial" w:eastAsia="Times New Roman" w:hAnsi="Arial" w:cs="Arial"/>
                <w:b/>
                <w:bCs/>
                <w:sz w:val="20"/>
                <w:szCs w:val="20"/>
                <w:lang w:val="en-SG" w:eastAsia="en-SG"/>
              </w:rPr>
              <w:t>Investment portfolio of the Company</w:t>
            </w:r>
          </w:p>
        </w:tc>
        <w:tc>
          <w:tcPr>
            <w:tcW w:w="1487" w:type="pct"/>
            <w:gridSpan w:val="2"/>
            <w:tcBorders>
              <w:top w:val="single" w:sz="4" w:space="0" w:color="auto"/>
              <w:left w:val="nil"/>
              <w:right w:val="nil"/>
            </w:tcBorders>
            <w:shd w:val="clear" w:color="auto" w:fill="FDE9D9" w:themeFill="accent6" w:themeFillTint="33"/>
            <w:noWrap/>
            <w:vAlign w:val="bottom"/>
          </w:tcPr>
          <w:p w14:paraId="116C436E" w14:textId="77777777" w:rsidR="00891B3A" w:rsidRPr="00D96A90" w:rsidRDefault="00891B3A" w:rsidP="00891B3A">
            <w:pPr>
              <w:spacing w:after="0"/>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2021</w:t>
            </w:r>
          </w:p>
        </w:tc>
        <w:tc>
          <w:tcPr>
            <w:tcW w:w="1464" w:type="pct"/>
            <w:gridSpan w:val="2"/>
            <w:tcBorders>
              <w:top w:val="single" w:sz="4" w:space="0" w:color="auto"/>
              <w:left w:val="nil"/>
              <w:right w:val="nil"/>
            </w:tcBorders>
            <w:shd w:val="clear" w:color="auto" w:fill="FFFFFF"/>
            <w:noWrap/>
            <w:vAlign w:val="bottom"/>
          </w:tcPr>
          <w:p w14:paraId="0163980D" w14:textId="77777777" w:rsidR="00891B3A" w:rsidRPr="00D96A90" w:rsidRDefault="00891B3A" w:rsidP="00891B3A">
            <w:pPr>
              <w:spacing w:after="0"/>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2020</w:t>
            </w:r>
          </w:p>
        </w:tc>
      </w:tr>
      <w:tr w:rsidR="00891B3A" w:rsidRPr="00D96A90" w14:paraId="3320F8CC" w14:textId="77777777" w:rsidTr="00905779">
        <w:trPr>
          <w:trHeight w:val="282"/>
        </w:trPr>
        <w:tc>
          <w:tcPr>
            <w:tcW w:w="2049" w:type="pct"/>
            <w:tcBorders>
              <w:top w:val="nil"/>
              <w:left w:val="nil"/>
              <w:bottom w:val="single" w:sz="4" w:space="0" w:color="auto"/>
              <w:right w:val="nil"/>
            </w:tcBorders>
            <w:shd w:val="clear" w:color="auto" w:fill="FFFFFF"/>
            <w:noWrap/>
            <w:vAlign w:val="bottom"/>
            <w:hideMark/>
          </w:tcPr>
          <w:p w14:paraId="1F6CFF1F"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Asset type</w:t>
            </w:r>
          </w:p>
        </w:tc>
        <w:tc>
          <w:tcPr>
            <w:tcW w:w="781" w:type="pct"/>
            <w:tcBorders>
              <w:top w:val="nil"/>
              <w:left w:val="nil"/>
              <w:bottom w:val="single" w:sz="4" w:space="0" w:color="auto"/>
              <w:right w:val="nil"/>
            </w:tcBorders>
            <w:shd w:val="clear" w:color="auto" w:fill="FDE9D9" w:themeFill="accent6" w:themeFillTint="33"/>
            <w:noWrap/>
            <w:vAlign w:val="bottom"/>
            <w:hideMark/>
          </w:tcPr>
          <w:p w14:paraId="338406E7"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£'000</w:t>
            </w:r>
          </w:p>
        </w:tc>
        <w:tc>
          <w:tcPr>
            <w:tcW w:w="706" w:type="pct"/>
            <w:tcBorders>
              <w:top w:val="nil"/>
              <w:left w:val="nil"/>
              <w:bottom w:val="single" w:sz="4" w:space="0" w:color="auto"/>
              <w:right w:val="nil"/>
            </w:tcBorders>
            <w:shd w:val="clear" w:color="auto" w:fill="FDE9D9" w:themeFill="accent6" w:themeFillTint="33"/>
            <w:noWrap/>
            <w:vAlign w:val="bottom"/>
            <w:hideMark/>
          </w:tcPr>
          <w:p w14:paraId="6B09A00F"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£'000</w:t>
            </w:r>
          </w:p>
        </w:tc>
        <w:tc>
          <w:tcPr>
            <w:tcW w:w="702" w:type="pct"/>
            <w:tcBorders>
              <w:top w:val="nil"/>
              <w:left w:val="nil"/>
              <w:bottom w:val="single" w:sz="4" w:space="0" w:color="auto"/>
              <w:right w:val="nil"/>
            </w:tcBorders>
            <w:shd w:val="clear" w:color="auto" w:fill="FFFFFF"/>
            <w:vAlign w:val="bottom"/>
            <w:hideMark/>
          </w:tcPr>
          <w:p w14:paraId="6B4E5EFA"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£'000</w:t>
            </w:r>
          </w:p>
        </w:tc>
        <w:tc>
          <w:tcPr>
            <w:tcW w:w="762" w:type="pct"/>
            <w:tcBorders>
              <w:top w:val="nil"/>
              <w:left w:val="nil"/>
              <w:bottom w:val="single" w:sz="4" w:space="0" w:color="auto"/>
              <w:right w:val="nil"/>
            </w:tcBorders>
            <w:shd w:val="clear" w:color="auto" w:fill="FFFFFF"/>
            <w:vAlign w:val="bottom"/>
            <w:hideMark/>
          </w:tcPr>
          <w:p w14:paraId="389E7CA8"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£'000</w:t>
            </w:r>
          </w:p>
        </w:tc>
      </w:tr>
      <w:tr w:rsidR="00891B3A" w:rsidRPr="00D96A90" w14:paraId="3B08DA46" w14:textId="77777777" w:rsidTr="00905779">
        <w:trPr>
          <w:trHeight w:val="282"/>
        </w:trPr>
        <w:tc>
          <w:tcPr>
            <w:tcW w:w="2049" w:type="pct"/>
            <w:shd w:val="clear" w:color="auto" w:fill="FFFFFF"/>
            <w:noWrap/>
            <w:vAlign w:val="bottom"/>
            <w:hideMark/>
          </w:tcPr>
          <w:p w14:paraId="12F573B1"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Quoted</w:t>
            </w:r>
          </w:p>
        </w:tc>
        <w:tc>
          <w:tcPr>
            <w:tcW w:w="781" w:type="pct"/>
            <w:shd w:val="clear" w:color="auto" w:fill="FDE9D9" w:themeFill="accent6" w:themeFillTint="33"/>
            <w:vAlign w:val="center"/>
          </w:tcPr>
          <w:p w14:paraId="6D640F03"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6" w:type="pct"/>
            <w:shd w:val="clear" w:color="auto" w:fill="FDE9D9" w:themeFill="accent6" w:themeFillTint="33"/>
            <w:vAlign w:val="center"/>
          </w:tcPr>
          <w:p w14:paraId="32A0CB65"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w:t>
            </w:r>
          </w:p>
        </w:tc>
        <w:tc>
          <w:tcPr>
            <w:tcW w:w="702" w:type="pct"/>
            <w:shd w:val="clear" w:color="auto" w:fill="FFFFFF"/>
          </w:tcPr>
          <w:p w14:paraId="5DA7AB58"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c>
          <w:tcPr>
            <w:tcW w:w="762" w:type="pct"/>
            <w:shd w:val="clear" w:color="auto" w:fill="FFFFFF"/>
          </w:tcPr>
          <w:p w14:paraId="04653E04"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w:t>
            </w:r>
          </w:p>
        </w:tc>
      </w:tr>
      <w:tr w:rsidR="00891B3A" w:rsidRPr="00D96A90" w14:paraId="53356468" w14:textId="77777777" w:rsidTr="00905779">
        <w:trPr>
          <w:trHeight w:val="282"/>
        </w:trPr>
        <w:tc>
          <w:tcPr>
            <w:tcW w:w="2049" w:type="pct"/>
            <w:shd w:val="clear" w:color="auto" w:fill="FFFFFF"/>
            <w:noWrap/>
            <w:vAlign w:val="bottom"/>
            <w:hideMark/>
          </w:tcPr>
          <w:p w14:paraId="5DAA7975"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Unquoted</w:t>
            </w:r>
          </w:p>
        </w:tc>
        <w:tc>
          <w:tcPr>
            <w:tcW w:w="781" w:type="pct"/>
            <w:shd w:val="clear" w:color="auto" w:fill="FDE9D9" w:themeFill="accent6" w:themeFillTint="33"/>
            <w:vAlign w:val="center"/>
          </w:tcPr>
          <w:p w14:paraId="70026906"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6" w:type="pct"/>
            <w:shd w:val="clear" w:color="auto" w:fill="FDE9D9" w:themeFill="accent6" w:themeFillTint="33"/>
            <w:vAlign w:val="center"/>
          </w:tcPr>
          <w:p w14:paraId="2783FE1F"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w:t>
            </w:r>
          </w:p>
        </w:tc>
        <w:tc>
          <w:tcPr>
            <w:tcW w:w="702" w:type="pct"/>
            <w:shd w:val="clear" w:color="auto" w:fill="FFFFFF"/>
          </w:tcPr>
          <w:p w14:paraId="0DB8B751"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c>
          <w:tcPr>
            <w:tcW w:w="762" w:type="pct"/>
            <w:shd w:val="clear" w:color="auto" w:fill="FFFFFF"/>
          </w:tcPr>
          <w:p w14:paraId="025D5FEB"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755</w:t>
            </w:r>
          </w:p>
        </w:tc>
      </w:tr>
      <w:tr w:rsidR="00891B3A" w:rsidRPr="00D96A90" w14:paraId="11B3C543" w14:textId="77777777" w:rsidTr="00905779">
        <w:trPr>
          <w:trHeight w:val="282"/>
        </w:trPr>
        <w:tc>
          <w:tcPr>
            <w:tcW w:w="2049" w:type="pct"/>
            <w:tcBorders>
              <w:top w:val="nil"/>
              <w:left w:val="nil"/>
              <w:bottom w:val="single" w:sz="4" w:space="0" w:color="auto"/>
              <w:right w:val="nil"/>
            </w:tcBorders>
            <w:shd w:val="clear" w:color="auto" w:fill="FFFFFF"/>
            <w:noWrap/>
            <w:vAlign w:val="bottom"/>
            <w:hideMark/>
          </w:tcPr>
          <w:p w14:paraId="4259BFCD"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Funds</w:t>
            </w:r>
          </w:p>
        </w:tc>
        <w:tc>
          <w:tcPr>
            <w:tcW w:w="781" w:type="pct"/>
            <w:tcBorders>
              <w:top w:val="nil"/>
              <w:left w:val="nil"/>
              <w:bottom w:val="single" w:sz="4" w:space="0" w:color="auto"/>
              <w:right w:val="nil"/>
            </w:tcBorders>
            <w:shd w:val="clear" w:color="auto" w:fill="FDE9D9" w:themeFill="accent6" w:themeFillTint="33"/>
            <w:vAlign w:val="center"/>
          </w:tcPr>
          <w:p w14:paraId="081FFA09"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6" w:type="pct"/>
            <w:tcBorders>
              <w:top w:val="nil"/>
              <w:left w:val="nil"/>
              <w:bottom w:val="single" w:sz="4" w:space="0" w:color="auto"/>
              <w:right w:val="nil"/>
            </w:tcBorders>
            <w:shd w:val="clear" w:color="auto" w:fill="FDE9D9" w:themeFill="accent6" w:themeFillTint="33"/>
            <w:vAlign w:val="center"/>
          </w:tcPr>
          <w:p w14:paraId="4DC7E796"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w:t>
            </w:r>
          </w:p>
        </w:tc>
        <w:tc>
          <w:tcPr>
            <w:tcW w:w="702" w:type="pct"/>
            <w:tcBorders>
              <w:top w:val="nil"/>
              <w:left w:val="nil"/>
              <w:bottom w:val="single" w:sz="4" w:space="0" w:color="auto"/>
              <w:right w:val="nil"/>
            </w:tcBorders>
            <w:shd w:val="clear" w:color="auto" w:fill="FFFFFF"/>
          </w:tcPr>
          <w:p w14:paraId="090C47CD"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c>
          <w:tcPr>
            <w:tcW w:w="762" w:type="pct"/>
            <w:tcBorders>
              <w:top w:val="nil"/>
              <w:left w:val="nil"/>
              <w:bottom w:val="single" w:sz="4" w:space="0" w:color="auto"/>
              <w:right w:val="nil"/>
            </w:tcBorders>
            <w:shd w:val="clear" w:color="auto" w:fill="FFFFFF"/>
          </w:tcPr>
          <w:p w14:paraId="372B42F0"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r>
      <w:tr w:rsidR="00891B3A" w:rsidRPr="00D96A90" w14:paraId="73032A13" w14:textId="77777777" w:rsidTr="00905779">
        <w:trPr>
          <w:trHeight w:val="282"/>
        </w:trPr>
        <w:tc>
          <w:tcPr>
            <w:tcW w:w="2049" w:type="pct"/>
            <w:shd w:val="clear" w:color="auto" w:fill="FFFFFF"/>
            <w:noWrap/>
            <w:vAlign w:val="bottom"/>
            <w:hideMark/>
          </w:tcPr>
          <w:p w14:paraId="38A3472C" w14:textId="77777777" w:rsidR="00891B3A" w:rsidRPr="00D96A90" w:rsidRDefault="00891B3A" w:rsidP="00891B3A">
            <w:pPr>
              <w:rPr>
                <w:rFonts w:ascii="Arial" w:hAnsi="Arial" w:cs="Arial"/>
                <w:sz w:val="20"/>
                <w:szCs w:val="20"/>
              </w:rPr>
            </w:pPr>
          </w:p>
        </w:tc>
        <w:tc>
          <w:tcPr>
            <w:tcW w:w="781" w:type="pct"/>
            <w:shd w:val="clear" w:color="auto" w:fill="FDE9D9" w:themeFill="accent6" w:themeFillTint="33"/>
            <w:vAlign w:val="center"/>
          </w:tcPr>
          <w:p w14:paraId="6AEE46C9"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6" w:type="pct"/>
            <w:shd w:val="clear" w:color="auto" w:fill="FDE9D9" w:themeFill="accent6" w:themeFillTint="33"/>
            <w:vAlign w:val="center"/>
          </w:tcPr>
          <w:p w14:paraId="521E8B20"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w:t>
            </w:r>
          </w:p>
        </w:tc>
        <w:tc>
          <w:tcPr>
            <w:tcW w:w="702" w:type="pct"/>
            <w:shd w:val="clear" w:color="auto" w:fill="FFFFFF"/>
          </w:tcPr>
          <w:p w14:paraId="78CC1912"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c>
          <w:tcPr>
            <w:tcW w:w="762" w:type="pct"/>
            <w:shd w:val="clear" w:color="auto" w:fill="FFFFFF"/>
          </w:tcPr>
          <w:p w14:paraId="48EACE8F"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755</w:t>
            </w:r>
          </w:p>
        </w:tc>
      </w:tr>
      <w:tr w:rsidR="00891B3A" w:rsidRPr="00D96A90" w14:paraId="47D3D90A" w14:textId="77777777" w:rsidTr="00905779">
        <w:trPr>
          <w:trHeight w:val="282"/>
        </w:trPr>
        <w:tc>
          <w:tcPr>
            <w:tcW w:w="2049" w:type="pct"/>
            <w:shd w:val="clear" w:color="auto" w:fill="FFFFFF"/>
            <w:noWrap/>
            <w:vAlign w:val="bottom"/>
            <w:hideMark/>
          </w:tcPr>
          <w:p w14:paraId="5B720AD8" w14:textId="77777777" w:rsidR="00891B3A" w:rsidRPr="00D96A90" w:rsidRDefault="00891B3A" w:rsidP="00891B3A">
            <w:pPr>
              <w:spacing w:after="0" w:line="240" w:lineRule="auto"/>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Investments portfolio of subsidiaries</w:t>
            </w:r>
          </w:p>
        </w:tc>
        <w:tc>
          <w:tcPr>
            <w:tcW w:w="781" w:type="pct"/>
            <w:shd w:val="clear" w:color="auto" w:fill="FDE9D9" w:themeFill="accent6" w:themeFillTint="33"/>
            <w:vAlign w:val="center"/>
          </w:tcPr>
          <w:p w14:paraId="4116E8B2"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6" w:type="pct"/>
            <w:shd w:val="clear" w:color="auto" w:fill="FDE9D9" w:themeFill="accent6" w:themeFillTint="33"/>
            <w:vAlign w:val="center"/>
          </w:tcPr>
          <w:p w14:paraId="26E9C18B"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2" w:type="pct"/>
            <w:shd w:val="clear" w:color="auto" w:fill="FFFFFF"/>
          </w:tcPr>
          <w:p w14:paraId="70B2B2E8"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c>
          <w:tcPr>
            <w:tcW w:w="762" w:type="pct"/>
            <w:shd w:val="clear" w:color="auto" w:fill="FFFFFF"/>
          </w:tcPr>
          <w:p w14:paraId="12865E14"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r>
      <w:tr w:rsidR="00891B3A" w:rsidRPr="00D96A90" w14:paraId="3EA6936B" w14:textId="77777777" w:rsidTr="00905779">
        <w:trPr>
          <w:trHeight w:val="282"/>
        </w:trPr>
        <w:tc>
          <w:tcPr>
            <w:tcW w:w="2049" w:type="pct"/>
            <w:tcBorders>
              <w:top w:val="nil"/>
              <w:left w:val="nil"/>
              <w:bottom w:val="single" w:sz="4" w:space="0" w:color="auto"/>
              <w:right w:val="nil"/>
            </w:tcBorders>
            <w:shd w:val="clear" w:color="auto" w:fill="FFFFFF"/>
            <w:noWrap/>
            <w:vAlign w:val="bottom"/>
            <w:hideMark/>
          </w:tcPr>
          <w:p w14:paraId="253A422E"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Asset type</w:t>
            </w:r>
          </w:p>
        </w:tc>
        <w:tc>
          <w:tcPr>
            <w:tcW w:w="781" w:type="pct"/>
            <w:tcBorders>
              <w:top w:val="nil"/>
              <w:left w:val="nil"/>
              <w:bottom w:val="single" w:sz="4" w:space="0" w:color="auto"/>
              <w:right w:val="nil"/>
            </w:tcBorders>
            <w:shd w:val="clear" w:color="auto" w:fill="FDE9D9" w:themeFill="accent6" w:themeFillTint="33"/>
            <w:vAlign w:val="center"/>
          </w:tcPr>
          <w:p w14:paraId="4709A79E"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6" w:type="pct"/>
            <w:tcBorders>
              <w:top w:val="nil"/>
              <w:left w:val="nil"/>
              <w:bottom w:val="single" w:sz="4" w:space="0" w:color="auto"/>
              <w:right w:val="nil"/>
            </w:tcBorders>
            <w:shd w:val="clear" w:color="auto" w:fill="FDE9D9" w:themeFill="accent6" w:themeFillTint="33"/>
            <w:vAlign w:val="center"/>
          </w:tcPr>
          <w:p w14:paraId="5870281F"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2" w:type="pct"/>
            <w:tcBorders>
              <w:top w:val="nil"/>
              <w:left w:val="nil"/>
              <w:bottom w:val="single" w:sz="4" w:space="0" w:color="auto"/>
              <w:right w:val="nil"/>
            </w:tcBorders>
            <w:shd w:val="clear" w:color="auto" w:fill="FFFFFF"/>
          </w:tcPr>
          <w:p w14:paraId="61C0114A"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c>
          <w:tcPr>
            <w:tcW w:w="762" w:type="pct"/>
            <w:tcBorders>
              <w:top w:val="nil"/>
              <w:left w:val="nil"/>
              <w:bottom w:val="single" w:sz="4" w:space="0" w:color="auto"/>
              <w:right w:val="nil"/>
            </w:tcBorders>
            <w:shd w:val="clear" w:color="auto" w:fill="FFFFFF"/>
          </w:tcPr>
          <w:p w14:paraId="20643088"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r>
      <w:tr w:rsidR="00891B3A" w:rsidRPr="00D96A90" w14:paraId="7D314047" w14:textId="77777777" w:rsidTr="00905779">
        <w:trPr>
          <w:trHeight w:val="282"/>
        </w:trPr>
        <w:tc>
          <w:tcPr>
            <w:tcW w:w="2049" w:type="pct"/>
            <w:tcBorders>
              <w:top w:val="single" w:sz="4" w:space="0" w:color="auto"/>
              <w:left w:val="nil"/>
              <w:bottom w:val="nil"/>
              <w:right w:val="nil"/>
            </w:tcBorders>
            <w:shd w:val="clear" w:color="auto" w:fill="FFFFFF"/>
            <w:noWrap/>
            <w:vAlign w:val="bottom"/>
            <w:hideMark/>
          </w:tcPr>
          <w:p w14:paraId="17724AB0"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Quoted</w:t>
            </w:r>
          </w:p>
        </w:tc>
        <w:tc>
          <w:tcPr>
            <w:tcW w:w="781" w:type="pct"/>
            <w:tcBorders>
              <w:top w:val="single" w:sz="4" w:space="0" w:color="auto"/>
              <w:left w:val="nil"/>
              <w:bottom w:val="nil"/>
              <w:right w:val="nil"/>
            </w:tcBorders>
            <w:shd w:val="clear" w:color="auto" w:fill="FDE9D9" w:themeFill="accent6" w:themeFillTint="33"/>
            <w:vAlign w:val="bottom"/>
          </w:tcPr>
          <w:p w14:paraId="16A7FB1C"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285</w:t>
            </w:r>
          </w:p>
        </w:tc>
        <w:tc>
          <w:tcPr>
            <w:tcW w:w="706" w:type="pct"/>
            <w:tcBorders>
              <w:top w:val="single" w:sz="4" w:space="0" w:color="auto"/>
              <w:left w:val="nil"/>
              <w:bottom w:val="nil"/>
              <w:right w:val="nil"/>
            </w:tcBorders>
            <w:shd w:val="clear" w:color="auto" w:fill="FDE9D9" w:themeFill="accent6" w:themeFillTint="33"/>
            <w:vAlign w:val="center"/>
          </w:tcPr>
          <w:p w14:paraId="45592B5A"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2" w:type="pct"/>
            <w:tcBorders>
              <w:top w:val="single" w:sz="4" w:space="0" w:color="auto"/>
              <w:left w:val="nil"/>
              <w:bottom w:val="nil"/>
              <w:right w:val="nil"/>
            </w:tcBorders>
            <w:shd w:val="clear" w:color="auto" w:fill="FFFFFF"/>
          </w:tcPr>
          <w:p w14:paraId="08E0EECB"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197</w:t>
            </w:r>
          </w:p>
        </w:tc>
        <w:tc>
          <w:tcPr>
            <w:tcW w:w="762" w:type="pct"/>
            <w:tcBorders>
              <w:top w:val="single" w:sz="4" w:space="0" w:color="auto"/>
              <w:left w:val="nil"/>
              <w:bottom w:val="nil"/>
              <w:right w:val="nil"/>
            </w:tcBorders>
            <w:shd w:val="clear" w:color="auto" w:fill="FFFFFF"/>
          </w:tcPr>
          <w:p w14:paraId="3835A615"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r>
      <w:tr w:rsidR="00891B3A" w:rsidRPr="00D96A90" w14:paraId="42EAC385" w14:textId="77777777" w:rsidTr="00943F4C">
        <w:trPr>
          <w:trHeight w:val="282"/>
        </w:trPr>
        <w:tc>
          <w:tcPr>
            <w:tcW w:w="2049" w:type="pct"/>
            <w:shd w:val="clear" w:color="auto" w:fill="FFFFFF"/>
            <w:noWrap/>
            <w:vAlign w:val="bottom"/>
            <w:hideMark/>
          </w:tcPr>
          <w:p w14:paraId="657BDD06"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Unquoted</w:t>
            </w:r>
          </w:p>
        </w:tc>
        <w:tc>
          <w:tcPr>
            <w:tcW w:w="781" w:type="pct"/>
            <w:shd w:val="clear" w:color="auto" w:fill="FDE9D9" w:themeFill="accent6" w:themeFillTint="33"/>
            <w:vAlign w:val="bottom"/>
          </w:tcPr>
          <w:p w14:paraId="5BDB2B7C"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7,568</w:t>
            </w:r>
          </w:p>
        </w:tc>
        <w:tc>
          <w:tcPr>
            <w:tcW w:w="706" w:type="pct"/>
            <w:shd w:val="clear" w:color="auto" w:fill="FDE9D9" w:themeFill="accent6" w:themeFillTint="33"/>
            <w:vAlign w:val="center"/>
          </w:tcPr>
          <w:p w14:paraId="02201B01"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2" w:type="pct"/>
            <w:shd w:val="clear" w:color="auto" w:fill="FFFFFF"/>
          </w:tcPr>
          <w:p w14:paraId="24B89882"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9,383</w:t>
            </w:r>
          </w:p>
        </w:tc>
        <w:tc>
          <w:tcPr>
            <w:tcW w:w="762" w:type="pct"/>
            <w:shd w:val="clear" w:color="auto" w:fill="FFFFFF"/>
          </w:tcPr>
          <w:p w14:paraId="58BF6DF9"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p>
        </w:tc>
      </w:tr>
      <w:tr w:rsidR="00891B3A" w:rsidRPr="00D96A90" w14:paraId="6B281B34" w14:textId="77777777" w:rsidTr="00943F4C">
        <w:trPr>
          <w:trHeight w:val="282"/>
        </w:trPr>
        <w:tc>
          <w:tcPr>
            <w:tcW w:w="2049" w:type="pct"/>
            <w:tcBorders>
              <w:bottom w:val="single" w:sz="4" w:space="0" w:color="auto"/>
            </w:tcBorders>
            <w:shd w:val="clear" w:color="auto" w:fill="FFFFFF"/>
            <w:noWrap/>
            <w:vAlign w:val="bottom"/>
            <w:hideMark/>
          </w:tcPr>
          <w:p w14:paraId="435BABE5" w14:textId="77777777" w:rsidR="00891B3A" w:rsidRPr="00D96A90" w:rsidRDefault="00891B3A" w:rsidP="00891B3A">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Funds</w:t>
            </w:r>
          </w:p>
        </w:tc>
        <w:tc>
          <w:tcPr>
            <w:tcW w:w="781" w:type="pct"/>
            <w:tcBorders>
              <w:bottom w:val="single" w:sz="4" w:space="0" w:color="auto"/>
            </w:tcBorders>
            <w:shd w:val="clear" w:color="auto" w:fill="FDE9D9" w:themeFill="accent6" w:themeFillTint="33"/>
            <w:vAlign w:val="bottom"/>
          </w:tcPr>
          <w:p w14:paraId="2EDE3D38" w14:textId="52C32A12" w:rsidR="00891B3A" w:rsidRPr="00D96A90" w:rsidRDefault="00891B3A" w:rsidP="00891B3A">
            <w:pPr>
              <w:spacing w:after="0" w:line="240" w:lineRule="auto"/>
              <w:jc w:val="right"/>
              <w:rPr>
                <w:rFonts w:ascii="Arial" w:eastAsia="Times New Roman" w:hAnsi="Arial" w:cs="Arial"/>
                <w:b/>
                <w:bCs/>
                <w:sz w:val="20"/>
                <w:szCs w:val="20"/>
                <w:lang w:val="en-SG" w:eastAsia="en-SG"/>
              </w:rPr>
            </w:pPr>
            <w:commentRangeStart w:id="5"/>
            <w:r w:rsidRPr="00D96A90">
              <w:rPr>
                <w:rFonts w:ascii="Arial" w:eastAsia="Times New Roman" w:hAnsi="Arial" w:cs="Arial"/>
                <w:b/>
                <w:bCs/>
                <w:sz w:val="20"/>
                <w:szCs w:val="20"/>
                <w:lang w:val="en-SG" w:eastAsia="en-SG"/>
              </w:rPr>
              <w:t>13,</w:t>
            </w:r>
            <w:r w:rsidR="00044196">
              <w:rPr>
                <w:rFonts w:ascii="Arial" w:eastAsia="Times New Roman" w:hAnsi="Arial" w:cs="Arial"/>
                <w:b/>
                <w:bCs/>
                <w:sz w:val="20"/>
                <w:szCs w:val="20"/>
                <w:lang w:val="en-SG" w:eastAsia="en-SG"/>
              </w:rPr>
              <w:t>562</w:t>
            </w:r>
          </w:p>
        </w:tc>
        <w:tc>
          <w:tcPr>
            <w:tcW w:w="706" w:type="pct"/>
            <w:tcBorders>
              <w:bottom w:val="single" w:sz="4" w:space="0" w:color="auto"/>
            </w:tcBorders>
            <w:shd w:val="clear" w:color="auto" w:fill="FDE9D9" w:themeFill="accent6" w:themeFillTint="33"/>
            <w:vAlign w:val="center"/>
          </w:tcPr>
          <w:p w14:paraId="1EDF5CB2" w14:textId="77777777" w:rsidR="00891B3A" w:rsidRPr="00D96A90" w:rsidRDefault="00891B3A" w:rsidP="00891B3A">
            <w:pPr>
              <w:spacing w:after="0" w:line="240" w:lineRule="auto"/>
              <w:jc w:val="right"/>
              <w:rPr>
                <w:rFonts w:ascii="Arial" w:eastAsia="Times New Roman" w:hAnsi="Arial" w:cs="Arial"/>
                <w:b/>
                <w:bCs/>
                <w:sz w:val="20"/>
                <w:szCs w:val="20"/>
                <w:lang w:val="en-SG" w:eastAsia="en-SG"/>
              </w:rPr>
            </w:pPr>
          </w:p>
        </w:tc>
        <w:tc>
          <w:tcPr>
            <w:tcW w:w="702" w:type="pct"/>
            <w:tcBorders>
              <w:bottom w:val="single" w:sz="4" w:space="0" w:color="auto"/>
            </w:tcBorders>
            <w:shd w:val="clear" w:color="auto" w:fill="FFFFFF"/>
          </w:tcPr>
          <w:p w14:paraId="79F3D9D9"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11,858</w:t>
            </w:r>
          </w:p>
        </w:tc>
        <w:tc>
          <w:tcPr>
            <w:tcW w:w="762" w:type="pct"/>
            <w:tcBorders>
              <w:bottom w:val="single" w:sz="4" w:space="0" w:color="auto"/>
            </w:tcBorders>
            <w:shd w:val="clear" w:color="auto" w:fill="FFFFFF"/>
          </w:tcPr>
          <w:p w14:paraId="1AF95B16" w14:textId="77777777" w:rsidR="00891B3A" w:rsidRPr="00D96A90" w:rsidRDefault="00891B3A" w:rsidP="00891B3A">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 xml:space="preserve"> </w:t>
            </w:r>
            <w:commentRangeEnd w:id="5"/>
            <w:r w:rsidR="00485BDA">
              <w:rPr>
                <w:rStyle w:val="CommentReference"/>
              </w:rPr>
              <w:commentReference w:id="5"/>
            </w:r>
          </w:p>
        </w:tc>
      </w:tr>
      <w:tr w:rsidR="00B51FF5" w:rsidRPr="00D96A90" w14:paraId="5B485BFC" w14:textId="77777777" w:rsidTr="00943F4C">
        <w:trPr>
          <w:trHeight w:val="282"/>
        </w:trPr>
        <w:tc>
          <w:tcPr>
            <w:tcW w:w="2049" w:type="pct"/>
            <w:tcBorders>
              <w:top w:val="single" w:sz="4" w:space="0" w:color="auto"/>
            </w:tcBorders>
            <w:shd w:val="clear" w:color="auto" w:fill="FFFFFF"/>
            <w:noWrap/>
            <w:vAlign w:val="bottom"/>
          </w:tcPr>
          <w:p w14:paraId="34C2A4F6" w14:textId="5709B1E3" w:rsidR="00B51FF5" w:rsidRPr="00D96A90" w:rsidRDefault="00851BB1" w:rsidP="00B51FF5">
            <w:pPr>
              <w:spacing w:after="0" w:line="240" w:lineRule="auto"/>
              <w:rPr>
                <w:rFonts w:ascii="Arial" w:eastAsia="Times New Roman" w:hAnsi="Arial" w:cs="Arial"/>
                <w:sz w:val="20"/>
                <w:szCs w:val="20"/>
                <w:lang w:val="en-SG" w:eastAsia="en-SG"/>
              </w:rPr>
            </w:pPr>
            <w:r w:rsidRPr="00851BB1">
              <w:rPr>
                <w:rFonts w:ascii="Arial" w:eastAsia="Times New Roman" w:hAnsi="Arial" w:cs="Arial"/>
                <w:sz w:val="20"/>
                <w:szCs w:val="20"/>
                <w:lang w:val="en-SG" w:eastAsia="en-SG"/>
              </w:rPr>
              <w:t>Investment portfolio of subsidiaries</w:t>
            </w:r>
          </w:p>
        </w:tc>
        <w:tc>
          <w:tcPr>
            <w:tcW w:w="781" w:type="pct"/>
            <w:tcBorders>
              <w:top w:val="single" w:sz="4" w:space="0" w:color="auto"/>
            </w:tcBorders>
            <w:shd w:val="clear" w:color="auto" w:fill="FDE9D9" w:themeFill="accent6" w:themeFillTint="33"/>
            <w:vAlign w:val="bottom"/>
          </w:tcPr>
          <w:p w14:paraId="2A3F3208" w14:textId="2F86E0CA" w:rsidR="00B51FF5" w:rsidRPr="00D96A90" w:rsidRDefault="00B51FF5" w:rsidP="00B51FF5">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21,</w:t>
            </w:r>
            <w:r>
              <w:rPr>
                <w:rFonts w:ascii="Arial" w:eastAsia="Times New Roman" w:hAnsi="Arial" w:cs="Arial"/>
                <w:b/>
                <w:bCs/>
                <w:sz w:val="20"/>
                <w:szCs w:val="20"/>
                <w:lang w:val="en-SG" w:eastAsia="en-SG"/>
              </w:rPr>
              <w:t>415</w:t>
            </w:r>
          </w:p>
        </w:tc>
        <w:tc>
          <w:tcPr>
            <w:tcW w:w="706" w:type="pct"/>
            <w:tcBorders>
              <w:top w:val="single" w:sz="4" w:space="0" w:color="auto"/>
            </w:tcBorders>
            <w:shd w:val="clear" w:color="auto" w:fill="FDE9D9" w:themeFill="accent6" w:themeFillTint="33"/>
            <w:vAlign w:val="center"/>
          </w:tcPr>
          <w:p w14:paraId="556F2D61" w14:textId="77777777" w:rsidR="00B51FF5" w:rsidRPr="00D96A90" w:rsidRDefault="00B51FF5" w:rsidP="00B51FF5">
            <w:pPr>
              <w:spacing w:after="0" w:line="240" w:lineRule="auto"/>
              <w:jc w:val="right"/>
              <w:rPr>
                <w:rFonts w:ascii="Arial" w:eastAsia="Times New Roman" w:hAnsi="Arial" w:cs="Arial"/>
                <w:b/>
                <w:bCs/>
                <w:sz w:val="20"/>
                <w:szCs w:val="20"/>
                <w:lang w:val="en-SG" w:eastAsia="en-SG"/>
              </w:rPr>
            </w:pPr>
          </w:p>
        </w:tc>
        <w:tc>
          <w:tcPr>
            <w:tcW w:w="702" w:type="pct"/>
            <w:tcBorders>
              <w:top w:val="single" w:sz="4" w:space="0" w:color="auto"/>
            </w:tcBorders>
            <w:shd w:val="clear" w:color="auto" w:fill="FFFFFF"/>
            <w:vAlign w:val="bottom"/>
          </w:tcPr>
          <w:p w14:paraId="252CBF3A" w14:textId="009DA13C" w:rsidR="00B51FF5" w:rsidRPr="00D96A90" w:rsidRDefault="00B51FF5" w:rsidP="00B51FF5">
            <w:pPr>
              <w:spacing w:after="0" w:line="240" w:lineRule="auto"/>
              <w:jc w:val="right"/>
              <w:rPr>
                <w:rFonts w:ascii="Arial" w:hAnsi="Arial" w:cs="Arial"/>
                <w:sz w:val="20"/>
                <w:szCs w:val="20"/>
              </w:rPr>
            </w:pPr>
            <w:r w:rsidRPr="00D96A90">
              <w:rPr>
                <w:rFonts w:ascii="Arial" w:hAnsi="Arial" w:cs="Arial"/>
                <w:sz w:val="20"/>
                <w:szCs w:val="20"/>
              </w:rPr>
              <w:t>21,438</w:t>
            </w:r>
          </w:p>
        </w:tc>
        <w:tc>
          <w:tcPr>
            <w:tcW w:w="762" w:type="pct"/>
            <w:tcBorders>
              <w:top w:val="single" w:sz="4" w:space="0" w:color="auto"/>
            </w:tcBorders>
            <w:shd w:val="clear" w:color="auto" w:fill="FFFFFF"/>
          </w:tcPr>
          <w:p w14:paraId="40B0D782" w14:textId="77777777" w:rsidR="00B51FF5" w:rsidRPr="00D96A90" w:rsidRDefault="00B51FF5" w:rsidP="00B51FF5">
            <w:pPr>
              <w:spacing w:after="0" w:line="240" w:lineRule="auto"/>
              <w:jc w:val="right"/>
              <w:rPr>
                <w:rFonts w:ascii="Arial" w:hAnsi="Arial" w:cs="Arial"/>
                <w:sz w:val="20"/>
                <w:szCs w:val="20"/>
              </w:rPr>
            </w:pPr>
          </w:p>
        </w:tc>
      </w:tr>
      <w:tr w:rsidR="00335AA3" w:rsidRPr="00D96A90" w14:paraId="59E5ED04" w14:textId="77777777" w:rsidTr="00943F4C">
        <w:trPr>
          <w:trHeight w:val="282"/>
        </w:trPr>
        <w:tc>
          <w:tcPr>
            <w:tcW w:w="2049" w:type="pct"/>
            <w:shd w:val="clear" w:color="auto" w:fill="FFFFFF"/>
            <w:noWrap/>
            <w:vAlign w:val="bottom"/>
          </w:tcPr>
          <w:p w14:paraId="51B3D776" w14:textId="77777777" w:rsidR="00335AA3" w:rsidRPr="00851BB1" w:rsidRDefault="00335AA3" w:rsidP="00B51FF5">
            <w:pPr>
              <w:spacing w:after="0" w:line="240" w:lineRule="auto"/>
              <w:rPr>
                <w:rFonts w:ascii="Arial" w:eastAsia="Times New Roman" w:hAnsi="Arial" w:cs="Arial"/>
                <w:sz w:val="20"/>
                <w:szCs w:val="20"/>
                <w:lang w:val="en-SG" w:eastAsia="en-SG"/>
              </w:rPr>
            </w:pPr>
          </w:p>
        </w:tc>
        <w:tc>
          <w:tcPr>
            <w:tcW w:w="781" w:type="pct"/>
            <w:shd w:val="clear" w:color="auto" w:fill="FDE9D9" w:themeFill="accent6" w:themeFillTint="33"/>
            <w:vAlign w:val="bottom"/>
          </w:tcPr>
          <w:p w14:paraId="7B5D9A1D" w14:textId="77777777" w:rsidR="00335AA3" w:rsidRPr="00D96A90" w:rsidRDefault="00335AA3" w:rsidP="00B51FF5">
            <w:pPr>
              <w:spacing w:after="0" w:line="240" w:lineRule="auto"/>
              <w:jc w:val="right"/>
              <w:rPr>
                <w:rFonts w:ascii="Arial" w:eastAsia="Times New Roman" w:hAnsi="Arial" w:cs="Arial"/>
                <w:b/>
                <w:bCs/>
                <w:sz w:val="20"/>
                <w:szCs w:val="20"/>
                <w:lang w:val="en-SG" w:eastAsia="en-SG"/>
              </w:rPr>
            </w:pPr>
          </w:p>
        </w:tc>
        <w:tc>
          <w:tcPr>
            <w:tcW w:w="706" w:type="pct"/>
            <w:shd w:val="clear" w:color="auto" w:fill="FDE9D9" w:themeFill="accent6" w:themeFillTint="33"/>
            <w:vAlign w:val="center"/>
          </w:tcPr>
          <w:p w14:paraId="50EE38FB" w14:textId="77777777" w:rsidR="00335AA3" w:rsidRPr="00D96A90" w:rsidRDefault="00335AA3" w:rsidP="00B51FF5">
            <w:pPr>
              <w:spacing w:after="0" w:line="240" w:lineRule="auto"/>
              <w:jc w:val="right"/>
              <w:rPr>
                <w:rFonts w:ascii="Arial" w:eastAsia="Times New Roman" w:hAnsi="Arial" w:cs="Arial"/>
                <w:b/>
                <w:bCs/>
                <w:sz w:val="20"/>
                <w:szCs w:val="20"/>
                <w:lang w:val="en-SG" w:eastAsia="en-SG"/>
              </w:rPr>
            </w:pPr>
          </w:p>
        </w:tc>
        <w:tc>
          <w:tcPr>
            <w:tcW w:w="702" w:type="pct"/>
            <w:shd w:val="clear" w:color="auto" w:fill="FFFFFF"/>
            <w:vAlign w:val="bottom"/>
          </w:tcPr>
          <w:p w14:paraId="5E0CC521" w14:textId="77777777" w:rsidR="00335AA3" w:rsidRPr="00D96A90" w:rsidRDefault="00335AA3" w:rsidP="00B51FF5">
            <w:pPr>
              <w:spacing w:after="0" w:line="240" w:lineRule="auto"/>
              <w:jc w:val="right"/>
              <w:rPr>
                <w:rFonts w:ascii="Arial" w:hAnsi="Arial" w:cs="Arial"/>
                <w:sz w:val="20"/>
                <w:szCs w:val="20"/>
              </w:rPr>
            </w:pPr>
          </w:p>
        </w:tc>
        <w:tc>
          <w:tcPr>
            <w:tcW w:w="762" w:type="pct"/>
            <w:shd w:val="clear" w:color="auto" w:fill="FFFFFF"/>
          </w:tcPr>
          <w:p w14:paraId="2AF37BED" w14:textId="77777777" w:rsidR="00335AA3" w:rsidRPr="00D96A90" w:rsidRDefault="00335AA3" w:rsidP="00B51FF5">
            <w:pPr>
              <w:spacing w:after="0" w:line="240" w:lineRule="auto"/>
              <w:jc w:val="right"/>
              <w:rPr>
                <w:rFonts w:ascii="Arial" w:hAnsi="Arial" w:cs="Arial"/>
                <w:sz w:val="20"/>
                <w:szCs w:val="20"/>
              </w:rPr>
            </w:pPr>
          </w:p>
        </w:tc>
      </w:tr>
      <w:tr w:rsidR="00B51FF5" w:rsidRPr="00C67A93" w14:paraId="11EF9C3F" w14:textId="77777777" w:rsidTr="00905779">
        <w:trPr>
          <w:trHeight w:val="282"/>
        </w:trPr>
        <w:tc>
          <w:tcPr>
            <w:tcW w:w="2049" w:type="pct"/>
            <w:tcBorders>
              <w:top w:val="nil"/>
              <w:left w:val="nil"/>
              <w:bottom w:val="single" w:sz="4" w:space="0" w:color="auto"/>
              <w:right w:val="nil"/>
            </w:tcBorders>
            <w:shd w:val="clear" w:color="auto" w:fill="FFFFFF"/>
            <w:noWrap/>
            <w:vAlign w:val="bottom"/>
            <w:hideMark/>
          </w:tcPr>
          <w:p w14:paraId="7CA88D47" w14:textId="77777777" w:rsidR="00B51FF5" w:rsidRPr="00D96A90" w:rsidRDefault="00B51FF5" w:rsidP="00B51FF5">
            <w:pPr>
              <w:spacing w:after="0" w:line="240" w:lineRule="auto"/>
              <w:rPr>
                <w:rFonts w:ascii="Arial" w:eastAsia="Times New Roman" w:hAnsi="Arial" w:cs="Arial"/>
                <w:sz w:val="20"/>
                <w:szCs w:val="20"/>
                <w:lang w:val="en-SG" w:eastAsia="en-SG"/>
              </w:rPr>
            </w:pPr>
            <w:r w:rsidRPr="00D96A90">
              <w:rPr>
                <w:rFonts w:ascii="Arial" w:eastAsia="Times New Roman" w:hAnsi="Arial" w:cs="Arial"/>
                <w:sz w:val="20"/>
                <w:szCs w:val="20"/>
                <w:lang w:val="en-SG" w:eastAsia="en-SG"/>
              </w:rPr>
              <w:t>Other net assets of subsidiaries</w:t>
            </w:r>
          </w:p>
        </w:tc>
        <w:tc>
          <w:tcPr>
            <w:tcW w:w="781" w:type="pct"/>
            <w:tcBorders>
              <w:top w:val="nil"/>
              <w:left w:val="nil"/>
              <w:bottom w:val="single" w:sz="4" w:space="0" w:color="auto"/>
              <w:right w:val="nil"/>
            </w:tcBorders>
            <w:shd w:val="clear" w:color="auto" w:fill="FDE9D9" w:themeFill="accent6" w:themeFillTint="33"/>
            <w:vAlign w:val="bottom"/>
          </w:tcPr>
          <w:p w14:paraId="6940D281" w14:textId="2E694E04" w:rsidR="00B51FF5" w:rsidRPr="00D96A90" w:rsidRDefault="00B51FF5" w:rsidP="00B51FF5">
            <w:pPr>
              <w:spacing w:after="0" w:line="240" w:lineRule="auto"/>
              <w:jc w:val="right"/>
              <w:rPr>
                <w:rFonts w:ascii="Arial" w:eastAsia="Times New Roman" w:hAnsi="Arial" w:cs="Arial"/>
                <w:b/>
                <w:bCs/>
                <w:sz w:val="20"/>
                <w:szCs w:val="20"/>
                <w:lang w:val="en-SG" w:eastAsia="en-SG"/>
              </w:rPr>
            </w:pPr>
            <w:r w:rsidRPr="00D96A90">
              <w:rPr>
                <w:rFonts w:ascii="Arial" w:eastAsia="Times New Roman" w:hAnsi="Arial" w:cs="Arial"/>
                <w:b/>
                <w:bCs/>
                <w:sz w:val="20"/>
                <w:szCs w:val="20"/>
                <w:lang w:val="en-SG" w:eastAsia="en-SG"/>
              </w:rPr>
              <w:t>49,</w:t>
            </w:r>
            <w:r>
              <w:rPr>
                <w:rFonts w:ascii="Arial" w:eastAsia="Times New Roman" w:hAnsi="Arial" w:cs="Arial"/>
                <w:b/>
                <w:bCs/>
                <w:sz w:val="20"/>
                <w:szCs w:val="20"/>
                <w:lang w:val="en-SG" w:eastAsia="en-SG"/>
              </w:rPr>
              <w:t>639</w:t>
            </w:r>
          </w:p>
        </w:tc>
        <w:tc>
          <w:tcPr>
            <w:tcW w:w="706" w:type="pct"/>
            <w:tcBorders>
              <w:top w:val="nil"/>
              <w:left w:val="nil"/>
              <w:bottom w:val="single" w:sz="4" w:space="0" w:color="auto"/>
              <w:right w:val="nil"/>
            </w:tcBorders>
            <w:shd w:val="clear" w:color="auto" w:fill="FDE9D9" w:themeFill="accent6" w:themeFillTint="33"/>
            <w:vAlign w:val="center"/>
          </w:tcPr>
          <w:p w14:paraId="76D8867C" w14:textId="77777777" w:rsidR="00B51FF5" w:rsidRPr="00D96A90" w:rsidRDefault="00B51FF5" w:rsidP="00B51FF5">
            <w:pPr>
              <w:spacing w:after="0" w:line="240" w:lineRule="auto"/>
              <w:jc w:val="right"/>
              <w:rPr>
                <w:rFonts w:ascii="Arial" w:eastAsia="Times New Roman" w:hAnsi="Arial" w:cs="Arial"/>
                <w:b/>
                <w:bCs/>
                <w:sz w:val="20"/>
                <w:szCs w:val="20"/>
                <w:lang w:val="en-SG" w:eastAsia="en-SG"/>
              </w:rPr>
            </w:pPr>
          </w:p>
        </w:tc>
        <w:tc>
          <w:tcPr>
            <w:tcW w:w="702" w:type="pct"/>
            <w:tcBorders>
              <w:top w:val="nil"/>
              <w:left w:val="nil"/>
              <w:bottom w:val="single" w:sz="4" w:space="0" w:color="auto"/>
              <w:right w:val="nil"/>
            </w:tcBorders>
            <w:shd w:val="clear" w:color="auto" w:fill="FFFFFF"/>
          </w:tcPr>
          <w:p w14:paraId="6BAC4B44" w14:textId="77777777" w:rsidR="00B51FF5" w:rsidRPr="00C67A93" w:rsidRDefault="00B51FF5" w:rsidP="00B51FF5">
            <w:pPr>
              <w:spacing w:after="0" w:line="240" w:lineRule="auto"/>
              <w:jc w:val="right"/>
              <w:rPr>
                <w:rFonts w:ascii="Arial" w:eastAsia="Times New Roman" w:hAnsi="Arial" w:cs="Arial"/>
                <w:sz w:val="20"/>
                <w:szCs w:val="20"/>
                <w:lang w:val="en-SG" w:eastAsia="en-SG"/>
              </w:rPr>
            </w:pPr>
            <w:r w:rsidRPr="00D96A90">
              <w:rPr>
                <w:rFonts w:ascii="Arial" w:hAnsi="Arial" w:cs="Arial"/>
                <w:sz w:val="20"/>
                <w:szCs w:val="20"/>
              </w:rPr>
              <w:t>48,417</w:t>
            </w:r>
          </w:p>
        </w:tc>
        <w:tc>
          <w:tcPr>
            <w:tcW w:w="762" w:type="pct"/>
            <w:tcBorders>
              <w:top w:val="nil"/>
              <w:left w:val="nil"/>
              <w:bottom w:val="single" w:sz="4" w:space="0" w:color="auto"/>
              <w:right w:val="nil"/>
            </w:tcBorders>
            <w:shd w:val="clear" w:color="auto" w:fill="FFFFFF"/>
          </w:tcPr>
          <w:p w14:paraId="4BD0523C" w14:textId="77777777" w:rsidR="00B51FF5" w:rsidRPr="00C67A93" w:rsidRDefault="00B51FF5" w:rsidP="00B51FF5">
            <w:pPr>
              <w:spacing w:after="0" w:line="240" w:lineRule="auto"/>
              <w:jc w:val="right"/>
              <w:rPr>
                <w:rFonts w:ascii="Arial" w:eastAsia="Times New Roman" w:hAnsi="Arial" w:cs="Arial"/>
                <w:sz w:val="20"/>
                <w:szCs w:val="20"/>
                <w:lang w:val="en-SG" w:eastAsia="en-SG"/>
              </w:rPr>
            </w:pPr>
            <w:r w:rsidRPr="00C67A93">
              <w:rPr>
                <w:rFonts w:ascii="Arial" w:hAnsi="Arial" w:cs="Arial"/>
                <w:sz w:val="20"/>
                <w:szCs w:val="20"/>
              </w:rPr>
              <w:t xml:space="preserve"> </w:t>
            </w:r>
          </w:p>
        </w:tc>
      </w:tr>
      <w:tr w:rsidR="00B51FF5" w:rsidRPr="00C67A93" w14:paraId="5F67360B" w14:textId="77777777" w:rsidTr="00905779">
        <w:trPr>
          <w:trHeight w:val="282"/>
        </w:trPr>
        <w:tc>
          <w:tcPr>
            <w:tcW w:w="2049" w:type="pct"/>
            <w:tcBorders>
              <w:top w:val="nil"/>
              <w:left w:val="nil"/>
              <w:bottom w:val="single" w:sz="4" w:space="0" w:color="auto"/>
              <w:right w:val="nil"/>
            </w:tcBorders>
            <w:shd w:val="clear" w:color="auto" w:fill="FFFFFF"/>
            <w:noWrap/>
            <w:vAlign w:val="bottom"/>
          </w:tcPr>
          <w:p w14:paraId="3049C533" w14:textId="77777777" w:rsidR="00B51FF5" w:rsidRPr="00C67A93" w:rsidRDefault="00B51FF5" w:rsidP="00B51FF5">
            <w:pPr>
              <w:spacing w:after="0" w:line="240" w:lineRule="auto"/>
              <w:rPr>
                <w:rFonts w:ascii="Arial" w:eastAsia="Times New Roman" w:hAnsi="Arial" w:cs="Arial"/>
                <w:sz w:val="20"/>
                <w:szCs w:val="20"/>
                <w:lang w:val="en-SG" w:eastAsia="en-SG"/>
              </w:rPr>
            </w:pPr>
          </w:p>
        </w:tc>
        <w:tc>
          <w:tcPr>
            <w:tcW w:w="781" w:type="pct"/>
            <w:tcBorders>
              <w:top w:val="nil"/>
              <w:left w:val="nil"/>
              <w:bottom w:val="single" w:sz="4" w:space="0" w:color="auto"/>
              <w:right w:val="nil"/>
            </w:tcBorders>
            <w:shd w:val="clear" w:color="auto" w:fill="FDE9D9" w:themeFill="accent6" w:themeFillTint="33"/>
          </w:tcPr>
          <w:p w14:paraId="191F04BB" w14:textId="7F4F4D1E" w:rsidR="00B51FF5" w:rsidRPr="00C67A93" w:rsidRDefault="00B51FF5" w:rsidP="00B51FF5">
            <w:pPr>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Pr>
                <w:rFonts w:ascii="Arial" w:eastAsia="Times New Roman" w:hAnsi="Arial" w:cs="Arial"/>
                <w:b/>
                <w:bCs/>
                <w:sz w:val="20"/>
                <w:szCs w:val="20"/>
                <w:lang w:val="en-SG" w:eastAsia="en-SG"/>
              </w:rPr>
              <w:t>1</w:t>
            </w:r>
            <w:r w:rsidRPr="00C67A93">
              <w:rPr>
                <w:rFonts w:ascii="Arial" w:eastAsia="Times New Roman" w:hAnsi="Arial" w:cs="Arial"/>
                <w:b/>
                <w:bCs/>
                <w:sz w:val="20"/>
                <w:szCs w:val="20"/>
                <w:lang w:val="en-SG" w:eastAsia="en-SG"/>
              </w:rPr>
              <w:t>,</w:t>
            </w:r>
            <w:r>
              <w:rPr>
                <w:rFonts w:ascii="Arial" w:eastAsia="Times New Roman" w:hAnsi="Arial" w:cs="Arial"/>
                <w:b/>
                <w:bCs/>
                <w:sz w:val="20"/>
                <w:szCs w:val="20"/>
                <w:lang w:val="en-SG" w:eastAsia="en-SG"/>
              </w:rPr>
              <w:t>054</w:t>
            </w:r>
          </w:p>
        </w:tc>
        <w:tc>
          <w:tcPr>
            <w:tcW w:w="706" w:type="pct"/>
            <w:tcBorders>
              <w:top w:val="nil"/>
              <w:left w:val="nil"/>
              <w:bottom w:val="single" w:sz="4" w:space="0" w:color="auto"/>
              <w:right w:val="nil"/>
            </w:tcBorders>
            <w:shd w:val="clear" w:color="auto" w:fill="FDE9D9" w:themeFill="accent6" w:themeFillTint="33"/>
          </w:tcPr>
          <w:p w14:paraId="56052D2F" w14:textId="5F49F722" w:rsidR="00B51FF5" w:rsidRPr="00C67A93" w:rsidRDefault="00B51FF5" w:rsidP="00B51FF5">
            <w:pPr>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Pr>
                <w:rFonts w:ascii="Arial" w:eastAsia="Times New Roman" w:hAnsi="Arial" w:cs="Arial"/>
                <w:b/>
                <w:bCs/>
                <w:sz w:val="20"/>
                <w:szCs w:val="20"/>
                <w:lang w:val="en-SG" w:eastAsia="en-SG"/>
              </w:rPr>
              <w:t>1</w:t>
            </w:r>
            <w:r w:rsidRPr="00C67A93">
              <w:rPr>
                <w:rFonts w:ascii="Arial" w:eastAsia="Times New Roman" w:hAnsi="Arial" w:cs="Arial"/>
                <w:b/>
                <w:bCs/>
                <w:sz w:val="20"/>
                <w:szCs w:val="20"/>
                <w:lang w:val="en-SG" w:eastAsia="en-SG"/>
              </w:rPr>
              <w:t>,</w:t>
            </w:r>
            <w:r>
              <w:rPr>
                <w:rFonts w:ascii="Arial" w:eastAsia="Times New Roman" w:hAnsi="Arial" w:cs="Arial"/>
                <w:b/>
                <w:bCs/>
                <w:sz w:val="20"/>
                <w:szCs w:val="20"/>
                <w:lang w:val="en-SG" w:eastAsia="en-SG"/>
              </w:rPr>
              <w:t>054</w:t>
            </w:r>
          </w:p>
        </w:tc>
        <w:tc>
          <w:tcPr>
            <w:tcW w:w="702" w:type="pct"/>
            <w:tcBorders>
              <w:top w:val="nil"/>
              <w:left w:val="nil"/>
              <w:bottom w:val="single" w:sz="4" w:space="0" w:color="auto"/>
              <w:right w:val="nil"/>
            </w:tcBorders>
            <w:shd w:val="clear" w:color="auto" w:fill="FFFFFF"/>
          </w:tcPr>
          <w:p w14:paraId="1FA34735" w14:textId="77777777" w:rsidR="00B51FF5" w:rsidRPr="00C67A93" w:rsidRDefault="00B51FF5" w:rsidP="00B51FF5">
            <w:pPr>
              <w:spacing w:after="0" w:line="240" w:lineRule="auto"/>
              <w:jc w:val="right"/>
              <w:rPr>
                <w:rFonts w:ascii="Arial" w:eastAsia="Times New Roman" w:hAnsi="Arial" w:cs="Arial"/>
                <w:sz w:val="20"/>
                <w:szCs w:val="20"/>
                <w:lang w:val="en-SG" w:eastAsia="en-SG"/>
              </w:rPr>
            </w:pPr>
            <w:r w:rsidRPr="00C67A93">
              <w:rPr>
                <w:rFonts w:ascii="Arial" w:hAnsi="Arial" w:cs="Arial"/>
                <w:sz w:val="20"/>
                <w:szCs w:val="20"/>
              </w:rPr>
              <w:t>69,855</w:t>
            </w:r>
          </w:p>
        </w:tc>
        <w:tc>
          <w:tcPr>
            <w:tcW w:w="762" w:type="pct"/>
            <w:tcBorders>
              <w:top w:val="nil"/>
              <w:left w:val="nil"/>
              <w:bottom w:val="single" w:sz="4" w:space="0" w:color="auto"/>
              <w:right w:val="nil"/>
            </w:tcBorders>
            <w:shd w:val="clear" w:color="auto" w:fill="FFFFFF"/>
          </w:tcPr>
          <w:p w14:paraId="55EF7BA4" w14:textId="77777777" w:rsidR="00B51FF5" w:rsidRPr="00C67A93" w:rsidRDefault="00B51FF5" w:rsidP="00B51FF5">
            <w:pPr>
              <w:spacing w:after="0" w:line="240" w:lineRule="auto"/>
              <w:jc w:val="right"/>
              <w:rPr>
                <w:rFonts w:ascii="Arial" w:eastAsia="Times New Roman" w:hAnsi="Arial" w:cs="Arial"/>
                <w:sz w:val="20"/>
                <w:szCs w:val="20"/>
                <w:lang w:val="en-SG" w:eastAsia="en-SG"/>
              </w:rPr>
            </w:pPr>
            <w:r w:rsidRPr="00C67A93">
              <w:rPr>
                <w:rFonts w:ascii="Arial" w:hAnsi="Arial" w:cs="Arial"/>
                <w:sz w:val="20"/>
                <w:szCs w:val="20"/>
              </w:rPr>
              <w:t>69,855</w:t>
            </w:r>
          </w:p>
        </w:tc>
      </w:tr>
      <w:tr w:rsidR="00B51FF5" w:rsidRPr="00C67A93" w14:paraId="15D8474E" w14:textId="77777777" w:rsidTr="00905779">
        <w:trPr>
          <w:trHeight w:val="282"/>
        </w:trPr>
        <w:tc>
          <w:tcPr>
            <w:tcW w:w="2049" w:type="pct"/>
            <w:tcBorders>
              <w:top w:val="single" w:sz="4" w:space="0" w:color="auto"/>
              <w:left w:val="nil"/>
              <w:bottom w:val="single" w:sz="4" w:space="0" w:color="auto"/>
              <w:right w:val="nil"/>
            </w:tcBorders>
            <w:shd w:val="clear" w:color="auto" w:fill="FFFFFF"/>
            <w:noWrap/>
            <w:vAlign w:val="bottom"/>
          </w:tcPr>
          <w:p w14:paraId="15911A51" w14:textId="77777777" w:rsidR="00B51FF5" w:rsidRPr="00C67A93" w:rsidRDefault="00B51FF5" w:rsidP="00B51FF5">
            <w:pPr>
              <w:spacing w:after="0" w:line="240" w:lineRule="auto"/>
              <w:rPr>
                <w:rFonts w:ascii="Arial" w:eastAsia="Times New Roman" w:hAnsi="Arial" w:cs="Arial"/>
                <w:sz w:val="20"/>
                <w:szCs w:val="20"/>
                <w:lang w:val="en-SG" w:eastAsia="en-SG"/>
              </w:rPr>
            </w:pPr>
          </w:p>
        </w:tc>
        <w:tc>
          <w:tcPr>
            <w:tcW w:w="781" w:type="pct"/>
            <w:tcBorders>
              <w:top w:val="single" w:sz="4" w:space="0" w:color="auto"/>
              <w:left w:val="nil"/>
              <w:bottom w:val="single" w:sz="4" w:space="0" w:color="auto"/>
              <w:right w:val="nil"/>
            </w:tcBorders>
            <w:shd w:val="clear" w:color="auto" w:fill="FDE9D9" w:themeFill="accent6" w:themeFillTint="33"/>
          </w:tcPr>
          <w:p w14:paraId="7AAB527D" w14:textId="77777777" w:rsidR="00B51FF5" w:rsidRPr="00C67A93" w:rsidRDefault="00B51FF5" w:rsidP="00B51FF5">
            <w:pPr>
              <w:spacing w:after="0" w:line="240" w:lineRule="auto"/>
              <w:jc w:val="right"/>
              <w:rPr>
                <w:rFonts w:ascii="Arial" w:eastAsia="Times New Roman" w:hAnsi="Arial" w:cs="Arial"/>
                <w:b/>
                <w:bCs/>
                <w:sz w:val="20"/>
                <w:szCs w:val="20"/>
                <w:lang w:val="en-SG" w:eastAsia="en-SG"/>
              </w:rPr>
            </w:pPr>
          </w:p>
        </w:tc>
        <w:tc>
          <w:tcPr>
            <w:tcW w:w="706" w:type="pct"/>
            <w:tcBorders>
              <w:top w:val="single" w:sz="4" w:space="0" w:color="auto"/>
              <w:left w:val="nil"/>
              <w:bottom w:val="single" w:sz="4" w:space="0" w:color="auto"/>
              <w:right w:val="nil"/>
            </w:tcBorders>
            <w:shd w:val="clear" w:color="auto" w:fill="FDE9D9" w:themeFill="accent6" w:themeFillTint="33"/>
          </w:tcPr>
          <w:p w14:paraId="1988870A" w14:textId="3B9E9D63" w:rsidR="00B51FF5" w:rsidRPr="00C67A93" w:rsidRDefault="00B51FF5" w:rsidP="00B51FF5">
            <w:pPr>
              <w:spacing w:after="0" w:line="240" w:lineRule="auto"/>
              <w:jc w:val="right"/>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7</w:t>
            </w:r>
            <w:r>
              <w:rPr>
                <w:rFonts w:ascii="Arial" w:eastAsia="Times New Roman" w:hAnsi="Arial" w:cs="Arial"/>
                <w:b/>
                <w:bCs/>
                <w:sz w:val="20"/>
                <w:szCs w:val="20"/>
                <w:lang w:val="en-SG" w:eastAsia="en-SG"/>
              </w:rPr>
              <w:t>1</w:t>
            </w:r>
            <w:r w:rsidRPr="00C67A93">
              <w:rPr>
                <w:rFonts w:ascii="Arial" w:eastAsia="Times New Roman" w:hAnsi="Arial" w:cs="Arial"/>
                <w:b/>
                <w:bCs/>
                <w:sz w:val="20"/>
                <w:szCs w:val="20"/>
                <w:lang w:val="en-SG" w:eastAsia="en-SG"/>
              </w:rPr>
              <w:t>,</w:t>
            </w:r>
            <w:r>
              <w:rPr>
                <w:rFonts w:ascii="Arial" w:eastAsia="Times New Roman" w:hAnsi="Arial" w:cs="Arial"/>
                <w:b/>
                <w:bCs/>
                <w:sz w:val="20"/>
                <w:szCs w:val="20"/>
                <w:lang w:val="en-SG" w:eastAsia="en-SG"/>
              </w:rPr>
              <w:t>054</w:t>
            </w:r>
          </w:p>
        </w:tc>
        <w:tc>
          <w:tcPr>
            <w:tcW w:w="702" w:type="pct"/>
            <w:tcBorders>
              <w:top w:val="single" w:sz="4" w:space="0" w:color="auto"/>
              <w:left w:val="nil"/>
              <w:bottom w:val="single" w:sz="4" w:space="0" w:color="auto"/>
              <w:right w:val="nil"/>
            </w:tcBorders>
            <w:shd w:val="clear" w:color="auto" w:fill="FFFFFF"/>
          </w:tcPr>
          <w:p w14:paraId="25B14767" w14:textId="77777777" w:rsidR="00B51FF5" w:rsidRPr="00C67A93" w:rsidRDefault="00B51FF5" w:rsidP="00B51FF5">
            <w:pPr>
              <w:spacing w:after="0" w:line="240" w:lineRule="auto"/>
              <w:jc w:val="right"/>
              <w:rPr>
                <w:rFonts w:ascii="Arial" w:eastAsia="Times New Roman" w:hAnsi="Arial" w:cs="Arial"/>
                <w:sz w:val="20"/>
                <w:szCs w:val="20"/>
                <w:lang w:val="en-SG" w:eastAsia="en-SG"/>
              </w:rPr>
            </w:pPr>
            <w:r w:rsidRPr="00C67A93">
              <w:rPr>
                <w:rFonts w:ascii="Arial" w:hAnsi="Arial" w:cs="Arial"/>
                <w:sz w:val="20"/>
                <w:szCs w:val="20"/>
              </w:rPr>
              <w:t xml:space="preserve"> </w:t>
            </w:r>
          </w:p>
        </w:tc>
        <w:tc>
          <w:tcPr>
            <w:tcW w:w="762" w:type="pct"/>
            <w:tcBorders>
              <w:top w:val="single" w:sz="4" w:space="0" w:color="auto"/>
              <w:left w:val="nil"/>
              <w:bottom w:val="single" w:sz="4" w:space="0" w:color="auto"/>
              <w:right w:val="nil"/>
            </w:tcBorders>
            <w:shd w:val="clear" w:color="auto" w:fill="FFFFFF"/>
          </w:tcPr>
          <w:p w14:paraId="1D0CF9CF" w14:textId="77777777" w:rsidR="00B51FF5" w:rsidRPr="00C67A93" w:rsidRDefault="00B51FF5" w:rsidP="00B51FF5">
            <w:pPr>
              <w:spacing w:after="0" w:line="240" w:lineRule="auto"/>
              <w:jc w:val="right"/>
              <w:rPr>
                <w:rFonts w:ascii="Arial" w:eastAsia="Times New Roman" w:hAnsi="Arial" w:cs="Arial"/>
                <w:sz w:val="20"/>
                <w:szCs w:val="20"/>
                <w:lang w:val="en-SG" w:eastAsia="en-SG"/>
              </w:rPr>
            </w:pPr>
            <w:r w:rsidRPr="00C67A93">
              <w:rPr>
                <w:rFonts w:ascii="Arial" w:hAnsi="Arial" w:cs="Arial"/>
                <w:sz w:val="20"/>
                <w:szCs w:val="20"/>
              </w:rPr>
              <w:t>70,610</w:t>
            </w:r>
          </w:p>
        </w:tc>
      </w:tr>
      <w:tr w:rsidR="00B51FF5" w:rsidRPr="00C67A93" w14:paraId="77A5C2F6" w14:textId="77777777" w:rsidTr="00905779">
        <w:trPr>
          <w:trHeight w:val="282"/>
        </w:trPr>
        <w:tc>
          <w:tcPr>
            <w:tcW w:w="2049" w:type="pct"/>
            <w:tcBorders>
              <w:top w:val="single" w:sz="4" w:space="0" w:color="auto"/>
              <w:left w:val="nil"/>
              <w:right w:val="nil"/>
            </w:tcBorders>
            <w:shd w:val="clear" w:color="auto" w:fill="FFFFFF"/>
            <w:noWrap/>
            <w:vAlign w:val="bottom"/>
          </w:tcPr>
          <w:p w14:paraId="25342B4B" w14:textId="77777777" w:rsidR="00B51FF5" w:rsidRPr="00C67A93" w:rsidRDefault="00B51FF5" w:rsidP="00B51FF5">
            <w:pPr>
              <w:spacing w:after="0" w:line="240" w:lineRule="auto"/>
              <w:rPr>
                <w:rFonts w:ascii="Arial" w:eastAsia="Times New Roman" w:hAnsi="Arial" w:cs="Arial"/>
                <w:sz w:val="20"/>
                <w:szCs w:val="20"/>
                <w:lang w:val="en-SG" w:eastAsia="en-SG"/>
              </w:rPr>
            </w:pPr>
          </w:p>
        </w:tc>
        <w:tc>
          <w:tcPr>
            <w:tcW w:w="781" w:type="pct"/>
            <w:tcBorders>
              <w:top w:val="single" w:sz="4" w:space="0" w:color="auto"/>
              <w:left w:val="nil"/>
              <w:right w:val="nil"/>
            </w:tcBorders>
            <w:shd w:val="clear" w:color="auto" w:fill="auto"/>
            <w:vAlign w:val="center"/>
          </w:tcPr>
          <w:p w14:paraId="5D6D9950" w14:textId="77777777" w:rsidR="00B51FF5" w:rsidRPr="00C67A93" w:rsidRDefault="00B51FF5" w:rsidP="00B51FF5">
            <w:pPr>
              <w:spacing w:after="0" w:line="240" w:lineRule="auto"/>
              <w:jc w:val="right"/>
              <w:rPr>
                <w:rFonts w:ascii="Arial" w:hAnsi="Arial" w:cs="Arial"/>
                <w:b/>
                <w:bCs/>
                <w:color w:val="000000"/>
                <w:sz w:val="20"/>
                <w:szCs w:val="20"/>
                <w:lang w:val="en-SG"/>
              </w:rPr>
            </w:pPr>
          </w:p>
        </w:tc>
        <w:tc>
          <w:tcPr>
            <w:tcW w:w="706" w:type="pct"/>
            <w:tcBorders>
              <w:top w:val="single" w:sz="4" w:space="0" w:color="auto"/>
              <w:left w:val="nil"/>
              <w:right w:val="nil"/>
            </w:tcBorders>
            <w:shd w:val="clear" w:color="auto" w:fill="auto"/>
            <w:vAlign w:val="center"/>
          </w:tcPr>
          <w:p w14:paraId="509F6D53" w14:textId="77777777" w:rsidR="00B51FF5" w:rsidRPr="00C67A93" w:rsidRDefault="00B51FF5" w:rsidP="00B51FF5">
            <w:pPr>
              <w:spacing w:after="0" w:line="240" w:lineRule="auto"/>
              <w:jc w:val="right"/>
              <w:rPr>
                <w:rFonts w:ascii="Arial" w:hAnsi="Arial" w:cs="Arial"/>
                <w:b/>
                <w:bCs/>
                <w:color w:val="000000"/>
                <w:sz w:val="20"/>
                <w:szCs w:val="20"/>
                <w:lang w:val="en-SG"/>
              </w:rPr>
            </w:pPr>
          </w:p>
        </w:tc>
        <w:tc>
          <w:tcPr>
            <w:tcW w:w="702" w:type="pct"/>
            <w:tcBorders>
              <w:top w:val="single" w:sz="4" w:space="0" w:color="auto"/>
              <w:left w:val="nil"/>
              <w:right w:val="nil"/>
            </w:tcBorders>
            <w:shd w:val="clear" w:color="auto" w:fill="FFFFFF"/>
            <w:vAlign w:val="bottom"/>
          </w:tcPr>
          <w:p w14:paraId="0F31EC23" w14:textId="77777777" w:rsidR="00B51FF5" w:rsidRPr="00C67A93" w:rsidRDefault="00B51FF5" w:rsidP="00B51FF5">
            <w:pPr>
              <w:spacing w:after="0" w:line="240" w:lineRule="auto"/>
              <w:jc w:val="right"/>
              <w:rPr>
                <w:rFonts w:ascii="Arial" w:eastAsia="Times New Roman" w:hAnsi="Arial" w:cs="Arial"/>
                <w:sz w:val="20"/>
                <w:szCs w:val="20"/>
                <w:lang w:val="en-SG" w:eastAsia="en-SG"/>
              </w:rPr>
            </w:pPr>
          </w:p>
        </w:tc>
        <w:tc>
          <w:tcPr>
            <w:tcW w:w="762" w:type="pct"/>
            <w:tcBorders>
              <w:top w:val="single" w:sz="4" w:space="0" w:color="auto"/>
              <w:left w:val="nil"/>
              <w:right w:val="nil"/>
            </w:tcBorders>
            <w:shd w:val="clear" w:color="auto" w:fill="FFFFFF"/>
            <w:vAlign w:val="bottom"/>
          </w:tcPr>
          <w:p w14:paraId="093CAC2C" w14:textId="77777777" w:rsidR="00B51FF5" w:rsidRPr="00C67A93" w:rsidRDefault="00B51FF5" w:rsidP="00B51FF5">
            <w:pPr>
              <w:spacing w:after="0" w:line="240" w:lineRule="auto"/>
              <w:jc w:val="right"/>
              <w:rPr>
                <w:rFonts w:ascii="Arial" w:eastAsia="Times New Roman" w:hAnsi="Arial" w:cs="Arial"/>
                <w:bCs/>
                <w:sz w:val="20"/>
                <w:szCs w:val="20"/>
                <w:lang w:val="en-SG" w:eastAsia="en-SG"/>
              </w:rPr>
            </w:pPr>
          </w:p>
        </w:tc>
      </w:tr>
    </w:tbl>
    <w:p w14:paraId="2D35534D" w14:textId="77777777" w:rsidR="00891B3A" w:rsidRPr="00C67A93" w:rsidRDefault="00891B3A" w:rsidP="00891B3A">
      <w:pPr>
        <w:spacing w:after="0" w:line="240" w:lineRule="auto"/>
        <w:jc w:val="both"/>
        <w:outlineLvl w:val="0"/>
        <w:rPr>
          <w:rFonts w:ascii="Arial" w:hAnsi="Arial" w:cs="Arial"/>
        </w:rPr>
      </w:pPr>
    </w:p>
    <w:p w14:paraId="71C9753B" w14:textId="77777777" w:rsidR="00891B3A" w:rsidRPr="00C67A93" w:rsidRDefault="00891B3A" w:rsidP="00891B3A">
      <w:pPr>
        <w:spacing w:after="0" w:line="240" w:lineRule="auto"/>
        <w:jc w:val="both"/>
        <w:outlineLvl w:val="0"/>
        <w:rPr>
          <w:rFonts w:ascii="Arial" w:hAnsi="Arial" w:cs="Arial"/>
        </w:rPr>
      </w:pPr>
    </w:p>
    <w:p w14:paraId="58A3447B" w14:textId="77777777" w:rsidR="00891B3A" w:rsidRPr="00C67A93" w:rsidRDefault="00891B3A" w:rsidP="00891B3A">
      <w:pPr>
        <w:spacing w:after="0" w:line="240" w:lineRule="auto"/>
        <w:jc w:val="both"/>
        <w:outlineLvl w:val="0"/>
        <w:rPr>
          <w:rFonts w:ascii="Arial" w:hAnsi="Arial" w:cs="Arial"/>
        </w:rPr>
      </w:pPr>
    </w:p>
    <w:p w14:paraId="0A86F9D4" w14:textId="77777777" w:rsidR="00891B3A" w:rsidRPr="00C67A93" w:rsidRDefault="00891B3A" w:rsidP="00891B3A">
      <w:pPr>
        <w:spacing w:after="0" w:line="240" w:lineRule="auto"/>
        <w:jc w:val="both"/>
        <w:outlineLvl w:val="0"/>
        <w:rPr>
          <w:rFonts w:ascii="Arial" w:hAnsi="Arial" w:cs="Arial"/>
        </w:rPr>
      </w:pPr>
    </w:p>
    <w:p w14:paraId="772AF701" w14:textId="77777777" w:rsidR="00891B3A" w:rsidRPr="00C67A93" w:rsidRDefault="00891B3A" w:rsidP="00891B3A">
      <w:pPr>
        <w:spacing w:after="0" w:line="240" w:lineRule="auto"/>
        <w:jc w:val="both"/>
        <w:outlineLvl w:val="0"/>
        <w:rPr>
          <w:rFonts w:ascii="Arial" w:hAnsi="Arial" w:cs="Arial"/>
        </w:rPr>
      </w:pPr>
    </w:p>
    <w:p w14:paraId="4652DC05" w14:textId="77777777" w:rsidR="00891B3A" w:rsidRPr="00C67A93" w:rsidRDefault="00891B3A" w:rsidP="00891B3A">
      <w:pPr>
        <w:spacing w:after="0" w:line="240" w:lineRule="auto"/>
        <w:jc w:val="both"/>
        <w:outlineLvl w:val="0"/>
        <w:rPr>
          <w:rFonts w:ascii="Arial" w:hAnsi="Arial" w:cs="Arial"/>
        </w:rPr>
      </w:pPr>
    </w:p>
    <w:p w14:paraId="73CF92FD" w14:textId="77777777" w:rsidR="00891B3A" w:rsidRPr="00C67A93" w:rsidRDefault="00891B3A" w:rsidP="00891B3A">
      <w:pPr>
        <w:spacing w:after="0" w:line="240" w:lineRule="auto"/>
        <w:jc w:val="both"/>
        <w:outlineLvl w:val="0"/>
        <w:rPr>
          <w:rFonts w:ascii="Arial" w:hAnsi="Arial" w:cs="Arial"/>
        </w:rPr>
      </w:pPr>
    </w:p>
    <w:p w14:paraId="7D46F8AE" w14:textId="77777777" w:rsidR="00891B3A" w:rsidRPr="00C67A93" w:rsidRDefault="00891B3A" w:rsidP="00891B3A">
      <w:pPr>
        <w:spacing w:after="0" w:line="240" w:lineRule="auto"/>
        <w:jc w:val="both"/>
        <w:outlineLvl w:val="0"/>
        <w:rPr>
          <w:rFonts w:ascii="Arial" w:hAnsi="Arial" w:cs="Arial"/>
        </w:rPr>
      </w:pPr>
    </w:p>
    <w:p w14:paraId="26BF2652" w14:textId="77777777" w:rsidR="00891B3A" w:rsidRPr="00C67A93" w:rsidRDefault="00891B3A" w:rsidP="00891B3A">
      <w:pPr>
        <w:spacing w:after="0" w:line="240" w:lineRule="auto"/>
        <w:jc w:val="both"/>
        <w:outlineLvl w:val="0"/>
        <w:rPr>
          <w:rFonts w:ascii="Arial" w:hAnsi="Arial" w:cs="Arial"/>
        </w:rPr>
      </w:pPr>
    </w:p>
    <w:p w14:paraId="0E2DDC0D" w14:textId="2DBA3822" w:rsidR="00891B3A" w:rsidRDefault="00891B3A" w:rsidP="00891B3A">
      <w:pPr>
        <w:spacing w:after="0" w:line="240" w:lineRule="auto"/>
        <w:jc w:val="both"/>
        <w:outlineLvl w:val="0"/>
        <w:rPr>
          <w:rFonts w:ascii="Arial" w:hAnsi="Arial" w:cs="Arial"/>
        </w:rPr>
      </w:pPr>
    </w:p>
    <w:p w14:paraId="7FB18158" w14:textId="77777777" w:rsidR="00891B3A" w:rsidRPr="00C67A93" w:rsidRDefault="00891B3A" w:rsidP="00891B3A">
      <w:pPr>
        <w:spacing w:after="0" w:line="240" w:lineRule="auto"/>
        <w:jc w:val="both"/>
        <w:outlineLvl w:val="0"/>
        <w:rPr>
          <w:rFonts w:ascii="Arial" w:hAnsi="Arial" w:cs="Arial"/>
        </w:rPr>
      </w:pPr>
    </w:p>
    <w:p w14:paraId="57BC0FDE"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64B99E13" w14:textId="77777777" w:rsidR="00891B3A" w:rsidRPr="00C67A93" w:rsidRDefault="00891B3A" w:rsidP="00891B3A">
      <w:pPr>
        <w:pStyle w:val="NormalWeb"/>
        <w:shd w:val="clear" w:color="auto" w:fill="FFFFFF"/>
        <w:spacing w:before="0" w:after="0"/>
        <w:rPr>
          <w:rFonts w:ascii="Arial" w:hAnsi="Arial" w:cs="Arial"/>
        </w:rPr>
      </w:pPr>
    </w:p>
    <w:p w14:paraId="3FF2245B" w14:textId="77777777" w:rsidR="00891B3A" w:rsidRPr="00C67A93" w:rsidRDefault="00891B3A" w:rsidP="00891B3A">
      <w:pPr>
        <w:shd w:val="clear" w:color="auto" w:fill="FFFFFF"/>
        <w:rPr>
          <w:rFonts w:ascii="Arial" w:hAnsi="Arial" w:cs="Arial"/>
          <w:b/>
          <w:sz w:val="28"/>
          <w:szCs w:val="28"/>
        </w:rPr>
      </w:pPr>
      <w:r w:rsidRPr="00C67A93">
        <w:rPr>
          <w:rFonts w:ascii="Arial" w:hAnsi="Arial" w:cs="Arial"/>
          <w:b/>
          <w:sz w:val="28"/>
          <w:szCs w:val="28"/>
        </w:rPr>
        <w:t>5.</w:t>
      </w:r>
      <w:r w:rsidRPr="00C67A93">
        <w:rPr>
          <w:rFonts w:ascii="Arial" w:hAnsi="Arial" w:cs="Arial"/>
          <w:b/>
          <w:sz w:val="28"/>
          <w:szCs w:val="28"/>
        </w:rPr>
        <w:tab/>
        <w:t>Investments (continued)</w:t>
      </w:r>
    </w:p>
    <w:p w14:paraId="47698EA6" w14:textId="77777777" w:rsidR="00891B3A" w:rsidRPr="00C67A93" w:rsidRDefault="00891B3A" w:rsidP="00891B3A">
      <w:pPr>
        <w:shd w:val="clear" w:color="auto" w:fill="FFFFFF"/>
        <w:rPr>
          <w:rFonts w:ascii="Arial" w:hAnsi="Arial" w:cs="Arial"/>
        </w:rPr>
      </w:pPr>
      <w:r w:rsidRPr="00C67A93">
        <w:rPr>
          <w:rFonts w:ascii="Arial" w:hAnsi="Arial" w:cs="Arial"/>
        </w:rPr>
        <w:t>The movements in the investment portfolio were as follows:</w:t>
      </w:r>
    </w:p>
    <w:tbl>
      <w:tblPr>
        <w:tblW w:w="5000" w:type="pct"/>
        <w:tblLook w:val="04A0" w:firstRow="1" w:lastRow="0" w:firstColumn="1" w:lastColumn="0" w:noHBand="0" w:noVBand="1"/>
      </w:tblPr>
      <w:tblGrid>
        <w:gridCol w:w="3212"/>
        <w:gridCol w:w="1651"/>
        <w:gridCol w:w="1453"/>
        <w:gridCol w:w="1468"/>
        <w:gridCol w:w="1286"/>
      </w:tblGrid>
      <w:tr w:rsidR="00891B3A" w:rsidRPr="00C67A93" w14:paraId="0DEC8A13" w14:textId="77777777" w:rsidTr="00891B3A">
        <w:trPr>
          <w:trHeight w:val="282"/>
        </w:trPr>
        <w:tc>
          <w:tcPr>
            <w:tcW w:w="1771" w:type="pct"/>
            <w:tcBorders>
              <w:left w:val="nil"/>
              <w:right w:val="nil"/>
            </w:tcBorders>
            <w:shd w:val="clear" w:color="auto" w:fill="auto"/>
            <w:noWrap/>
            <w:vAlign w:val="bottom"/>
            <w:hideMark/>
          </w:tcPr>
          <w:p w14:paraId="37925D1B"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10" w:type="pct"/>
            <w:tcBorders>
              <w:top w:val="nil"/>
              <w:left w:val="nil"/>
              <w:right w:val="nil"/>
            </w:tcBorders>
            <w:shd w:val="clear" w:color="auto" w:fill="auto"/>
          </w:tcPr>
          <w:p w14:paraId="050AB6BE"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Quoted</w:t>
            </w:r>
          </w:p>
        </w:tc>
        <w:tc>
          <w:tcPr>
            <w:tcW w:w="801" w:type="pct"/>
            <w:tcBorders>
              <w:top w:val="nil"/>
              <w:left w:val="nil"/>
              <w:right w:val="nil"/>
            </w:tcBorders>
            <w:shd w:val="clear" w:color="auto" w:fill="auto"/>
          </w:tcPr>
          <w:p w14:paraId="07115A03"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Unquoted</w:t>
            </w:r>
          </w:p>
        </w:tc>
        <w:tc>
          <w:tcPr>
            <w:tcW w:w="809" w:type="pct"/>
            <w:tcBorders>
              <w:top w:val="nil"/>
              <w:left w:val="nil"/>
              <w:right w:val="nil"/>
            </w:tcBorders>
            <w:shd w:val="clear" w:color="auto" w:fill="auto"/>
          </w:tcPr>
          <w:p w14:paraId="3FB6E767"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w:t>
            </w:r>
          </w:p>
        </w:tc>
        <w:tc>
          <w:tcPr>
            <w:tcW w:w="709" w:type="pct"/>
            <w:tcBorders>
              <w:top w:val="nil"/>
              <w:left w:val="nil"/>
              <w:right w:val="nil"/>
            </w:tcBorders>
            <w:shd w:val="clear" w:color="auto" w:fill="auto"/>
          </w:tcPr>
          <w:p w14:paraId="66D82ABD"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w:t>
            </w:r>
          </w:p>
        </w:tc>
      </w:tr>
      <w:tr w:rsidR="00891B3A" w:rsidRPr="00C67A93" w14:paraId="78060B95" w14:textId="77777777" w:rsidTr="00891B3A">
        <w:trPr>
          <w:trHeight w:val="282"/>
        </w:trPr>
        <w:tc>
          <w:tcPr>
            <w:tcW w:w="1771" w:type="pct"/>
            <w:tcBorders>
              <w:left w:val="nil"/>
              <w:right w:val="nil"/>
            </w:tcBorders>
            <w:shd w:val="clear" w:color="auto" w:fill="auto"/>
            <w:noWrap/>
            <w:vAlign w:val="bottom"/>
            <w:hideMark/>
          </w:tcPr>
          <w:p w14:paraId="4679C694"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10" w:type="pct"/>
            <w:tcBorders>
              <w:top w:val="nil"/>
              <w:left w:val="nil"/>
              <w:right w:val="nil"/>
            </w:tcBorders>
            <w:shd w:val="clear" w:color="auto" w:fill="auto"/>
          </w:tcPr>
          <w:p w14:paraId="48C40723"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securities</w:t>
            </w:r>
          </w:p>
        </w:tc>
        <w:tc>
          <w:tcPr>
            <w:tcW w:w="801" w:type="pct"/>
            <w:tcBorders>
              <w:top w:val="nil"/>
              <w:left w:val="nil"/>
              <w:right w:val="nil"/>
            </w:tcBorders>
            <w:shd w:val="clear" w:color="auto" w:fill="auto"/>
          </w:tcPr>
          <w:p w14:paraId="2352AEB8"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securities</w:t>
            </w:r>
          </w:p>
        </w:tc>
        <w:tc>
          <w:tcPr>
            <w:tcW w:w="809" w:type="pct"/>
            <w:tcBorders>
              <w:top w:val="nil"/>
              <w:left w:val="nil"/>
              <w:right w:val="nil"/>
            </w:tcBorders>
            <w:shd w:val="clear" w:color="auto" w:fill="auto"/>
          </w:tcPr>
          <w:p w14:paraId="36059CFD"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Funds</w:t>
            </w:r>
          </w:p>
        </w:tc>
        <w:tc>
          <w:tcPr>
            <w:tcW w:w="709" w:type="pct"/>
            <w:tcBorders>
              <w:top w:val="nil"/>
              <w:left w:val="nil"/>
              <w:right w:val="nil"/>
            </w:tcBorders>
            <w:shd w:val="clear" w:color="auto" w:fill="auto"/>
          </w:tcPr>
          <w:p w14:paraId="10646F14"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Total</w:t>
            </w:r>
          </w:p>
        </w:tc>
      </w:tr>
      <w:tr w:rsidR="00891B3A" w:rsidRPr="00C67A93" w14:paraId="2D1C83D9" w14:textId="77777777" w:rsidTr="00891B3A">
        <w:trPr>
          <w:trHeight w:val="282"/>
        </w:trPr>
        <w:tc>
          <w:tcPr>
            <w:tcW w:w="1771" w:type="pct"/>
            <w:tcBorders>
              <w:left w:val="nil"/>
              <w:bottom w:val="single" w:sz="4" w:space="0" w:color="auto"/>
              <w:right w:val="nil"/>
            </w:tcBorders>
            <w:shd w:val="clear" w:color="auto" w:fill="auto"/>
            <w:noWrap/>
            <w:vAlign w:val="bottom"/>
            <w:hideMark/>
          </w:tcPr>
          <w:p w14:paraId="1AF7519C"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10" w:type="pct"/>
            <w:tcBorders>
              <w:top w:val="nil"/>
              <w:left w:val="nil"/>
              <w:bottom w:val="single" w:sz="4" w:space="0" w:color="auto"/>
              <w:right w:val="nil"/>
            </w:tcBorders>
            <w:shd w:val="clear" w:color="auto" w:fill="auto"/>
          </w:tcPr>
          <w:p w14:paraId="1D029887"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£'000</w:t>
            </w:r>
          </w:p>
        </w:tc>
        <w:tc>
          <w:tcPr>
            <w:tcW w:w="801" w:type="pct"/>
            <w:tcBorders>
              <w:top w:val="nil"/>
              <w:left w:val="nil"/>
              <w:bottom w:val="single" w:sz="4" w:space="0" w:color="auto"/>
              <w:right w:val="nil"/>
            </w:tcBorders>
            <w:shd w:val="clear" w:color="auto" w:fill="auto"/>
          </w:tcPr>
          <w:p w14:paraId="07A23821"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£'000</w:t>
            </w:r>
          </w:p>
        </w:tc>
        <w:tc>
          <w:tcPr>
            <w:tcW w:w="809" w:type="pct"/>
            <w:tcBorders>
              <w:top w:val="nil"/>
              <w:left w:val="nil"/>
              <w:bottom w:val="single" w:sz="4" w:space="0" w:color="auto"/>
              <w:right w:val="nil"/>
            </w:tcBorders>
            <w:shd w:val="clear" w:color="auto" w:fill="auto"/>
          </w:tcPr>
          <w:p w14:paraId="75500F98"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£'000</w:t>
            </w:r>
          </w:p>
        </w:tc>
        <w:tc>
          <w:tcPr>
            <w:tcW w:w="709" w:type="pct"/>
            <w:tcBorders>
              <w:top w:val="nil"/>
              <w:left w:val="nil"/>
              <w:bottom w:val="single" w:sz="4" w:space="0" w:color="auto"/>
              <w:right w:val="nil"/>
            </w:tcBorders>
            <w:shd w:val="clear" w:color="auto" w:fill="auto"/>
          </w:tcPr>
          <w:p w14:paraId="1B73309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£'000</w:t>
            </w:r>
          </w:p>
        </w:tc>
      </w:tr>
      <w:tr w:rsidR="00891B3A" w:rsidRPr="00C67A93" w14:paraId="4265CF7D" w14:textId="77777777" w:rsidTr="00891B3A">
        <w:trPr>
          <w:trHeight w:val="282"/>
        </w:trPr>
        <w:tc>
          <w:tcPr>
            <w:tcW w:w="1771" w:type="pct"/>
            <w:tcBorders>
              <w:top w:val="single" w:sz="4" w:space="0" w:color="auto"/>
              <w:left w:val="nil"/>
              <w:right w:val="nil"/>
            </w:tcBorders>
            <w:shd w:val="clear" w:color="auto" w:fill="auto"/>
            <w:noWrap/>
            <w:vAlign w:val="bottom"/>
            <w:hideMark/>
          </w:tcPr>
          <w:p w14:paraId="39FAF7FF" w14:textId="77777777" w:rsidR="00891B3A" w:rsidRPr="00C67A93" w:rsidRDefault="00891B3A" w:rsidP="00891B3A">
            <w:pPr>
              <w:spacing w:after="0" w:line="240" w:lineRule="auto"/>
              <w:rPr>
                <w:rFonts w:ascii="Arial" w:eastAsia="Times New Roman" w:hAnsi="Arial" w:cs="Arial"/>
                <w:b/>
                <w:bCs/>
                <w:sz w:val="20"/>
                <w:szCs w:val="20"/>
                <w:lang w:val="en-SG" w:eastAsia="en-SG"/>
              </w:rPr>
            </w:pPr>
            <w:r w:rsidRPr="00C67A93">
              <w:rPr>
                <w:rFonts w:ascii="Arial" w:eastAsia="Times New Roman" w:hAnsi="Arial" w:cs="Arial"/>
                <w:b/>
                <w:bCs/>
                <w:sz w:val="20"/>
                <w:szCs w:val="20"/>
                <w:lang w:val="en-SG" w:eastAsia="en-SG"/>
              </w:rPr>
              <w:t>Carrying value</w:t>
            </w:r>
          </w:p>
        </w:tc>
        <w:tc>
          <w:tcPr>
            <w:tcW w:w="910" w:type="pct"/>
            <w:tcBorders>
              <w:top w:val="single" w:sz="4" w:space="0" w:color="auto"/>
              <w:left w:val="nil"/>
              <w:right w:val="nil"/>
            </w:tcBorders>
            <w:shd w:val="clear" w:color="auto" w:fill="auto"/>
          </w:tcPr>
          <w:p w14:paraId="6C08B525" w14:textId="77777777" w:rsidR="00891B3A" w:rsidRPr="00C67A93" w:rsidRDefault="00891B3A" w:rsidP="00891B3A">
            <w:pPr>
              <w:spacing w:after="0" w:line="240" w:lineRule="auto"/>
              <w:jc w:val="right"/>
              <w:rPr>
                <w:rFonts w:ascii="Arial" w:hAnsi="Arial" w:cs="Arial"/>
                <w:b/>
                <w:bCs/>
                <w:sz w:val="20"/>
                <w:szCs w:val="20"/>
              </w:rPr>
            </w:pPr>
          </w:p>
        </w:tc>
        <w:tc>
          <w:tcPr>
            <w:tcW w:w="801" w:type="pct"/>
            <w:tcBorders>
              <w:top w:val="single" w:sz="4" w:space="0" w:color="auto"/>
              <w:left w:val="nil"/>
              <w:right w:val="nil"/>
            </w:tcBorders>
            <w:shd w:val="clear" w:color="auto" w:fill="auto"/>
          </w:tcPr>
          <w:p w14:paraId="251A3F89" w14:textId="77777777" w:rsidR="00891B3A" w:rsidRPr="00C67A93" w:rsidRDefault="00891B3A" w:rsidP="00891B3A">
            <w:pPr>
              <w:spacing w:after="0" w:line="240" w:lineRule="auto"/>
              <w:jc w:val="right"/>
              <w:rPr>
                <w:rFonts w:ascii="Arial" w:hAnsi="Arial" w:cs="Arial"/>
                <w:b/>
                <w:bCs/>
                <w:sz w:val="20"/>
                <w:szCs w:val="20"/>
              </w:rPr>
            </w:pPr>
          </w:p>
        </w:tc>
        <w:tc>
          <w:tcPr>
            <w:tcW w:w="809" w:type="pct"/>
            <w:tcBorders>
              <w:top w:val="single" w:sz="4" w:space="0" w:color="auto"/>
              <w:left w:val="nil"/>
              <w:right w:val="nil"/>
            </w:tcBorders>
            <w:shd w:val="clear" w:color="auto" w:fill="auto"/>
          </w:tcPr>
          <w:p w14:paraId="7B041E3E" w14:textId="77777777" w:rsidR="00891B3A" w:rsidRPr="00C67A93" w:rsidRDefault="00891B3A" w:rsidP="00891B3A">
            <w:pPr>
              <w:spacing w:after="0" w:line="240" w:lineRule="auto"/>
              <w:jc w:val="right"/>
              <w:rPr>
                <w:rFonts w:ascii="Arial" w:hAnsi="Arial" w:cs="Arial"/>
                <w:b/>
                <w:bCs/>
                <w:sz w:val="20"/>
                <w:szCs w:val="20"/>
              </w:rPr>
            </w:pPr>
          </w:p>
        </w:tc>
        <w:tc>
          <w:tcPr>
            <w:tcW w:w="709" w:type="pct"/>
            <w:tcBorders>
              <w:top w:val="single" w:sz="4" w:space="0" w:color="auto"/>
              <w:left w:val="nil"/>
              <w:right w:val="nil"/>
            </w:tcBorders>
            <w:shd w:val="clear" w:color="auto" w:fill="auto"/>
          </w:tcPr>
          <w:p w14:paraId="6809288E" w14:textId="77777777" w:rsidR="00891B3A" w:rsidRPr="00C67A93" w:rsidRDefault="00891B3A" w:rsidP="00891B3A">
            <w:pPr>
              <w:spacing w:after="0" w:line="240" w:lineRule="auto"/>
              <w:jc w:val="right"/>
              <w:rPr>
                <w:rFonts w:ascii="Arial" w:hAnsi="Arial" w:cs="Arial"/>
                <w:b/>
                <w:bCs/>
                <w:sz w:val="20"/>
                <w:szCs w:val="20"/>
              </w:rPr>
            </w:pPr>
          </w:p>
        </w:tc>
      </w:tr>
      <w:tr w:rsidR="00891B3A" w:rsidRPr="00C67A93" w14:paraId="60377281" w14:textId="77777777" w:rsidTr="00891B3A">
        <w:trPr>
          <w:trHeight w:val="282"/>
        </w:trPr>
        <w:tc>
          <w:tcPr>
            <w:tcW w:w="1771" w:type="pct"/>
            <w:tcBorders>
              <w:left w:val="nil"/>
              <w:right w:val="nil"/>
            </w:tcBorders>
            <w:shd w:val="clear" w:color="auto" w:fill="auto"/>
            <w:noWrap/>
            <w:vAlign w:val="bottom"/>
            <w:hideMark/>
          </w:tcPr>
          <w:p w14:paraId="56D5CA92"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Balance at 1 January 2020</w:t>
            </w:r>
          </w:p>
        </w:tc>
        <w:tc>
          <w:tcPr>
            <w:tcW w:w="910" w:type="pct"/>
            <w:tcBorders>
              <w:top w:val="nil"/>
              <w:left w:val="nil"/>
              <w:right w:val="nil"/>
            </w:tcBorders>
            <w:shd w:val="clear" w:color="auto" w:fill="auto"/>
          </w:tcPr>
          <w:p w14:paraId="62C92CE9"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8,421 </w:t>
            </w:r>
          </w:p>
        </w:tc>
        <w:tc>
          <w:tcPr>
            <w:tcW w:w="801" w:type="pct"/>
            <w:tcBorders>
              <w:top w:val="nil"/>
              <w:left w:val="nil"/>
              <w:right w:val="nil"/>
            </w:tcBorders>
            <w:shd w:val="clear" w:color="auto" w:fill="auto"/>
          </w:tcPr>
          <w:p w14:paraId="5ACCD9B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9,713 </w:t>
            </w:r>
          </w:p>
        </w:tc>
        <w:tc>
          <w:tcPr>
            <w:tcW w:w="809" w:type="pct"/>
            <w:tcBorders>
              <w:top w:val="nil"/>
              <w:left w:val="nil"/>
              <w:right w:val="nil"/>
            </w:tcBorders>
            <w:shd w:val="clear" w:color="auto" w:fill="auto"/>
          </w:tcPr>
          <w:p w14:paraId="7FC9DB22"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14,107 </w:t>
            </w:r>
          </w:p>
        </w:tc>
        <w:tc>
          <w:tcPr>
            <w:tcW w:w="709" w:type="pct"/>
            <w:tcBorders>
              <w:top w:val="nil"/>
              <w:left w:val="nil"/>
              <w:right w:val="nil"/>
            </w:tcBorders>
            <w:shd w:val="clear" w:color="auto" w:fill="auto"/>
          </w:tcPr>
          <w:p w14:paraId="7DE89F62"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32,241 </w:t>
            </w:r>
          </w:p>
        </w:tc>
      </w:tr>
      <w:tr w:rsidR="00891B3A" w:rsidRPr="00C67A93" w14:paraId="479DE0BA" w14:textId="77777777" w:rsidTr="00891B3A">
        <w:trPr>
          <w:trHeight w:val="282"/>
        </w:trPr>
        <w:tc>
          <w:tcPr>
            <w:tcW w:w="1771" w:type="pct"/>
            <w:tcBorders>
              <w:left w:val="nil"/>
              <w:right w:val="nil"/>
            </w:tcBorders>
            <w:shd w:val="clear" w:color="auto" w:fill="auto"/>
            <w:noWrap/>
            <w:vAlign w:val="bottom"/>
            <w:hideMark/>
          </w:tcPr>
          <w:p w14:paraId="4A309B1A"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Purchases</w:t>
            </w:r>
          </w:p>
        </w:tc>
        <w:tc>
          <w:tcPr>
            <w:tcW w:w="910" w:type="pct"/>
            <w:tcBorders>
              <w:top w:val="nil"/>
              <w:left w:val="nil"/>
              <w:right w:val="nil"/>
            </w:tcBorders>
            <w:shd w:val="clear" w:color="auto" w:fill="auto"/>
          </w:tcPr>
          <w:p w14:paraId="45BAFEED"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424 </w:t>
            </w:r>
          </w:p>
        </w:tc>
        <w:tc>
          <w:tcPr>
            <w:tcW w:w="801" w:type="pct"/>
            <w:tcBorders>
              <w:top w:val="nil"/>
              <w:left w:val="nil"/>
              <w:right w:val="nil"/>
            </w:tcBorders>
            <w:shd w:val="clear" w:color="auto" w:fill="auto"/>
          </w:tcPr>
          <w:p w14:paraId="31D292B4"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249 </w:t>
            </w:r>
          </w:p>
        </w:tc>
        <w:tc>
          <w:tcPr>
            <w:tcW w:w="809" w:type="pct"/>
            <w:tcBorders>
              <w:top w:val="nil"/>
              <w:left w:val="nil"/>
              <w:right w:val="nil"/>
            </w:tcBorders>
            <w:shd w:val="clear" w:color="auto" w:fill="auto"/>
          </w:tcPr>
          <w:p w14:paraId="7652DD9A"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906 </w:t>
            </w:r>
          </w:p>
        </w:tc>
        <w:tc>
          <w:tcPr>
            <w:tcW w:w="709" w:type="pct"/>
            <w:tcBorders>
              <w:top w:val="nil"/>
              <w:left w:val="nil"/>
              <w:right w:val="nil"/>
            </w:tcBorders>
            <w:shd w:val="clear" w:color="auto" w:fill="auto"/>
          </w:tcPr>
          <w:p w14:paraId="640C5175"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1,579 </w:t>
            </w:r>
          </w:p>
        </w:tc>
      </w:tr>
      <w:tr w:rsidR="00891B3A" w:rsidRPr="00C67A93" w14:paraId="4639EBD3" w14:textId="77777777" w:rsidTr="00891B3A">
        <w:trPr>
          <w:trHeight w:val="282"/>
        </w:trPr>
        <w:tc>
          <w:tcPr>
            <w:tcW w:w="1771" w:type="pct"/>
            <w:tcBorders>
              <w:left w:val="nil"/>
              <w:right w:val="nil"/>
            </w:tcBorders>
            <w:shd w:val="clear" w:color="auto" w:fill="auto"/>
            <w:noWrap/>
            <w:vAlign w:val="bottom"/>
            <w:hideMark/>
          </w:tcPr>
          <w:p w14:paraId="0EC316A4" w14:textId="42E1DC91" w:rsidR="00891B3A" w:rsidRPr="00C67A93" w:rsidRDefault="00BA3465" w:rsidP="00891B3A">
            <w:pPr>
              <w:spacing w:after="0" w:line="240" w:lineRule="auto"/>
              <w:rPr>
                <w:rFonts w:ascii="Arial" w:eastAsia="Times New Roman" w:hAnsi="Arial" w:cs="Arial"/>
                <w:sz w:val="20"/>
                <w:szCs w:val="20"/>
                <w:lang w:val="en-SG" w:eastAsia="en-SG"/>
              </w:rPr>
            </w:pPr>
            <w:r>
              <w:rPr>
                <w:rFonts w:ascii="Arial" w:eastAsia="Times New Roman" w:hAnsi="Arial" w:cs="Arial"/>
                <w:sz w:val="20"/>
                <w:szCs w:val="20"/>
                <w:lang w:val="en-SG" w:eastAsia="en-SG"/>
              </w:rPr>
              <w:t xml:space="preserve">Proceeds from </w:t>
            </w:r>
            <w:r w:rsidR="00E147E6">
              <w:rPr>
                <w:rFonts w:ascii="Arial" w:eastAsia="Times New Roman" w:hAnsi="Arial" w:cs="Arial"/>
                <w:sz w:val="20"/>
                <w:szCs w:val="20"/>
                <w:lang w:val="en-SG" w:eastAsia="en-SG"/>
              </w:rPr>
              <w:t>d</w:t>
            </w:r>
            <w:r w:rsidR="00891B3A" w:rsidRPr="00C67A93">
              <w:rPr>
                <w:rFonts w:ascii="Arial" w:eastAsia="Times New Roman" w:hAnsi="Arial" w:cs="Arial"/>
                <w:sz w:val="20"/>
                <w:szCs w:val="20"/>
                <w:lang w:val="en-SG" w:eastAsia="en-SG"/>
              </w:rPr>
              <w:t>isposals</w:t>
            </w:r>
          </w:p>
        </w:tc>
        <w:tc>
          <w:tcPr>
            <w:tcW w:w="910" w:type="pct"/>
            <w:tcBorders>
              <w:top w:val="nil"/>
              <w:left w:val="nil"/>
              <w:right w:val="nil"/>
            </w:tcBorders>
            <w:shd w:val="clear" w:color="auto" w:fill="auto"/>
          </w:tcPr>
          <w:p w14:paraId="6D484799"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(7,715) </w:t>
            </w:r>
          </w:p>
        </w:tc>
        <w:tc>
          <w:tcPr>
            <w:tcW w:w="801" w:type="pct"/>
            <w:tcBorders>
              <w:top w:val="nil"/>
              <w:left w:val="nil"/>
              <w:right w:val="nil"/>
            </w:tcBorders>
            <w:shd w:val="clear" w:color="auto" w:fill="auto"/>
          </w:tcPr>
          <w:p w14:paraId="08EFB75D"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w:t>
            </w:r>
          </w:p>
        </w:tc>
        <w:tc>
          <w:tcPr>
            <w:tcW w:w="809" w:type="pct"/>
            <w:tcBorders>
              <w:top w:val="nil"/>
              <w:left w:val="nil"/>
              <w:right w:val="nil"/>
            </w:tcBorders>
            <w:shd w:val="clear" w:color="auto" w:fill="auto"/>
          </w:tcPr>
          <w:p w14:paraId="6F5A2B25"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w:t>
            </w:r>
          </w:p>
        </w:tc>
        <w:tc>
          <w:tcPr>
            <w:tcW w:w="709" w:type="pct"/>
            <w:tcBorders>
              <w:top w:val="nil"/>
              <w:left w:val="nil"/>
              <w:right w:val="nil"/>
            </w:tcBorders>
            <w:shd w:val="clear" w:color="auto" w:fill="auto"/>
          </w:tcPr>
          <w:p w14:paraId="71362BC4"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(7,715)</w:t>
            </w:r>
          </w:p>
        </w:tc>
      </w:tr>
      <w:tr w:rsidR="00891B3A" w:rsidRPr="00C67A93" w14:paraId="3E857D01" w14:textId="77777777" w:rsidTr="00891B3A">
        <w:trPr>
          <w:trHeight w:val="282"/>
        </w:trPr>
        <w:tc>
          <w:tcPr>
            <w:tcW w:w="1771" w:type="pct"/>
            <w:tcBorders>
              <w:left w:val="nil"/>
              <w:right w:val="nil"/>
            </w:tcBorders>
            <w:shd w:val="clear" w:color="auto" w:fill="auto"/>
            <w:noWrap/>
            <w:vAlign w:val="bottom"/>
            <w:hideMark/>
          </w:tcPr>
          <w:p w14:paraId="3718CD9A"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Distributions from partnerships</w:t>
            </w:r>
          </w:p>
        </w:tc>
        <w:tc>
          <w:tcPr>
            <w:tcW w:w="910" w:type="pct"/>
            <w:tcBorders>
              <w:top w:val="nil"/>
              <w:left w:val="nil"/>
              <w:right w:val="nil"/>
            </w:tcBorders>
            <w:shd w:val="clear" w:color="auto" w:fill="auto"/>
          </w:tcPr>
          <w:p w14:paraId="4D945F84"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 </w:t>
            </w:r>
          </w:p>
        </w:tc>
        <w:tc>
          <w:tcPr>
            <w:tcW w:w="801" w:type="pct"/>
            <w:tcBorders>
              <w:top w:val="nil"/>
              <w:left w:val="nil"/>
              <w:right w:val="nil"/>
            </w:tcBorders>
            <w:shd w:val="clear" w:color="auto" w:fill="auto"/>
          </w:tcPr>
          <w:p w14:paraId="50212B3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(894) </w:t>
            </w:r>
          </w:p>
        </w:tc>
        <w:tc>
          <w:tcPr>
            <w:tcW w:w="809" w:type="pct"/>
            <w:tcBorders>
              <w:top w:val="nil"/>
              <w:left w:val="nil"/>
              <w:right w:val="nil"/>
            </w:tcBorders>
            <w:shd w:val="clear" w:color="auto" w:fill="auto"/>
          </w:tcPr>
          <w:p w14:paraId="2384864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(965) </w:t>
            </w:r>
          </w:p>
        </w:tc>
        <w:tc>
          <w:tcPr>
            <w:tcW w:w="709" w:type="pct"/>
            <w:tcBorders>
              <w:top w:val="nil"/>
              <w:left w:val="nil"/>
              <w:right w:val="nil"/>
            </w:tcBorders>
            <w:shd w:val="clear" w:color="auto" w:fill="auto"/>
          </w:tcPr>
          <w:p w14:paraId="2E20E1D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(1,859)</w:t>
            </w:r>
          </w:p>
        </w:tc>
      </w:tr>
      <w:tr w:rsidR="00891B3A" w:rsidRPr="00C67A93" w14:paraId="67F584AE" w14:textId="77777777" w:rsidTr="00891B3A">
        <w:trPr>
          <w:trHeight w:val="282"/>
        </w:trPr>
        <w:tc>
          <w:tcPr>
            <w:tcW w:w="1771" w:type="pct"/>
            <w:tcBorders>
              <w:left w:val="nil"/>
              <w:bottom w:val="single" w:sz="4" w:space="0" w:color="auto"/>
              <w:right w:val="nil"/>
            </w:tcBorders>
            <w:shd w:val="clear" w:color="auto" w:fill="auto"/>
            <w:noWrap/>
            <w:vAlign w:val="bottom"/>
            <w:hideMark/>
          </w:tcPr>
          <w:p w14:paraId="22195F2A"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Fair value adjustments</w:t>
            </w:r>
          </w:p>
        </w:tc>
        <w:tc>
          <w:tcPr>
            <w:tcW w:w="910" w:type="pct"/>
            <w:tcBorders>
              <w:top w:val="nil"/>
              <w:left w:val="nil"/>
              <w:bottom w:val="single" w:sz="4" w:space="0" w:color="auto"/>
              <w:right w:val="nil"/>
            </w:tcBorders>
            <w:shd w:val="clear" w:color="auto" w:fill="auto"/>
          </w:tcPr>
          <w:p w14:paraId="426492E4"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(933) </w:t>
            </w:r>
          </w:p>
        </w:tc>
        <w:tc>
          <w:tcPr>
            <w:tcW w:w="801" w:type="pct"/>
            <w:tcBorders>
              <w:top w:val="nil"/>
              <w:left w:val="nil"/>
              <w:bottom w:val="single" w:sz="4" w:space="0" w:color="auto"/>
              <w:right w:val="nil"/>
            </w:tcBorders>
            <w:shd w:val="clear" w:color="auto" w:fill="auto"/>
          </w:tcPr>
          <w:p w14:paraId="27641D5B"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1,070 </w:t>
            </w:r>
          </w:p>
        </w:tc>
        <w:tc>
          <w:tcPr>
            <w:tcW w:w="809" w:type="pct"/>
            <w:tcBorders>
              <w:top w:val="nil"/>
              <w:left w:val="nil"/>
              <w:bottom w:val="single" w:sz="4" w:space="0" w:color="auto"/>
              <w:right w:val="nil"/>
            </w:tcBorders>
            <w:shd w:val="clear" w:color="auto" w:fill="auto"/>
          </w:tcPr>
          <w:p w14:paraId="46C6EE72"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(2,190) </w:t>
            </w:r>
          </w:p>
        </w:tc>
        <w:tc>
          <w:tcPr>
            <w:tcW w:w="709" w:type="pct"/>
            <w:tcBorders>
              <w:top w:val="nil"/>
              <w:left w:val="nil"/>
              <w:bottom w:val="single" w:sz="4" w:space="0" w:color="auto"/>
              <w:right w:val="nil"/>
            </w:tcBorders>
            <w:shd w:val="clear" w:color="auto" w:fill="auto"/>
          </w:tcPr>
          <w:p w14:paraId="58B662B4"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(2,053) </w:t>
            </w:r>
          </w:p>
        </w:tc>
      </w:tr>
      <w:tr w:rsidR="00891B3A" w:rsidRPr="00C67A93" w14:paraId="7B909359" w14:textId="77777777" w:rsidTr="00891B3A">
        <w:trPr>
          <w:trHeight w:val="282"/>
        </w:trPr>
        <w:tc>
          <w:tcPr>
            <w:tcW w:w="1771" w:type="pct"/>
            <w:tcBorders>
              <w:top w:val="single" w:sz="4" w:space="0" w:color="auto"/>
              <w:left w:val="nil"/>
              <w:bottom w:val="single" w:sz="4" w:space="0" w:color="auto"/>
              <w:right w:val="nil"/>
            </w:tcBorders>
            <w:shd w:val="clear" w:color="auto" w:fill="auto"/>
            <w:noWrap/>
            <w:vAlign w:val="bottom"/>
            <w:hideMark/>
          </w:tcPr>
          <w:p w14:paraId="50EFF9A0"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Balance at 31 December 2020</w:t>
            </w:r>
          </w:p>
        </w:tc>
        <w:tc>
          <w:tcPr>
            <w:tcW w:w="910" w:type="pct"/>
            <w:tcBorders>
              <w:top w:val="single" w:sz="4" w:space="0" w:color="auto"/>
              <w:left w:val="nil"/>
              <w:bottom w:val="single" w:sz="4" w:space="0" w:color="auto"/>
              <w:right w:val="nil"/>
            </w:tcBorders>
            <w:shd w:val="clear" w:color="auto" w:fill="auto"/>
          </w:tcPr>
          <w:p w14:paraId="214856FA"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197 </w:t>
            </w:r>
          </w:p>
        </w:tc>
        <w:tc>
          <w:tcPr>
            <w:tcW w:w="801" w:type="pct"/>
            <w:tcBorders>
              <w:top w:val="single" w:sz="4" w:space="0" w:color="auto"/>
              <w:left w:val="nil"/>
              <w:bottom w:val="single" w:sz="4" w:space="0" w:color="auto"/>
              <w:right w:val="nil"/>
            </w:tcBorders>
            <w:shd w:val="clear" w:color="auto" w:fill="auto"/>
          </w:tcPr>
          <w:p w14:paraId="6F3D8537"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10,138 </w:t>
            </w:r>
          </w:p>
        </w:tc>
        <w:tc>
          <w:tcPr>
            <w:tcW w:w="809" w:type="pct"/>
            <w:tcBorders>
              <w:top w:val="single" w:sz="4" w:space="0" w:color="auto"/>
              <w:left w:val="nil"/>
              <w:bottom w:val="single" w:sz="4" w:space="0" w:color="auto"/>
              <w:right w:val="nil"/>
            </w:tcBorders>
            <w:shd w:val="clear" w:color="auto" w:fill="auto"/>
          </w:tcPr>
          <w:p w14:paraId="262C8B5D"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11,858 </w:t>
            </w:r>
          </w:p>
        </w:tc>
        <w:tc>
          <w:tcPr>
            <w:tcW w:w="709" w:type="pct"/>
            <w:tcBorders>
              <w:top w:val="single" w:sz="4" w:space="0" w:color="auto"/>
              <w:left w:val="nil"/>
              <w:bottom w:val="single" w:sz="4" w:space="0" w:color="auto"/>
              <w:right w:val="nil"/>
            </w:tcBorders>
            <w:shd w:val="clear" w:color="auto" w:fill="auto"/>
          </w:tcPr>
          <w:p w14:paraId="15EB3658"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 xml:space="preserve">22,193 </w:t>
            </w:r>
          </w:p>
        </w:tc>
      </w:tr>
      <w:tr w:rsidR="00891B3A" w:rsidRPr="00C67A93" w14:paraId="30A2D8DE" w14:textId="77777777" w:rsidTr="00891B3A">
        <w:trPr>
          <w:trHeight w:val="282"/>
        </w:trPr>
        <w:tc>
          <w:tcPr>
            <w:tcW w:w="1771" w:type="pct"/>
            <w:tcBorders>
              <w:top w:val="single" w:sz="4" w:space="0" w:color="auto"/>
              <w:left w:val="nil"/>
              <w:right w:val="nil"/>
            </w:tcBorders>
            <w:shd w:val="clear" w:color="auto" w:fill="auto"/>
            <w:noWrap/>
            <w:vAlign w:val="bottom"/>
          </w:tcPr>
          <w:p w14:paraId="7471C52D" w14:textId="77777777" w:rsidR="00891B3A" w:rsidRPr="00C67A93" w:rsidRDefault="00891B3A" w:rsidP="00891B3A">
            <w:pPr>
              <w:spacing w:after="0" w:line="240" w:lineRule="auto"/>
              <w:rPr>
                <w:rFonts w:ascii="Arial" w:eastAsia="Times New Roman" w:hAnsi="Arial" w:cs="Arial"/>
                <w:sz w:val="20"/>
                <w:szCs w:val="20"/>
                <w:lang w:val="en-SG" w:eastAsia="en-SG"/>
              </w:rPr>
            </w:pPr>
          </w:p>
        </w:tc>
        <w:tc>
          <w:tcPr>
            <w:tcW w:w="910" w:type="pct"/>
            <w:tcBorders>
              <w:top w:val="single" w:sz="4" w:space="0" w:color="auto"/>
              <w:left w:val="nil"/>
              <w:right w:val="nil"/>
            </w:tcBorders>
            <w:shd w:val="clear" w:color="auto" w:fill="auto"/>
          </w:tcPr>
          <w:p w14:paraId="4BA63553" w14:textId="77777777" w:rsidR="00891B3A" w:rsidRPr="00C67A93" w:rsidRDefault="00891B3A" w:rsidP="00891B3A">
            <w:pPr>
              <w:spacing w:after="0" w:line="240" w:lineRule="auto"/>
              <w:jc w:val="right"/>
              <w:rPr>
                <w:rFonts w:ascii="Arial" w:hAnsi="Arial" w:cs="Arial"/>
                <w:b/>
                <w:bCs/>
                <w:sz w:val="20"/>
                <w:szCs w:val="20"/>
              </w:rPr>
            </w:pPr>
          </w:p>
        </w:tc>
        <w:tc>
          <w:tcPr>
            <w:tcW w:w="801" w:type="pct"/>
            <w:tcBorders>
              <w:top w:val="single" w:sz="4" w:space="0" w:color="auto"/>
              <w:left w:val="nil"/>
              <w:right w:val="nil"/>
            </w:tcBorders>
            <w:shd w:val="clear" w:color="auto" w:fill="auto"/>
          </w:tcPr>
          <w:p w14:paraId="4258933C" w14:textId="77777777" w:rsidR="00891B3A" w:rsidRPr="00C67A93" w:rsidRDefault="00891B3A" w:rsidP="00891B3A">
            <w:pPr>
              <w:spacing w:after="0" w:line="240" w:lineRule="auto"/>
              <w:jc w:val="right"/>
              <w:rPr>
                <w:rFonts w:ascii="Arial" w:hAnsi="Arial" w:cs="Arial"/>
                <w:b/>
                <w:bCs/>
                <w:sz w:val="20"/>
                <w:szCs w:val="20"/>
              </w:rPr>
            </w:pPr>
          </w:p>
        </w:tc>
        <w:tc>
          <w:tcPr>
            <w:tcW w:w="809" w:type="pct"/>
            <w:tcBorders>
              <w:top w:val="single" w:sz="4" w:space="0" w:color="auto"/>
              <w:left w:val="nil"/>
              <w:right w:val="nil"/>
            </w:tcBorders>
            <w:shd w:val="clear" w:color="auto" w:fill="auto"/>
          </w:tcPr>
          <w:p w14:paraId="5B1535B8" w14:textId="77777777" w:rsidR="00891B3A" w:rsidRPr="00C67A93" w:rsidRDefault="00891B3A" w:rsidP="00891B3A">
            <w:pPr>
              <w:spacing w:after="0" w:line="240" w:lineRule="auto"/>
              <w:jc w:val="right"/>
              <w:rPr>
                <w:rFonts w:ascii="Arial" w:hAnsi="Arial" w:cs="Arial"/>
                <w:b/>
                <w:bCs/>
                <w:sz w:val="20"/>
                <w:szCs w:val="20"/>
              </w:rPr>
            </w:pPr>
          </w:p>
        </w:tc>
        <w:tc>
          <w:tcPr>
            <w:tcW w:w="709" w:type="pct"/>
            <w:tcBorders>
              <w:top w:val="single" w:sz="4" w:space="0" w:color="auto"/>
              <w:left w:val="nil"/>
              <w:right w:val="nil"/>
            </w:tcBorders>
            <w:shd w:val="clear" w:color="auto" w:fill="auto"/>
          </w:tcPr>
          <w:p w14:paraId="57BAB446" w14:textId="77777777" w:rsidR="00891B3A" w:rsidRPr="00C67A93" w:rsidRDefault="00891B3A" w:rsidP="00891B3A">
            <w:pPr>
              <w:spacing w:after="0" w:line="240" w:lineRule="auto"/>
              <w:jc w:val="right"/>
              <w:rPr>
                <w:rFonts w:ascii="Arial" w:hAnsi="Arial" w:cs="Arial"/>
                <w:b/>
                <w:bCs/>
                <w:sz w:val="20"/>
                <w:szCs w:val="20"/>
              </w:rPr>
            </w:pPr>
          </w:p>
        </w:tc>
      </w:tr>
      <w:tr w:rsidR="00891B3A" w:rsidRPr="00C67A93" w14:paraId="53BCDEFE" w14:textId="77777777" w:rsidTr="00891B3A">
        <w:trPr>
          <w:trHeight w:val="282"/>
        </w:trPr>
        <w:tc>
          <w:tcPr>
            <w:tcW w:w="1771" w:type="pct"/>
            <w:tcBorders>
              <w:left w:val="nil"/>
              <w:bottom w:val="nil"/>
              <w:right w:val="nil"/>
            </w:tcBorders>
            <w:shd w:val="clear" w:color="auto" w:fill="auto"/>
            <w:noWrap/>
            <w:vAlign w:val="center"/>
            <w:hideMark/>
          </w:tcPr>
          <w:p w14:paraId="726684A7"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hAnsi="Arial" w:cs="Arial"/>
                <w:color w:val="000000"/>
                <w:sz w:val="20"/>
                <w:szCs w:val="20"/>
                <w:lang w:val="en-SG"/>
              </w:rPr>
              <w:t xml:space="preserve"> Balance at 1 January 2021 </w:t>
            </w:r>
          </w:p>
        </w:tc>
        <w:tc>
          <w:tcPr>
            <w:tcW w:w="910" w:type="pct"/>
            <w:tcBorders>
              <w:left w:val="nil"/>
              <w:bottom w:val="nil"/>
              <w:right w:val="nil"/>
            </w:tcBorders>
            <w:shd w:val="clear" w:color="auto" w:fill="auto"/>
            <w:vAlign w:val="bottom"/>
          </w:tcPr>
          <w:p w14:paraId="61FBE9D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197</w:t>
            </w:r>
          </w:p>
        </w:tc>
        <w:tc>
          <w:tcPr>
            <w:tcW w:w="801" w:type="pct"/>
            <w:tcBorders>
              <w:left w:val="nil"/>
              <w:bottom w:val="nil"/>
              <w:right w:val="nil"/>
            </w:tcBorders>
            <w:shd w:val="clear" w:color="auto" w:fill="auto"/>
            <w:vAlign w:val="bottom"/>
          </w:tcPr>
          <w:p w14:paraId="18478C0B"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10,138</w:t>
            </w:r>
          </w:p>
        </w:tc>
        <w:tc>
          <w:tcPr>
            <w:tcW w:w="809" w:type="pct"/>
            <w:tcBorders>
              <w:left w:val="nil"/>
              <w:bottom w:val="nil"/>
              <w:right w:val="nil"/>
            </w:tcBorders>
            <w:shd w:val="clear" w:color="auto" w:fill="auto"/>
            <w:vAlign w:val="bottom"/>
          </w:tcPr>
          <w:p w14:paraId="0BD443C9"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11,858</w:t>
            </w:r>
          </w:p>
        </w:tc>
        <w:tc>
          <w:tcPr>
            <w:tcW w:w="709" w:type="pct"/>
            <w:tcBorders>
              <w:left w:val="nil"/>
              <w:bottom w:val="nil"/>
              <w:right w:val="nil"/>
            </w:tcBorders>
            <w:shd w:val="clear" w:color="auto" w:fill="auto"/>
            <w:vAlign w:val="bottom"/>
          </w:tcPr>
          <w:p w14:paraId="69393BED"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22,193</w:t>
            </w:r>
          </w:p>
        </w:tc>
      </w:tr>
      <w:tr w:rsidR="00891B3A" w:rsidRPr="00C67A93" w14:paraId="56FEF0E8" w14:textId="77777777" w:rsidTr="00891B3A">
        <w:trPr>
          <w:trHeight w:val="282"/>
        </w:trPr>
        <w:tc>
          <w:tcPr>
            <w:tcW w:w="1771" w:type="pct"/>
            <w:tcBorders>
              <w:top w:val="nil"/>
              <w:left w:val="nil"/>
              <w:bottom w:val="nil"/>
              <w:right w:val="nil"/>
            </w:tcBorders>
            <w:shd w:val="clear" w:color="auto" w:fill="auto"/>
            <w:noWrap/>
            <w:vAlign w:val="center"/>
          </w:tcPr>
          <w:p w14:paraId="0FC3A5B2" w14:textId="7C50BD51"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hAnsi="Arial" w:cs="Arial"/>
                <w:color w:val="000000"/>
                <w:sz w:val="20"/>
                <w:szCs w:val="20"/>
                <w:lang w:val="en-SG"/>
              </w:rPr>
              <w:t xml:space="preserve"> </w:t>
            </w:r>
            <w:r w:rsidR="00BA3465">
              <w:rPr>
                <w:rFonts w:ascii="Arial" w:eastAsia="Times New Roman" w:hAnsi="Arial" w:cs="Arial"/>
                <w:sz w:val="20"/>
                <w:szCs w:val="20"/>
                <w:lang w:val="en-SG" w:eastAsia="en-SG"/>
              </w:rPr>
              <w:t xml:space="preserve">Proceeds from </w:t>
            </w:r>
            <w:r w:rsidR="00E147E6">
              <w:rPr>
                <w:rFonts w:ascii="Arial" w:eastAsia="Times New Roman" w:hAnsi="Arial" w:cs="Arial"/>
                <w:sz w:val="20"/>
                <w:szCs w:val="20"/>
                <w:lang w:val="en-SG" w:eastAsia="en-SG"/>
              </w:rPr>
              <w:t>d</w:t>
            </w:r>
            <w:r w:rsidR="00BA3465" w:rsidRPr="00C67A93">
              <w:rPr>
                <w:rFonts w:ascii="Arial" w:eastAsia="Times New Roman" w:hAnsi="Arial" w:cs="Arial"/>
                <w:sz w:val="20"/>
                <w:szCs w:val="20"/>
                <w:lang w:val="en-SG" w:eastAsia="en-SG"/>
              </w:rPr>
              <w:t>isposals</w:t>
            </w:r>
          </w:p>
        </w:tc>
        <w:tc>
          <w:tcPr>
            <w:tcW w:w="910" w:type="pct"/>
            <w:tcBorders>
              <w:top w:val="nil"/>
              <w:left w:val="nil"/>
              <w:bottom w:val="nil"/>
              <w:right w:val="nil"/>
            </w:tcBorders>
            <w:shd w:val="clear" w:color="auto" w:fill="auto"/>
            <w:vAlign w:val="bottom"/>
          </w:tcPr>
          <w:p w14:paraId="5FB854F6" w14:textId="77777777" w:rsidR="00891B3A" w:rsidRPr="00C67A93" w:rsidDel="009C7767"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w:t>
            </w:r>
          </w:p>
        </w:tc>
        <w:tc>
          <w:tcPr>
            <w:tcW w:w="801" w:type="pct"/>
            <w:tcBorders>
              <w:top w:val="nil"/>
              <w:left w:val="nil"/>
              <w:bottom w:val="nil"/>
              <w:right w:val="nil"/>
            </w:tcBorders>
            <w:shd w:val="clear" w:color="auto" w:fill="auto"/>
            <w:vAlign w:val="bottom"/>
          </w:tcPr>
          <w:p w14:paraId="3DA03D28"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(7</w:t>
            </w:r>
            <w:r>
              <w:rPr>
                <w:rFonts w:ascii="Arial" w:hAnsi="Arial" w:cs="Arial"/>
                <w:b/>
                <w:bCs/>
                <w:sz w:val="20"/>
                <w:szCs w:val="20"/>
              </w:rPr>
              <w:t>50</w:t>
            </w:r>
            <w:r w:rsidRPr="00C67A93">
              <w:rPr>
                <w:rFonts w:ascii="Arial" w:hAnsi="Arial" w:cs="Arial"/>
                <w:b/>
                <w:bCs/>
                <w:sz w:val="20"/>
                <w:szCs w:val="20"/>
              </w:rPr>
              <w:t>)</w:t>
            </w:r>
          </w:p>
        </w:tc>
        <w:tc>
          <w:tcPr>
            <w:tcW w:w="809" w:type="pct"/>
            <w:tcBorders>
              <w:top w:val="nil"/>
              <w:left w:val="nil"/>
              <w:bottom w:val="nil"/>
              <w:right w:val="nil"/>
            </w:tcBorders>
            <w:shd w:val="clear" w:color="auto" w:fill="auto"/>
            <w:vAlign w:val="bottom"/>
          </w:tcPr>
          <w:p w14:paraId="4756EE90" w14:textId="35215DD7" w:rsidR="00891B3A" w:rsidRPr="00C67A93" w:rsidRDefault="001610AB" w:rsidP="00891B3A">
            <w:pPr>
              <w:spacing w:after="0" w:line="240" w:lineRule="auto"/>
              <w:jc w:val="right"/>
              <w:rPr>
                <w:rFonts w:ascii="Arial" w:hAnsi="Arial" w:cs="Arial"/>
                <w:b/>
                <w:bCs/>
                <w:sz w:val="20"/>
                <w:szCs w:val="20"/>
              </w:rPr>
            </w:pPr>
            <w:r>
              <w:rPr>
                <w:rFonts w:ascii="Arial" w:hAnsi="Arial" w:cs="Arial"/>
                <w:b/>
                <w:bCs/>
                <w:sz w:val="20"/>
                <w:szCs w:val="20"/>
              </w:rPr>
              <w:t>-</w:t>
            </w:r>
            <w:r w:rsidR="00891B3A" w:rsidRPr="00C67A93">
              <w:rPr>
                <w:rFonts w:ascii="Arial" w:hAnsi="Arial" w:cs="Arial"/>
                <w:b/>
                <w:bCs/>
                <w:sz w:val="20"/>
                <w:szCs w:val="20"/>
              </w:rPr>
              <w:t> </w:t>
            </w:r>
          </w:p>
        </w:tc>
        <w:tc>
          <w:tcPr>
            <w:tcW w:w="709" w:type="pct"/>
            <w:tcBorders>
              <w:top w:val="nil"/>
              <w:left w:val="nil"/>
              <w:bottom w:val="nil"/>
              <w:right w:val="nil"/>
            </w:tcBorders>
            <w:shd w:val="clear" w:color="auto" w:fill="auto"/>
            <w:vAlign w:val="bottom"/>
          </w:tcPr>
          <w:p w14:paraId="6D0AEBA4"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(7</w:t>
            </w:r>
            <w:r>
              <w:rPr>
                <w:rFonts w:ascii="Arial" w:hAnsi="Arial" w:cs="Arial"/>
                <w:b/>
                <w:bCs/>
                <w:sz w:val="20"/>
                <w:szCs w:val="20"/>
              </w:rPr>
              <w:t>50</w:t>
            </w:r>
            <w:r w:rsidRPr="00C67A93">
              <w:rPr>
                <w:rFonts w:ascii="Arial" w:hAnsi="Arial" w:cs="Arial"/>
                <w:b/>
                <w:bCs/>
                <w:sz w:val="20"/>
                <w:szCs w:val="20"/>
              </w:rPr>
              <w:t>)</w:t>
            </w:r>
          </w:p>
        </w:tc>
      </w:tr>
      <w:tr w:rsidR="00891B3A" w:rsidRPr="00C67A93" w14:paraId="5DA8FFBA" w14:textId="77777777" w:rsidTr="00891B3A">
        <w:trPr>
          <w:trHeight w:val="282"/>
        </w:trPr>
        <w:tc>
          <w:tcPr>
            <w:tcW w:w="1771" w:type="pct"/>
            <w:tcBorders>
              <w:top w:val="nil"/>
              <w:left w:val="nil"/>
              <w:bottom w:val="nil"/>
              <w:right w:val="nil"/>
            </w:tcBorders>
            <w:shd w:val="clear" w:color="auto" w:fill="auto"/>
            <w:noWrap/>
            <w:vAlign w:val="center"/>
            <w:hideMark/>
          </w:tcPr>
          <w:p w14:paraId="0D6CD7B7"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hAnsi="Arial" w:cs="Arial"/>
                <w:color w:val="000000"/>
                <w:sz w:val="20"/>
                <w:szCs w:val="20"/>
                <w:lang w:val="en-SG"/>
              </w:rPr>
              <w:t xml:space="preserve"> Distributions from partnerships </w:t>
            </w:r>
          </w:p>
        </w:tc>
        <w:tc>
          <w:tcPr>
            <w:tcW w:w="910" w:type="pct"/>
            <w:tcBorders>
              <w:top w:val="nil"/>
              <w:left w:val="nil"/>
              <w:bottom w:val="nil"/>
              <w:right w:val="nil"/>
            </w:tcBorders>
            <w:shd w:val="clear" w:color="auto" w:fill="auto"/>
            <w:vAlign w:val="bottom"/>
          </w:tcPr>
          <w:p w14:paraId="239C3C62"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w:t>
            </w:r>
          </w:p>
        </w:tc>
        <w:tc>
          <w:tcPr>
            <w:tcW w:w="801" w:type="pct"/>
            <w:tcBorders>
              <w:top w:val="nil"/>
              <w:left w:val="nil"/>
              <w:bottom w:val="nil"/>
              <w:right w:val="nil"/>
            </w:tcBorders>
            <w:shd w:val="clear" w:color="auto" w:fill="auto"/>
            <w:vAlign w:val="bottom"/>
          </w:tcPr>
          <w:p w14:paraId="3BC53838" w14:textId="4D95010C"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(1,47</w:t>
            </w:r>
            <w:r w:rsidR="005D02DD">
              <w:rPr>
                <w:rFonts w:ascii="Arial" w:hAnsi="Arial" w:cs="Arial"/>
                <w:b/>
                <w:bCs/>
                <w:sz w:val="20"/>
                <w:szCs w:val="20"/>
              </w:rPr>
              <w:t>1</w:t>
            </w:r>
            <w:r w:rsidRPr="00C67A93">
              <w:rPr>
                <w:rFonts w:ascii="Arial" w:hAnsi="Arial" w:cs="Arial"/>
                <w:b/>
                <w:bCs/>
                <w:sz w:val="20"/>
                <w:szCs w:val="20"/>
              </w:rPr>
              <w:t>)</w:t>
            </w:r>
          </w:p>
        </w:tc>
        <w:tc>
          <w:tcPr>
            <w:tcW w:w="809" w:type="pct"/>
            <w:tcBorders>
              <w:top w:val="nil"/>
              <w:left w:val="nil"/>
              <w:bottom w:val="nil"/>
              <w:right w:val="nil"/>
            </w:tcBorders>
            <w:shd w:val="clear" w:color="auto" w:fill="auto"/>
            <w:vAlign w:val="bottom"/>
          </w:tcPr>
          <w:p w14:paraId="180A942A" w14:textId="72F4F628"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(21</w:t>
            </w:r>
            <w:r w:rsidR="005D02DD">
              <w:rPr>
                <w:rFonts w:ascii="Arial" w:hAnsi="Arial" w:cs="Arial"/>
                <w:b/>
                <w:bCs/>
                <w:sz w:val="20"/>
                <w:szCs w:val="20"/>
              </w:rPr>
              <w:t>6</w:t>
            </w:r>
            <w:r w:rsidRPr="00C67A93">
              <w:rPr>
                <w:rFonts w:ascii="Arial" w:hAnsi="Arial" w:cs="Arial"/>
                <w:b/>
                <w:bCs/>
                <w:sz w:val="20"/>
                <w:szCs w:val="20"/>
              </w:rPr>
              <w:t>)</w:t>
            </w:r>
          </w:p>
        </w:tc>
        <w:tc>
          <w:tcPr>
            <w:tcW w:w="709" w:type="pct"/>
            <w:tcBorders>
              <w:top w:val="nil"/>
              <w:left w:val="nil"/>
              <w:bottom w:val="nil"/>
              <w:right w:val="nil"/>
            </w:tcBorders>
            <w:shd w:val="clear" w:color="auto" w:fill="auto"/>
            <w:vAlign w:val="bottom"/>
          </w:tcPr>
          <w:p w14:paraId="68E2BE3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(1,6</w:t>
            </w:r>
            <w:r>
              <w:rPr>
                <w:rFonts w:ascii="Arial" w:hAnsi="Arial" w:cs="Arial"/>
                <w:b/>
                <w:bCs/>
                <w:sz w:val="20"/>
                <w:szCs w:val="20"/>
              </w:rPr>
              <w:t>87</w:t>
            </w:r>
            <w:r w:rsidRPr="00C67A93">
              <w:rPr>
                <w:rFonts w:ascii="Arial" w:hAnsi="Arial" w:cs="Arial"/>
                <w:b/>
                <w:bCs/>
                <w:sz w:val="20"/>
                <w:szCs w:val="20"/>
              </w:rPr>
              <w:t>)</w:t>
            </w:r>
          </w:p>
        </w:tc>
      </w:tr>
      <w:tr w:rsidR="00891B3A" w:rsidRPr="00C67A93" w14:paraId="50F5A371" w14:textId="77777777" w:rsidTr="00891B3A">
        <w:trPr>
          <w:trHeight w:val="282"/>
        </w:trPr>
        <w:tc>
          <w:tcPr>
            <w:tcW w:w="1771" w:type="pct"/>
            <w:tcBorders>
              <w:top w:val="nil"/>
              <w:left w:val="nil"/>
              <w:right w:val="nil"/>
            </w:tcBorders>
            <w:shd w:val="clear" w:color="auto" w:fill="auto"/>
            <w:noWrap/>
            <w:vAlign w:val="center"/>
          </w:tcPr>
          <w:p w14:paraId="37676D0B" w14:textId="77777777" w:rsidR="00891B3A" w:rsidRPr="00C67A93" w:rsidRDefault="00891B3A" w:rsidP="00891B3A">
            <w:pPr>
              <w:spacing w:after="0" w:line="240" w:lineRule="auto"/>
              <w:rPr>
                <w:rFonts w:ascii="Arial" w:hAnsi="Arial" w:cs="Arial"/>
                <w:color w:val="000000"/>
                <w:sz w:val="20"/>
                <w:szCs w:val="20"/>
                <w:lang w:val="en-SG"/>
              </w:rPr>
            </w:pPr>
            <w:r>
              <w:rPr>
                <w:rFonts w:ascii="Arial" w:hAnsi="Arial" w:cs="Arial"/>
                <w:color w:val="000000"/>
                <w:sz w:val="20"/>
                <w:szCs w:val="20"/>
                <w:lang w:val="en-SG"/>
              </w:rPr>
              <w:t xml:space="preserve"> Contribution from partnership</w:t>
            </w:r>
          </w:p>
        </w:tc>
        <w:tc>
          <w:tcPr>
            <w:tcW w:w="910" w:type="pct"/>
            <w:tcBorders>
              <w:top w:val="nil"/>
              <w:left w:val="nil"/>
              <w:right w:val="nil"/>
            </w:tcBorders>
            <w:shd w:val="clear" w:color="auto" w:fill="auto"/>
            <w:vAlign w:val="bottom"/>
          </w:tcPr>
          <w:p w14:paraId="15CF1D1C"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w:t>
            </w:r>
          </w:p>
        </w:tc>
        <w:tc>
          <w:tcPr>
            <w:tcW w:w="801" w:type="pct"/>
            <w:tcBorders>
              <w:top w:val="nil"/>
              <w:left w:val="nil"/>
              <w:right w:val="nil"/>
            </w:tcBorders>
            <w:shd w:val="clear" w:color="auto" w:fill="auto"/>
            <w:vAlign w:val="bottom"/>
          </w:tcPr>
          <w:p w14:paraId="459C740B"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w:t>
            </w:r>
          </w:p>
        </w:tc>
        <w:tc>
          <w:tcPr>
            <w:tcW w:w="809" w:type="pct"/>
            <w:tcBorders>
              <w:top w:val="nil"/>
              <w:left w:val="nil"/>
              <w:right w:val="nil"/>
            </w:tcBorders>
            <w:shd w:val="clear" w:color="auto" w:fill="auto"/>
            <w:vAlign w:val="bottom"/>
          </w:tcPr>
          <w:p w14:paraId="1E1C9EAB"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43</w:t>
            </w:r>
          </w:p>
        </w:tc>
        <w:tc>
          <w:tcPr>
            <w:tcW w:w="709" w:type="pct"/>
            <w:tcBorders>
              <w:top w:val="nil"/>
              <w:left w:val="nil"/>
              <w:right w:val="nil"/>
            </w:tcBorders>
            <w:shd w:val="clear" w:color="auto" w:fill="auto"/>
            <w:vAlign w:val="bottom"/>
          </w:tcPr>
          <w:p w14:paraId="4AFFC356" w14:textId="77777777" w:rsidR="00891B3A" w:rsidRPr="00C67A93" w:rsidRDefault="00891B3A" w:rsidP="00891B3A">
            <w:pPr>
              <w:spacing w:after="0" w:line="240" w:lineRule="auto"/>
              <w:jc w:val="right"/>
              <w:rPr>
                <w:rFonts w:ascii="Arial" w:hAnsi="Arial" w:cs="Arial"/>
                <w:b/>
                <w:bCs/>
                <w:sz w:val="20"/>
                <w:szCs w:val="20"/>
              </w:rPr>
            </w:pPr>
            <w:r>
              <w:rPr>
                <w:rFonts w:ascii="Arial" w:hAnsi="Arial" w:cs="Arial"/>
                <w:b/>
                <w:bCs/>
                <w:sz w:val="20"/>
                <w:szCs w:val="20"/>
              </w:rPr>
              <w:t>43</w:t>
            </w:r>
          </w:p>
        </w:tc>
      </w:tr>
      <w:tr w:rsidR="00891B3A" w:rsidRPr="00C67A93" w14:paraId="5D44CE1B" w14:textId="77777777" w:rsidTr="00891B3A">
        <w:trPr>
          <w:trHeight w:val="282"/>
        </w:trPr>
        <w:tc>
          <w:tcPr>
            <w:tcW w:w="1771" w:type="pct"/>
            <w:tcBorders>
              <w:top w:val="nil"/>
              <w:left w:val="nil"/>
              <w:right w:val="nil"/>
            </w:tcBorders>
            <w:shd w:val="clear" w:color="auto" w:fill="auto"/>
            <w:noWrap/>
            <w:vAlign w:val="center"/>
            <w:hideMark/>
          </w:tcPr>
          <w:p w14:paraId="7A8C00C9"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hAnsi="Arial" w:cs="Arial"/>
                <w:color w:val="000000"/>
                <w:sz w:val="20"/>
                <w:szCs w:val="20"/>
                <w:lang w:val="en-SG"/>
              </w:rPr>
              <w:t xml:space="preserve"> Fair value adjustments </w:t>
            </w:r>
          </w:p>
        </w:tc>
        <w:tc>
          <w:tcPr>
            <w:tcW w:w="910" w:type="pct"/>
            <w:tcBorders>
              <w:top w:val="nil"/>
              <w:left w:val="nil"/>
              <w:right w:val="nil"/>
            </w:tcBorders>
            <w:shd w:val="clear" w:color="auto" w:fill="auto"/>
            <w:vAlign w:val="bottom"/>
          </w:tcPr>
          <w:p w14:paraId="68071DF2"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88</w:t>
            </w:r>
          </w:p>
        </w:tc>
        <w:tc>
          <w:tcPr>
            <w:tcW w:w="801" w:type="pct"/>
            <w:tcBorders>
              <w:top w:val="nil"/>
              <w:left w:val="nil"/>
              <w:right w:val="nil"/>
            </w:tcBorders>
            <w:shd w:val="clear" w:color="auto" w:fill="auto"/>
            <w:vAlign w:val="bottom"/>
          </w:tcPr>
          <w:p w14:paraId="7414C1B9" w14:textId="44B4A4FF"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w:t>
            </w:r>
            <w:r w:rsidR="005D02DD">
              <w:rPr>
                <w:rFonts w:ascii="Arial" w:hAnsi="Arial" w:cs="Arial"/>
                <w:b/>
                <w:bCs/>
                <w:sz w:val="20"/>
                <w:szCs w:val="20"/>
              </w:rPr>
              <w:t>7</w:t>
            </w:r>
            <w:r w:rsidRPr="00C67A93">
              <w:rPr>
                <w:rFonts w:ascii="Arial" w:hAnsi="Arial" w:cs="Arial"/>
                <w:b/>
                <w:bCs/>
                <w:sz w:val="20"/>
                <w:szCs w:val="20"/>
              </w:rPr>
              <w:t>50)</w:t>
            </w:r>
          </w:p>
        </w:tc>
        <w:tc>
          <w:tcPr>
            <w:tcW w:w="809" w:type="pct"/>
            <w:tcBorders>
              <w:top w:val="nil"/>
              <w:left w:val="nil"/>
              <w:right w:val="nil"/>
            </w:tcBorders>
            <w:shd w:val="clear" w:color="auto" w:fill="auto"/>
            <w:vAlign w:val="bottom"/>
          </w:tcPr>
          <w:p w14:paraId="5B58DD3A" w14:textId="5712D582" w:rsidR="00891B3A" w:rsidRPr="00D96A90" w:rsidRDefault="00891B3A" w:rsidP="00891B3A">
            <w:pPr>
              <w:spacing w:after="0" w:line="240" w:lineRule="auto"/>
              <w:jc w:val="right"/>
              <w:rPr>
                <w:rFonts w:ascii="Arial" w:hAnsi="Arial" w:cs="Arial"/>
                <w:b/>
                <w:bCs/>
                <w:sz w:val="20"/>
                <w:szCs w:val="20"/>
              </w:rPr>
            </w:pPr>
            <w:r w:rsidRPr="00D96A90">
              <w:rPr>
                <w:rFonts w:ascii="Arial" w:hAnsi="Arial" w:cs="Arial"/>
                <w:b/>
                <w:bCs/>
                <w:sz w:val="20"/>
                <w:szCs w:val="20"/>
              </w:rPr>
              <w:t>1,</w:t>
            </w:r>
            <w:r w:rsidR="005D02DD">
              <w:rPr>
                <w:rFonts w:ascii="Arial" w:hAnsi="Arial" w:cs="Arial"/>
                <w:b/>
                <w:bCs/>
                <w:sz w:val="20"/>
                <w:szCs w:val="20"/>
              </w:rPr>
              <w:t>8</w:t>
            </w:r>
            <w:r w:rsidR="009E7052">
              <w:rPr>
                <w:rFonts w:ascii="Arial" w:hAnsi="Arial" w:cs="Arial"/>
                <w:b/>
                <w:bCs/>
                <w:sz w:val="20"/>
                <w:szCs w:val="20"/>
              </w:rPr>
              <w:t>77</w:t>
            </w:r>
          </w:p>
        </w:tc>
        <w:tc>
          <w:tcPr>
            <w:tcW w:w="709" w:type="pct"/>
            <w:tcBorders>
              <w:top w:val="nil"/>
              <w:left w:val="nil"/>
              <w:right w:val="nil"/>
            </w:tcBorders>
            <w:shd w:val="clear" w:color="auto" w:fill="auto"/>
            <w:vAlign w:val="bottom"/>
          </w:tcPr>
          <w:p w14:paraId="7B2BE032" w14:textId="3345115B" w:rsidR="00891B3A" w:rsidRPr="00D96A90" w:rsidRDefault="00891B3A" w:rsidP="00891B3A">
            <w:pPr>
              <w:spacing w:after="0" w:line="240" w:lineRule="auto"/>
              <w:jc w:val="right"/>
              <w:rPr>
                <w:rFonts w:ascii="Arial" w:hAnsi="Arial" w:cs="Arial"/>
                <w:b/>
                <w:bCs/>
                <w:sz w:val="20"/>
                <w:szCs w:val="20"/>
              </w:rPr>
            </w:pPr>
            <w:r w:rsidRPr="00D96A90">
              <w:rPr>
                <w:rFonts w:ascii="Arial" w:hAnsi="Arial" w:cs="Arial"/>
                <w:b/>
                <w:bCs/>
                <w:sz w:val="20"/>
                <w:szCs w:val="20"/>
              </w:rPr>
              <w:t>1,</w:t>
            </w:r>
            <w:r w:rsidR="00044196">
              <w:rPr>
                <w:rFonts w:ascii="Arial" w:hAnsi="Arial" w:cs="Arial"/>
                <w:b/>
                <w:bCs/>
                <w:sz w:val="20"/>
                <w:szCs w:val="20"/>
              </w:rPr>
              <w:t>215</w:t>
            </w:r>
          </w:p>
        </w:tc>
      </w:tr>
      <w:tr w:rsidR="00891B3A" w:rsidRPr="00C67A93" w14:paraId="6744C3B8" w14:textId="77777777" w:rsidTr="00891B3A">
        <w:trPr>
          <w:trHeight w:val="282"/>
        </w:trPr>
        <w:tc>
          <w:tcPr>
            <w:tcW w:w="1771" w:type="pct"/>
            <w:tcBorders>
              <w:left w:val="nil"/>
              <w:bottom w:val="nil"/>
              <w:right w:val="nil"/>
            </w:tcBorders>
            <w:shd w:val="clear" w:color="auto" w:fill="auto"/>
            <w:noWrap/>
            <w:vAlign w:val="center"/>
          </w:tcPr>
          <w:p w14:paraId="33A3CA09" w14:textId="3C2208C6" w:rsidR="00891B3A" w:rsidRPr="00C67A93" w:rsidRDefault="00891B3A" w:rsidP="00891B3A">
            <w:pPr>
              <w:spacing w:after="0" w:line="240" w:lineRule="auto"/>
              <w:rPr>
                <w:rFonts w:ascii="Arial" w:hAnsi="Arial" w:cs="Arial"/>
                <w:color w:val="000000"/>
                <w:sz w:val="20"/>
                <w:szCs w:val="20"/>
                <w:lang w:val="en-SG"/>
              </w:rPr>
            </w:pPr>
            <w:r>
              <w:rPr>
                <w:rFonts w:ascii="Arial" w:hAnsi="Arial" w:cs="Arial"/>
                <w:color w:val="000000"/>
                <w:sz w:val="20"/>
                <w:szCs w:val="20"/>
                <w:lang w:val="en-SG"/>
              </w:rPr>
              <w:t xml:space="preserve"> Other adjustment</w:t>
            </w:r>
            <w:r w:rsidR="00852B89">
              <w:rPr>
                <w:rFonts w:ascii="Arial" w:hAnsi="Arial" w:cs="Arial"/>
                <w:color w:val="000000"/>
                <w:sz w:val="20"/>
                <w:szCs w:val="20"/>
                <w:lang w:val="en-SG"/>
              </w:rPr>
              <w:t>*</w:t>
            </w:r>
          </w:p>
        </w:tc>
        <w:tc>
          <w:tcPr>
            <w:tcW w:w="910" w:type="pct"/>
            <w:tcBorders>
              <w:left w:val="nil"/>
              <w:bottom w:val="single" w:sz="4" w:space="0" w:color="auto"/>
              <w:right w:val="nil"/>
            </w:tcBorders>
            <w:shd w:val="clear" w:color="auto" w:fill="auto"/>
            <w:vAlign w:val="bottom"/>
          </w:tcPr>
          <w:p w14:paraId="2D8A8826" w14:textId="77777777" w:rsidR="00891B3A" w:rsidRPr="00C67A93" w:rsidRDefault="00891B3A" w:rsidP="00891B3A">
            <w:pPr>
              <w:spacing w:after="0" w:line="240" w:lineRule="auto"/>
              <w:jc w:val="right"/>
              <w:rPr>
                <w:rFonts w:ascii="Arial" w:hAnsi="Arial" w:cs="Arial"/>
                <w:b/>
                <w:bCs/>
                <w:sz w:val="20"/>
                <w:szCs w:val="20"/>
              </w:rPr>
            </w:pPr>
            <w:r>
              <w:rPr>
                <w:rFonts w:ascii="Arial" w:hAnsi="Arial" w:cs="Arial"/>
                <w:b/>
                <w:bCs/>
                <w:sz w:val="20"/>
                <w:szCs w:val="20"/>
              </w:rPr>
              <w:t>-</w:t>
            </w:r>
          </w:p>
        </w:tc>
        <w:tc>
          <w:tcPr>
            <w:tcW w:w="801" w:type="pct"/>
            <w:tcBorders>
              <w:left w:val="nil"/>
              <w:bottom w:val="single" w:sz="4" w:space="0" w:color="auto"/>
              <w:right w:val="nil"/>
            </w:tcBorders>
            <w:shd w:val="clear" w:color="auto" w:fill="auto"/>
            <w:vAlign w:val="bottom"/>
          </w:tcPr>
          <w:p w14:paraId="3695DB38" w14:textId="3580486F" w:rsidR="00891B3A" w:rsidRPr="00C67A93" w:rsidRDefault="005D02DD" w:rsidP="00891B3A">
            <w:pPr>
              <w:spacing w:after="0" w:line="240" w:lineRule="auto"/>
              <w:jc w:val="right"/>
              <w:rPr>
                <w:rFonts w:ascii="Arial" w:hAnsi="Arial" w:cs="Arial"/>
                <w:b/>
                <w:bCs/>
                <w:sz w:val="20"/>
                <w:szCs w:val="20"/>
              </w:rPr>
            </w:pPr>
            <w:r>
              <w:rPr>
                <w:rFonts w:ascii="Arial" w:hAnsi="Arial" w:cs="Arial"/>
                <w:b/>
                <w:bCs/>
                <w:sz w:val="20"/>
                <w:szCs w:val="20"/>
              </w:rPr>
              <w:t>401</w:t>
            </w:r>
          </w:p>
        </w:tc>
        <w:tc>
          <w:tcPr>
            <w:tcW w:w="809" w:type="pct"/>
            <w:tcBorders>
              <w:left w:val="nil"/>
              <w:bottom w:val="single" w:sz="4" w:space="0" w:color="auto"/>
              <w:right w:val="nil"/>
            </w:tcBorders>
            <w:shd w:val="clear" w:color="auto" w:fill="auto"/>
            <w:vAlign w:val="bottom"/>
          </w:tcPr>
          <w:p w14:paraId="2E07BCC6" w14:textId="453CA37B" w:rsidR="00891B3A" w:rsidRPr="00D96A90" w:rsidRDefault="005D02DD" w:rsidP="00891B3A">
            <w:pPr>
              <w:spacing w:after="0" w:line="240" w:lineRule="auto"/>
              <w:jc w:val="right"/>
              <w:rPr>
                <w:rFonts w:ascii="Arial" w:hAnsi="Arial" w:cs="Arial"/>
                <w:b/>
                <w:bCs/>
                <w:sz w:val="20"/>
                <w:szCs w:val="20"/>
              </w:rPr>
            </w:pPr>
            <w:r>
              <w:rPr>
                <w:rFonts w:ascii="Arial" w:hAnsi="Arial" w:cs="Arial"/>
                <w:b/>
                <w:bCs/>
                <w:sz w:val="20"/>
                <w:szCs w:val="20"/>
              </w:rPr>
              <w:t>-</w:t>
            </w:r>
          </w:p>
        </w:tc>
        <w:tc>
          <w:tcPr>
            <w:tcW w:w="709" w:type="pct"/>
            <w:tcBorders>
              <w:left w:val="nil"/>
              <w:bottom w:val="single" w:sz="4" w:space="0" w:color="auto"/>
              <w:right w:val="nil"/>
            </w:tcBorders>
            <w:shd w:val="clear" w:color="auto" w:fill="auto"/>
            <w:vAlign w:val="bottom"/>
          </w:tcPr>
          <w:p w14:paraId="79E1D211" w14:textId="630DB5A5" w:rsidR="00891B3A" w:rsidRPr="00D96A90" w:rsidRDefault="00891B3A" w:rsidP="00891B3A">
            <w:pPr>
              <w:spacing w:after="0" w:line="240" w:lineRule="auto"/>
              <w:jc w:val="right"/>
              <w:rPr>
                <w:rFonts w:ascii="Arial" w:hAnsi="Arial" w:cs="Arial"/>
                <w:b/>
                <w:bCs/>
                <w:sz w:val="20"/>
                <w:szCs w:val="20"/>
              </w:rPr>
            </w:pPr>
            <w:r w:rsidRPr="00D96A90">
              <w:rPr>
                <w:rFonts w:ascii="Arial" w:hAnsi="Arial" w:cs="Arial"/>
                <w:b/>
                <w:bCs/>
                <w:sz w:val="20"/>
                <w:szCs w:val="20"/>
              </w:rPr>
              <w:t>401</w:t>
            </w:r>
          </w:p>
        </w:tc>
      </w:tr>
      <w:tr w:rsidR="00891B3A" w:rsidRPr="00C67A93" w14:paraId="35BD6712" w14:textId="77777777" w:rsidTr="00891B3A">
        <w:trPr>
          <w:trHeight w:val="282"/>
        </w:trPr>
        <w:tc>
          <w:tcPr>
            <w:tcW w:w="1771" w:type="pct"/>
            <w:tcBorders>
              <w:top w:val="single" w:sz="4" w:space="0" w:color="auto"/>
              <w:left w:val="nil"/>
              <w:bottom w:val="single" w:sz="4" w:space="0" w:color="auto"/>
              <w:right w:val="nil"/>
            </w:tcBorders>
            <w:shd w:val="clear" w:color="auto" w:fill="auto"/>
            <w:noWrap/>
            <w:vAlign w:val="center"/>
            <w:hideMark/>
          </w:tcPr>
          <w:p w14:paraId="54155943" w14:textId="77777777" w:rsidR="00891B3A" w:rsidRPr="00C67A93" w:rsidRDefault="00891B3A" w:rsidP="00891B3A">
            <w:pPr>
              <w:spacing w:after="0" w:line="240" w:lineRule="auto"/>
              <w:rPr>
                <w:rFonts w:ascii="Arial" w:eastAsia="Times New Roman" w:hAnsi="Arial" w:cs="Arial"/>
                <w:sz w:val="20"/>
                <w:szCs w:val="20"/>
                <w:lang w:val="en-SG" w:eastAsia="en-SG"/>
              </w:rPr>
            </w:pPr>
            <w:r w:rsidRPr="00C67A93">
              <w:rPr>
                <w:rFonts w:ascii="Arial" w:hAnsi="Arial" w:cs="Arial"/>
                <w:color w:val="000000"/>
                <w:sz w:val="20"/>
                <w:szCs w:val="20"/>
                <w:lang w:val="en-SG"/>
              </w:rPr>
              <w:t xml:space="preserve"> Balance at 30 June 2021 </w:t>
            </w:r>
          </w:p>
        </w:tc>
        <w:tc>
          <w:tcPr>
            <w:tcW w:w="910" w:type="pct"/>
            <w:tcBorders>
              <w:top w:val="nil"/>
              <w:left w:val="nil"/>
              <w:bottom w:val="single" w:sz="4" w:space="0" w:color="auto"/>
              <w:right w:val="nil"/>
            </w:tcBorders>
            <w:shd w:val="clear" w:color="auto" w:fill="auto"/>
            <w:vAlign w:val="bottom"/>
          </w:tcPr>
          <w:p w14:paraId="520E3D00"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285</w:t>
            </w:r>
          </w:p>
        </w:tc>
        <w:tc>
          <w:tcPr>
            <w:tcW w:w="801" w:type="pct"/>
            <w:tcBorders>
              <w:top w:val="nil"/>
              <w:left w:val="nil"/>
              <w:bottom w:val="single" w:sz="4" w:space="0" w:color="auto"/>
              <w:right w:val="nil"/>
            </w:tcBorders>
            <w:shd w:val="clear" w:color="auto" w:fill="auto"/>
            <w:vAlign w:val="bottom"/>
          </w:tcPr>
          <w:p w14:paraId="074704CA" w14:textId="77777777" w:rsidR="00891B3A" w:rsidRPr="00C67A93" w:rsidRDefault="00891B3A" w:rsidP="00891B3A">
            <w:pPr>
              <w:spacing w:after="0" w:line="240" w:lineRule="auto"/>
              <w:jc w:val="right"/>
              <w:rPr>
                <w:rFonts w:ascii="Arial" w:hAnsi="Arial" w:cs="Arial"/>
                <w:b/>
                <w:bCs/>
                <w:sz w:val="20"/>
                <w:szCs w:val="20"/>
              </w:rPr>
            </w:pPr>
            <w:r w:rsidRPr="00C67A93">
              <w:rPr>
                <w:rFonts w:ascii="Arial" w:hAnsi="Arial" w:cs="Arial"/>
                <w:b/>
                <w:bCs/>
                <w:sz w:val="20"/>
                <w:szCs w:val="20"/>
              </w:rPr>
              <w:t>7,568</w:t>
            </w:r>
          </w:p>
        </w:tc>
        <w:tc>
          <w:tcPr>
            <w:tcW w:w="809" w:type="pct"/>
            <w:tcBorders>
              <w:top w:val="nil"/>
              <w:left w:val="nil"/>
              <w:bottom w:val="single" w:sz="4" w:space="0" w:color="auto"/>
              <w:right w:val="nil"/>
            </w:tcBorders>
            <w:shd w:val="clear" w:color="auto" w:fill="auto"/>
            <w:vAlign w:val="bottom"/>
          </w:tcPr>
          <w:p w14:paraId="4A8F806A" w14:textId="49992476" w:rsidR="00891B3A" w:rsidRPr="00D96A90" w:rsidRDefault="00891B3A" w:rsidP="00891B3A">
            <w:pPr>
              <w:spacing w:after="0" w:line="240" w:lineRule="auto"/>
              <w:jc w:val="right"/>
              <w:rPr>
                <w:rFonts w:ascii="Arial" w:hAnsi="Arial" w:cs="Arial"/>
                <w:b/>
                <w:bCs/>
                <w:sz w:val="20"/>
                <w:szCs w:val="20"/>
              </w:rPr>
            </w:pPr>
            <w:r w:rsidRPr="00D96A90">
              <w:rPr>
                <w:rFonts w:ascii="Arial" w:hAnsi="Arial" w:cs="Arial"/>
                <w:b/>
                <w:bCs/>
                <w:sz w:val="20"/>
                <w:szCs w:val="20"/>
              </w:rPr>
              <w:t>13,</w:t>
            </w:r>
            <w:r w:rsidR="009E7052">
              <w:rPr>
                <w:rFonts w:ascii="Arial" w:hAnsi="Arial" w:cs="Arial"/>
                <w:b/>
                <w:bCs/>
                <w:sz w:val="20"/>
                <w:szCs w:val="20"/>
              </w:rPr>
              <w:t>562</w:t>
            </w:r>
          </w:p>
        </w:tc>
        <w:tc>
          <w:tcPr>
            <w:tcW w:w="709" w:type="pct"/>
            <w:tcBorders>
              <w:top w:val="nil"/>
              <w:left w:val="nil"/>
              <w:bottom w:val="single" w:sz="4" w:space="0" w:color="auto"/>
              <w:right w:val="nil"/>
            </w:tcBorders>
            <w:shd w:val="clear" w:color="auto" w:fill="auto"/>
            <w:vAlign w:val="bottom"/>
          </w:tcPr>
          <w:p w14:paraId="7E3E43D6" w14:textId="7CF933E9" w:rsidR="00891B3A" w:rsidRPr="00D96A90" w:rsidRDefault="00891B3A" w:rsidP="00891B3A">
            <w:pPr>
              <w:spacing w:after="0" w:line="240" w:lineRule="auto"/>
              <w:jc w:val="right"/>
              <w:rPr>
                <w:rFonts w:ascii="Arial" w:hAnsi="Arial" w:cs="Arial"/>
                <w:b/>
                <w:bCs/>
                <w:sz w:val="20"/>
                <w:szCs w:val="20"/>
              </w:rPr>
            </w:pPr>
            <w:r w:rsidRPr="00D96A90">
              <w:rPr>
                <w:rFonts w:ascii="Arial" w:hAnsi="Arial" w:cs="Arial"/>
                <w:b/>
                <w:bCs/>
                <w:sz w:val="20"/>
                <w:szCs w:val="20"/>
              </w:rPr>
              <w:t>21,</w:t>
            </w:r>
            <w:r w:rsidR="00044196">
              <w:rPr>
                <w:rFonts w:ascii="Arial" w:hAnsi="Arial" w:cs="Arial"/>
                <w:b/>
                <w:bCs/>
                <w:sz w:val="20"/>
                <w:szCs w:val="20"/>
              </w:rPr>
              <w:t>415</w:t>
            </w:r>
          </w:p>
        </w:tc>
      </w:tr>
      <w:tr w:rsidR="00891B3A" w:rsidRPr="00C67A93" w14:paraId="3A16A9D5" w14:textId="77777777" w:rsidTr="00891B3A">
        <w:trPr>
          <w:trHeight w:val="282"/>
        </w:trPr>
        <w:tc>
          <w:tcPr>
            <w:tcW w:w="1771" w:type="pct"/>
            <w:tcBorders>
              <w:top w:val="single" w:sz="4" w:space="0" w:color="auto"/>
              <w:left w:val="nil"/>
              <w:right w:val="nil"/>
            </w:tcBorders>
            <w:shd w:val="clear" w:color="auto" w:fill="auto"/>
            <w:noWrap/>
            <w:vAlign w:val="bottom"/>
          </w:tcPr>
          <w:p w14:paraId="3E2800F8" w14:textId="77777777" w:rsidR="00891B3A" w:rsidRPr="00C67A93" w:rsidRDefault="00891B3A" w:rsidP="00891B3A">
            <w:pPr>
              <w:spacing w:after="0" w:line="240" w:lineRule="auto"/>
              <w:rPr>
                <w:rFonts w:ascii="Arial" w:eastAsia="Times New Roman" w:hAnsi="Arial" w:cs="Arial"/>
                <w:sz w:val="20"/>
                <w:szCs w:val="20"/>
                <w:lang w:val="en-SG" w:eastAsia="en-SG"/>
              </w:rPr>
            </w:pPr>
          </w:p>
        </w:tc>
        <w:tc>
          <w:tcPr>
            <w:tcW w:w="910" w:type="pct"/>
            <w:tcBorders>
              <w:top w:val="single" w:sz="4" w:space="0" w:color="auto"/>
              <w:left w:val="nil"/>
              <w:right w:val="nil"/>
            </w:tcBorders>
            <w:shd w:val="clear" w:color="auto" w:fill="auto"/>
            <w:vAlign w:val="center"/>
          </w:tcPr>
          <w:p w14:paraId="1FBA055C" w14:textId="77777777" w:rsidR="00891B3A" w:rsidRPr="00C67A93" w:rsidRDefault="00891B3A" w:rsidP="00891B3A">
            <w:pPr>
              <w:spacing w:after="0" w:line="240" w:lineRule="auto"/>
              <w:jc w:val="right"/>
              <w:rPr>
                <w:rFonts w:ascii="Arial" w:hAnsi="Arial" w:cs="Arial"/>
                <w:sz w:val="20"/>
                <w:szCs w:val="20"/>
              </w:rPr>
            </w:pPr>
          </w:p>
        </w:tc>
        <w:tc>
          <w:tcPr>
            <w:tcW w:w="801" w:type="pct"/>
            <w:tcBorders>
              <w:top w:val="single" w:sz="4" w:space="0" w:color="auto"/>
              <w:left w:val="nil"/>
              <w:right w:val="nil"/>
            </w:tcBorders>
            <w:shd w:val="clear" w:color="auto" w:fill="auto"/>
            <w:vAlign w:val="center"/>
          </w:tcPr>
          <w:p w14:paraId="3E6C570A" w14:textId="77777777" w:rsidR="00891B3A" w:rsidRPr="00C67A93" w:rsidRDefault="00891B3A" w:rsidP="00891B3A">
            <w:pPr>
              <w:spacing w:after="0" w:line="240" w:lineRule="auto"/>
              <w:jc w:val="right"/>
              <w:rPr>
                <w:rFonts w:ascii="Arial" w:hAnsi="Arial" w:cs="Arial"/>
                <w:sz w:val="20"/>
                <w:szCs w:val="20"/>
              </w:rPr>
            </w:pPr>
          </w:p>
        </w:tc>
        <w:tc>
          <w:tcPr>
            <w:tcW w:w="809" w:type="pct"/>
            <w:tcBorders>
              <w:top w:val="single" w:sz="4" w:space="0" w:color="auto"/>
              <w:left w:val="nil"/>
              <w:right w:val="nil"/>
            </w:tcBorders>
            <w:shd w:val="clear" w:color="auto" w:fill="auto"/>
            <w:vAlign w:val="center"/>
          </w:tcPr>
          <w:p w14:paraId="5D53F273" w14:textId="77777777" w:rsidR="00891B3A" w:rsidRPr="00D96A90" w:rsidRDefault="00891B3A" w:rsidP="00891B3A">
            <w:pPr>
              <w:spacing w:after="0" w:line="240" w:lineRule="auto"/>
              <w:jc w:val="right"/>
              <w:rPr>
                <w:rFonts w:ascii="Arial" w:hAnsi="Arial" w:cs="Arial"/>
                <w:sz w:val="20"/>
                <w:szCs w:val="20"/>
              </w:rPr>
            </w:pPr>
          </w:p>
        </w:tc>
        <w:tc>
          <w:tcPr>
            <w:tcW w:w="709" w:type="pct"/>
            <w:tcBorders>
              <w:top w:val="single" w:sz="4" w:space="0" w:color="auto"/>
              <w:left w:val="nil"/>
              <w:right w:val="nil"/>
            </w:tcBorders>
            <w:shd w:val="clear" w:color="auto" w:fill="auto"/>
            <w:vAlign w:val="center"/>
          </w:tcPr>
          <w:p w14:paraId="7888FB1E" w14:textId="77777777" w:rsidR="00891B3A" w:rsidRPr="00D96A90" w:rsidRDefault="00891B3A" w:rsidP="00891B3A">
            <w:pPr>
              <w:spacing w:after="0" w:line="240" w:lineRule="auto"/>
              <w:jc w:val="right"/>
              <w:rPr>
                <w:rFonts w:ascii="Arial" w:hAnsi="Arial" w:cs="Arial"/>
                <w:sz w:val="20"/>
                <w:szCs w:val="20"/>
              </w:rPr>
            </w:pPr>
          </w:p>
        </w:tc>
      </w:tr>
    </w:tbl>
    <w:p w14:paraId="127E14A4" w14:textId="350C697B" w:rsidR="00891B3A" w:rsidRPr="009B634C" w:rsidRDefault="00852B89" w:rsidP="00891B3A">
      <w:pPr>
        <w:jc w:val="both"/>
        <w:rPr>
          <w:rFonts w:ascii="Arial" w:hAnsi="Arial" w:cs="Arial"/>
        </w:rPr>
      </w:pPr>
      <w:r>
        <w:rPr>
          <w:rFonts w:ascii="Arial" w:hAnsi="Arial" w:cs="Arial"/>
        </w:rPr>
        <w:t>*</w:t>
      </w:r>
      <w:r w:rsidR="00891B3A" w:rsidRPr="009B634C">
        <w:rPr>
          <w:rFonts w:ascii="Arial" w:hAnsi="Arial" w:cs="Arial"/>
        </w:rPr>
        <w:t>The Company</w:t>
      </w:r>
      <w:r w:rsidR="00E32649">
        <w:rPr>
          <w:rFonts w:ascii="Arial" w:hAnsi="Arial" w:cs="Arial"/>
        </w:rPr>
        <w:t>’s 31 December 2020</w:t>
      </w:r>
      <w:r w:rsidR="00891B3A" w:rsidRPr="009B634C">
        <w:rPr>
          <w:rFonts w:ascii="Arial" w:hAnsi="Arial" w:cs="Arial"/>
        </w:rPr>
        <w:t xml:space="preserve"> </w:t>
      </w:r>
      <w:r w:rsidR="00AC619F">
        <w:rPr>
          <w:rFonts w:ascii="Arial" w:hAnsi="Arial" w:cs="Arial"/>
        </w:rPr>
        <w:t xml:space="preserve">unquoted securities investment fair value included a provision </w:t>
      </w:r>
      <w:r w:rsidR="005471D5">
        <w:rPr>
          <w:rFonts w:ascii="Arial" w:hAnsi="Arial" w:cs="Arial"/>
        </w:rPr>
        <w:t xml:space="preserve">for </w:t>
      </w:r>
      <w:r w:rsidR="00AC619F">
        <w:rPr>
          <w:rFonts w:ascii="Arial" w:hAnsi="Arial" w:cs="Arial"/>
        </w:rPr>
        <w:t xml:space="preserve">overseas tax on dividends expected to be received. That </w:t>
      </w:r>
      <w:r w:rsidR="00801286">
        <w:rPr>
          <w:rFonts w:ascii="Arial" w:hAnsi="Arial" w:cs="Arial"/>
        </w:rPr>
        <w:t>dividend</w:t>
      </w:r>
      <w:r w:rsidR="00AC619F">
        <w:rPr>
          <w:rFonts w:ascii="Arial" w:hAnsi="Arial" w:cs="Arial"/>
        </w:rPr>
        <w:t xml:space="preserve"> was received in the first half of 2021, and the remai</w:t>
      </w:r>
      <w:r w:rsidR="005471D5">
        <w:rPr>
          <w:rFonts w:ascii="Arial" w:hAnsi="Arial" w:cs="Arial"/>
        </w:rPr>
        <w:t>ning liabilities of £0.4 million related to this tax have been reclassified to</w:t>
      </w:r>
      <w:r w:rsidR="002655B6">
        <w:rPr>
          <w:rFonts w:ascii="Arial" w:hAnsi="Arial" w:cs="Arial"/>
        </w:rPr>
        <w:t xml:space="preserve"> current liabilities at 30 June 2021.</w:t>
      </w:r>
      <w:r w:rsidR="005471D5">
        <w:rPr>
          <w:rFonts w:ascii="Arial" w:hAnsi="Arial" w:cs="Arial"/>
        </w:rPr>
        <w:t xml:space="preserve"> </w:t>
      </w:r>
      <w:r w:rsidR="00891B3A" w:rsidRPr="009B634C">
        <w:rPr>
          <w:rFonts w:ascii="Arial" w:hAnsi="Arial" w:cs="Arial"/>
        </w:rPr>
        <w:t xml:space="preserve">This </w:t>
      </w:r>
      <w:r w:rsidR="002655B6">
        <w:rPr>
          <w:rFonts w:ascii="Arial" w:hAnsi="Arial" w:cs="Arial"/>
        </w:rPr>
        <w:t xml:space="preserve">reclassification </w:t>
      </w:r>
      <w:r w:rsidR="00891B3A" w:rsidRPr="009B634C">
        <w:rPr>
          <w:rFonts w:ascii="Arial" w:hAnsi="Arial" w:cs="Arial"/>
        </w:rPr>
        <w:t xml:space="preserve">is included in the Other </w:t>
      </w:r>
      <w:r w:rsidR="00891B3A">
        <w:rPr>
          <w:rFonts w:ascii="Arial" w:hAnsi="Arial" w:cs="Arial"/>
        </w:rPr>
        <w:t>a</w:t>
      </w:r>
      <w:r w:rsidR="00891B3A" w:rsidRPr="009B634C">
        <w:rPr>
          <w:rFonts w:ascii="Arial" w:hAnsi="Arial" w:cs="Arial"/>
        </w:rPr>
        <w:t>djustments line in the table above.</w:t>
      </w:r>
    </w:p>
    <w:p w14:paraId="09EA9D44" w14:textId="77777777" w:rsidR="00891B3A" w:rsidRPr="00C67A93" w:rsidRDefault="00891B3A" w:rsidP="00891B3A">
      <w:pPr>
        <w:spacing w:line="240" w:lineRule="auto"/>
        <w:jc w:val="both"/>
        <w:outlineLvl w:val="0"/>
        <w:rPr>
          <w:rFonts w:ascii="Arial" w:hAnsi="Arial" w:cs="Arial"/>
        </w:rPr>
      </w:pPr>
      <w:r w:rsidRPr="00C67A93">
        <w:rPr>
          <w:rFonts w:ascii="Arial" w:hAnsi="Arial" w:cs="Arial"/>
        </w:rPr>
        <w:t xml:space="preserve">The following table analyses investments carried at fair value at the end of the period, by the level in the fair value hierarchy into which the fair value measurement is </w:t>
      </w:r>
      <w:proofErr w:type="spellStart"/>
      <w:r w:rsidRPr="00C67A93">
        <w:rPr>
          <w:rFonts w:ascii="Arial" w:hAnsi="Arial" w:cs="Arial"/>
        </w:rPr>
        <w:t>categorised</w:t>
      </w:r>
      <w:proofErr w:type="spellEnd"/>
      <w:r w:rsidRPr="00C67A93">
        <w:rPr>
          <w:rFonts w:ascii="Arial" w:hAnsi="Arial" w:cs="Arial"/>
        </w:rPr>
        <w:t>. The different levels have been defined as follows:</w:t>
      </w:r>
    </w:p>
    <w:p w14:paraId="089FEA56" w14:textId="77777777" w:rsidR="00891B3A" w:rsidRPr="00C67A93" w:rsidRDefault="00891B3A" w:rsidP="00891B3A">
      <w:pPr>
        <w:spacing w:line="240" w:lineRule="auto"/>
        <w:jc w:val="both"/>
        <w:outlineLvl w:val="0"/>
        <w:rPr>
          <w:rFonts w:ascii="Arial" w:hAnsi="Arial" w:cs="Arial"/>
        </w:rPr>
      </w:pPr>
      <w:r w:rsidRPr="00C67A93">
        <w:rPr>
          <w:rFonts w:ascii="Arial" w:hAnsi="Arial" w:cs="Arial"/>
        </w:rPr>
        <w:t>Level 1: quoted prices (unadjusted) in active markets for identical assets;</w:t>
      </w:r>
    </w:p>
    <w:p w14:paraId="79ED944B" w14:textId="77777777" w:rsidR="00891B3A" w:rsidRPr="00C67A93" w:rsidRDefault="00891B3A" w:rsidP="00891B3A">
      <w:pPr>
        <w:spacing w:line="240" w:lineRule="auto"/>
        <w:jc w:val="both"/>
        <w:outlineLvl w:val="0"/>
        <w:rPr>
          <w:rFonts w:ascii="Arial" w:hAnsi="Arial" w:cs="Arial"/>
        </w:rPr>
      </w:pPr>
      <w:r w:rsidRPr="00C67A93">
        <w:rPr>
          <w:rFonts w:ascii="Arial" w:hAnsi="Arial" w:cs="Arial"/>
        </w:rPr>
        <w:t>Level 2: inputs other than quoted prices included within level 1 that are observable for the asset, either directly (i.e. as prices) or indirectly (i.e. derived from prices); and</w:t>
      </w:r>
    </w:p>
    <w:p w14:paraId="2A5F0426" w14:textId="77777777" w:rsidR="00891B3A" w:rsidRPr="00C67A93" w:rsidRDefault="00891B3A" w:rsidP="00891B3A">
      <w:pPr>
        <w:spacing w:line="240" w:lineRule="auto"/>
        <w:jc w:val="both"/>
        <w:outlineLvl w:val="0"/>
        <w:rPr>
          <w:rFonts w:ascii="Arial" w:hAnsi="Arial" w:cs="Arial"/>
        </w:rPr>
      </w:pPr>
      <w:r w:rsidRPr="00C67A93">
        <w:rPr>
          <w:rFonts w:ascii="Arial" w:hAnsi="Arial" w:cs="Arial"/>
        </w:rPr>
        <w:t xml:space="preserve">Level 3: inputs for the asset that are not based on observable market data (unobservable inputs such as trading </w:t>
      </w:r>
      <w:proofErr w:type="spellStart"/>
      <w:r w:rsidRPr="00C67A93">
        <w:rPr>
          <w:rFonts w:ascii="Arial" w:hAnsi="Arial" w:cs="Arial"/>
        </w:rPr>
        <w:t>comparables</w:t>
      </w:r>
      <w:proofErr w:type="spellEnd"/>
      <w:r w:rsidRPr="00C67A93">
        <w:rPr>
          <w:rFonts w:ascii="Arial" w:hAnsi="Arial" w:cs="Arial"/>
        </w:rPr>
        <w:t xml:space="preserve"> and liquidity discounts).</w:t>
      </w:r>
    </w:p>
    <w:p w14:paraId="1A2EE5DF" w14:textId="77777777" w:rsidR="00891B3A" w:rsidRPr="00C67A93" w:rsidRDefault="00891B3A" w:rsidP="00891B3A">
      <w:pPr>
        <w:shd w:val="clear" w:color="auto" w:fill="FFFFFF"/>
        <w:spacing w:line="240" w:lineRule="auto"/>
        <w:jc w:val="both"/>
        <w:rPr>
          <w:rFonts w:ascii="Arial" w:hAnsi="Arial" w:cs="Arial"/>
        </w:rPr>
      </w:pPr>
      <w:r w:rsidRPr="00C67A93">
        <w:rPr>
          <w:rFonts w:ascii="Arial" w:hAnsi="Arial" w:cs="Arial"/>
        </w:rPr>
        <w:t xml:space="preserve">Fair value measurements are based on observable and unobservable inputs. Observable inputs reflect market data obtained from independent sources, while unobservable inputs reflect the Company’s view of market assumptions in the absence of observable market information. </w:t>
      </w:r>
    </w:p>
    <w:p w14:paraId="32B822C6" w14:textId="77777777" w:rsidR="00335AA3" w:rsidRDefault="00335AA3" w:rsidP="00891B3A">
      <w:pPr>
        <w:widowControl/>
        <w:suppressAutoHyphens w:val="0"/>
        <w:spacing w:line="240" w:lineRule="auto"/>
        <w:rPr>
          <w:rFonts w:ascii="Arial" w:hAnsi="Arial" w:cs="Arial"/>
          <w:b/>
          <w:sz w:val="30"/>
          <w:szCs w:val="30"/>
        </w:rPr>
      </w:pPr>
    </w:p>
    <w:p w14:paraId="69BD2DE2" w14:textId="77777777" w:rsidR="004E3F5F" w:rsidRDefault="004E3F5F" w:rsidP="00891B3A">
      <w:pPr>
        <w:widowControl/>
        <w:suppressAutoHyphens w:val="0"/>
        <w:spacing w:line="240" w:lineRule="auto"/>
        <w:rPr>
          <w:rFonts w:ascii="Arial" w:hAnsi="Arial" w:cs="Arial"/>
          <w:b/>
          <w:sz w:val="30"/>
          <w:szCs w:val="30"/>
        </w:rPr>
      </w:pPr>
    </w:p>
    <w:p w14:paraId="408D0078" w14:textId="649CAD9C"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7C57E4F1" w14:textId="77777777" w:rsidR="00891B3A" w:rsidRPr="00C67A93" w:rsidRDefault="00891B3A" w:rsidP="00891B3A">
      <w:pPr>
        <w:pStyle w:val="NormalWeb"/>
        <w:shd w:val="clear" w:color="auto" w:fill="FFFFFF"/>
        <w:spacing w:before="0" w:after="0"/>
        <w:rPr>
          <w:rFonts w:ascii="Arial" w:hAnsi="Arial" w:cs="Arial"/>
        </w:rPr>
      </w:pPr>
    </w:p>
    <w:p w14:paraId="52F6DA3A" w14:textId="77777777" w:rsidR="00891B3A" w:rsidRDefault="00891B3A" w:rsidP="00891B3A">
      <w:pPr>
        <w:shd w:val="clear" w:color="auto" w:fill="FFFFFF"/>
        <w:rPr>
          <w:rFonts w:ascii="Arial" w:hAnsi="Arial" w:cs="Arial"/>
          <w:b/>
          <w:sz w:val="28"/>
          <w:szCs w:val="28"/>
        </w:rPr>
      </w:pPr>
      <w:r w:rsidRPr="00C67A93">
        <w:rPr>
          <w:rFonts w:ascii="Arial" w:hAnsi="Arial" w:cs="Arial"/>
          <w:b/>
          <w:sz w:val="28"/>
          <w:szCs w:val="28"/>
        </w:rPr>
        <w:t>5.</w:t>
      </w:r>
      <w:r w:rsidRPr="00C67A93">
        <w:rPr>
          <w:rFonts w:ascii="Arial" w:hAnsi="Arial" w:cs="Arial"/>
          <w:b/>
          <w:sz w:val="28"/>
          <w:szCs w:val="28"/>
        </w:rPr>
        <w:tab/>
        <w:t>Investments (continued)</w:t>
      </w:r>
    </w:p>
    <w:p w14:paraId="631EB377" w14:textId="77777777" w:rsidR="00891B3A" w:rsidRPr="00C67A93" w:rsidRDefault="00891B3A" w:rsidP="00891B3A">
      <w:pPr>
        <w:shd w:val="clear" w:color="auto" w:fill="FFFFFF"/>
        <w:jc w:val="both"/>
        <w:rPr>
          <w:rFonts w:ascii="Arial" w:hAnsi="Arial" w:cs="Arial"/>
        </w:rPr>
      </w:pPr>
      <w:r w:rsidRPr="00C67A93">
        <w:rPr>
          <w:rFonts w:ascii="Arial" w:hAnsi="Arial" w:cs="Arial"/>
        </w:rPr>
        <w:t xml:space="preserve">The significant unobservable inputs used at 30 June 2021 in measuring investments </w:t>
      </w:r>
      <w:proofErr w:type="spellStart"/>
      <w:r w:rsidRPr="00C67A93">
        <w:rPr>
          <w:rFonts w:ascii="Arial" w:hAnsi="Arial" w:cs="Arial"/>
        </w:rPr>
        <w:t>categorised</w:t>
      </w:r>
      <w:proofErr w:type="spellEnd"/>
      <w:r w:rsidRPr="00C67A93">
        <w:rPr>
          <w:rFonts w:ascii="Arial" w:hAnsi="Arial" w:cs="Arial"/>
        </w:rPr>
        <w:t xml:space="preserve"> as level 3 in this note are considered below:</w:t>
      </w:r>
    </w:p>
    <w:p w14:paraId="2BD7D89D" w14:textId="2CFA1EFA" w:rsidR="00891B3A" w:rsidRPr="0088739C" w:rsidRDefault="00891B3A" w:rsidP="00891B3A">
      <w:pPr>
        <w:pStyle w:val="ListParagraph"/>
        <w:numPr>
          <w:ilvl w:val="0"/>
          <w:numId w:val="33"/>
        </w:numPr>
        <w:jc w:val="both"/>
        <w:outlineLvl w:val="0"/>
        <w:rPr>
          <w:rFonts w:ascii="Arial" w:hAnsi="Arial" w:cs="Arial"/>
        </w:rPr>
      </w:pPr>
      <w:r w:rsidRPr="00741F10">
        <w:rPr>
          <w:rFonts w:ascii="Arial" w:hAnsi="Arial" w:cs="Arial"/>
        </w:rPr>
        <w:t xml:space="preserve">Unquoted securities (carrying value £7.6 million) are valued using the most appropriate valuation technique such as a revenue-based approach, an earnings-based approach, or a discounted cash flow approach. These investments are sensitive to both the overall market and industry specific fluctuations that can impact multiples and comparable company valuations. In most cases the valuation </w:t>
      </w:r>
      <w:r w:rsidRPr="0088739C">
        <w:rPr>
          <w:rFonts w:ascii="Arial" w:hAnsi="Arial" w:cs="Arial"/>
        </w:rPr>
        <w:t>method uses inputs based on comparable quoted companies for which the key unobservable inputs are:</w:t>
      </w:r>
    </w:p>
    <w:p w14:paraId="129DC698" w14:textId="77777777" w:rsidR="00891B3A" w:rsidRPr="0088739C" w:rsidRDefault="00891B3A" w:rsidP="00891B3A">
      <w:pPr>
        <w:pStyle w:val="ListParagraph"/>
        <w:numPr>
          <w:ilvl w:val="0"/>
          <w:numId w:val="18"/>
        </w:numPr>
        <w:jc w:val="both"/>
        <w:outlineLvl w:val="0"/>
        <w:rPr>
          <w:rFonts w:ascii="Arial" w:eastAsia="Georgia" w:hAnsi="Arial" w:cs="Arial"/>
        </w:rPr>
      </w:pPr>
      <w:r w:rsidRPr="0088739C">
        <w:rPr>
          <w:rFonts w:ascii="Arial" w:eastAsia="Georgia" w:hAnsi="Arial" w:cs="Arial"/>
        </w:rPr>
        <w:t>EBITDA multiples in the range 4-8 times dependent on the business of each individual company, its performance and the sector in which it operates;</w:t>
      </w:r>
    </w:p>
    <w:p w14:paraId="49D87A9A" w14:textId="64EA8221" w:rsidR="00891B3A" w:rsidRPr="0088739C" w:rsidRDefault="00891B3A" w:rsidP="00891B3A">
      <w:pPr>
        <w:pStyle w:val="ListParagraph"/>
        <w:numPr>
          <w:ilvl w:val="0"/>
          <w:numId w:val="18"/>
        </w:numPr>
        <w:jc w:val="both"/>
        <w:outlineLvl w:val="0"/>
        <w:rPr>
          <w:rFonts w:ascii="Arial" w:eastAsia="Georgia" w:hAnsi="Arial" w:cs="Arial"/>
        </w:rPr>
      </w:pPr>
      <w:r w:rsidRPr="0088739C">
        <w:rPr>
          <w:rFonts w:ascii="Arial" w:eastAsia="Georgia" w:hAnsi="Arial" w:cs="Arial"/>
        </w:rPr>
        <w:t>revenue multiples in the range 0.</w:t>
      </w:r>
      <w:r w:rsidR="00F95F68" w:rsidRPr="0088739C">
        <w:rPr>
          <w:rFonts w:ascii="Arial" w:eastAsia="Georgia" w:hAnsi="Arial" w:cs="Arial"/>
        </w:rPr>
        <w:t>3</w:t>
      </w:r>
      <w:r w:rsidR="00DF1AE6">
        <w:rPr>
          <w:rFonts w:ascii="Arial" w:eastAsia="Georgia" w:hAnsi="Arial" w:cs="Arial"/>
        </w:rPr>
        <w:t>-</w:t>
      </w:r>
      <w:r w:rsidR="00F95F68" w:rsidRPr="0088739C">
        <w:rPr>
          <w:rFonts w:ascii="Arial" w:eastAsia="Georgia" w:hAnsi="Arial" w:cs="Arial"/>
        </w:rPr>
        <w:t>4.0</w:t>
      </w:r>
      <w:r w:rsidRPr="0088739C">
        <w:rPr>
          <w:rFonts w:ascii="Arial" w:eastAsia="Georgia" w:hAnsi="Arial" w:cs="Arial"/>
        </w:rPr>
        <w:t xml:space="preserve"> times, also dependent on attributes at individual investment level; and</w:t>
      </w:r>
    </w:p>
    <w:p w14:paraId="10E4476E" w14:textId="73A87995" w:rsidR="00891B3A" w:rsidRPr="0088739C" w:rsidRDefault="00891B3A" w:rsidP="00891B3A">
      <w:pPr>
        <w:pStyle w:val="ListParagraph"/>
        <w:numPr>
          <w:ilvl w:val="0"/>
          <w:numId w:val="18"/>
        </w:numPr>
        <w:jc w:val="both"/>
        <w:outlineLvl w:val="0"/>
        <w:rPr>
          <w:rFonts w:ascii="Arial" w:eastAsia="Georgia" w:hAnsi="Arial" w:cs="Arial"/>
        </w:rPr>
      </w:pPr>
      <w:r w:rsidRPr="0088739C">
        <w:rPr>
          <w:rFonts w:ascii="Arial" w:eastAsia="Georgia" w:hAnsi="Arial" w:cs="Arial"/>
        </w:rPr>
        <w:t xml:space="preserve">discounts applied of up to </w:t>
      </w:r>
      <w:r w:rsidR="00A95D0C">
        <w:rPr>
          <w:rFonts w:ascii="Arial" w:eastAsia="Georgia" w:hAnsi="Arial" w:cs="Arial"/>
        </w:rPr>
        <w:t>9</w:t>
      </w:r>
      <w:r w:rsidRPr="0088739C">
        <w:rPr>
          <w:rFonts w:ascii="Arial" w:eastAsia="Georgia" w:hAnsi="Arial" w:cs="Arial"/>
        </w:rPr>
        <w:t>0%, to reflect the illiquidity of unquoted companies compared to similar quoted companies. The discount used requires the exercise of judgement taking into account factors specific to individual investments such as size and rate of growth compared to other companies in the sector.</w:t>
      </w:r>
    </w:p>
    <w:p w14:paraId="20950681" w14:textId="3C37A590" w:rsidR="00891B3A" w:rsidRPr="00FE5382" w:rsidRDefault="00891B3A" w:rsidP="00FE5382">
      <w:pPr>
        <w:pStyle w:val="ListParagraph"/>
        <w:numPr>
          <w:ilvl w:val="0"/>
          <w:numId w:val="33"/>
        </w:numPr>
        <w:spacing w:after="0"/>
        <w:jc w:val="both"/>
        <w:outlineLvl w:val="0"/>
        <w:rPr>
          <w:rFonts w:ascii="Arial" w:hAnsi="Arial" w:cs="Arial"/>
        </w:rPr>
      </w:pPr>
      <w:r w:rsidRPr="00FE5382">
        <w:rPr>
          <w:rFonts w:ascii="Arial" w:hAnsi="Arial" w:cs="Arial"/>
        </w:rPr>
        <w:t>Investments in funds (carrying value £13.6 million) are valued using reports from the general partners of the fund interests with adjustments made for calls, distributions and foreign currency movements since the date of the report (if prior to 30 June 2021). The Company also carries out its own review of individual funds and their portfolios to satisfy ourselves that the underlying valuation bases are consistent with our basis of valuation and knowledge of the investments and the sectors in which they operate. However, the degree of detail on valuations varies significantly by fund and, in general, details of unobservable inputs used are not available.</w:t>
      </w:r>
    </w:p>
    <w:p w14:paraId="1027378B" w14:textId="77777777" w:rsidR="00891B3A" w:rsidRPr="00C67A93" w:rsidRDefault="00891B3A" w:rsidP="00891B3A">
      <w:pPr>
        <w:pStyle w:val="NoSpacing"/>
        <w:rPr>
          <w:rFonts w:ascii="Arial" w:hAnsi="Arial" w:cs="Arial"/>
        </w:rPr>
      </w:pPr>
    </w:p>
    <w:p w14:paraId="4B8A7735" w14:textId="77777777" w:rsidR="00891B3A" w:rsidRPr="00C67A93" w:rsidRDefault="00891B3A" w:rsidP="00891B3A">
      <w:pPr>
        <w:spacing w:after="0"/>
        <w:jc w:val="both"/>
        <w:outlineLvl w:val="0"/>
        <w:rPr>
          <w:rFonts w:ascii="Arial" w:hAnsi="Arial" w:cs="Arial"/>
        </w:rPr>
      </w:pPr>
      <w:r w:rsidRPr="00C67A93">
        <w:rPr>
          <w:rFonts w:ascii="Arial" w:hAnsi="Arial" w:cs="Arial"/>
        </w:rPr>
        <w:t xml:space="preserve">The valuation of the investments in subsidiaries makes use of multiple interdependent significant unobservable inputs and it is impractical to </w:t>
      </w:r>
      <w:proofErr w:type="spellStart"/>
      <w:r w:rsidRPr="00C67A93">
        <w:rPr>
          <w:rFonts w:ascii="Arial" w:hAnsi="Arial" w:cs="Arial"/>
        </w:rPr>
        <w:t>sensitise</w:t>
      </w:r>
      <w:proofErr w:type="spellEnd"/>
      <w:r w:rsidRPr="00C67A93">
        <w:rPr>
          <w:rFonts w:ascii="Arial" w:hAnsi="Arial" w:cs="Arial"/>
        </w:rPr>
        <w:t xml:space="preserve"> variations of any one input on the value of the investment portfolio as a whole. Estimates and underlying assumptions are reviewed on an ongoing basis however inputs are highly subjective. Changes in any one of the variables, earnings or revenue multiples or illiquidity discounts could potentially have a significant effect on the valuation.</w:t>
      </w:r>
    </w:p>
    <w:p w14:paraId="1A0C1070" w14:textId="77777777" w:rsidR="00891B3A" w:rsidRDefault="00891B3A" w:rsidP="00891B3A">
      <w:pPr>
        <w:pStyle w:val="NoSpacing"/>
        <w:rPr>
          <w:rFonts w:ascii="Arial" w:hAnsi="Arial" w:cs="Arial"/>
        </w:rPr>
      </w:pPr>
    </w:p>
    <w:p w14:paraId="5BDF468B" w14:textId="77777777" w:rsidR="00891B3A" w:rsidRDefault="00891B3A" w:rsidP="00891B3A">
      <w:pPr>
        <w:pStyle w:val="NoSpacing"/>
        <w:rPr>
          <w:rFonts w:ascii="Arial" w:hAnsi="Arial" w:cs="Arial"/>
        </w:rPr>
      </w:pPr>
    </w:p>
    <w:p w14:paraId="1FA222A2" w14:textId="2A09216A" w:rsidR="00891B3A" w:rsidRDefault="00891B3A" w:rsidP="00891B3A">
      <w:pPr>
        <w:pStyle w:val="NoSpacing"/>
        <w:rPr>
          <w:rFonts w:ascii="Arial" w:hAnsi="Arial" w:cs="Arial"/>
        </w:rPr>
      </w:pPr>
    </w:p>
    <w:p w14:paraId="3B53B6E0" w14:textId="159B8146" w:rsidR="00795D39" w:rsidRDefault="00795D39" w:rsidP="00891B3A">
      <w:pPr>
        <w:pStyle w:val="NoSpacing"/>
        <w:rPr>
          <w:rFonts w:ascii="Arial" w:hAnsi="Arial" w:cs="Arial"/>
        </w:rPr>
      </w:pPr>
    </w:p>
    <w:p w14:paraId="09BB225D" w14:textId="77777777" w:rsidR="00795D39" w:rsidRDefault="00795D39" w:rsidP="00891B3A">
      <w:pPr>
        <w:pStyle w:val="NoSpacing"/>
        <w:rPr>
          <w:rFonts w:ascii="Arial" w:hAnsi="Arial" w:cs="Arial"/>
        </w:rPr>
      </w:pPr>
    </w:p>
    <w:p w14:paraId="2A17560D" w14:textId="77777777" w:rsidR="00891B3A" w:rsidRDefault="00891B3A" w:rsidP="00891B3A">
      <w:pPr>
        <w:pStyle w:val="NoSpacing"/>
        <w:rPr>
          <w:rFonts w:ascii="Arial" w:hAnsi="Arial" w:cs="Arial"/>
        </w:rPr>
      </w:pPr>
    </w:p>
    <w:p w14:paraId="5C4D0936" w14:textId="77777777" w:rsidR="00891B3A" w:rsidRDefault="00891B3A" w:rsidP="00891B3A">
      <w:pPr>
        <w:pStyle w:val="NoSpacing"/>
        <w:rPr>
          <w:rFonts w:ascii="Arial" w:hAnsi="Arial" w:cs="Arial"/>
        </w:rPr>
      </w:pPr>
    </w:p>
    <w:p w14:paraId="1D2AB99F" w14:textId="712C7CC7" w:rsidR="00891B3A" w:rsidRDefault="00891B3A" w:rsidP="00891B3A">
      <w:pPr>
        <w:pStyle w:val="NoSpacing"/>
        <w:rPr>
          <w:rFonts w:ascii="Arial" w:hAnsi="Arial" w:cs="Arial"/>
        </w:rPr>
      </w:pPr>
    </w:p>
    <w:p w14:paraId="52BBC565" w14:textId="77777777" w:rsidR="000D3DE1" w:rsidRDefault="000D3DE1" w:rsidP="00891B3A">
      <w:pPr>
        <w:pStyle w:val="NoSpacing"/>
        <w:rPr>
          <w:rFonts w:ascii="Arial" w:hAnsi="Arial" w:cs="Arial"/>
        </w:rPr>
      </w:pPr>
    </w:p>
    <w:p w14:paraId="0B1FC801"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5D488D87" w14:textId="77777777" w:rsidR="00891B3A" w:rsidRPr="00C67A93" w:rsidRDefault="00891B3A" w:rsidP="00891B3A">
      <w:pPr>
        <w:pStyle w:val="NormalWeb"/>
        <w:shd w:val="clear" w:color="auto" w:fill="FFFFFF"/>
        <w:spacing w:before="0" w:after="0"/>
        <w:rPr>
          <w:rFonts w:ascii="Arial" w:hAnsi="Arial" w:cs="Arial"/>
        </w:rPr>
      </w:pPr>
    </w:p>
    <w:p w14:paraId="436A529A" w14:textId="77777777" w:rsidR="00891B3A" w:rsidRPr="00C67A93" w:rsidRDefault="00891B3A" w:rsidP="00891B3A">
      <w:pPr>
        <w:shd w:val="clear" w:color="auto" w:fill="FFFFFF"/>
        <w:rPr>
          <w:rFonts w:ascii="Arial" w:hAnsi="Arial" w:cs="Arial"/>
          <w:b/>
          <w:sz w:val="28"/>
          <w:szCs w:val="28"/>
        </w:rPr>
      </w:pPr>
      <w:r w:rsidRPr="00C67A93">
        <w:rPr>
          <w:rFonts w:ascii="Arial" w:hAnsi="Arial" w:cs="Arial"/>
          <w:b/>
          <w:sz w:val="28"/>
          <w:szCs w:val="28"/>
        </w:rPr>
        <w:t>5.</w:t>
      </w:r>
      <w:r w:rsidRPr="00C67A93">
        <w:rPr>
          <w:rFonts w:ascii="Arial" w:hAnsi="Arial" w:cs="Arial"/>
          <w:b/>
          <w:sz w:val="28"/>
          <w:szCs w:val="28"/>
        </w:rPr>
        <w:tab/>
        <w:t>Investments (continued)</w:t>
      </w:r>
    </w:p>
    <w:p w14:paraId="60EFC0A0" w14:textId="77777777" w:rsidR="00891B3A" w:rsidRPr="00C67A93" w:rsidRDefault="00891B3A" w:rsidP="00891B3A">
      <w:pPr>
        <w:shd w:val="clear" w:color="auto" w:fill="FFFFFF"/>
        <w:spacing w:after="0"/>
        <w:jc w:val="both"/>
        <w:rPr>
          <w:rFonts w:ascii="Arial" w:hAnsi="Arial" w:cs="Arial"/>
        </w:rPr>
      </w:pPr>
      <w:r w:rsidRPr="00C67A93">
        <w:rPr>
          <w:rFonts w:ascii="Arial" w:hAnsi="Arial" w:cs="Arial"/>
        </w:rPr>
        <w:t xml:space="preserve">The Company’s investments are </w:t>
      </w:r>
      <w:proofErr w:type="spellStart"/>
      <w:r w:rsidRPr="00C67A93">
        <w:rPr>
          <w:rFonts w:ascii="Arial" w:hAnsi="Arial" w:cs="Arial"/>
        </w:rPr>
        <w:t>analysed</w:t>
      </w:r>
      <w:proofErr w:type="spellEnd"/>
      <w:r w:rsidRPr="00C67A93">
        <w:rPr>
          <w:rFonts w:ascii="Arial" w:hAnsi="Arial" w:cs="Arial"/>
        </w:rPr>
        <w:t xml:space="preserve"> as follows:</w:t>
      </w:r>
    </w:p>
    <w:tbl>
      <w:tblPr>
        <w:tblW w:w="5000" w:type="pct"/>
        <w:tblCellMar>
          <w:left w:w="57" w:type="dxa"/>
          <w:right w:w="57" w:type="dxa"/>
        </w:tblCellMar>
        <w:tblLook w:val="04A0" w:firstRow="1" w:lastRow="0" w:firstColumn="1" w:lastColumn="0" w:noHBand="0" w:noVBand="1"/>
      </w:tblPr>
      <w:tblGrid>
        <w:gridCol w:w="5419"/>
        <w:gridCol w:w="1723"/>
        <w:gridCol w:w="1928"/>
      </w:tblGrid>
      <w:tr w:rsidR="00891B3A" w:rsidRPr="00C67A93" w14:paraId="7ABE7E55" w14:textId="77777777" w:rsidTr="006D09F7">
        <w:trPr>
          <w:trHeight w:val="255"/>
        </w:trPr>
        <w:tc>
          <w:tcPr>
            <w:tcW w:w="2987" w:type="pct"/>
            <w:tcBorders>
              <w:top w:val="nil"/>
              <w:left w:val="nil"/>
              <w:bottom w:val="nil"/>
              <w:right w:val="nil"/>
            </w:tcBorders>
            <w:shd w:val="clear" w:color="000000" w:fill="FFFFFF"/>
            <w:noWrap/>
            <w:vAlign w:val="bottom"/>
            <w:hideMark/>
          </w:tcPr>
          <w:p w14:paraId="68BD9C6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50" w:type="pct"/>
            <w:tcBorders>
              <w:top w:val="nil"/>
              <w:left w:val="nil"/>
              <w:bottom w:val="single" w:sz="4" w:space="0" w:color="auto"/>
              <w:right w:val="nil"/>
            </w:tcBorders>
            <w:shd w:val="clear" w:color="000000" w:fill="FFFFFF"/>
            <w:noWrap/>
            <w:vAlign w:val="bottom"/>
            <w:hideMark/>
          </w:tcPr>
          <w:p w14:paraId="4D270DC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 xml:space="preserve">30 June </w:t>
            </w:r>
          </w:p>
        </w:tc>
        <w:tc>
          <w:tcPr>
            <w:tcW w:w="1063" w:type="pct"/>
            <w:tcBorders>
              <w:top w:val="nil"/>
              <w:left w:val="nil"/>
              <w:bottom w:val="single" w:sz="4" w:space="0" w:color="auto"/>
              <w:right w:val="nil"/>
            </w:tcBorders>
            <w:shd w:val="clear" w:color="000000" w:fill="FFFFFF"/>
            <w:vAlign w:val="bottom"/>
            <w:hideMark/>
          </w:tcPr>
          <w:p w14:paraId="6E48D27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 xml:space="preserve">31 December </w:t>
            </w:r>
          </w:p>
        </w:tc>
      </w:tr>
      <w:tr w:rsidR="00891B3A" w:rsidRPr="00C67A93" w14:paraId="102777F2" w14:textId="77777777" w:rsidTr="006D09F7">
        <w:trPr>
          <w:trHeight w:val="255"/>
        </w:trPr>
        <w:tc>
          <w:tcPr>
            <w:tcW w:w="2987" w:type="pct"/>
            <w:tcBorders>
              <w:top w:val="nil"/>
              <w:left w:val="nil"/>
              <w:bottom w:val="nil"/>
              <w:right w:val="nil"/>
            </w:tcBorders>
            <w:shd w:val="clear" w:color="000000" w:fill="FFFFFF"/>
            <w:noWrap/>
            <w:vAlign w:val="bottom"/>
          </w:tcPr>
          <w:p w14:paraId="79018D1E"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950" w:type="pct"/>
            <w:tcBorders>
              <w:top w:val="single" w:sz="4" w:space="0" w:color="auto"/>
              <w:left w:val="nil"/>
              <w:bottom w:val="nil"/>
              <w:right w:val="nil"/>
            </w:tcBorders>
            <w:shd w:val="clear" w:color="auto" w:fill="FDE9D9" w:themeFill="accent6" w:themeFillTint="33"/>
            <w:noWrap/>
            <w:vAlign w:val="bottom"/>
          </w:tcPr>
          <w:p w14:paraId="4B8FBD0C"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2021</w:t>
            </w:r>
          </w:p>
        </w:tc>
        <w:tc>
          <w:tcPr>
            <w:tcW w:w="1063" w:type="pct"/>
            <w:tcBorders>
              <w:top w:val="single" w:sz="4" w:space="0" w:color="auto"/>
              <w:left w:val="nil"/>
              <w:bottom w:val="nil"/>
              <w:right w:val="nil"/>
            </w:tcBorders>
            <w:shd w:val="clear" w:color="000000" w:fill="FFFFFF"/>
            <w:vAlign w:val="bottom"/>
          </w:tcPr>
          <w:p w14:paraId="645446A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2020</w:t>
            </w:r>
          </w:p>
        </w:tc>
      </w:tr>
      <w:tr w:rsidR="00891B3A" w:rsidRPr="00C67A93" w14:paraId="33B2EFE3" w14:textId="77777777" w:rsidTr="006D09F7">
        <w:trPr>
          <w:trHeight w:val="255"/>
        </w:trPr>
        <w:tc>
          <w:tcPr>
            <w:tcW w:w="2987" w:type="pct"/>
            <w:tcBorders>
              <w:top w:val="nil"/>
              <w:left w:val="nil"/>
              <w:bottom w:val="single" w:sz="4" w:space="0" w:color="auto"/>
              <w:right w:val="nil"/>
            </w:tcBorders>
            <w:shd w:val="clear" w:color="000000" w:fill="FFFFFF"/>
            <w:noWrap/>
            <w:vAlign w:val="bottom"/>
            <w:hideMark/>
          </w:tcPr>
          <w:p w14:paraId="55313B61"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50" w:type="pct"/>
            <w:tcBorders>
              <w:top w:val="nil"/>
              <w:left w:val="nil"/>
              <w:bottom w:val="single" w:sz="4" w:space="0" w:color="auto"/>
              <w:right w:val="nil"/>
            </w:tcBorders>
            <w:shd w:val="clear" w:color="auto" w:fill="FDE9D9" w:themeFill="accent6" w:themeFillTint="33"/>
            <w:noWrap/>
            <w:vAlign w:val="bottom"/>
            <w:hideMark/>
          </w:tcPr>
          <w:p w14:paraId="5CBFE87B"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£'000</w:t>
            </w:r>
          </w:p>
        </w:tc>
        <w:tc>
          <w:tcPr>
            <w:tcW w:w="1063" w:type="pct"/>
            <w:tcBorders>
              <w:top w:val="nil"/>
              <w:left w:val="nil"/>
              <w:bottom w:val="single" w:sz="4" w:space="0" w:color="auto"/>
              <w:right w:val="nil"/>
            </w:tcBorders>
            <w:shd w:val="clear" w:color="000000" w:fill="FFFFFF"/>
            <w:vAlign w:val="bottom"/>
            <w:hideMark/>
          </w:tcPr>
          <w:p w14:paraId="49469445"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£'000</w:t>
            </w:r>
          </w:p>
        </w:tc>
      </w:tr>
      <w:tr w:rsidR="00891B3A" w:rsidRPr="00C67A93" w14:paraId="6AE4FA32" w14:textId="77777777" w:rsidTr="006D09F7">
        <w:trPr>
          <w:trHeight w:val="255"/>
        </w:trPr>
        <w:tc>
          <w:tcPr>
            <w:tcW w:w="2987" w:type="pct"/>
            <w:tcBorders>
              <w:top w:val="nil"/>
              <w:left w:val="nil"/>
              <w:bottom w:val="nil"/>
              <w:right w:val="nil"/>
            </w:tcBorders>
            <w:shd w:val="clear" w:color="000000" w:fill="FFFFFF"/>
            <w:noWrap/>
            <w:vAlign w:val="bottom"/>
            <w:hideMark/>
          </w:tcPr>
          <w:p w14:paraId="72A9A29D"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Level 1</w:t>
            </w:r>
          </w:p>
        </w:tc>
        <w:tc>
          <w:tcPr>
            <w:tcW w:w="950" w:type="pct"/>
            <w:tcBorders>
              <w:top w:val="nil"/>
              <w:left w:val="nil"/>
              <w:bottom w:val="nil"/>
              <w:right w:val="nil"/>
            </w:tcBorders>
            <w:shd w:val="clear" w:color="auto" w:fill="FDE9D9" w:themeFill="accent6" w:themeFillTint="33"/>
            <w:vAlign w:val="bottom"/>
          </w:tcPr>
          <w:p w14:paraId="70D0685A"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w:t>
            </w:r>
          </w:p>
        </w:tc>
        <w:tc>
          <w:tcPr>
            <w:tcW w:w="1063" w:type="pct"/>
            <w:tcBorders>
              <w:top w:val="nil"/>
              <w:left w:val="nil"/>
              <w:bottom w:val="nil"/>
              <w:right w:val="nil"/>
            </w:tcBorders>
            <w:shd w:val="clear" w:color="000000" w:fill="FFFFFF"/>
          </w:tcPr>
          <w:p w14:paraId="064046B3"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sz w:val="20"/>
                <w:szCs w:val="20"/>
              </w:rPr>
              <w:t xml:space="preserve">- </w:t>
            </w:r>
          </w:p>
        </w:tc>
      </w:tr>
      <w:tr w:rsidR="00891B3A" w:rsidRPr="00C67A93" w14:paraId="408F76C9" w14:textId="77777777" w:rsidTr="006D09F7">
        <w:trPr>
          <w:trHeight w:val="255"/>
        </w:trPr>
        <w:tc>
          <w:tcPr>
            <w:tcW w:w="2987" w:type="pct"/>
            <w:tcBorders>
              <w:top w:val="nil"/>
              <w:left w:val="nil"/>
              <w:bottom w:val="nil"/>
              <w:right w:val="nil"/>
            </w:tcBorders>
            <w:shd w:val="clear" w:color="000000" w:fill="FFFFFF"/>
            <w:noWrap/>
            <w:vAlign w:val="bottom"/>
            <w:hideMark/>
          </w:tcPr>
          <w:p w14:paraId="6D5F40B4"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Level 2</w:t>
            </w:r>
          </w:p>
        </w:tc>
        <w:tc>
          <w:tcPr>
            <w:tcW w:w="950" w:type="pct"/>
            <w:tcBorders>
              <w:top w:val="nil"/>
              <w:left w:val="nil"/>
              <w:bottom w:val="nil"/>
              <w:right w:val="nil"/>
            </w:tcBorders>
            <w:shd w:val="clear" w:color="auto" w:fill="FDE9D9" w:themeFill="accent6" w:themeFillTint="33"/>
            <w:vAlign w:val="bottom"/>
          </w:tcPr>
          <w:p w14:paraId="7A4232FF"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w:t>
            </w:r>
          </w:p>
        </w:tc>
        <w:tc>
          <w:tcPr>
            <w:tcW w:w="1063" w:type="pct"/>
            <w:tcBorders>
              <w:top w:val="nil"/>
              <w:left w:val="nil"/>
              <w:bottom w:val="nil"/>
              <w:right w:val="nil"/>
            </w:tcBorders>
            <w:shd w:val="clear" w:color="000000" w:fill="FFFFFF"/>
          </w:tcPr>
          <w:p w14:paraId="58AB595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sz w:val="20"/>
                <w:szCs w:val="20"/>
              </w:rPr>
              <w:t>755</w:t>
            </w:r>
          </w:p>
        </w:tc>
      </w:tr>
      <w:tr w:rsidR="00891B3A" w:rsidRPr="00C67A93" w14:paraId="76F334C5" w14:textId="77777777" w:rsidTr="006D09F7">
        <w:trPr>
          <w:trHeight w:val="255"/>
        </w:trPr>
        <w:tc>
          <w:tcPr>
            <w:tcW w:w="2987" w:type="pct"/>
            <w:tcBorders>
              <w:top w:val="nil"/>
              <w:left w:val="nil"/>
              <w:bottom w:val="single" w:sz="4" w:space="0" w:color="auto"/>
              <w:right w:val="nil"/>
            </w:tcBorders>
            <w:shd w:val="clear" w:color="000000" w:fill="FFFFFF"/>
            <w:noWrap/>
            <w:vAlign w:val="bottom"/>
            <w:hideMark/>
          </w:tcPr>
          <w:p w14:paraId="5ACCD37C"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Level 3</w:t>
            </w:r>
          </w:p>
        </w:tc>
        <w:tc>
          <w:tcPr>
            <w:tcW w:w="950" w:type="pct"/>
            <w:tcBorders>
              <w:top w:val="nil"/>
              <w:left w:val="nil"/>
              <w:bottom w:val="single" w:sz="4" w:space="0" w:color="auto"/>
              <w:right w:val="nil"/>
            </w:tcBorders>
            <w:shd w:val="clear" w:color="auto" w:fill="FDE9D9" w:themeFill="accent6" w:themeFillTint="33"/>
            <w:vAlign w:val="bottom"/>
          </w:tcPr>
          <w:p w14:paraId="7EDA2D69" w14:textId="3F7D9361"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7</w:t>
            </w:r>
            <w:r w:rsidR="00D3351D">
              <w:rPr>
                <w:rFonts w:ascii="Arial" w:eastAsia="Times New Roman" w:hAnsi="Arial" w:cs="Arial"/>
                <w:b/>
                <w:sz w:val="20"/>
                <w:szCs w:val="20"/>
                <w:lang w:val="en-SG" w:eastAsia="en-SG"/>
              </w:rPr>
              <w:t>1</w:t>
            </w:r>
            <w:r w:rsidRPr="00C67A93">
              <w:rPr>
                <w:rFonts w:ascii="Arial" w:eastAsia="Times New Roman" w:hAnsi="Arial" w:cs="Arial"/>
                <w:b/>
                <w:sz w:val="20"/>
                <w:szCs w:val="20"/>
                <w:lang w:val="en-SG" w:eastAsia="en-SG"/>
              </w:rPr>
              <w:t>,</w:t>
            </w:r>
            <w:r w:rsidR="00D3351D">
              <w:rPr>
                <w:rFonts w:ascii="Arial" w:eastAsia="Times New Roman" w:hAnsi="Arial" w:cs="Arial"/>
                <w:b/>
                <w:sz w:val="20"/>
                <w:szCs w:val="20"/>
                <w:lang w:val="en-SG" w:eastAsia="en-SG"/>
              </w:rPr>
              <w:t>054</w:t>
            </w:r>
          </w:p>
        </w:tc>
        <w:tc>
          <w:tcPr>
            <w:tcW w:w="1063" w:type="pct"/>
            <w:tcBorders>
              <w:top w:val="nil"/>
              <w:left w:val="nil"/>
              <w:bottom w:val="single" w:sz="4" w:space="0" w:color="auto"/>
              <w:right w:val="nil"/>
            </w:tcBorders>
            <w:shd w:val="clear" w:color="000000" w:fill="FFFFFF"/>
          </w:tcPr>
          <w:p w14:paraId="130D0E8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sz w:val="20"/>
                <w:szCs w:val="20"/>
              </w:rPr>
              <w:t>69,855</w:t>
            </w:r>
          </w:p>
        </w:tc>
      </w:tr>
      <w:tr w:rsidR="00891B3A" w:rsidRPr="00C67A93" w14:paraId="57D9FF90" w14:textId="77777777" w:rsidTr="006D09F7">
        <w:trPr>
          <w:trHeight w:val="255"/>
        </w:trPr>
        <w:tc>
          <w:tcPr>
            <w:tcW w:w="2987" w:type="pct"/>
            <w:tcBorders>
              <w:top w:val="single" w:sz="4" w:space="0" w:color="auto"/>
              <w:left w:val="nil"/>
              <w:bottom w:val="single" w:sz="4" w:space="0" w:color="auto"/>
              <w:right w:val="nil"/>
            </w:tcBorders>
            <w:shd w:val="clear" w:color="000000" w:fill="FFFFFF"/>
            <w:noWrap/>
            <w:vAlign w:val="bottom"/>
            <w:hideMark/>
          </w:tcPr>
          <w:p w14:paraId="6B3C60B3" w14:textId="77777777" w:rsidR="00891B3A" w:rsidRPr="00C67A93"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50" w:type="pct"/>
            <w:tcBorders>
              <w:top w:val="single" w:sz="4" w:space="0" w:color="auto"/>
              <w:left w:val="nil"/>
              <w:bottom w:val="single" w:sz="4" w:space="0" w:color="auto"/>
              <w:right w:val="nil"/>
            </w:tcBorders>
            <w:shd w:val="clear" w:color="auto" w:fill="FDE9D9" w:themeFill="accent6" w:themeFillTint="33"/>
            <w:vAlign w:val="bottom"/>
          </w:tcPr>
          <w:p w14:paraId="0656AC0A" w14:textId="124E8B49" w:rsidR="00891B3A" w:rsidRPr="00C67A93"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7</w:t>
            </w:r>
            <w:r w:rsidR="00D3351D">
              <w:rPr>
                <w:rFonts w:ascii="Arial" w:eastAsia="Times New Roman" w:hAnsi="Arial" w:cs="Arial"/>
                <w:b/>
                <w:sz w:val="20"/>
                <w:szCs w:val="20"/>
                <w:lang w:val="en-SG" w:eastAsia="en-SG"/>
              </w:rPr>
              <w:t>1</w:t>
            </w:r>
            <w:r w:rsidRPr="00C67A93">
              <w:rPr>
                <w:rFonts w:ascii="Arial" w:eastAsia="Times New Roman" w:hAnsi="Arial" w:cs="Arial"/>
                <w:b/>
                <w:sz w:val="20"/>
                <w:szCs w:val="20"/>
                <w:lang w:val="en-SG" w:eastAsia="en-SG"/>
              </w:rPr>
              <w:t>,</w:t>
            </w:r>
            <w:r w:rsidR="00D3351D">
              <w:rPr>
                <w:rFonts w:ascii="Arial" w:eastAsia="Times New Roman" w:hAnsi="Arial" w:cs="Arial"/>
                <w:b/>
                <w:sz w:val="20"/>
                <w:szCs w:val="20"/>
                <w:lang w:val="en-SG" w:eastAsia="en-SG"/>
              </w:rPr>
              <w:t>054</w:t>
            </w:r>
          </w:p>
        </w:tc>
        <w:tc>
          <w:tcPr>
            <w:tcW w:w="1063" w:type="pct"/>
            <w:tcBorders>
              <w:top w:val="single" w:sz="4" w:space="0" w:color="auto"/>
              <w:left w:val="nil"/>
              <w:bottom w:val="single" w:sz="4" w:space="0" w:color="auto"/>
              <w:right w:val="nil"/>
            </w:tcBorders>
            <w:shd w:val="clear" w:color="000000" w:fill="FFFFFF"/>
          </w:tcPr>
          <w:p w14:paraId="4612BC98" w14:textId="77777777" w:rsidR="00891B3A" w:rsidRPr="00C67A93"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hAnsi="Arial" w:cs="Arial"/>
                <w:sz w:val="20"/>
                <w:szCs w:val="20"/>
              </w:rPr>
              <w:t xml:space="preserve">70,610 </w:t>
            </w:r>
          </w:p>
        </w:tc>
      </w:tr>
      <w:tr w:rsidR="006D09F7" w:rsidRPr="00C67A93" w14:paraId="1C53220B" w14:textId="77777777" w:rsidTr="006D09F7">
        <w:trPr>
          <w:trHeight w:val="255"/>
        </w:trPr>
        <w:tc>
          <w:tcPr>
            <w:tcW w:w="2987" w:type="pct"/>
            <w:tcBorders>
              <w:top w:val="single" w:sz="4" w:space="0" w:color="auto"/>
              <w:left w:val="nil"/>
              <w:right w:val="nil"/>
            </w:tcBorders>
            <w:shd w:val="clear" w:color="auto" w:fill="auto"/>
            <w:noWrap/>
            <w:vAlign w:val="bottom"/>
          </w:tcPr>
          <w:p w14:paraId="0D9131F6" w14:textId="77777777" w:rsidR="006D09F7" w:rsidRPr="00C67A93" w:rsidRDefault="006D09F7"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950" w:type="pct"/>
            <w:tcBorders>
              <w:top w:val="single" w:sz="4" w:space="0" w:color="auto"/>
              <w:left w:val="nil"/>
              <w:right w:val="nil"/>
            </w:tcBorders>
            <w:shd w:val="clear" w:color="auto" w:fill="auto"/>
            <w:vAlign w:val="bottom"/>
          </w:tcPr>
          <w:p w14:paraId="1636553B" w14:textId="77777777" w:rsidR="006D09F7" w:rsidRPr="00C67A93" w:rsidRDefault="006D09F7"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p>
        </w:tc>
        <w:tc>
          <w:tcPr>
            <w:tcW w:w="1063" w:type="pct"/>
            <w:tcBorders>
              <w:top w:val="single" w:sz="4" w:space="0" w:color="auto"/>
              <w:left w:val="nil"/>
              <w:right w:val="nil"/>
            </w:tcBorders>
            <w:shd w:val="clear" w:color="auto" w:fill="auto"/>
          </w:tcPr>
          <w:p w14:paraId="3D706803" w14:textId="77777777" w:rsidR="006D09F7" w:rsidRPr="00C67A93" w:rsidRDefault="006D09F7" w:rsidP="00891B3A">
            <w:pPr>
              <w:widowControl/>
              <w:suppressAutoHyphens w:val="0"/>
              <w:autoSpaceDN/>
              <w:spacing w:after="0" w:line="240" w:lineRule="auto"/>
              <w:jc w:val="right"/>
              <w:textAlignment w:val="auto"/>
              <w:rPr>
                <w:rFonts w:ascii="Arial" w:hAnsi="Arial" w:cs="Arial"/>
                <w:sz w:val="20"/>
                <w:szCs w:val="20"/>
              </w:rPr>
            </w:pPr>
          </w:p>
        </w:tc>
      </w:tr>
    </w:tbl>
    <w:p w14:paraId="2E7EFA8D" w14:textId="1EF6D16D" w:rsidR="006D09F7" w:rsidRDefault="006D09F7" w:rsidP="006D09F7">
      <w:pPr>
        <w:spacing w:after="0"/>
        <w:rPr>
          <w:sz w:val="10"/>
          <w:szCs w:val="10"/>
        </w:rPr>
      </w:pPr>
    </w:p>
    <w:p w14:paraId="7DCD02F5" w14:textId="7B462199" w:rsidR="00FD754F" w:rsidRPr="00FD754F" w:rsidRDefault="00FD754F" w:rsidP="006D09F7">
      <w:pPr>
        <w:spacing w:after="0"/>
        <w:rPr>
          <w:rFonts w:ascii="Arial" w:hAnsi="Arial" w:cs="Arial"/>
        </w:rPr>
      </w:pPr>
      <w:r>
        <w:rPr>
          <w:rFonts w:ascii="Arial" w:hAnsi="Arial" w:cs="Arial"/>
        </w:rPr>
        <w:t>The reconciliation between opening and closing balance of level 3 assets are presented in the table below:</w:t>
      </w:r>
    </w:p>
    <w:tbl>
      <w:tblPr>
        <w:tblW w:w="5000" w:type="pct"/>
        <w:tblCellMar>
          <w:left w:w="57" w:type="dxa"/>
          <w:right w:w="57" w:type="dxa"/>
        </w:tblCellMar>
        <w:tblLook w:val="04A0" w:firstRow="1" w:lastRow="0" w:firstColumn="1" w:lastColumn="0" w:noHBand="0" w:noVBand="1"/>
      </w:tblPr>
      <w:tblGrid>
        <w:gridCol w:w="5474"/>
        <w:gridCol w:w="1798"/>
        <w:gridCol w:w="1798"/>
      </w:tblGrid>
      <w:tr w:rsidR="00E77689" w:rsidRPr="00C67A93" w14:paraId="188F1CC5" w14:textId="758E26E0" w:rsidTr="009D5F97">
        <w:trPr>
          <w:trHeight w:val="255"/>
        </w:trPr>
        <w:tc>
          <w:tcPr>
            <w:tcW w:w="3018" w:type="pct"/>
            <w:tcBorders>
              <w:top w:val="nil"/>
              <w:left w:val="nil"/>
              <w:bottom w:val="nil"/>
              <w:right w:val="nil"/>
            </w:tcBorders>
            <w:shd w:val="clear" w:color="000000" w:fill="FFFFFF"/>
            <w:noWrap/>
            <w:vAlign w:val="bottom"/>
            <w:hideMark/>
          </w:tcPr>
          <w:p w14:paraId="0F90D509" w14:textId="77777777" w:rsidR="00E77689" w:rsidRPr="00C67A93" w:rsidRDefault="00E77689" w:rsidP="00E77689">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91" w:type="pct"/>
            <w:tcBorders>
              <w:top w:val="nil"/>
              <w:left w:val="nil"/>
              <w:bottom w:val="single" w:sz="4" w:space="0" w:color="auto"/>
              <w:right w:val="nil"/>
            </w:tcBorders>
            <w:shd w:val="clear" w:color="000000" w:fill="FFFFFF"/>
            <w:vAlign w:val="bottom"/>
            <w:hideMark/>
          </w:tcPr>
          <w:p w14:paraId="42497EB7" w14:textId="77777777" w:rsidR="00E77689" w:rsidRPr="00C67A93"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Pr>
                <w:rFonts w:ascii="Arial" w:eastAsia="Times New Roman" w:hAnsi="Arial" w:cs="Arial"/>
                <w:b/>
                <w:sz w:val="20"/>
                <w:szCs w:val="20"/>
                <w:lang w:val="en-SG" w:eastAsia="en-SG"/>
              </w:rPr>
              <w:t>30 June</w:t>
            </w:r>
          </w:p>
        </w:tc>
        <w:tc>
          <w:tcPr>
            <w:tcW w:w="991" w:type="pct"/>
            <w:tcBorders>
              <w:top w:val="nil"/>
              <w:left w:val="nil"/>
              <w:bottom w:val="single" w:sz="4" w:space="0" w:color="auto"/>
              <w:right w:val="nil"/>
            </w:tcBorders>
            <w:shd w:val="clear" w:color="000000" w:fill="FFFFFF"/>
            <w:vAlign w:val="bottom"/>
          </w:tcPr>
          <w:p w14:paraId="69765DED" w14:textId="79568234" w:rsidR="00E77689"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 xml:space="preserve">31 December </w:t>
            </w:r>
          </w:p>
        </w:tc>
      </w:tr>
      <w:tr w:rsidR="00E77689" w:rsidRPr="00C67A93" w14:paraId="5D4082A7" w14:textId="7CFE455B" w:rsidTr="00D20F2E">
        <w:trPr>
          <w:trHeight w:val="255"/>
        </w:trPr>
        <w:tc>
          <w:tcPr>
            <w:tcW w:w="3018" w:type="pct"/>
            <w:tcBorders>
              <w:top w:val="nil"/>
              <w:left w:val="nil"/>
              <w:bottom w:val="nil"/>
              <w:right w:val="nil"/>
            </w:tcBorders>
            <w:shd w:val="clear" w:color="000000" w:fill="FFFFFF"/>
            <w:noWrap/>
            <w:vAlign w:val="bottom"/>
          </w:tcPr>
          <w:p w14:paraId="454F6B1D" w14:textId="77777777" w:rsidR="00E77689" w:rsidRPr="00C67A93" w:rsidRDefault="00E77689" w:rsidP="00E77689">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991" w:type="pct"/>
            <w:tcBorders>
              <w:top w:val="single" w:sz="4" w:space="0" w:color="auto"/>
              <w:left w:val="nil"/>
              <w:bottom w:val="nil"/>
              <w:right w:val="nil"/>
            </w:tcBorders>
            <w:shd w:val="clear" w:color="auto" w:fill="FDE9D9" w:themeFill="accent6" w:themeFillTint="33"/>
            <w:vAlign w:val="bottom"/>
          </w:tcPr>
          <w:p w14:paraId="12CCFE32" w14:textId="77777777" w:rsidR="00E77689" w:rsidRPr="00C67A93"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202</w:t>
            </w:r>
            <w:r>
              <w:rPr>
                <w:rFonts w:ascii="Arial" w:eastAsia="Times New Roman" w:hAnsi="Arial" w:cs="Arial"/>
                <w:b/>
                <w:sz w:val="20"/>
                <w:szCs w:val="20"/>
                <w:lang w:val="en-SG" w:eastAsia="en-SG"/>
              </w:rPr>
              <w:t>1</w:t>
            </w:r>
          </w:p>
        </w:tc>
        <w:tc>
          <w:tcPr>
            <w:tcW w:w="991" w:type="pct"/>
            <w:tcBorders>
              <w:top w:val="single" w:sz="4" w:space="0" w:color="auto"/>
              <w:left w:val="nil"/>
              <w:bottom w:val="nil"/>
              <w:right w:val="nil"/>
            </w:tcBorders>
            <w:shd w:val="clear" w:color="000000" w:fill="FFFFFF"/>
            <w:vAlign w:val="bottom"/>
          </w:tcPr>
          <w:p w14:paraId="41B7A25A" w14:textId="06CDEC12" w:rsidR="00E77689" w:rsidRPr="00C67A93"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2020</w:t>
            </w:r>
          </w:p>
        </w:tc>
      </w:tr>
      <w:tr w:rsidR="00E77689" w:rsidRPr="00C67A93" w14:paraId="36E5BF9C" w14:textId="3CDC3EEC" w:rsidTr="00D20F2E">
        <w:trPr>
          <w:trHeight w:val="255"/>
        </w:trPr>
        <w:tc>
          <w:tcPr>
            <w:tcW w:w="3018" w:type="pct"/>
            <w:tcBorders>
              <w:top w:val="nil"/>
              <w:left w:val="nil"/>
              <w:bottom w:val="single" w:sz="4" w:space="0" w:color="auto"/>
              <w:right w:val="nil"/>
            </w:tcBorders>
            <w:shd w:val="clear" w:color="000000" w:fill="FFFFFF"/>
            <w:noWrap/>
            <w:vAlign w:val="bottom"/>
            <w:hideMark/>
          </w:tcPr>
          <w:p w14:paraId="0EE12D3E" w14:textId="77777777" w:rsidR="00E77689" w:rsidRPr="00C67A93" w:rsidRDefault="00E77689" w:rsidP="00E77689">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991" w:type="pct"/>
            <w:tcBorders>
              <w:top w:val="nil"/>
              <w:left w:val="nil"/>
              <w:bottom w:val="single" w:sz="4" w:space="0" w:color="auto"/>
              <w:right w:val="nil"/>
            </w:tcBorders>
            <w:shd w:val="clear" w:color="auto" w:fill="FDE9D9" w:themeFill="accent6" w:themeFillTint="33"/>
            <w:vAlign w:val="bottom"/>
            <w:hideMark/>
          </w:tcPr>
          <w:p w14:paraId="6F915E90" w14:textId="77777777" w:rsidR="00E77689" w:rsidRPr="00C67A93"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£'000</w:t>
            </w:r>
          </w:p>
        </w:tc>
        <w:tc>
          <w:tcPr>
            <w:tcW w:w="991" w:type="pct"/>
            <w:tcBorders>
              <w:top w:val="nil"/>
              <w:left w:val="nil"/>
              <w:bottom w:val="single" w:sz="4" w:space="0" w:color="auto"/>
              <w:right w:val="nil"/>
            </w:tcBorders>
            <w:shd w:val="clear" w:color="000000" w:fill="FFFFFF"/>
            <w:vAlign w:val="bottom"/>
          </w:tcPr>
          <w:p w14:paraId="6866B09C" w14:textId="24E626AA" w:rsidR="00E77689" w:rsidRPr="00C67A93"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£'000</w:t>
            </w:r>
          </w:p>
        </w:tc>
      </w:tr>
      <w:tr w:rsidR="00E77689" w:rsidRPr="00C67A93" w14:paraId="1BB8B7DC" w14:textId="46923873" w:rsidTr="00D20F2E">
        <w:trPr>
          <w:trHeight w:val="255"/>
        </w:trPr>
        <w:tc>
          <w:tcPr>
            <w:tcW w:w="3018" w:type="pct"/>
            <w:tcBorders>
              <w:top w:val="nil"/>
              <w:left w:val="nil"/>
              <w:bottom w:val="nil"/>
              <w:right w:val="nil"/>
            </w:tcBorders>
            <w:shd w:val="clear" w:color="000000" w:fill="FFFFFF"/>
            <w:noWrap/>
            <w:vAlign w:val="bottom"/>
            <w:hideMark/>
          </w:tcPr>
          <w:p w14:paraId="26F4A2E8" w14:textId="6D0A2436" w:rsidR="00E77689" w:rsidRPr="00C67A93" w:rsidRDefault="00E77689" w:rsidP="00E77689">
            <w:pPr>
              <w:widowControl/>
              <w:suppressAutoHyphens w:val="0"/>
              <w:autoSpaceDN/>
              <w:spacing w:after="0" w:line="240" w:lineRule="auto"/>
              <w:textAlignment w:val="auto"/>
              <w:rPr>
                <w:rFonts w:ascii="Arial" w:eastAsia="Times New Roman" w:hAnsi="Arial" w:cs="Arial"/>
                <w:sz w:val="20"/>
                <w:szCs w:val="20"/>
                <w:lang w:val="en-SG" w:eastAsia="en-SG"/>
              </w:rPr>
            </w:pPr>
            <w:r>
              <w:rPr>
                <w:rFonts w:ascii="Arial" w:eastAsia="Times New Roman" w:hAnsi="Arial" w:cs="Arial"/>
                <w:sz w:val="20"/>
                <w:szCs w:val="20"/>
                <w:lang w:val="en-SG" w:eastAsia="en-SG"/>
              </w:rPr>
              <w:t>Opening balance</w:t>
            </w:r>
          </w:p>
        </w:tc>
        <w:tc>
          <w:tcPr>
            <w:tcW w:w="991" w:type="pct"/>
            <w:tcBorders>
              <w:top w:val="nil"/>
              <w:left w:val="nil"/>
              <w:bottom w:val="nil"/>
              <w:right w:val="nil"/>
            </w:tcBorders>
            <w:shd w:val="clear" w:color="auto" w:fill="FDE9D9" w:themeFill="accent6" w:themeFillTint="33"/>
          </w:tcPr>
          <w:p w14:paraId="121A72F4" w14:textId="63D77ABA" w:rsidR="00E77689" w:rsidRPr="00E77689"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E77689">
              <w:rPr>
                <w:rFonts w:ascii="Arial" w:eastAsia="Times New Roman" w:hAnsi="Arial" w:cs="Arial"/>
                <w:b/>
                <w:sz w:val="20"/>
                <w:szCs w:val="20"/>
                <w:lang w:val="en-SG" w:eastAsia="en-SG"/>
              </w:rPr>
              <w:t xml:space="preserve">70,610 </w:t>
            </w:r>
          </w:p>
        </w:tc>
        <w:tc>
          <w:tcPr>
            <w:tcW w:w="991" w:type="pct"/>
            <w:tcBorders>
              <w:top w:val="nil"/>
              <w:left w:val="nil"/>
              <w:bottom w:val="nil"/>
              <w:right w:val="nil"/>
            </w:tcBorders>
            <w:shd w:val="clear" w:color="000000" w:fill="FFFFFF"/>
          </w:tcPr>
          <w:p w14:paraId="728C5D34" w14:textId="36364269" w:rsidR="00E77689" w:rsidRDefault="00D20F2E" w:rsidP="00E77689">
            <w:pPr>
              <w:widowControl/>
              <w:suppressAutoHyphens w:val="0"/>
              <w:autoSpaceDN/>
              <w:spacing w:after="0" w:line="240" w:lineRule="auto"/>
              <w:jc w:val="right"/>
              <w:textAlignment w:val="auto"/>
              <w:rPr>
                <w:rFonts w:ascii="Arial" w:hAnsi="Arial" w:cs="Arial"/>
                <w:sz w:val="20"/>
                <w:szCs w:val="20"/>
              </w:rPr>
            </w:pPr>
            <w:r>
              <w:rPr>
                <w:rFonts w:ascii="Arial" w:hAnsi="Arial" w:cs="Arial"/>
                <w:sz w:val="20"/>
                <w:szCs w:val="20"/>
              </w:rPr>
              <w:t>127,647</w:t>
            </w:r>
            <w:r w:rsidR="00E77689" w:rsidRPr="00C67A93">
              <w:rPr>
                <w:rFonts w:ascii="Arial" w:hAnsi="Arial" w:cs="Arial"/>
                <w:sz w:val="20"/>
                <w:szCs w:val="20"/>
              </w:rPr>
              <w:t xml:space="preserve"> </w:t>
            </w:r>
          </w:p>
        </w:tc>
      </w:tr>
      <w:tr w:rsidR="00E77689" w:rsidRPr="00C67A93" w14:paraId="404ACC8C" w14:textId="0DE09465" w:rsidTr="00D20F2E">
        <w:trPr>
          <w:trHeight w:val="255"/>
        </w:trPr>
        <w:tc>
          <w:tcPr>
            <w:tcW w:w="3018" w:type="pct"/>
            <w:tcBorders>
              <w:top w:val="nil"/>
              <w:left w:val="nil"/>
              <w:bottom w:val="nil"/>
              <w:right w:val="nil"/>
            </w:tcBorders>
            <w:shd w:val="clear" w:color="000000" w:fill="FFFFFF"/>
            <w:noWrap/>
            <w:vAlign w:val="bottom"/>
            <w:hideMark/>
          </w:tcPr>
          <w:p w14:paraId="187235C3" w14:textId="639E1B40" w:rsidR="00E77689" w:rsidRPr="00C67A93" w:rsidRDefault="00E77689" w:rsidP="00E77689">
            <w:pPr>
              <w:widowControl/>
              <w:suppressAutoHyphens w:val="0"/>
              <w:autoSpaceDN/>
              <w:spacing w:after="0" w:line="240" w:lineRule="auto"/>
              <w:textAlignment w:val="auto"/>
              <w:rPr>
                <w:rFonts w:ascii="Arial" w:eastAsia="Times New Roman" w:hAnsi="Arial" w:cs="Arial"/>
                <w:sz w:val="20"/>
                <w:szCs w:val="20"/>
                <w:lang w:val="en-SG" w:eastAsia="en-SG"/>
              </w:rPr>
            </w:pPr>
            <w:r>
              <w:rPr>
                <w:rFonts w:ascii="Arial" w:eastAsia="Times New Roman" w:hAnsi="Arial" w:cs="Arial"/>
                <w:sz w:val="20"/>
                <w:szCs w:val="20"/>
                <w:lang w:val="en-SG" w:eastAsia="en-SG"/>
              </w:rPr>
              <w:t>Unrealised gain</w:t>
            </w:r>
            <w:r w:rsidR="00D20F2E">
              <w:rPr>
                <w:rFonts w:ascii="Arial" w:eastAsia="Times New Roman" w:hAnsi="Arial" w:cs="Arial"/>
                <w:sz w:val="20"/>
                <w:szCs w:val="20"/>
                <w:lang w:val="en-SG" w:eastAsia="en-SG"/>
              </w:rPr>
              <w:t>s/ (</w:t>
            </w:r>
            <w:r>
              <w:rPr>
                <w:rFonts w:ascii="Arial" w:eastAsia="Times New Roman" w:hAnsi="Arial" w:cs="Arial"/>
                <w:sz w:val="20"/>
                <w:szCs w:val="20"/>
                <w:lang w:val="en-SG" w:eastAsia="en-SG"/>
              </w:rPr>
              <w:t>losses</w:t>
            </w:r>
            <w:r w:rsidR="00D20F2E">
              <w:rPr>
                <w:rFonts w:ascii="Arial" w:eastAsia="Times New Roman" w:hAnsi="Arial" w:cs="Arial"/>
                <w:sz w:val="20"/>
                <w:szCs w:val="20"/>
                <w:lang w:val="en-SG" w:eastAsia="en-SG"/>
              </w:rPr>
              <w:t>)</w:t>
            </w:r>
          </w:p>
        </w:tc>
        <w:tc>
          <w:tcPr>
            <w:tcW w:w="991" w:type="pct"/>
            <w:tcBorders>
              <w:top w:val="nil"/>
              <w:left w:val="nil"/>
              <w:bottom w:val="nil"/>
              <w:right w:val="nil"/>
            </w:tcBorders>
            <w:shd w:val="clear" w:color="auto" w:fill="FDE9D9" w:themeFill="accent6" w:themeFillTint="33"/>
          </w:tcPr>
          <w:p w14:paraId="70852E36" w14:textId="42EFCD28" w:rsidR="00E77689" w:rsidRPr="00E77689"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E77689">
              <w:rPr>
                <w:rFonts w:ascii="Arial" w:eastAsia="Times New Roman" w:hAnsi="Arial" w:cs="Arial"/>
                <w:b/>
                <w:sz w:val="20"/>
                <w:szCs w:val="20"/>
                <w:lang w:val="en-SG" w:eastAsia="en-SG"/>
              </w:rPr>
              <w:t>2,088</w:t>
            </w:r>
          </w:p>
        </w:tc>
        <w:tc>
          <w:tcPr>
            <w:tcW w:w="991" w:type="pct"/>
            <w:tcBorders>
              <w:top w:val="nil"/>
              <w:left w:val="nil"/>
              <w:bottom w:val="nil"/>
              <w:right w:val="nil"/>
            </w:tcBorders>
            <w:shd w:val="clear" w:color="000000" w:fill="FFFFFF"/>
          </w:tcPr>
          <w:p w14:paraId="7BA9ADF2" w14:textId="7F3CE940" w:rsidR="00E77689" w:rsidRDefault="003B6153" w:rsidP="00E77689">
            <w:pPr>
              <w:widowControl/>
              <w:suppressAutoHyphens w:val="0"/>
              <w:autoSpaceDN/>
              <w:spacing w:after="0" w:line="240" w:lineRule="auto"/>
              <w:jc w:val="right"/>
              <w:textAlignment w:val="auto"/>
              <w:rPr>
                <w:rFonts w:ascii="Arial" w:eastAsia="Times New Roman" w:hAnsi="Arial" w:cs="Arial"/>
                <w:sz w:val="20"/>
                <w:szCs w:val="20"/>
                <w:lang w:val="en-SG" w:eastAsia="en-SG"/>
              </w:rPr>
            </w:pPr>
            <w:r>
              <w:rPr>
                <w:rFonts w:ascii="Arial" w:eastAsia="Times New Roman" w:hAnsi="Arial" w:cs="Arial"/>
                <w:sz w:val="20"/>
                <w:szCs w:val="20"/>
                <w:lang w:val="en-SG" w:eastAsia="en-SG"/>
              </w:rPr>
              <w:t>(56,757)</w:t>
            </w:r>
          </w:p>
        </w:tc>
      </w:tr>
      <w:tr w:rsidR="003B6153" w:rsidRPr="00C67A93" w14:paraId="180DDC95" w14:textId="37831327" w:rsidTr="00D20F2E">
        <w:trPr>
          <w:trHeight w:val="255"/>
        </w:trPr>
        <w:tc>
          <w:tcPr>
            <w:tcW w:w="3018" w:type="pct"/>
            <w:tcBorders>
              <w:top w:val="nil"/>
              <w:left w:val="nil"/>
              <w:bottom w:val="nil"/>
              <w:right w:val="nil"/>
            </w:tcBorders>
            <w:shd w:val="clear" w:color="000000" w:fill="FFFFFF"/>
            <w:noWrap/>
            <w:vAlign w:val="bottom"/>
          </w:tcPr>
          <w:p w14:paraId="5ED82E95" w14:textId="52C6B6B1" w:rsidR="003B6153" w:rsidRDefault="003B6153" w:rsidP="003B6153">
            <w:pPr>
              <w:widowControl/>
              <w:suppressAutoHyphens w:val="0"/>
              <w:autoSpaceDN/>
              <w:spacing w:after="0" w:line="240" w:lineRule="auto"/>
              <w:textAlignment w:val="auto"/>
              <w:rPr>
                <w:rFonts w:ascii="Arial" w:eastAsia="Times New Roman" w:hAnsi="Arial" w:cs="Arial"/>
                <w:sz w:val="20"/>
                <w:szCs w:val="20"/>
                <w:lang w:val="en-SG" w:eastAsia="en-SG"/>
              </w:rPr>
            </w:pPr>
            <w:r>
              <w:rPr>
                <w:rFonts w:ascii="Arial" w:eastAsia="Times New Roman" w:hAnsi="Arial" w:cs="Arial"/>
                <w:sz w:val="20"/>
                <w:szCs w:val="20"/>
                <w:lang w:val="en-SG" w:eastAsia="en-SG"/>
              </w:rPr>
              <w:t xml:space="preserve">Purchases, sales, issues and settlements </w:t>
            </w:r>
          </w:p>
        </w:tc>
        <w:tc>
          <w:tcPr>
            <w:tcW w:w="991" w:type="pct"/>
            <w:tcBorders>
              <w:top w:val="nil"/>
              <w:left w:val="nil"/>
              <w:bottom w:val="nil"/>
              <w:right w:val="nil"/>
            </w:tcBorders>
            <w:shd w:val="clear" w:color="auto" w:fill="FDE9D9" w:themeFill="accent6" w:themeFillTint="33"/>
          </w:tcPr>
          <w:p w14:paraId="2680035D" w14:textId="7E854EFA" w:rsidR="003B6153" w:rsidRPr="00E77689" w:rsidRDefault="003B6153" w:rsidP="003B6153">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E77689">
              <w:rPr>
                <w:rFonts w:ascii="Arial" w:eastAsia="Times New Roman" w:hAnsi="Arial" w:cs="Arial"/>
                <w:b/>
                <w:sz w:val="20"/>
                <w:szCs w:val="20"/>
                <w:lang w:val="en-SG" w:eastAsia="en-SG"/>
              </w:rPr>
              <w:t>(1,644)</w:t>
            </w:r>
          </w:p>
        </w:tc>
        <w:tc>
          <w:tcPr>
            <w:tcW w:w="991" w:type="pct"/>
            <w:tcBorders>
              <w:top w:val="nil"/>
              <w:left w:val="nil"/>
              <w:bottom w:val="nil"/>
              <w:right w:val="nil"/>
            </w:tcBorders>
            <w:shd w:val="clear" w:color="000000" w:fill="FFFFFF"/>
          </w:tcPr>
          <w:p w14:paraId="3A828AEC" w14:textId="28656DEA" w:rsidR="003B6153" w:rsidRDefault="003B6153" w:rsidP="003B6153">
            <w:pPr>
              <w:widowControl/>
              <w:suppressAutoHyphens w:val="0"/>
              <w:autoSpaceDN/>
              <w:spacing w:after="0" w:line="240" w:lineRule="auto"/>
              <w:jc w:val="right"/>
              <w:textAlignment w:val="auto"/>
              <w:rPr>
                <w:rFonts w:ascii="Arial" w:eastAsia="Times New Roman" w:hAnsi="Arial" w:cs="Arial"/>
                <w:sz w:val="20"/>
                <w:szCs w:val="20"/>
                <w:lang w:val="en-SG" w:eastAsia="en-SG"/>
              </w:rPr>
            </w:pPr>
            <w:r>
              <w:rPr>
                <w:rFonts w:ascii="Arial" w:eastAsia="Times New Roman" w:hAnsi="Arial" w:cs="Arial"/>
                <w:sz w:val="20"/>
                <w:szCs w:val="20"/>
                <w:lang w:val="en-SG" w:eastAsia="en-SG"/>
              </w:rPr>
              <w:t>(280)</w:t>
            </w:r>
          </w:p>
        </w:tc>
      </w:tr>
      <w:tr w:rsidR="00E77689" w:rsidRPr="006D09F7" w14:paraId="64E184F0" w14:textId="3D184BB6" w:rsidTr="00E77689">
        <w:trPr>
          <w:trHeight w:val="255"/>
        </w:trPr>
        <w:tc>
          <w:tcPr>
            <w:tcW w:w="3018" w:type="pct"/>
            <w:tcBorders>
              <w:top w:val="single" w:sz="4" w:space="0" w:color="auto"/>
              <w:left w:val="nil"/>
              <w:bottom w:val="single" w:sz="4" w:space="0" w:color="auto"/>
              <w:right w:val="nil"/>
            </w:tcBorders>
            <w:shd w:val="clear" w:color="000000" w:fill="FFFFFF"/>
            <w:noWrap/>
            <w:vAlign w:val="bottom"/>
            <w:hideMark/>
          </w:tcPr>
          <w:p w14:paraId="1F602847" w14:textId="055D308F" w:rsidR="00E77689" w:rsidRPr="00C67A93" w:rsidRDefault="00E77689" w:rsidP="00E77689">
            <w:pPr>
              <w:widowControl/>
              <w:suppressAutoHyphens w:val="0"/>
              <w:autoSpaceDN/>
              <w:spacing w:after="0" w:line="240" w:lineRule="auto"/>
              <w:textAlignment w:val="auto"/>
              <w:rPr>
                <w:rFonts w:ascii="Arial" w:eastAsia="Times New Roman" w:hAnsi="Arial" w:cs="Arial"/>
                <w:sz w:val="20"/>
                <w:szCs w:val="20"/>
                <w:lang w:val="en-SG" w:eastAsia="en-SG"/>
              </w:rPr>
            </w:pPr>
            <w:r>
              <w:rPr>
                <w:rFonts w:ascii="Arial" w:eastAsia="Times New Roman" w:hAnsi="Arial" w:cs="Arial"/>
                <w:sz w:val="20"/>
                <w:szCs w:val="20"/>
                <w:lang w:val="en-SG" w:eastAsia="en-SG"/>
              </w:rPr>
              <w:t>Closing balance</w:t>
            </w:r>
          </w:p>
        </w:tc>
        <w:tc>
          <w:tcPr>
            <w:tcW w:w="991" w:type="pct"/>
            <w:tcBorders>
              <w:top w:val="single" w:sz="4" w:space="0" w:color="auto"/>
              <w:left w:val="nil"/>
              <w:bottom w:val="single" w:sz="4" w:space="0" w:color="auto"/>
              <w:right w:val="nil"/>
            </w:tcBorders>
            <w:shd w:val="clear" w:color="000000" w:fill="FFFFFF"/>
          </w:tcPr>
          <w:p w14:paraId="46F5F5BF" w14:textId="5047B7D0" w:rsidR="00E77689" w:rsidRPr="00E77689" w:rsidRDefault="00E77689" w:rsidP="00E77689">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E77689">
              <w:rPr>
                <w:rFonts w:ascii="Arial" w:eastAsia="Times New Roman" w:hAnsi="Arial" w:cs="Arial"/>
                <w:b/>
                <w:sz w:val="20"/>
                <w:szCs w:val="20"/>
                <w:lang w:val="en-SG" w:eastAsia="en-SG"/>
              </w:rPr>
              <w:t xml:space="preserve">71,054 </w:t>
            </w:r>
          </w:p>
        </w:tc>
        <w:tc>
          <w:tcPr>
            <w:tcW w:w="991" w:type="pct"/>
            <w:tcBorders>
              <w:top w:val="single" w:sz="4" w:space="0" w:color="auto"/>
              <w:left w:val="nil"/>
              <w:bottom w:val="single" w:sz="4" w:space="0" w:color="auto"/>
              <w:right w:val="nil"/>
            </w:tcBorders>
            <w:shd w:val="clear" w:color="000000" w:fill="FFFFFF"/>
          </w:tcPr>
          <w:p w14:paraId="681D65FF" w14:textId="1559D8D8" w:rsidR="00E77689" w:rsidRPr="006D09F7" w:rsidRDefault="00E77689" w:rsidP="00E77689">
            <w:pPr>
              <w:widowControl/>
              <w:suppressAutoHyphens w:val="0"/>
              <w:autoSpaceDN/>
              <w:spacing w:after="0" w:line="240" w:lineRule="auto"/>
              <w:jc w:val="right"/>
              <w:textAlignment w:val="auto"/>
              <w:rPr>
                <w:rFonts w:ascii="Arial" w:hAnsi="Arial" w:cs="Arial"/>
                <w:b/>
                <w:bCs/>
                <w:sz w:val="20"/>
                <w:szCs w:val="20"/>
              </w:rPr>
            </w:pPr>
            <w:r w:rsidRPr="00C67A93">
              <w:rPr>
                <w:rFonts w:ascii="Arial" w:hAnsi="Arial" w:cs="Arial"/>
                <w:sz w:val="20"/>
                <w:szCs w:val="20"/>
              </w:rPr>
              <w:t xml:space="preserve">70,610 </w:t>
            </w:r>
          </w:p>
        </w:tc>
      </w:tr>
      <w:tr w:rsidR="00E77689" w:rsidRPr="00C67A93" w14:paraId="4380BBBB" w14:textId="4ADEE285" w:rsidTr="00E77689">
        <w:trPr>
          <w:trHeight w:val="255"/>
        </w:trPr>
        <w:tc>
          <w:tcPr>
            <w:tcW w:w="3018" w:type="pct"/>
            <w:tcBorders>
              <w:top w:val="single" w:sz="4" w:space="0" w:color="auto"/>
              <w:left w:val="nil"/>
              <w:bottom w:val="single" w:sz="4" w:space="0" w:color="FFFFFF" w:themeColor="background1"/>
              <w:right w:val="nil"/>
            </w:tcBorders>
            <w:shd w:val="clear" w:color="000000" w:fill="FFFFFF"/>
            <w:noWrap/>
            <w:vAlign w:val="bottom"/>
          </w:tcPr>
          <w:p w14:paraId="3AB5E240" w14:textId="77777777" w:rsidR="00E77689" w:rsidRPr="00C67A93" w:rsidRDefault="00E77689" w:rsidP="00DC6C06">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991" w:type="pct"/>
            <w:tcBorders>
              <w:top w:val="single" w:sz="4" w:space="0" w:color="auto"/>
              <w:left w:val="nil"/>
              <w:bottom w:val="single" w:sz="4" w:space="0" w:color="FFFFFF" w:themeColor="background1"/>
              <w:right w:val="nil"/>
            </w:tcBorders>
            <w:shd w:val="clear" w:color="000000" w:fill="FFFFFF"/>
            <w:vAlign w:val="bottom"/>
          </w:tcPr>
          <w:p w14:paraId="6EB57CC6" w14:textId="77777777" w:rsidR="00E77689" w:rsidRPr="00C67A93" w:rsidRDefault="00E77689" w:rsidP="00DC6C06">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c>
          <w:tcPr>
            <w:tcW w:w="991" w:type="pct"/>
            <w:tcBorders>
              <w:top w:val="single" w:sz="4" w:space="0" w:color="auto"/>
              <w:left w:val="nil"/>
              <w:bottom w:val="single" w:sz="4" w:space="0" w:color="FFFFFF" w:themeColor="background1"/>
              <w:right w:val="nil"/>
            </w:tcBorders>
            <w:shd w:val="clear" w:color="000000" w:fill="FFFFFF"/>
          </w:tcPr>
          <w:p w14:paraId="63A4DDF5" w14:textId="77777777" w:rsidR="00E77689" w:rsidRPr="00C67A93" w:rsidRDefault="00E77689" w:rsidP="00DC6C06">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bl>
    <w:p w14:paraId="060FFDC9" w14:textId="013CF837" w:rsidR="00891B3A" w:rsidRDefault="00891B3A" w:rsidP="00891B3A">
      <w:pPr>
        <w:jc w:val="both"/>
        <w:outlineLvl w:val="0"/>
        <w:rPr>
          <w:rFonts w:ascii="Arial" w:hAnsi="Arial" w:cs="Arial"/>
          <w:bCs/>
          <w:lang w:val="en-GB"/>
        </w:rPr>
      </w:pPr>
      <w:r w:rsidRPr="00C67A93">
        <w:rPr>
          <w:rFonts w:ascii="Arial" w:hAnsi="Arial" w:cs="Arial"/>
          <w:bCs/>
          <w:lang w:val="en-GB"/>
        </w:rPr>
        <w:t>Level 3 amounts include £21,415,000 (2020: £21,438,000) relating to the investment portfolios of subsidiaries including quoted investments of £285,000 (2020: £197,000) and £</w:t>
      </w:r>
      <w:r w:rsidR="00D3351D" w:rsidRPr="00D3351D">
        <w:rPr>
          <w:rFonts w:ascii="Arial" w:hAnsi="Arial" w:cs="Arial"/>
          <w:lang w:val="en-SG"/>
        </w:rPr>
        <w:t>49,639</w:t>
      </w:r>
      <w:r w:rsidRPr="00C67A93">
        <w:rPr>
          <w:rFonts w:ascii="Arial" w:hAnsi="Arial" w:cs="Arial"/>
          <w:bCs/>
          <w:lang w:val="en-GB"/>
        </w:rPr>
        <w:t>,000</w:t>
      </w:r>
      <w:r>
        <w:rPr>
          <w:rFonts w:ascii="Arial" w:hAnsi="Arial" w:cs="Arial"/>
          <w:bCs/>
          <w:lang w:val="en-GB"/>
        </w:rPr>
        <w:t xml:space="preserve"> </w:t>
      </w:r>
      <w:r w:rsidRPr="00C67A93">
        <w:rPr>
          <w:rFonts w:ascii="Arial" w:hAnsi="Arial" w:cs="Arial"/>
          <w:bCs/>
          <w:lang w:val="en-GB"/>
        </w:rPr>
        <w:t>(2020: £48,417,000) in relation to the other net assets of subsidiaries.</w:t>
      </w:r>
    </w:p>
    <w:p w14:paraId="2E87C4F0" w14:textId="77777777" w:rsidR="00891B3A" w:rsidRPr="00C67A93" w:rsidRDefault="00891B3A" w:rsidP="00891B3A">
      <w:pPr>
        <w:jc w:val="both"/>
        <w:outlineLvl w:val="0"/>
        <w:rPr>
          <w:rFonts w:ascii="Arial" w:hAnsi="Arial" w:cs="Arial"/>
          <w:bCs/>
          <w:lang w:val="en-GB"/>
        </w:rPr>
      </w:pPr>
      <w:r w:rsidRPr="00C67A93">
        <w:rPr>
          <w:rFonts w:ascii="Arial" w:hAnsi="Arial" w:cs="Arial"/>
          <w:bCs/>
          <w:lang w:val="en-GB"/>
        </w:rPr>
        <w:t>There were no transfers between levels during the period ending 30 June 2021.</w:t>
      </w:r>
    </w:p>
    <w:p w14:paraId="393CA4D0" w14:textId="2ABFF5B1" w:rsidR="00891B3A" w:rsidRDefault="00891B3A" w:rsidP="00891B3A">
      <w:pPr>
        <w:jc w:val="both"/>
        <w:outlineLvl w:val="0"/>
        <w:rPr>
          <w:rFonts w:ascii="Arial" w:hAnsi="Arial" w:cs="Arial"/>
        </w:rPr>
      </w:pPr>
      <w:r w:rsidRPr="00C67A93">
        <w:rPr>
          <w:rFonts w:ascii="Arial" w:hAnsi="Arial" w:cs="Arial"/>
        </w:rPr>
        <w:t>If the valuation for level 3 category investments declined by 10% from the amount at the reporting date, with all other variables held constant, the profit for the six months ended 30 June 2021 would have decreased by £7.1 million (2020: £7.0 million). An increase in the valuation of level 3 category investments by 10% at the reporting date would have an equal and opposite effect.</w:t>
      </w:r>
    </w:p>
    <w:p w14:paraId="668B96A1" w14:textId="23B5292E" w:rsidR="00891B3A" w:rsidRPr="00C15EC3" w:rsidRDefault="00C15EC3" w:rsidP="00C15EC3">
      <w:pPr>
        <w:spacing w:after="0"/>
        <w:jc w:val="both"/>
        <w:outlineLvl w:val="0"/>
        <w:rPr>
          <w:rFonts w:ascii="Arial" w:hAnsi="Arial" w:cs="Arial"/>
          <w:lang w:val="en-GB"/>
        </w:rPr>
      </w:pPr>
      <w:r w:rsidRPr="00C15EC3">
        <w:rPr>
          <w:rFonts w:ascii="Arial" w:hAnsi="Arial" w:cs="Arial"/>
          <w:lang w:val="en-GB"/>
        </w:rPr>
        <w:t>The valuation of the investments in subsidiaries makes use of multiple interdependent significant unobservable</w:t>
      </w:r>
      <w:r>
        <w:rPr>
          <w:rFonts w:ascii="Arial" w:hAnsi="Arial" w:cs="Arial"/>
          <w:lang w:val="en-GB"/>
        </w:rPr>
        <w:t xml:space="preserve"> </w:t>
      </w:r>
      <w:r w:rsidRPr="00C15EC3">
        <w:rPr>
          <w:rFonts w:ascii="Arial" w:hAnsi="Arial" w:cs="Arial"/>
          <w:lang w:val="en-GB"/>
        </w:rPr>
        <w:t>inputs and it is impractical to sensitise variations of any one input on the value of the investment portfolio as a</w:t>
      </w:r>
      <w:r>
        <w:rPr>
          <w:rFonts w:ascii="Arial" w:hAnsi="Arial" w:cs="Arial"/>
          <w:lang w:val="en-GB"/>
        </w:rPr>
        <w:t xml:space="preserve"> </w:t>
      </w:r>
      <w:r w:rsidRPr="00C15EC3">
        <w:rPr>
          <w:rFonts w:ascii="Arial" w:hAnsi="Arial" w:cs="Arial"/>
          <w:lang w:val="en-GB"/>
        </w:rPr>
        <w:t>whole. Estimates and underlying assumptions are reviewed on an ongoing basis, however, inputs are highly</w:t>
      </w:r>
      <w:r>
        <w:rPr>
          <w:rFonts w:ascii="Arial" w:hAnsi="Arial" w:cs="Arial"/>
          <w:lang w:val="en-GB"/>
        </w:rPr>
        <w:t xml:space="preserve"> </w:t>
      </w:r>
      <w:r w:rsidRPr="00C15EC3">
        <w:rPr>
          <w:rFonts w:ascii="Arial" w:hAnsi="Arial" w:cs="Arial"/>
          <w:lang w:val="en-GB"/>
        </w:rPr>
        <w:t>subjective. Changes in any one of the variables, earnings or revenue multiples or illiquidity discounts could</w:t>
      </w:r>
      <w:r>
        <w:rPr>
          <w:rFonts w:ascii="Arial" w:hAnsi="Arial" w:cs="Arial"/>
          <w:lang w:val="en-GB"/>
        </w:rPr>
        <w:t xml:space="preserve"> </w:t>
      </w:r>
      <w:r w:rsidRPr="00C15EC3">
        <w:rPr>
          <w:rFonts w:ascii="Arial" w:hAnsi="Arial" w:cs="Arial"/>
          <w:lang w:val="en-GB"/>
        </w:rPr>
        <w:t>potentially have a significant effect on the valuation.</w:t>
      </w:r>
    </w:p>
    <w:p w14:paraId="141E7AE1" w14:textId="77777777" w:rsidR="00891B3A" w:rsidRPr="00C67A93" w:rsidRDefault="00891B3A" w:rsidP="00891B3A">
      <w:pPr>
        <w:spacing w:after="0"/>
        <w:jc w:val="both"/>
        <w:outlineLvl w:val="0"/>
        <w:rPr>
          <w:rFonts w:ascii="Arial" w:hAnsi="Arial" w:cs="Arial"/>
          <w:b/>
          <w:sz w:val="20"/>
          <w:szCs w:val="20"/>
        </w:rPr>
      </w:pPr>
    </w:p>
    <w:p w14:paraId="0776D99F" w14:textId="12D5D6E8" w:rsidR="00891B3A" w:rsidRDefault="00891B3A" w:rsidP="00891B3A">
      <w:pPr>
        <w:shd w:val="clear" w:color="auto" w:fill="FFFFFF"/>
        <w:jc w:val="both"/>
        <w:rPr>
          <w:rFonts w:ascii="Arial" w:hAnsi="Arial" w:cs="Arial"/>
        </w:rPr>
      </w:pPr>
    </w:p>
    <w:p w14:paraId="30A24724" w14:textId="77777777" w:rsidR="00EB4E0F" w:rsidRDefault="00EB4E0F" w:rsidP="00891B3A">
      <w:pPr>
        <w:shd w:val="clear" w:color="auto" w:fill="FFFFFF"/>
        <w:jc w:val="both"/>
        <w:rPr>
          <w:rFonts w:ascii="Arial" w:hAnsi="Arial" w:cs="Arial"/>
        </w:rPr>
      </w:pPr>
    </w:p>
    <w:p w14:paraId="758761B4" w14:textId="77777777" w:rsidR="00891B3A" w:rsidRDefault="00891B3A" w:rsidP="00891B3A">
      <w:pPr>
        <w:shd w:val="clear" w:color="auto" w:fill="FFFFFF"/>
        <w:jc w:val="both"/>
        <w:rPr>
          <w:rFonts w:ascii="Arial" w:hAnsi="Arial" w:cs="Arial"/>
        </w:rPr>
      </w:pPr>
    </w:p>
    <w:p w14:paraId="65BC3864" w14:textId="77777777" w:rsidR="00891B3A" w:rsidRDefault="00891B3A" w:rsidP="00891B3A">
      <w:pPr>
        <w:shd w:val="clear" w:color="auto" w:fill="FFFFFF"/>
        <w:jc w:val="both"/>
        <w:rPr>
          <w:rFonts w:ascii="Arial" w:hAnsi="Arial" w:cs="Arial"/>
        </w:rPr>
      </w:pPr>
    </w:p>
    <w:p w14:paraId="00CC33DE" w14:textId="77777777" w:rsidR="00891B3A" w:rsidRPr="00C67A93" w:rsidRDefault="00891B3A" w:rsidP="00891B3A">
      <w:pPr>
        <w:widowControl/>
        <w:suppressAutoHyphens w:val="0"/>
        <w:spacing w:line="240" w:lineRule="auto"/>
        <w:rPr>
          <w:rFonts w:ascii="Arial" w:hAnsi="Arial" w:cs="Arial"/>
          <w:sz w:val="20"/>
          <w:szCs w:val="20"/>
        </w:rPr>
      </w:pPr>
      <w:r w:rsidRPr="00C67A93">
        <w:rPr>
          <w:rFonts w:ascii="Arial" w:hAnsi="Arial" w:cs="Arial"/>
          <w:b/>
          <w:sz w:val="30"/>
          <w:szCs w:val="30"/>
        </w:rPr>
        <w:lastRenderedPageBreak/>
        <w:t>Notes to the financial information</w:t>
      </w:r>
    </w:p>
    <w:p w14:paraId="34EE6F77" w14:textId="18BFD209" w:rsidR="00891B3A" w:rsidRDefault="00891B3A" w:rsidP="00891B3A">
      <w:pPr>
        <w:shd w:val="clear" w:color="auto" w:fill="FFFFFF"/>
        <w:spacing w:after="0"/>
        <w:jc w:val="both"/>
        <w:rPr>
          <w:rFonts w:ascii="Arial" w:hAnsi="Arial" w:cs="Arial"/>
        </w:rPr>
      </w:pPr>
    </w:p>
    <w:p w14:paraId="4201D46B" w14:textId="77777777" w:rsidR="00EB4E0F" w:rsidRPr="00C67A93" w:rsidRDefault="00EB4E0F" w:rsidP="00EB4E0F">
      <w:pPr>
        <w:jc w:val="both"/>
        <w:outlineLvl w:val="0"/>
        <w:rPr>
          <w:rFonts w:ascii="Arial" w:hAnsi="Arial" w:cs="Arial"/>
        </w:rPr>
      </w:pPr>
      <w:r w:rsidRPr="00C67A93">
        <w:rPr>
          <w:rFonts w:ascii="Arial" w:hAnsi="Arial" w:cs="Arial"/>
          <w:b/>
          <w:sz w:val="28"/>
          <w:szCs w:val="28"/>
        </w:rPr>
        <w:t>6.</w:t>
      </w:r>
      <w:r w:rsidRPr="00C67A93">
        <w:rPr>
          <w:rFonts w:ascii="Arial" w:hAnsi="Arial" w:cs="Arial"/>
          <w:b/>
          <w:sz w:val="28"/>
          <w:szCs w:val="28"/>
        </w:rPr>
        <w:tab/>
        <w:t>Capital commitments</w:t>
      </w:r>
    </w:p>
    <w:tbl>
      <w:tblPr>
        <w:tblW w:w="9125" w:type="dxa"/>
        <w:tblCellMar>
          <w:left w:w="0" w:type="dxa"/>
          <w:right w:w="0" w:type="dxa"/>
        </w:tblCellMar>
        <w:tblLook w:val="04A0" w:firstRow="1" w:lastRow="0" w:firstColumn="1" w:lastColumn="0" w:noHBand="0" w:noVBand="1"/>
      </w:tblPr>
      <w:tblGrid>
        <w:gridCol w:w="5136"/>
        <w:gridCol w:w="352"/>
        <w:gridCol w:w="1790"/>
        <w:gridCol w:w="1847"/>
      </w:tblGrid>
      <w:tr w:rsidR="00EB4E0F" w:rsidRPr="00C67A93" w14:paraId="520550B7" w14:textId="77777777" w:rsidTr="00DD4631">
        <w:trPr>
          <w:trHeight w:val="282"/>
        </w:trPr>
        <w:tc>
          <w:tcPr>
            <w:tcW w:w="5120" w:type="dxa"/>
            <w:tcBorders>
              <w:top w:val="nil"/>
              <w:left w:val="nil"/>
              <w:bottom w:val="nil"/>
              <w:right w:val="nil"/>
            </w:tcBorders>
            <w:shd w:val="clear" w:color="000000" w:fill="FFFFFF"/>
            <w:noWrap/>
            <w:vAlign w:val="bottom"/>
            <w:hideMark/>
          </w:tcPr>
          <w:p w14:paraId="5B3EE150"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360" w:type="dxa"/>
            <w:tcBorders>
              <w:top w:val="nil"/>
              <w:left w:val="nil"/>
              <w:bottom w:val="nil"/>
              <w:right w:val="nil"/>
            </w:tcBorders>
            <w:shd w:val="clear" w:color="000000" w:fill="FFFFFF"/>
            <w:vAlign w:val="bottom"/>
            <w:hideMark/>
          </w:tcPr>
          <w:p w14:paraId="1656AF1A"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74" w:type="dxa"/>
            <w:tcBorders>
              <w:top w:val="nil"/>
              <w:left w:val="nil"/>
              <w:bottom w:val="single" w:sz="4" w:space="0" w:color="auto"/>
              <w:right w:val="nil"/>
            </w:tcBorders>
            <w:shd w:val="clear" w:color="000000" w:fill="FFFFFF"/>
            <w:noWrap/>
            <w:vAlign w:val="bottom"/>
            <w:hideMark/>
          </w:tcPr>
          <w:p w14:paraId="168847A6" w14:textId="77777777" w:rsidR="00EB4E0F" w:rsidRPr="00C67A93" w:rsidRDefault="00EB4E0F" w:rsidP="00DD4631">
            <w:pPr>
              <w:widowControl/>
              <w:suppressAutoHyphens w:val="0"/>
              <w:autoSpaceDN/>
              <w:spacing w:after="0" w:line="240" w:lineRule="auto"/>
              <w:ind w:left="-234"/>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 xml:space="preserve">30 June </w:t>
            </w:r>
          </w:p>
        </w:tc>
        <w:tc>
          <w:tcPr>
            <w:tcW w:w="1871" w:type="dxa"/>
            <w:tcBorders>
              <w:top w:val="nil"/>
              <w:left w:val="nil"/>
              <w:bottom w:val="single" w:sz="4" w:space="0" w:color="auto"/>
              <w:right w:val="nil"/>
            </w:tcBorders>
            <w:shd w:val="clear" w:color="000000" w:fill="FFFFFF"/>
            <w:vAlign w:val="bottom"/>
            <w:hideMark/>
          </w:tcPr>
          <w:p w14:paraId="05315E8F" w14:textId="77777777" w:rsidR="00EB4E0F" w:rsidRPr="00C67A93" w:rsidRDefault="00EB4E0F" w:rsidP="00DD4631">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 xml:space="preserve">31 December </w:t>
            </w:r>
          </w:p>
        </w:tc>
      </w:tr>
      <w:tr w:rsidR="00EB4E0F" w:rsidRPr="00C67A93" w14:paraId="7751894F" w14:textId="77777777" w:rsidTr="00DD4631">
        <w:trPr>
          <w:trHeight w:val="282"/>
        </w:trPr>
        <w:tc>
          <w:tcPr>
            <w:tcW w:w="5120" w:type="dxa"/>
            <w:tcBorders>
              <w:top w:val="nil"/>
              <w:left w:val="nil"/>
              <w:right w:val="nil"/>
            </w:tcBorders>
            <w:shd w:val="clear" w:color="000000" w:fill="FFFFFF"/>
            <w:noWrap/>
            <w:vAlign w:val="bottom"/>
          </w:tcPr>
          <w:p w14:paraId="30F6623C"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360" w:type="dxa"/>
            <w:tcBorders>
              <w:top w:val="nil"/>
              <w:left w:val="nil"/>
              <w:right w:val="nil"/>
            </w:tcBorders>
            <w:shd w:val="clear" w:color="000000" w:fill="FFFFFF"/>
            <w:vAlign w:val="bottom"/>
          </w:tcPr>
          <w:p w14:paraId="772364E5"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774" w:type="dxa"/>
            <w:tcBorders>
              <w:top w:val="single" w:sz="4" w:space="0" w:color="auto"/>
              <w:left w:val="nil"/>
              <w:right w:val="nil"/>
            </w:tcBorders>
            <w:shd w:val="clear" w:color="auto" w:fill="FDE9D9" w:themeFill="accent6" w:themeFillTint="33"/>
            <w:noWrap/>
            <w:vAlign w:val="bottom"/>
          </w:tcPr>
          <w:p w14:paraId="23E2A1E0" w14:textId="77777777" w:rsidR="00EB4E0F" w:rsidRPr="00C67A93" w:rsidRDefault="00EB4E0F" w:rsidP="00DD4631">
            <w:pPr>
              <w:widowControl/>
              <w:suppressAutoHyphens w:val="0"/>
              <w:autoSpaceDN/>
              <w:spacing w:after="0" w:line="240" w:lineRule="auto"/>
              <w:ind w:left="-234"/>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2021</w:t>
            </w:r>
          </w:p>
        </w:tc>
        <w:tc>
          <w:tcPr>
            <w:tcW w:w="1871" w:type="dxa"/>
            <w:tcBorders>
              <w:top w:val="single" w:sz="4" w:space="0" w:color="auto"/>
              <w:left w:val="nil"/>
              <w:right w:val="nil"/>
            </w:tcBorders>
            <w:shd w:val="clear" w:color="000000" w:fill="FFFFFF"/>
            <w:vAlign w:val="bottom"/>
          </w:tcPr>
          <w:p w14:paraId="4868CB71" w14:textId="77777777" w:rsidR="00EB4E0F" w:rsidRPr="00C67A93" w:rsidRDefault="00EB4E0F" w:rsidP="00DD4631">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2020</w:t>
            </w:r>
          </w:p>
        </w:tc>
      </w:tr>
      <w:tr w:rsidR="00EB4E0F" w:rsidRPr="00C67A93" w14:paraId="577D7A82" w14:textId="77777777" w:rsidTr="00DD4631">
        <w:trPr>
          <w:trHeight w:val="282"/>
        </w:trPr>
        <w:tc>
          <w:tcPr>
            <w:tcW w:w="0" w:type="auto"/>
            <w:tcBorders>
              <w:top w:val="nil"/>
              <w:left w:val="nil"/>
              <w:bottom w:val="single" w:sz="4" w:space="0" w:color="auto"/>
              <w:right w:val="nil"/>
            </w:tcBorders>
            <w:shd w:val="clear" w:color="000000" w:fill="FFFFFF"/>
            <w:noWrap/>
            <w:vAlign w:val="bottom"/>
            <w:hideMark/>
          </w:tcPr>
          <w:p w14:paraId="0E0DA50C"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0" w:type="auto"/>
            <w:tcBorders>
              <w:top w:val="nil"/>
              <w:left w:val="nil"/>
              <w:bottom w:val="single" w:sz="4" w:space="0" w:color="auto"/>
              <w:right w:val="nil"/>
            </w:tcBorders>
            <w:shd w:val="clear" w:color="000000" w:fill="FFFFFF"/>
            <w:noWrap/>
            <w:vAlign w:val="bottom"/>
            <w:hideMark/>
          </w:tcPr>
          <w:p w14:paraId="3C816EE3"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74" w:type="dxa"/>
            <w:tcBorders>
              <w:top w:val="nil"/>
              <w:left w:val="nil"/>
              <w:bottom w:val="single" w:sz="4" w:space="0" w:color="auto"/>
              <w:right w:val="nil"/>
            </w:tcBorders>
            <w:shd w:val="clear" w:color="auto" w:fill="FDE9D9" w:themeFill="accent6" w:themeFillTint="33"/>
            <w:noWrap/>
            <w:vAlign w:val="bottom"/>
            <w:hideMark/>
          </w:tcPr>
          <w:p w14:paraId="4C87D6C7" w14:textId="77777777" w:rsidR="00EB4E0F" w:rsidRPr="00C67A93" w:rsidRDefault="00EB4E0F" w:rsidP="00DD4631">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£'000</w:t>
            </w:r>
          </w:p>
        </w:tc>
        <w:tc>
          <w:tcPr>
            <w:tcW w:w="1871" w:type="dxa"/>
            <w:tcBorders>
              <w:top w:val="nil"/>
              <w:left w:val="nil"/>
              <w:bottom w:val="single" w:sz="4" w:space="0" w:color="auto"/>
              <w:right w:val="nil"/>
            </w:tcBorders>
            <w:shd w:val="clear" w:color="000000" w:fill="FFFFFF"/>
            <w:vAlign w:val="bottom"/>
            <w:hideMark/>
          </w:tcPr>
          <w:p w14:paraId="124761BE" w14:textId="77777777" w:rsidR="00EB4E0F" w:rsidRPr="00C67A93" w:rsidRDefault="00EB4E0F" w:rsidP="00DD4631">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£'000</w:t>
            </w:r>
          </w:p>
        </w:tc>
      </w:tr>
      <w:tr w:rsidR="00EB4E0F" w:rsidRPr="00C67A93" w14:paraId="5D9DF444" w14:textId="77777777" w:rsidTr="00DD4631">
        <w:trPr>
          <w:trHeight w:val="259"/>
        </w:trPr>
        <w:tc>
          <w:tcPr>
            <w:tcW w:w="0" w:type="auto"/>
            <w:tcBorders>
              <w:top w:val="single" w:sz="4" w:space="0" w:color="auto"/>
              <w:left w:val="nil"/>
              <w:bottom w:val="nil"/>
              <w:right w:val="nil"/>
            </w:tcBorders>
            <w:shd w:val="clear" w:color="000000" w:fill="FFFFFF"/>
            <w:noWrap/>
            <w:vAlign w:val="bottom"/>
            <w:hideMark/>
          </w:tcPr>
          <w:p w14:paraId="03D1A7D2"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360" w:type="dxa"/>
            <w:tcBorders>
              <w:top w:val="single" w:sz="4" w:space="0" w:color="auto"/>
              <w:left w:val="nil"/>
              <w:bottom w:val="nil"/>
              <w:right w:val="nil"/>
            </w:tcBorders>
            <w:shd w:val="clear" w:color="000000" w:fill="FFFFFF"/>
            <w:vAlign w:val="bottom"/>
            <w:hideMark/>
          </w:tcPr>
          <w:p w14:paraId="1D1FC78F"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74" w:type="dxa"/>
            <w:tcBorders>
              <w:top w:val="single" w:sz="4" w:space="0" w:color="auto"/>
              <w:left w:val="nil"/>
              <w:bottom w:val="nil"/>
              <w:right w:val="nil"/>
            </w:tcBorders>
            <w:shd w:val="clear" w:color="auto" w:fill="FDE9D9" w:themeFill="accent6" w:themeFillTint="33"/>
            <w:noWrap/>
            <w:vAlign w:val="bottom"/>
            <w:hideMark/>
          </w:tcPr>
          <w:p w14:paraId="67376920" w14:textId="77777777" w:rsidR="00EB4E0F" w:rsidRPr="00C67A93" w:rsidRDefault="00EB4E0F" w:rsidP="00DD4631">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C67A93">
              <w:rPr>
                <w:rFonts w:ascii="Arial" w:eastAsia="Times New Roman" w:hAnsi="Arial" w:cs="Arial"/>
                <w:b/>
                <w:sz w:val="20"/>
                <w:szCs w:val="20"/>
                <w:lang w:val="en-SG" w:eastAsia="en-SG"/>
              </w:rPr>
              <w:t> </w:t>
            </w:r>
          </w:p>
        </w:tc>
        <w:tc>
          <w:tcPr>
            <w:tcW w:w="1871" w:type="dxa"/>
            <w:tcBorders>
              <w:top w:val="single" w:sz="4" w:space="0" w:color="auto"/>
              <w:left w:val="nil"/>
              <w:bottom w:val="nil"/>
              <w:right w:val="nil"/>
            </w:tcBorders>
            <w:shd w:val="clear" w:color="000000" w:fill="FFFFFF"/>
            <w:vAlign w:val="bottom"/>
            <w:hideMark/>
          </w:tcPr>
          <w:p w14:paraId="53C8E8F5" w14:textId="77777777" w:rsidR="00EB4E0F" w:rsidRPr="00C67A93" w:rsidRDefault="00EB4E0F" w:rsidP="00DD4631">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r>
      <w:tr w:rsidR="00EB4E0F" w:rsidRPr="00C67A93" w14:paraId="30BFFCBB" w14:textId="77777777" w:rsidTr="00DD4631">
        <w:trPr>
          <w:trHeight w:val="259"/>
        </w:trPr>
        <w:tc>
          <w:tcPr>
            <w:tcW w:w="0" w:type="auto"/>
            <w:tcBorders>
              <w:top w:val="nil"/>
              <w:left w:val="nil"/>
              <w:bottom w:val="nil"/>
              <w:right w:val="nil"/>
            </w:tcBorders>
            <w:shd w:val="clear" w:color="000000" w:fill="FFFFFF"/>
            <w:noWrap/>
            <w:vAlign w:val="bottom"/>
            <w:hideMark/>
          </w:tcPr>
          <w:p w14:paraId="0FB0B8D0"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Outstanding commitments to funds</w:t>
            </w:r>
          </w:p>
        </w:tc>
        <w:tc>
          <w:tcPr>
            <w:tcW w:w="360" w:type="dxa"/>
            <w:tcBorders>
              <w:top w:val="nil"/>
              <w:left w:val="nil"/>
              <w:bottom w:val="nil"/>
              <w:right w:val="nil"/>
            </w:tcBorders>
            <w:shd w:val="clear" w:color="000000" w:fill="FFFFFF"/>
            <w:vAlign w:val="bottom"/>
            <w:hideMark/>
          </w:tcPr>
          <w:p w14:paraId="09AEAA74"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74" w:type="dxa"/>
            <w:tcBorders>
              <w:top w:val="nil"/>
              <w:left w:val="nil"/>
              <w:bottom w:val="nil"/>
              <w:right w:val="nil"/>
            </w:tcBorders>
            <w:shd w:val="clear" w:color="auto" w:fill="FDE9D9" w:themeFill="accent6" w:themeFillTint="33"/>
            <w:vAlign w:val="bottom"/>
          </w:tcPr>
          <w:p w14:paraId="0CCDE209" w14:textId="77777777" w:rsidR="00EB4E0F" w:rsidRPr="0088739C" w:rsidRDefault="00EB4E0F" w:rsidP="00DD4631">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88739C">
              <w:rPr>
                <w:rFonts w:ascii="Arial" w:eastAsia="Times New Roman" w:hAnsi="Arial" w:cs="Arial"/>
                <w:b/>
                <w:bCs/>
                <w:sz w:val="20"/>
                <w:szCs w:val="20"/>
                <w:lang w:val="en-SG" w:eastAsia="en-SG"/>
              </w:rPr>
              <w:t>2,717</w:t>
            </w:r>
          </w:p>
        </w:tc>
        <w:tc>
          <w:tcPr>
            <w:tcW w:w="1871" w:type="dxa"/>
            <w:tcBorders>
              <w:top w:val="nil"/>
              <w:left w:val="nil"/>
              <w:bottom w:val="nil"/>
              <w:right w:val="nil"/>
            </w:tcBorders>
            <w:shd w:val="clear" w:color="000000" w:fill="FFFFFF"/>
            <w:vAlign w:val="bottom"/>
          </w:tcPr>
          <w:p w14:paraId="51652818" w14:textId="77777777" w:rsidR="00EB4E0F" w:rsidRPr="0088739C" w:rsidRDefault="00EB4E0F" w:rsidP="00DD4631">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88739C">
              <w:rPr>
                <w:rFonts w:ascii="Arial" w:eastAsia="Times New Roman" w:hAnsi="Arial" w:cs="Arial"/>
                <w:sz w:val="20"/>
                <w:szCs w:val="20"/>
                <w:lang w:val="en-SG" w:eastAsia="en-SG"/>
              </w:rPr>
              <w:t>2,717</w:t>
            </w:r>
          </w:p>
        </w:tc>
      </w:tr>
      <w:tr w:rsidR="00EB4E0F" w:rsidRPr="00C67A93" w14:paraId="4ADF83AE" w14:textId="77777777" w:rsidTr="00DD4631">
        <w:trPr>
          <w:trHeight w:val="259"/>
        </w:trPr>
        <w:tc>
          <w:tcPr>
            <w:tcW w:w="0" w:type="auto"/>
            <w:tcBorders>
              <w:top w:val="nil"/>
              <w:left w:val="nil"/>
              <w:bottom w:val="single" w:sz="4" w:space="0" w:color="auto"/>
              <w:right w:val="nil"/>
            </w:tcBorders>
            <w:shd w:val="clear" w:color="000000" w:fill="FFFFFF"/>
            <w:noWrap/>
            <w:vAlign w:val="bottom"/>
            <w:hideMark/>
          </w:tcPr>
          <w:p w14:paraId="504F6DDF"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360" w:type="dxa"/>
            <w:tcBorders>
              <w:top w:val="nil"/>
              <w:left w:val="nil"/>
              <w:bottom w:val="single" w:sz="4" w:space="0" w:color="auto"/>
              <w:right w:val="nil"/>
            </w:tcBorders>
            <w:shd w:val="clear" w:color="000000" w:fill="FFFFFF"/>
            <w:vAlign w:val="bottom"/>
            <w:hideMark/>
          </w:tcPr>
          <w:p w14:paraId="1236D8FC"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74" w:type="dxa"/>
            <w:tcBorders>
              <w:top w:val="nil"/>
              <w:left w:val="nil"/>
              <w:bottom w:val="single" w:sz="4" w:space="0" w:color="auto"/>
              <w:right w:val="nil"/>
            </w:tcBorders>
            <w:shd w:val="clear" w:color="auto" w:fill="FDE9D9" w:themeFill="accent6" w:themeFillTint="33"/>
            <w:noWrap/>
            <w:vAlign w:val="bottom"/>
          </w:tcPr>
          <w:p w14:paraId="5D2EEE46" w14:textId="77777777" w:rsidR="00EB4E0F" w:rsidRPr="0088739C" w:rsidRDefault="00EB4E0F" w:rsidP="00DD4631">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p>
        </w:tc>
        <w:tc>
          <w:tcPr>
            <w:tcW w:w="1871" w:type="dxa"/>
            <w:tcBorders>
              <w:top w:val="nil"/>
              <w:left w:val="nil"/>
              <w:bottom w:val="single" w:sz="4" w:space="0" w:color="auto"/>
              <w:right w:val="nil"/>
            </w:tcBorders>
            <w:shd w:val="clear" w:color="000000" w:fill="FFFFFF"/>
            <w:vAlign w:val="bottom"/>
          </w:tcPr>
          <w:p w14:paraId="6C77CC24" w14:textId="77777777" w:rsidR="00EB4E0F" w:rsidRPr="0088739C" w:rsidRDefault="00EB4E0F" w:rsidP="00DD4631">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r w:rsidR="00EB4E0F" w:rsidRPr="00C67A93" w14:paraId="681D8CD1" w14:textId="77777777" w:rsidTr="00DD4631">
        <w:trPr>
          <w:trHeight w:val="282"/>
        </w:trPr>
        <w:tc>
          <w:tcPr>
            <w:tcW w:w="0" w:type="auto"/>
            <w:tcBorders>
              <w:top w:val="single" w:sz="4" w:space="0" w:color="auto"/>
              <w:left w:val="nil"/>
              <w:bottom w:val="single" w:sz="4" w:space="0" w:color="auto"/>
              <w:right w:val="nil"/>
            </w:tcBorders>
            <w:shd w:val="clear" w:color="000000" w:fill="FFFFFF"/>
            <w:noWrap/>
            <w:vAlign w:val="bottom"/>
            <w:hideMark/>
          </w:tcPr>
          <w:p w14:paraId="7BCB74C3"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360" w:type="dxa"/>
            <w:tcBorders>
              <w:top w:val="single" w:sz="4" w:space="0" w:color="auto"/>
              <w:left w:val="nil"/>
              <w:bottom w:val="single" w:sz="4" w:space="0" w:color="auto"/>
              <w:right w:val="nil"/>
            </w:tcBorders>
            <w:shd w:val="clear" w:color="000000" w:fill="FFFFFF"/>
            <w:vAlign w:val="bottom"/>
            <w:hideMark/>
          </w:tcPr>
          <w:p w14:paraId="474B52C7"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r w:rsidRPr="00C67A93">
              <w:rPr>
                <w:rFonts w:ascii="Arial" w:eastAsia="Times New Roman" w:hAnsi="Arial" w:cs="Arial"/>
                <w:sz w:val="20"/>
                <w:szCs w:val="20"/>
                <w:lang w:val="en-SG" w:eastAsia="en-SG"/>
              </w:rPr>
              <w:t> </w:t>
            </w:r>
          </w:p>
        </w:tc>
        <w:tc>
          <w:tcPr>
            <w:tcW w:w="1774" w:type="dxa"/>
            <w:tcBorders>
              <w:top w:val="single" w:sz="4" w:space="0" w:color="auto"/>
              <w:left w:val="nil"/>
              <w:bottom w:val="single" w:sz="4" w:space="0" w:color="auto"/>
              <w:right w:val="nil"/>
            </w:tcBorders>
            <w:shd w:val="clear" w:color="auto" w:fill="FDE9D9" w:themeFill="accent6" w:themeFillTint="33"/>
            <w:vAlign w:val="bottom"/>
          </w:tcPr>
          <w:p w14:paraId="2FB37289" w14:textId="77777777" w:rsidR="00EB4E0F" w:rsidRPr="0088739C" w:rsidRDefault="00EB4E0F" w:rsidP="00DD4631">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88739C">
              <w:rPr>
                <w:rFonts w:ascii="Arial" w:eastAsia="Times New Roman" w:hAnsi="Arial" w:cs="Arial"/>
                <w:b/>
                <w:bCs/>
                <w:sz w:val="20"/>
                <w:szCs w:val="20"/>
                <w:lang w:val="en-SG" w:eastAsia="en-SG"/>
              </w:rPr>
              <w:t>2,717</w:t>
            </w:r>
          </w:p>
        </w:tc>
        <w:tc>
          <w:tcPr>
            <w:tcW w:w="1871" w:type="dxa"/>
            <w:tcBorders>
              <w:top w:val="single" w:sz="4" w:space="0" w:color="auto"/>
              <w:left w:val="nil"/>
              <w:bottom w:val="single" w:sz="4" w:space="0" w:color="auto"/>
              <w:right w:val="nil"/>
            </w:tcBorders>
            <w:shd w:val="clear" w:color="000000" w:fill="FFFFFF"/>
            <w:vAlign w:val="bottom"/>
          </w:tcPr>
          <w:p w14:paraId="123DCE3C" w14:textId="77777777" w:rsidR="00EB4E0F" w:rsidRPr="0088739C" w:rsidRDefault="00EB4E0F" w:rsidP="00DD4631">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88739C">
              <w:rPr>
                <w:rFonts w:ascii="Arial" w:eastAsia="Times New Roman" w:hAnsi="Arial" w:cs="Arial"/>
                <w:sz w:val="20"/>
                <w:szCs w:val="20"/>
                <w:lang w:val="en-SG" w:eastAsia="en-SG"/>
              </w:rPr>
              <w:t>2,717</w:t>
            </w:r>
          </w:p>
        </w:tc>
      </w:tr>
      <w:tr w:rsidR="00EB4E0F" w:rsidRPr="00C67A93" w14:paraId="152CEFE4" w14:textId="77777777" w:rsidTr="00DD4631">
        <w:trPr>
          <w:trHeight w:val="282"/>
        </w:trPr>
        <w:tc>
          <w:tcPr>
            <w:tcW w:w="0" w:type="auto"/>
            <w:tcBorders>
              <w:top w:val="single" w:sz="4" w:space="0" w:color="auto"/>
              <w:left w:val="nil"/>
              <w:right w:val="nil"/>
            </w:tcBorders>
            <w:shd w:val="clear" w:color="000000" w:fill="FFFFFF"/>
            <w:noWrap/>
            <w:vAlign w:val="bottom"/>
          </w:tcPr>
          <w:p w14:paraId="50B01088" w14:textId="77777777" w:rsidR="00EB4E0F" w:rsidRPr="00C67A93" w:rsidRDefault="00EB4E0F" w:rsidP="00DD4631">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360" w:type="dxa"/>
            <w:tcBorders>
              <w:top w:val="single" w:sz="4" w:space="0" w:color="auto"/>
              <w:left w:val="nil"/>
              <w:right w:val="nil"/>
            </w:tcBorders>
            <w:shd w:val="clear" w:color="000000" w:fill="FFFFFF"/>
            <w:vAlign w:val="bottom"/>
          </w:tcPr>
          <w:p w14:paraId="0D770CBF" w14:textId="77777777" w:rsidR="00EB4E0F" w:rsidRPr="00C67A93" w:rsidRDefault="00EB4E0F" w:rsidP="00DD4631">
            <w:pPr>
              <w:widowControl/>
              <w:suppressAutoHyphens w:val="0"/>
              <w:autoSpaceDN/>
              <w:spacing w:after="0" w:line="240" w:lineRule="auto"/>
              <w:jc w:val="center"/>
              <w:textAlignment w:val="auto"/>
              <w:rPr>
                <w:rFonts w:ascii="Arial" w:eastAsia="Times New Roman" w:hAnsi="Arial" w:cs="Arial"/>
                <w:sz w:val="20"/>
                <w:szCs w:val="20"/>
                <w:lang w:val="en-SG" w:eastAsia="en-SG"/>
              </w:rPr>
            </w:pPr>
          </w:p>
        </w:tc>
        <w:tc>
          <w:tcPr>
            <w:tcW w:w="1774" w:type="dxa"/>
            <w:tcBorders>
              <w:top w:val="single" w:sz="4" w:space="0" w:color="auto"/>
              <w:left w:val="nil"/>
              <w:right w:val="nil"/>
            </w:tcBorders>
            <w:shd w:val="clear" w:color="000000" w:fill="FFFFFF"/>
            <w:vAlign w:val="bottom"/>
          </w:tcPr>
          <w:p w14:paraId="2B30BEF9" w14:textId="77777777" w:rsidR="00EB4E0F" w:rsidRPr="00C67A93" w:rsidRDefault="00EB4E0F" w:rsidP="00DD4631">
            <w:pPr>
              <w:widowControl/>
              <w:suppressAutoHyphens w:val="0"/>
              <w:autoSpaceDN/>
              <w:spacing w:after="0" w:line="240" w:lineRule="auto"/>
              <w:jc w:val="right"/>
              <w:textAlignment w:val="auto"/>
              <w:rPr>
                <w:rFonts w:ascii="Arial" w:eastAsia="Times New Roman" w:hAnsi="Arial" w:cs="Arial"/>
                <w:b/>
                <w:sz w:val="20"/>
                <w:szCs w:val="20"/>
                <w:lang w:val="en-SG" w:eastAsia="en-SG"/>
              </w:rPr>
            </w:pPr>
          </w:p>
        </w:tc>
        <w:tc>
          <w:tcPr>
            <w:tcW w:w="1871" w:type="dxa"/>
            <w:tcBorders>
              <w:top w:val="single" w:sz="4" w:space="0" w:color="auto"/>
              <w:left w:val="nil"/>
              <w:right w:val="nil"/>
            </w:tcBorders>
            <w:shd w:val="clear" w:color="000000" w:fill="FFFFFF"/>
            <w:vAlign w:val="bottom"/>
          </w:tcPr>
          <w:p w14:paraId="081B2A28" w14:textId="77777777" w:rsidR="00EB4E0F" w:rsidRPr="00C67A93" w:rsidDel="00203CE1" w:rsidRDefault="00EB4E0F" w:rsidP="00DD4631">
            <w:pPr>
              <w:widowControl/>
              <w:suppressAutoHyphens w:val="0"/>
              <w:autoSpaceDN/>
              <w:spacing w:after="0" w:line="240" w:lineRule="auto"/>
              <w:jc w:val="right"/>
              <w:textAlignment w:val="auto"/>
              <w:rPr>
                <w:rFonts w:ascii="Arial" w:eastAsia="Times New Roman" w:hAnsi="Arial" w:cs="Arial"/>
                <w:sz w:val="20"/>
                <w:szCs w:val="20"/>
                <w:lang w:val="en-SG" w:eastAsia="en-SG"/>
              </w:rPr>
            </w:pPr>
          </w:p>
        </w:tc>
      </w:tr>
    </w:tbl>
    <w:p w14:paraId="77FBA982" w14:textId="77777777" w:rsidR="00EB4E0F" w:rsidRPr="00C67A93" w:rsidRDefault="00EB4E0F" w:rsidP="00EB4E0F">
      <w:pPr>
        <w:shd w:val="clear" w:color="auto" w:fill="FFFFFF"/>
        <w:spacing w:after="0"/>
        <w:jc w:val="both"/>
        <w:rPr>
          <w:rFonts w:ascii="Arial" w:hAnsi="Arial" w:cs="Arial"/>
        </w:rPr>
      </w:pPr>
      <w:r w:rsidRPr="00C67A93">
        <w:rPr>
          <w:rFonts w:ascii="Arial" w:hAnsi="Arial" w:cs="Arial"/>
        </w:rPr>
        <w:t>The outstanding commitments to funds comprise of unpaid calls in respect of funds where a subsidiary of the Company is a</w:t>
      </w:r>
      <w:r>
        <w:rPr>
          <w:rFonts w:ascii="Arial" w:hAnsi="Arial" w:cs="Arial"/>
        </w:rPr>
        <w:t xml:space="preserve"> L</w:t>
      </w:r>
      <w:r w:rsidRPr="00C67A93">
        <w:rPr>
          <w:rFonts w:ascii="Arial" w:hAnsi="Arial" w:cs="Arial"/>
        </w:rPr>
        <w:t xml:space="preserve">imited </w:t>
      </w:r>
      <w:r>
        <w:rPr>
          <w:rFonts w:ascii="Arial" w:hAnsi="Arial" w:cs="Arial"/>
        </w:rPr>
        <w:t>P</w:t>
      </w:r>
      <w:r w:rsidRPr="00C67A93">
        <w:rPr>
          <w:rFonts w:ascii="Arial" w:hAnsi="Arial" w:cs="Arial"/>
        </w:rPr>
        <w:t>artner.</w:t>
      </w:r>
    </w:p>
    <w:p w14:paraId="11E9662F" w14:textId="0CA2DC76" w:rsidR="00EB4E0F" w:rsidRDefault="00EB4E0F" w:rsidP="00891B3A">
      <w:pPr>
        <w:shd w:val="clear" w:color="auto" w:fill="FFFFFF"/>
        <w:spacing w:after="0"/>
        <w:jc w:val="both"/>
        <w:rPr>
          <w:rFonts w:ascii="Arial" w:hAnsi="Arial" w:cs="Arial"/>
        </w:rPr>
      </w:pPr>
    </w:p>
    <w:p w14:paraId="5EF054A3" w14:textId="77777777" w:rsidR="00EB4E0F" w:rsidRDefault="00EB4E0F" w:rsidP="00891B3A">
      <w:pPr>
        <w:shd w:val="clear" w:color="auto" w:fill="FFFFFF"/>
        <w:spacing w:after="0"/>
        <w:jc w:val="both"/>
        <w:rPr>
          <w:rFonts w:ascii="Arial" w:hAnsi="Arial" w:cs="Arial"/>
        </w:rPr>
      </w:pPr>
    </w:p>
    <w:p w14:paraId="3A36FB54" w14:textId="77777777" w:rsidR="00891B3A" w:rsidRPr="00C67A93" w:rsidRDefault="00891B3A" w:rsidP="00891B3A">
      <w:pPr>
        <w:shd w:val="clear" w:color="auto" w:fill="FFFFFF"/>
        <w:rPr>
          <w:rFonts w:ascii="Arial" w:hAnsi="Arial" w:cs="Arial"/>
          <w:b/>
          <w:sz w:val="28"/>
          <w:szCs w:val="28"/>
        </w:rPr>
      </w:pPr>
      <w:r w:rsidRPr="00C67A93">
        <w:rPr>
          <w:rFonts w:ascii="Arial" w:hAnsi="Arial" w:cs="Arial"/>
          <w:b/>
          <w:sz w:val="28"/>
          <w:szCs w:val="28"/>
        </w:rPr>
        <w:t>7.</w:t>
      </w:r>
      <w:r w:rsidRPr="00C67A93">
        <w:rPr>
          <w:rFonts w:ascii="Arial" w:hAnsi="Arial" w:cs="Arial"/>
          <w:b/>
          <w:sz w:val="28"/>
          <w:szCs w:val="28"/>
        </w:rPr>
        <w:tab/>
        <w:t>Related party transactions</w:t>
      </w:r>
    </w:p>
    <w:p w14:paraId="6A549559" w14:textId="77777777" w:rsidR="00891B3A" w:rsidRPr="00C67A93" w:rsidRDefault="00891B3A" w:rsidP="00891B3A">
      <w:pPr>
        <w:spacing w:after="0"/>
        <w:jc w:val="both"/>
        <w:rPr>
          <w:rFonts w:ascii="Arial" w:eastAsia="Times New Roman" w:hAnsi="Arial" w:cs="Arial"/>
          <w:lang w:val="en-GB" w:eastAsia="en-GB"/>
        </w:rPr>
      </w:pPr>
      <w:r w:rsidRPr="00C67A93">
        <w:rPr>
          <w:rFonts w:ascii="Arial" w:eastAsia="Times New Roman" w:hAnsi="Arial" w:cs="Arial"/>
          <w:lang w:val="en-GB" w:eastAsia="en-GB"/>
        </w:rPr>
        <w:t>The related parties of LMS Capital plc are its Directors.</w:t>
      </w:r>
    </w:p>
    <w:p w14:paraId="49F278F5" w14:textId="77777777" w:rsidR="00891B3A" w:rsidRPr="00C67A93" w:rsidRDefault="00891B3A" w:rsidP="00891B3A">
      <w:pPr>
        <w:spacing w:after="0"/>
        <w:jc w:val="both"/>
        <w:rPr>
          <w:rFonts w:ascii="Arial" w:eastAsia="Times New Roman" w:hAnsi="Arial" w:cs="Arial"/>
          <w:lang w:val="en-GB" w:eastAsia="en-GB"/>
        </w:rPr>
      </w:pPr>
    </w:p>
    <w:p w14:paraId="761731FB" w14:textId="2858061E" w:rsidR="00891B3A" w:rsidRPr="00C67A93" w:rsidRDefault="00891B3A" w:rsidP="00891B3A">
      <w:pPr>
        <w:spacing w:after="0"/>
        <w:jc w:val="both"/>
        <w:rPr>
          <w:rFonts w:ascii="Arial" w:eastAsia="Times New Roman" w:hAnsi="Arial" w:cs="Arial"/>
          <w:lang w:val="en-GB" w:eastAsia="en-GB"/>
        </w:rPr>
      </w:pPr>
      <w:r w:rsidRPr="00C67A93">
        <w:rPr>
          <w:rFonts w:ascii="Arial" w:eastAsia="Times New Roman" w:hAnsi="Arial" w:cs="Arial"/>
          <w:lang w:val="en-GB" w:eastAsia="en-GB"/>
        </w:rPr>
        <w:t>The salary paid for the Directors of the Company for the period was £232,180 (June 2020: £210,097) and the Directors fee of the subsidiaries was £21,734 (June 2020: £24,177).</w:t>
      </w:r>
    </w:p>
    <w:p w14:paraId="72E5685C" w14:textId="77777777" w:rsidR="00891B3A" w:rsidRPr="00C67A93" w:rsidRDefault="00891B3A" w:rsidP="00891B3A">
      <w:pPr>
        <w:spacing w:after="0" w:line="240" w:lineRule="auto"/>
        <w:jc w:val="both"/>
        <w:rPr>
          <w:rFonts w:ascii="Arial" w:eastAsia="Times New Roman" w:hAnsi="Arial" w:cs="Arial"/>
          <w:lang w:val="en-GB" w:eastAsia="en-GB"/>
        </w:rPr>
      </w:pPr>
    </w:p>
    <w:p w14:paraId="65E18D20" w14:textId="77777777" w:rsidR="00891B3A" w:rsidRPr="00C67A93" w:rsidRDefault="00891B3A" w:rsidP="00891B3A">
      <w:pPr>
        <w:spacing w:after="0"/>
        <w:jc w:val="both"/>
        <w:rPr>
          <w:rFonts w:ascii="Arial" w:eastAsia="Times New Roman" w:hAnsi="Arial" w:cs="Arial"/>
          <w:lang w:val="en-GB" w:eastAsia="en-GB"/>
        </w:rPr>
      </w:pPr>
      <w:r w:rsidRPr="001E2CC7">
        <w:rPr>
          <w:rFonts w:ascii="Arial" w:eastAsia="Times New Roman" w:hAnsi="Arial" w:cs="Arial"/>
          <w:lang w:val="en-GB" w:eastAsia="en-GB"/>
        </w:rPr>
        <w:t>With effect from 24 June 2020, the Company entered into a lease agreement with The Rayne Foundation in respect</w:t>
      </w:r>
      <w:r w:rsidRPr="00C67A93">
        <w:rPr>
          <w:rFonts w:ascii="Arial" w:eastAsia="Times New Roman" w:hAnsi="Arial" w:cs="Arial"/>
          <w:lang w:val="en-GB" w:eastAsia="en-GB"/>
        </w:rPr>
        <w:t xml:space="preserve"> </w:t>
      </w:r>
      <w:r w:rsidRPr="001E2CC7">
        <w:rPr>
          <w:rFonts w:ascii="Arial" w:eastAsia="Times New Roman" w:hAnsi="Arial" w:cs="Arial"/>
          <w:lang w:val="en-GB" w:eastAsia="en-GB"/>
        </w:rPr>
        <w:t>of the premises comprising its principal office. Under the terms of the lease, the Company paid rent of</w:t>
      </w:r>
      <w:r w:rsidRPr="00C67A93">
        <w:rPr>
          <w:rFonts w:ascii="Arial" w:eastAsia="Times New Roman" w:hAnsi="Arial" w:cs="Arial"/>
          <w:lang w:val="en-GB" w:eastAsia="en-GB"/>
        </w:rPr>
        <w:t xml:space="preserve"> £24,585 (2020: £16,390) to The Rayne Foundation. Robert Rayne is the Chairman of The Rayne Foundation.</w:t>
      </w:r>
    </w:p>
    <w:p w14:paraId="18F000A2" w14:textId="77777777" w:rsidR="00891B3A" w:rsidRPr="00C67A93" w:rsidRDefault="00891B3A" w:rsidP="00891B3A">
      <w:pPr>
        <w:spacing w:after="0" w:line="240" w:lineRule="auto"/>
        <w:jc w:val="both"/>
        <w:rPr>
          <w:rFonts w:ascii="Arial" w:eastAsia="Times New Roman" w:hAnsi="Arial" w:cs="Arial"/>
          <w:lang w:val="en-GB" w:eastAsia="en-GB"/>
        </w:rPr>
      </w:pPr>
    </w:p>
    <w:p w14:paraId="4A5511EE" w14:textId="214D4FB4" w:rsidR="00891B3A" w:rsidRDefault="00891B3A" w:rsidP="00891B3A">
      <w:pPr>
        <w:spacing w:after="0"/>
        <w:jc w:val="both"/>
        <w:rPr>
          <w:rFonts w:ascii="Arial" w:eastAsia="Times New Roman" w:hAnsi="Arial" w:cs="Arial"/>
          <w:lang w:val="en-GB" w:eastAsia="en-GB"/>
        </w:rPr>
      </w:pPr>
      <w:r w:rsidRPr="00C67A93">
        <w:rPr>
          <w:rFonts w:ascii="Arial" w:eastAsia="Times New Roman" w:hAnsi="Arial" w:cs="Arial"/>
          <w:lang w:val="en-GB" w:eastAsia="en-GB"/>
        </w:rPr>
        <w:t>As at 30 June 2021, the following shareholder</w:t>
      </w:r>
      <w:r w:rsidR="00C15EC3">
        <w:rPr>
          <w:rFonts w:ascii="Arial" w:eastAsia="Times New Roman" w:hAnsi="Arial" w:cs="Arial"/>
          <w:lang w:val="en-GB" w:eastAsia="en-GB"/>
        </w:rPr>
        <w:t>s</w:t>
      </w:r>
      <w:r w:rsidRPr="00C67A93">
        <w:rPr>
          <w:rFonts w:ascii="Arial" w:eastAsia="Times New Roman" w:hAnsi="Arial" w:cs="Arial"/>
          <w:lang w:val="en-GB" w:eastAsia="en-GB"/>
        </w:rPr>
        <w:t xml:space="preserve"> of the Company that </w:t>
      </w:r>
      <w:r w:rsidR="000B2125">
        <w:rPr>
          <w:rFonts w:ascii="Arial" w:eastAsia="Times New Roman" w:hAnsi="Arial" w:cs="Arial"/>
          <w:lang w:val="en-GB" w:eastAsia="en-GB"/>
        </w:rPr>
        <w:t>are</w:t>
      </w:r>
      <w:r w:rsidRPr="00C67A93">
        <w:rPr>
          <w:rFonts w:ascii="Arial" w:eastAsia="Times New Roman" w:hAnsi="Arial" w:cs="Arial"/>
          <w:lang w:val="en-GB" w:eastAsia="en-GB"/>
        </w:rPr>
        <w:t xml:space="preserve"> related to LMS Capital Plc had the following interests in the issued shares of the Company:</w:t>
      </w:r>
    </w:p>
    <w:p w14:paraId="7C5E969B" w14:textId="77777777" w:rsidR="00C15EC3" w:rsidRPr="00C67A93" w:rsidRDefault="00C15EC3" w:rsidP="00891B3A">
      <w:pPr>
        <w:spacing w:after="0"/>
        <w:jc w:val="both"/>
        <w:rPr>
          <w:rFonts w:ascii="Arial" w:eastAsia="Times New Roman" w:hAnsi="Arial" w:cs="Arial"/>
          <w:lang w:val="en-GB" w:eastAsia="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3122"/>
        <w:gridCol w:w="283"/>
        <w:gridCol w:w="2973"/>
      </w:tblGrid>
      <w:tr w:rsidR="00E26FED" w:rsidRPr="008D4734" w14:paraId="12D277DD" w14:textId="77777777" w:rsidTr="00E26FED">
        <w:tc>
          <w:tcPr>
            <w:tcW w:w="1484" w:type="pct"/>
          </w:tcPr>
          <w:p w14:paraId="666FD6B0" w14:textId="50F3CD51" w:rsidR="00E26FED" w:rsidRPr="00E26FED" w:rsidRDefault="00E26FED" w:rsidP="00E26FED">
            <w:pPr>
              <w:spacing w:after="0"/>
              <w:jc w:val="both"/>
              <w:rPr>
                <w:rFonts w:ascii="Arial" w:eastAsia="Times New Roman" w:hAnsi="Arial" w:cs="Arial"/>
                <w:b/>
                <w:bCs/>
                <w:sz w:val="20"/>
                <w:szCs w:val="20"/>
                <w:lang w:val="en-GB" w:eastAsia="en-GB"/>
              </w:rPr>
            </w:pPr>
          </w:p>
        </w:tc>
        <w:tc>
          <w:tcPr>
            <w:tcW w:w="1721" w:type="pct"/>
            <w:tcBorders>
              <w:bottom w:val="single" w:sz="4" w:space="0" w:color="auto"/>
            </w:tcBorders>
          </w:tcPr>
          <w:p w14:paraId="7667DF89" w14:textId="72D64F3E" w:rsidR="00E26FED" w:rsidRPr="008D4734" w:rsidRDefault="00E26FED" w:rsidP="00E26FED">
            <w:pPr>
              <w:spacing w:after="0"/>
              <w:jc w:val="right"/>
              <w:rPr>
                <w:rFonts w:ascii="Arial" w:eastAsia="Times New Roman" w:hAnsi="Arial" w:cs="Arial"/>
                <w:b/>
                <w:bCs/>
                <w:sz w:val="20"/>
                <w:szCs w:val="20"/>
                <w:lang w:val="en-GB" w:eastAsia="en-GB"/>
              </w:rPr>
            </w:pPr>
            <w:r w:rsidRPr="008D4734">
              <w:rPr>
                <w:rFonts w:ascii="Arial" w:eastAsia="Times New Roman" w:hAnsi="Arial" w:cs="Arial"/>
                <w:b/>
                <w:bCs/>
                <w:sz w:val="20"/>
                <w:szCs w:val="20"/>
                <w:lang w:val="en-GB" w:eastAsia="en-GB"/>
              </w:rPr>
              <w:t xml:space="preserve">30 June </w:t>
            </w:r>
          </w:p>
        </w:tc>
        <w:tc>
          <w:tcPr>
            <w:tcW w:w="156" w:type="pct"/>
            <w:tcBorders>
              <w:bottom w:val="single" w:sz="4" w:space="0" w:color="auto"/>
            </w:tcBorders>
          </w:tcPr>
          <w:p w14:paraId="09F786A1" w14:textId="77777777" w:rsidR="00E26FED" w:rsidRPr="008D4734" w:rsidRDefault="00E26FED" w:rsidP="00E26FED">
            <w:pPr>
              <w:spacing w:after="0"/>
              <w:jc w:val="right"/>
              <w:rPr>
                <w:rFonts w:ascii="Arial" w:eastAsia="Times New Roman" w:hAnsi="Arial" w:cs="Arial"/>
                <w:b/>
                <w:bCs/>
                <w:sz w:val="20"/>
                <w:szCs w:val="20"/>
                <w:lang w:val="en-GB" w:eastAsia="en-GB"/>
              </w:rPr>
            </w:pPr>
          </w:p>
        </w:tc>
        <w:tc>
          <w:tcPr>
            <w:tcW w:w="1639" w:type="pct"/>
            <w:tcBorders>
              <w:bottom w:val="single" w:sz="4" w:space="0" w:color="auto"/>
            </w:tcBorders>
          </w:tcPr>
          <w:p w14:paraId="3DD1D84E" w14:textId="22AAFDE1" w:rsidR="00E26FED" w:rsidRPr="008D4734" w:rsidRDefault="00E26FED" w:rsidP="00E26FED">
            <w:pPr>
              <w:spacing w:after="0"/>
              <w:jc w:val="right"/>
              <w:rPr>
                <w:rFonts w:ascii="Arial" w:eastAsia="Times New Roman" w:hAnsi="Arial" w:cs="Arial"/>
                <w:b/>
                <w:bCs/>
                <w:sz w:val="20"/>
                <w:szCs w:val="20"/>
                <w:lang w:val="en-GB" w:eastAsia="en-GB"/>
              </w:rPr>
            </w:pPr>
            <w:r w:rsidRPr="008D4734">
              <w:rPr>
                <w:rFonts w:ascii="Arial" w:eastAsia="Times New Roman" w:hAnsi="Arial" w:cs="Arial"/>
                <w:b/>
                <w:bCs/>
                <w:sz w:val="20"/>
                <w:szCs w:val="20"/>
                <w:lang w:val="en-GB" w:eastAsia="en-GB"/>
              </w:rPr>
              <w:t xml:space="preserve">31 December </w:t>
            </w:r>
          </w:p>
        </w:tc>
      </w:tr>
      <w:tr w:rsidR="00E26FED" w:rsidRPr="008D4734" w14:paraId="4C97EC43" w14:textId="77777777" w:rsidTr="00E26FED">
        <w:tc>
          <w:tcPr>
            <w:tcW w:w="1484" w:type="pct"/>
          </w:tcPr>
          <w:p w14:paraId="16F5DDF0" w14:textId="77777777" w:rsidR="00E26FED" w:rsidRPr="008D4734" w:rsidRDefault="00E26FED" w:rsidP="00E26FED">
            <w:pPr>
              <w:spacing w:after="0"/>
              <w:jc w:val="both"/>
              <w:rPr>
                <w:rFonts w:ascii="Arial" w:eastAsia="Times New Roman" w:hAnsi="Arial" w:cs="Arial"/>
                <w:b/>
                <w:bCs/>
                <w:sz w:val="20"/>
                <w:szCs w:val="20"/>
                <w:lang w:val="en-GB" w:eastAsia="en-GB"/>
              </w:rPr>
            </w:pPr>
          </w:p>
        </w:tc>
        <w:tc>
          <w:tcPr>
            <w:tcW w:w="1721" w:type="pct"/>
            <w:tcBorders>
              <w:top w:val="single" w:sz="4" w:space="0" w:color="auto"/>
            </w:tcBorders>
          </w:tcPr>
          <w:p w14:paraId="715010A8" w14:textId="58ED4724" w:rsidR="00E26FED" w:rsidRPr="008D4734" w:rsidRDefault="00E26FED" w:rsidP="00E26FED">
            <w:pPr>
              <w:spacing w:after="0"/>
              <w:jc w:val="right"/>
              <w:rPr>
                <w:rFonts w:ascii="Arial" w:eastAsia="Times New Roman" w:hAnsi="Arial" w:cs="Arial"/>
                <w:b/>
                <w:bCs/>
                <w:sz w:val="20"/>
                <w:szCs w:val="20"/>
                <w:lang w:val="en-GB" w:eastAsia="en-GB"/>
              </w:rPr>
            </w:pPr>
            <w:r w:rsidRPr="008D4734">
              <w:rPr>
                <w:rFonts w:ascii="Arial" w:eastAsia="Times New Roman" w:hAnsi="Arial" w:cs="Arial"/>
                <w:b/>
                <w:bCs/>
                <w:sz w:val="20"/>
                <w:szCs w:val="20"/>
                <w:lang w:val="en-GB" w:eastAsia="en-GB"/>
              </w:rPr>
              <w:t>2021</w:t>
            </w:r>
          </w:p>
        </w:tc>
        <w:tc>
          <w:tcPr>
            <w:tcW w:w="156" w:type="pct"/>
            <w:tcBorders>
              <w:top w:val="single" w:sz="4" w:space="0" w:color="auto"/>
            </w:tcBorders>
          </w:tcPr>
          <w:p w14:paraId="279C0062" w14:textId="77777777" w:rsidR="00E26FED" w:rsidRPr="008D4734" w:rsidRDefault="00E26FED" w:rsidP="00E26FED">
            <w:pPr>
              <w:spacing w:after="0"/>
              <w:jc w:val="right"/>
              <w:rPr>
                <w:rFonts w:ascii="Arial" w:eastAsia="Times New Roman" w:hAnsi="Arial" w:cs="Arial"/>
                <w:b/>
                <w:bCs/>
                <w:sz w:val="20"/>
                <w:szCs w:val="20"/>
                <w:lang w:val="en-GB" w:eastAsia="en-GB"/>
              </w:rPr>
            </w:pPr>
          </w:p>
        </w:tc>
        <w:tc>
          <w:tcPr>
            <w:tcW w:w="1639" w:type="pct"/>
            <w:tcBorders>
              <w:top w:val="single" w:sz="4" w:space="0" w:color="auto"/>
            </w:tcBorders>
          </w:tcPr>
          <w:p w14:paraId="26C7731D" w14:textId="15BF9C27" w:rsidR="00E26FED" w:rsidRPr="008D4734" w:rsidRDefault="00E26FED" w:rsidP="00E26FED">
            <w:pPr>
              <w:spacing w:after="0"/>
              <w:jc w:val="right"/>
              <w:rPr>
                <w:rFonts w:ascii="Arial" w:eastAsia="Times New Roman" w:hAnsi="Arial" w:cs="Arial"/>
                <w:b/>
                <w:bCs/>
                <w:sz w:val="20"/>
                <w:szCs w:val="20"/>
                <w:lang w:val="en-GB" w:eastAsia="en-GB"/>
              </w:rPr>
            </w:pPr>
            <w:r w:rsidRPr="008D4734">
              <w:rPr>
                <w:rFonts w:ascii="Arial" w:eastAsia="Times New Roman" w:hAnsi="Arial" w:cs="Arial"/>
                <w:b/>
                <w:bCs/>
                <w:sz w:val="20"/>
                <w:szCs w:val="20"/>
                <w:lang w:val="en-GB" w:eastAsia="en-GB"/>
              </w:rPr>
              <w:t>2020</w:t>
            </w:r>
          </w:p>
        </w:tc>
      </w:tr>
      <w:tr w:rsidR="00E26FED" w:rsidRPr="008D4734" w14:paraId="09F4476D" w14:textId="77777777" w:rsidTr="00E26FED">
        <w:tc>
          <w:tcPr>
            <w:tcW w:w="1484" w:type="pct"/>
            <w:tcBorders>
              <w:bottom w:val="single" w:sz="4" w:space="0" w:color="auto"/>
            </w:tcBorders>
          </w:tcPr>
          <w:p w14:paraId="3DFDA963" w14:textId="03ACF02B" w:rsidR="00E26FED" w:rsidRPr="008D4734" w:rsidRDefault="00E26FED" w:rsidP="00E26FED">
            <w:pPr>
              <w:spacing w:after="0"/>
              <w:jc w:val="both"/>
              <w:rPr>
                <w:rFonts w:ascii="Arial" w:eastAsia="Times New Roman" w:hAnsi="Arial" w:cs="Arial"/>
                <w:b/>
                <w:bCs/>
                <w:sz w:val="20"/>
                <w:szCs w:val="20"/>
                <w:lang w:val="en-GB" w:eastAsia="en-GB"/>
              </w:rPr>
            </w:pPr>
            <w:r w:rsidRPr="008D4734">
              <w:rPr>
                <w:rFonts w:ascii="Arial" w:eastAsia="Times New Roman" w:hAnsi="Arial" w:cs="Arial"/>
                <w:b/>
                <w:bCs/>
                <w:sz w:val="20"/>
                <w:szCs w:val="20"/>
                <w:lang w:val="en-GB" w:eastAsia="en-GB"/>
              </w:rPr>
              <w:t>Share Holders</w:t>
            </w:r>
          </w:p>
        </w:tc>
        <w:tc>
          <w:tcPr>
            <w:tcW w:w="1721" w:type="pct"/>
            <w:tcBorders>
              <w:bottom w:val="single" w:sz="4" w:space="0" w:color="auto"/>
            </w:tcBorders>
          </w:tcPr>
          <w:p w14:paraId="47580478" w14:textId="1C864CDB" w:rsidR="00E26FED" w:rsidRPr="008D4734" w:rsidRDefault="00E26FED" w:rsidP="00E26FED">
            <w:pPr>
              <w:spacing w:after="0"/>
              <w:jc w:val="right"/>
              <w:rPr>
                <w:rFonts w:ascii="Arial" w:eastAsia="Times New Roman" w:hAnsi="Arial" w:cs="Arial"/>
                <w:b/>
                <w:bCs/>
                <w:sz w:val="20"/>
                <w:szCs w:val="20"/>
                <w:lang w:val="en-GB" w:eastAsia="en-GB"/>
              </w:rPr>
            </w:pPr>
            <w:r w:rsidRPr="008D4734">
              <w:rPr>
                <w:rFonts w:ascii="Arial" w:eastAsia="Times New Roman" w:hAnsi="Arial" w:cs="Arial"/>
                <w:b/>
                <w:bCs/>
                <w:sz w:val="20"/>
                <w:szCs w:val="20"/>
                <w:lang w:val="en-GB" w:eastAsia="en-GB"/>
              </w:rPr>
              <w:t>Number of Shares</w:t>
            </w:r>
          </w:p>
        </w:tc>
        <w:tc>
          <w:tcPr>
            <w:tcW w:w="156" w:type="pct"/>
            <w:tcBorders>
              <w:bottom w:val="single" w:sz="4" w:space="0" w:color="auto"/>
            </w:tcBorders>
          </w:tcPr>
          <w:p w14:paraId="16B050B4" w14:textId="77777777" w:rsidR="00E26FED" w:rsidRPr="008D4734" w:rsidRDefault="00E26FED" w:rsidP="00E26FED">
            <w:pPr>
              <w:spacing w:after="0"/>
              <w:jc w:val="right"/>
              <w:rPr>
                <w:rFonts w:ascii="Arial" w:eastAsia="Times New Roman" w:hAnsi="Arial" w:cs="Arial"/>
                <w:b/>
                <w:bCs/>
                <w:sz w:val="20"/>
                <w:szCs w:val="20"/>
                <w:lang w:val="en-GB" w:eastAsia="en-GB"/>
              </w:rPr>
            </w:pPr>
          </w:p>
        </w:tc>
        <w:tc>
          <w:tcPr>
            <w:tcW w:w="1639" w:type="pct"/>
            <w:tcBorders>
              <w:bottom w:val="single" w:sz="4" w:space="0" w:color="auto"/>
            </w:tcBorders>
          </w:tcPr>
          <w:p w14:paraId="0514CC75" w14:textId="673F3FFA" w:rsidR="00E26FED" w:rsidRPr="008D4734" w:rsidRDefault="00E26FED" w:rsidP="00E26FED">
            <w:pPr>
              <w:spacing w:after="0"/>
              <w:jc w:val="right"/>
              <w:rPr>
                <w:rFonts w:ascii="Arial" w:eastAsia="Times New Roman" w:hAnsi="Arial" w:cs="Arial"/>
                <w:b/>
                <w:bCs/>
                <w:sz w:val="20"/>
                <w:szCs w:val="20"/>
                <w:lang w:val="en-GB" w:eastAsia="en-GB"/>
              </w:rPr>
            </w:pPr>
            <w:r w:rsidRPr="008D4734">
              <w:rPr>
                <w:rFonts w:ascii="Arial" w:eastAsia="Times New Roman" w:hAnsi="Arial" w:cs="Arial"/>
                <w:b/>
                <w:bCs/>
                <w:sz w:val="20"/>
                <w:szCs w:val="20"/>
                <w:lang w:val="en-GB" w:eastAsia="en-GB"/>
              </w:rPr>
              <w:t>Number of Shares</w:t>
            </w:r>
          </w:p>
        </w:tc>
      </w:tr>
      <w:tr w:rsidR="00E26FED" w:rsidRPr="008D4734" w14:paraId="3BF911F7" w14:textId="77777777" w:rsidTr="00E26FED">
        <w:tc>
          <w:tcPr>
            <w:tcW w:w="1484" w:type="pct"/>
            <w:tcBorders>
              <w:top w:val="single" w:sz="4" w:space="0" w:color="auto"/>
            </w:tcBorders>
          </w:tcPr>
          <w:p w14:paraId="2F4D0831" w14:textId="56191F02" w:rsidR="00E26FED" w:rsidRPr="008D4734" w:rsidRDefault="00E26FED" w:rsidP="00E26FED">
            <w:pPr>
              <w:spacing w:after="0"/>
              <w:jc w:val="both"/>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R Rayne</w:t>
            </w:r>
          </w:p>
        </w:tc>
        <w:tc>
          <w:tcPr>
            <w:tcW w:w="1721" w:type="pct"/>
            <w:tcBorders>
              <w:top w:val="single" w:sz="4" w:space="0" w:color="auto"/>
            </w:tcBorders>
          </w:tcPr>
          <w:p w14:paraId="69754DA6" w14:textId="467F1DCC"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2,670,124 Ordinary Shares</w:t>
            </w:r>
          </w:p>
        </w:tc>
        <w:tc>
          <w:tcPr>
            <w:tcW w:w="156" w:type="pct"/>
            <w:tcBorders>
              <w:top w:val="single" w:sz="4" w:space="0" w:color="auto"/>
            </w:tcBorders>
          </w:tcPr>
          <w:p w14:paraId="5430B70A" w14:textId="77777777" w:rsidR="00E26FED" w:rsidRPr="008D4734" w:rsidRDefault="00E26FED" w:rsidP="00E26FED">
            <w:pPr>
              <w:spacing w:after="0"/>
              <w:jc w:val="right"/>
              <w:rPr>
                <w:rFonts w:ascii="Arial" w:eastAsia="Times New Roman" w:hAnsi="Arial" w:cs="Arial"/>
                <w:sz w:val="20"/>
                <w:szCs w:val="20"/>
                <w:lang w:val="en-GB" w:eastAsia="en-GB"/>
              </w:rPr>
            </w:pPr>
          </w:p>
        </w:tc>
        <w:tc>
          <w:tcPr>
            <w:tcW w:w="1639" w:type="pct"/>
            <w:tcBorders>
              <w:top w:val="single" w:sz="4" w:space="0" w:color="auto"/>
            </w:tcBorders>
          </w:tcPr>
          <w:p w14:paraId="353E6F53" w14:textId="15A6FB8C"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2,670,124 Ordinary Shares</w:t>
            </w:r>
          </w:p>
        </w:tc>
      </w:tr>
      <w:tr w:rsidR="00E26FED" w:rsidRPr="008D4734" w14:paraId="082BB6F7" w14:textId="77777777" w:rsidTr="00E26FED">
        <w:tc>
          <w:tcPr>
            <w:tcW w:w="1484" w:type="pct"/>
          </w:tcPr>
          <w:p w14:paraId="5D32FB48" w14:textId="601F51CA" w:rsidR="00E26FED" w:rsidRPr="008D4734" w:rsidRDefault="00E26FED" w:rsidP="00E26FED">
            <w:pPr>
              <w:spacing w:after="0"/>
              <w:jc w:val="both"/>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 xml:space="preserve">N </w:t>
            </w:r>
            <w:proofErr w:type="spellStart"/>
            <w:r w:rsidRPr="008D4734">
              <w:rPr>
                <w:rFonts w:ascii="Arial" w:eastAsia="Times New Roman" w:hAnsi="Arial" w:cs="Arial"/>
                <w:sz w:val="20"/>
                <w:szCs w:val="20"/>
                <w:lang w:val="en-GB" w:eastAsia="en-GB"/>
              </w:rPr>
              <w:t>Friedlos</w:t>
            </w:r>
            <w:proofErr w:type="spellEnd"/>
          </w:p>
        </w:tc>
        <w:tc>
          <w:tcPr>
            <w:tcW w:w="1721" w:type="pct"/>
          </w:tcPr>
          <w:p w14:paraId="0E8741D1" w14:textId="420CD492"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161,410 Ordinary Shares</w:t>
            </w:r>
          </w:p>
        </w:tc>
        <w:tc>
          <w:tcPr>
            <w:tcW w:w="156" w:type="pct"/>
          </w:tcPr>
          <w:p w14:paraId="75F49716" w14:textId="77777777" w:rsidR="00E26FED" w:rsidRPr="008D4734" w:rsidRDefault="00E26FED" w:rsidP="00E26FED">
            <w:pPr>
              <w:spacing w:after="0"/>
              <w:jc w:val="right"/>
              <w:rPr>
                <w:rFonts w:ascii="Arial" w:eastAsia="Times New Roman" w:hAnsi="Arial" w:cs="Arial"/>
                <w:sz w:val="20"/>
                <w:szCs w:val="20"/>
                <w:lang w:val="en-GB" w:eastAsia="en-GB"/>
              </w:rPr>
            </w:pPr>
          </w:p>
        </w:tc>
        <w:tc>
          <w:tcPr>
            <w:tcW w:w="1639" w:type="pct"/>
          </w:tcPr>
          <w:p w14:paraId="67B2962A" w14:textId="0143AD0D"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161,410 Ordinary Shares</w:t>
            </w:r>
          </w:p>
        </w:tc>
      </w:tr>
      <w:tr w:rsidR="00E26FED" w:rsidRPr="008D4734" w14:paraId="5D63E971" w14:textId="77777777" w:rsidTr="00E26FED">
        <w:tc>
          <w:tcPr>
            <w:tcW w:w="1484" w:type="pct"/>
          </w:tcPr>
          <w:p w14:paraId="1016CBC5" w14:textId="3F0BD0FE" w:rsidR="00E26FED" w:rsidRPr="008D4734" w:rsidRDefault="00E26FED" w:rsidP="00E26FED">
            <w:pPr>
              <w:spacing w:after="0"/>
              <w:jc w:val="both"/>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P Harvey</w:t>
            </w:r>
          </w:p>
        </w:tc>
        <w:tc>
          <w:tcPr>
            <w:tcW w:w="1721" w:type="pct"/>
          </w:tcPr>
          <w:p w14:paraId="280CF644" w14:textId="1C526E31"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20,000 Ordinary Shares</w:t>
            </w:r>
          </w:p>
        </w:tc>
        <w:tc>
          <w:tcPr>
            <w:tcW w:w="156" w:type="pct"/>
          </w:tcPr>
          <w:p w14:paraId="14505417" w14:textId="77777777" w:rsidR="00E26FED" w:rsidRPr="008D4734" w:rsidRDefault="00E26FED" w:rsidP="00E26FED">
            <w:pPr>
              <w:spacing w:after="0"/>
              <w:jc w:val="right"/>
              <w:rPr>
                <w:rFonts w:ascii="Arial" w:eastAsia="Times New Roman" w:hAnsi="Arial" w:cs="Arial"/>
                <w:sz w:val="20"/>
                <w:szCs w:val="20"/>
                <w:lang w:val="en-GB" w:eastAsia="en-GB"/>
              </w:rPr>
            </w:pPr>
          </w:p>
        </w:tc>
        <w:tc>
          <w:tcPr>
            <w:tcW w:w="1639" w:type="pct"/>
          </w:tcPr>
          <w:p w14:paraId="78C04D7F" w14:textId="215A168F"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20,000 Ordinary Shares</w:t>
            </w:r>
          </w:p>
        </w:tc>
      </w:tr>
      <w:tr w:rsidR="00E26FED" w:rsidRPr="008D4734" w14:paraId="3A40C47F" w14:textId="77777777" w:rsidTr="00E26FED">
        <w:tc>
          <w:tcPr>
            <w:tcW w:w="1484" w:type="pct"/>
          </w:tcPr>
          <w:p w14:paraId="5CFF783A" w14:textId="1C0F65DC" w:rsidR="00E26FED" w:rsidRPr="008D4734" w:rsidRDefault="00E26FED" w:rsidP="00E26FED">
            <w:pPr>
              <w:spacing w:after="0"/>
              <w:jc w:val="both"/>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G Stedman</w:t>
            </w:r>
          </w:p>
        </w:tc>
        <w:tc>
          <w:tcPr>
            <w:tcW w:w="1721" w:type="pct"/>
          </w:tcPr>
          <w:p w14:paraId="51943DCD" w14:textId="1820393E"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20,000 Ordinary Shares</w:t>
            </w:r>
          </w:p>
        </w:tc>
        <w:tc>
          <w:tcPr>
            <w:tcW w:w="156" w:type="pct"/>
          </w:tcPr>
          <w:p w14:paraId="3F13BD09" w14:textId="77777777" w:rsidR="00E26FED" w:rsidRPr="008D4734" w:rsidRDefault="00E26FED" w:rsidP="00E26FED">
            <w:pPr>
              <w:spacing w:after="0"/>
              <w:jc w:val="right"/>
              <w:rPr>
                <w:rFonts w:ascii="Arial" w:eastAsia="Times New Roman" w:hAnsi="Arial" w:cs="Arial"/>
                <w:sz w:val="20"/>
                <w:szCs w:val="20"/>
                <w:lang w:val="en-GB" w:eastAsia="en-GB"/>
              </w:rPr>
            </w:pPr>
          </w:p>
        </w:tc>
        <w:tc>
          <w:tcPr>
            <w:tcW w:w="1639" w:type="pct"/>
          </w:tcPr>
          <w:p w14:paraId="72CD8C3F" w14:textId="2740ADB8" w:rsidR="00E26FED" w:rsidRPr="008D4734" w:rsidRDefault="00E26FED" w:rsidP="00E26FED">
            <w:pPr>
              <w:spacing w:after="0"/>
              <w:jc w:val="right"/>
              <w:rPr>
                <w:rFonts w:ascii="Arial" w:eastAsia="Times New Roman" w:hAnsi="Arial" w:cs="Arial"/>
                <w:sz w:val="20"/>
                <w:szCs w:val="20"/>
                <w:lang w:val="en-GB" w:eastAsia="en-GB"/>
              </w:rPr>
            </w:pPr>
            <w:r w:rsidRPr="008D4734">
              <w:rPr>
                <w:rFonts w:ascii="Arial" w:eastAsia="Times New Roman" w:hAnsi="Arial" w:cs="Arial"/>
                <w:sz w:val="20"/>
                <w:szCs w:val="20"/>
                <w:lang w:val="en-GB" w:eastAsia="en-GB"/>
              </w:rPr>
              <w:t>20,000 Ordinary Shares</w:t>
            </w:r>
          </w:p>
        </w:tc>
      </w:tr>
    </w:tbl>
    <w:p w14:paraId="69B5EAEB" w14:textId="77777777" w:rsidR="00891B3A" w:rsidRPr="008D4734" w:rsidRDefault="00891B3A" w:rsidP="00891B3A">
      <w:pPr>
        <w:shd w:val="clear" w:color="auto" w:fill="FFFFFF"/>
        <w:spacing w:after="0"/>
        <w:rPr>
          <w:rFonts w:ascii="Arial" w:eastAsia="Times New Roman" w:hAnsi="Arial" w:cs="Arial"/>
          <w:lang w:val="en-GB" w:eastAsia="en-GB"/>
        </w:rPr>
      </w:pPr>
    </w:p>
    <w:p w14:paraId="03021CBB" w14:textId="77777777" w:rsidR="00891B3A" w:rsidRPr="008D4734" w:rsidRDefault="00891B3A" w:rsidP="00891B3A">
      <w:pPr>
        <w:shd w:val="clear" w:color="auto" w:fill="FFFFFF"/>
        <w:spacing w:after="0"/>
        <w:rPr>
          <w:rFonts w:ascii="Arial" w:eastAsia="Times New Roman" w:hAnsi="Arial" w:cs="Arial"/>
          <w:sz w:val="20"/>
          <w:szCs w:val="20"/>
          <w:lang w:val="en-GB" w:eastAsia="en-GB"/>
        </w:rPr>
      </w:pPr>
    </w:p>
    <w:p w14:paraId="5C38E25D" w14:textId="5BCEC83D" w:rsidR="00891B3A" w:rsidRDefault="00891B3A" w:rsidP="00891B3A">
      <w:pPr>
        <w:widowControl/>
        <w:spacing w:after="0" w:line="259" w:lineRule="auto"/>
        <w:jc w:val="both"/>
        <w:rPr>
          <w:rFonts w:ascii="Arial" w:eastAsia="Georgia" w:hAnsi="Arial" w:cs="Arial"/>
          <w:bCs/>
          <w:lang w:val="en-GB"/>
        </w:rPr>
      </w:pPr>
    </w:p>
    <w:p w14:paraId="26E4BC08" w14:textId="300E39A7" w:rsidR="00EB4E0F" w:rsidRDefault="00EB4E0F" w:rsidP="00891B3A">
      <w:pPr>
        <w:widowControl/>
        <w:spacing w:after="0" w:line="259" w:lineRule="auto"/>
        <w:jc w:val="both"/>
        <w:rPr>
          <w:rFonts w:ascii="Arial" w:eastAsia="Georgia" w:hAnsi="Arial" w:cs="Arial"/>
          <w:bCs/>
          <w:lang w:val="en-GB"/>
        </w:rPr>
      </w:pPr>
    </w:p>
    <w:p w14:paraId="2CC67EBB" w14:textId="55F89536" w:rsidR="00EB4E0F" w:rsidRDefault="00EB4E0F" w:rsidP="00891B3A">
      <w:pPr>
        <w:widowControl/>
        <w:spacing w:after="0" w:line="259" w:lineRule="auto"/>
        <w:jc w:val="both"/>
        <w:rPr>
          <w:rFonts w:ascii="Arial" w:eastAsia="Georgia" w:hAnsi="Arial" w:cs="Arial"/>
          <w:bCs/>
          <w:lang w:val="en-GB"/>
        </w:rPr>
      </w:pPr>
    </w:p>
    <w:p w14:paraId="3C812B2F" w14:textId="42627980" w:rsidR="00EB4E0F" w:rsidRDefault="00EB4E0F" w:rsidP="00891B3A">
      <w:pPr>
        <w:widowControl/>
        <w:spacing w:after="0" w:line="259" w:lineRule="auto"/>
        <w:jc w:val="both"/>
        <w:rPr>
          <w:rFonts w:ascii="Arial" w:eastAsia="Georgia" w:hAnsi="Arial" w:cs="Arial"/>
          <w:bCs/>
          <w:lang w:val="en-GB"/>
        </w:rPr>
      </w:pPr>
    </w:p>
    <w:p w14:paraId="56DBEBA8" w14:textId="4DEC62CC" w:rsidR="00EB4E0F" w:rsidRDefault="00EB4E0F" w:rsidP="00891B3A">
      <w:pPr>
        <w:widowControl/>
        <w:spacing w:after="0" w:line="259" w:lineRule="auto"/>
        <w:jc w:val="both"/>
        <w:rPr>
          <w:rFonts w:ascii="Arial" w:eastAsia="Georgia" w:hAnsi="Arial" w:cs="Arial"/>
          <w:bCs/>
          <w:lang w:val="en-GB"/>
        </w:rPr>
      </w:pPr>
    </w:p>
    <w:p w14:paraId="009712FD" w14:textId="3EC03672" w:rsidR="00EB4E0F" w:rsidRDefault="00EB4E0F" w:rsidP="00891B3A">
      <w:pPr>
        <w:widowControl/>
        <w:spacing w:after="0" w:line="259" w:lineRule="auto"/>
        <w:jc w:val="both"/>
        <w:rPr>
          <w:rFonts w:ascii="Arial" w:eastAsia="Georgia" w:hAnsi="Arial" w:cs="Arial"/>
          <w:bCs/>
          <w:lang w:val="en-GB"/>
        </w:rPr>
      </w:pPr>
    </w:p>
    <w:p w14:paraId="6EF598A4" w14:textId="5EEDC017" w:rsidR="00EB4E0F" w:rsidRDefault="00EB4E0F" w:rsidP="00891B3A">
      <w:pPr>
        <w:widowControl/>
        <w:spacing w:after="0" w:line="259" w:lineRule="auto"/>
        <w:jc w:val="both"/>
        <w:rPr>
          <w:rFonts w:ascii="Arial" w:eastAsia="Georgia" w:hAnsi="Arial" w:cs="Arial"/>
          <w:bCs/>
          <w:lang w:val="en-GB"/>
        </w:rPr>
      </w:pPr>
    </w:p>
    <w:p w14:paraId="61EF1D93" w14:textId="77777777" w:rsidR="00EB4E0F" w:rsidRPr="008D4734" w:rsidRDefault="00EB4E0F" w:rsidP="00891B3A">
      <w:pPr>
        <w:widowControl/>
        <w:spacing w:after="0" w:line="259" w:lineRule="auto"/>
        <w:jc w:val="both"/>
        <w:rPr>
          <w:rFonts w:ascii="Arial" w:eastAsia="Georgia" w:hAnsi="Arial" w:cs="Arial"/>
          <w:bCs/>
          <w:lang w:val="en-GB"/>
        </w:rPr>
      </w:pPr>
    </w:p>
    <w:p w14:paraId="0D50E3ED" w14:textId="77777777" w:rsidR="00891B3A" w:rsidRPr="008D4734" w:rsidRDefault="00891B3A" w:rsidP="00891B3A">
      <w:pPr>
        <w:widowControl/>
        <w:suppressAutoHyphens w:val="0"/>
        <w:spacing w:line="240" w:lineRule="auto"/>
        <w:rPr>
          <w:rFonts w:ascii="Arial" w:hAnsi="Arial" w:cs="Arial"/>
          <w:sz w:val="20"/>
          <w:szCs w:val="20"/>
        </w:rPr>
      </w:pPr>
      <w:r w:rsidRPr="008D4734">
        <w:rPr>
          <w:rFonts w:ascii="Arial" w:hAnsi="Arial" w:cs="Arial"/>
          <w:b/>
          <w:sz w:val="30"/>
          <w:szCs w:val="30"/>
        </w:rPr>
        <w:lastRenderedPageBreak/>
        <w:t>Notes to the financial information</w:t>
      </w:r>
    </w:p>
    <w:p w14:paraId="7344C247" w14:textId="2D4E8DD5" w:rsidR="00891B3A" w:rsidRDefault="00891B3A" w:rsidP="00891B3A">
      <w:pPr>
        <w:widowControl/>
        <w:spacing w:after="0" w:line="259" w:lineRule="auto"/>
        <w:jc w:val="both"/>
        <w:rPr>
          <w:rFonts w:ascii="Arial" w:eastAsia="Georgia" w:hAnsi="Arial" w:cs="Arial"/>
          <w:bCs/>
          <w:sz w:val="20"/>
          <w:szCs w:val="20"/>
          <w:lang w:val="en-GB"/>
        </w:rPr>
      </w:pPr>
    </w:p>
    <w:p w14:paraId="63BE379E" w14:textId="77777777" w:rsidR="00EB4E0F" w:rsidRPr="008D4734" w:rsidRDefault="00EB4E0F" w:rsidP="00EB4E0F">
      <w:pPr>
        <w:shd w:val="clear" w:color="auto" w:fill="FFFFFF"/>
        <w:rPr>
          <w:rFonts w:ascii="Arial" w:hAnsi="Arial" w:cs="Arial"/>
          <w:b/>
          <w:sz w:val="28"/>
          <w:szCs w:val="28"/>
        </w:rPr>
      </w:pPr>
      <w:r w:rsidRPr="008D4734">
        <w:rPr>
          <w:rFonts w:ascii="Arial" w:hAnsi="Arial" w:cs="Arial"/>
          <w:b/>
          <w:sz w:val="28"/>
          <w:szCs w:val="28"/>
        </w:rPr>
        <w:t>8.</w:t>
      </w:r>
      <w:r w:rsidRPr="008D4734">
        <w:rPr>
          <w:rFonts w:ascii="Arial" w:hAnsi="Arial" w:cs="Arial"/>
          <w:b/>
          <w:sz w:val="28"/>
          <w:szCs w:val="28"/>
        </w:rPr>
        <w:tab/>
        <w:t>Subsidiaries</w:t>
      </w:r>
    </w:p>
    <w:p w14:paraId="13688F21" w14:textId="77777777" w:rsidR="00EB4E0F" w:rsidRPr="008D4734" w:rsidRDefault="00EB4E0F" w:rsidP="00EB4E0F">
      <w:pPr>
        <w:widowControl/>
        <w:spacing w:after="160" w:line="259" w:lineRule="auto"/>
        <w:jc w:val="both"/>
        <w:rPr>
          <w:rFonts w:ascii="Arial" w:eastAsia="Georgia" w:hAnsi="Arial" w:cs="Arial"/>
          <w:bCs/>
          <w:lang w:val="en-GB"/>
        </w:rPr>
      </w:pPr>
      <w:r w:rsidRPr="008D4734">
        <w:rPr>
          <w:rFonts w:ascii="Arial" w:eastAsia="Georgia" w:hAnsi="Arial" w:cs="Arial"/>
          <w:bCs/>
          <w:lang w:val="en-GB"/>
        </w:rPr>
        <w:t>The Company’s subsidiaries are as follows:</w:t>
      </w:r>
    </w:p>
    <w:tbl>
      <w:tblPr>
        <w:tblW w:w="5000" w:type="pct"/>
        <w:tblLayout w:type="fixed"/>
        <w:tblLook w:val="04A0" w:firstRow="1" w:lastRow="0" w:firstColumn="1" w:lastColumn="0" w:noHBand="0" w:noVBand="1"/>
      </w:tblPr>
      <w:tblGrid>
        <w:gridCol w:w="3837"/>
        <w:gridCol w:w="1988"/>
        <w:gridCol w:w="1279"/>
        <w:gridCol w:w="1966"/>
      </w:tblGrid>
      <w:tr w:rsidR="00EB4E0F" w:rsidRPr="008D4734" w14:paraId="3BEC4763" w14:textId="77777777" w:rsidTr="00DD4631">
        <w:trPr>
          <w:trHeight w:val="282"/>
        </w:trPr>
        <w:tc>
          <w:tcPr>
            <w:tcW w:w="2115" w:type="pct"/>
            <w:tcBorders>
              <w:top w:val="nil"/>
              <w:left w:val="nil"/>
              <w:bottom w:val="single" w:sz="4" w:space="0" w:color="auto"/>
              <w:right w:val="nil"/>
            </w:tcBorders>
            <w:shd w:val="clear" w:color="000000" w:fill="FFFFFF"/>
            <w:noWrap/>
            <w:vAlign w:val="bottom"/>
            <w:hideMark/>
          </w:tcPr>
          <w:p w14:paraId="2D479997" w14:textId="77777777" w:rsidR="00EB4E0F" w:rsidRPr="008D4734" w:rsidRDefault="00EB4E0F" w:rsidP="00DD4631">
            <w:pPr>
              <w:widowControl/>
              <w:spacing w:after="0" w:line="240" w:lineRule="auto"/>
              <w:rPr>
                <w:rFonts w:ascii="Arial" w:eastAsia="Times New Roman" w:hAnsi="Arial" w:cs="Arial"/>
                <w:b/>
                <w:bCs/>
                <w:sz w:val="20"/>
                <w:szCs w:val="20"/>
                <w:lang w:val="en-SG" w:eastAsia="en-SG"/>
              </w:rPr>
            </w:pPr>
            <w:r w:rsidRPr="008D4734">
              <w:rPr>
                <w:rFonts w:ascii="Arial" w:eastAsia="Times New Roman" w:hAnsi="Arial" w:cs="Arial"/>
                <w:b/>
                <w:bCs/>
                <w:sz w:val="20"/>
                <w:szCs w:val="20"/>
                <w:lang w:val="en-SG" w:eastAsia="en-SG"/>
              </w:rPr>
              <w:t>Name</w:t>
            </w:r>
          </w:p>
        </w:tc>
        <w:tc>
          <w:tcPr>
            <w:tcW w:w="1096" w:type="pct"/>
            <w:tcBorders>
              <w:top w:val="nil"/>
              <w:left w:val="nil"/>
              <w:bottom w:val="single" w:sz="4" w:space="0" w:color="auto"/>
              <w:right w:val="nil"/>
            </w:tcBorders>
            <w:shd w:val="clear" w:color="000000" w:fill="FFFFFF"/>
            <w:noWrap/>
            <w:vAlign w:val="bottom"/>
            <w:hideMark/>
          </w:tcPr>
          <w:p w14:paraId="2EDBFCF7" w14:textId="77777777" w:rsidR="00EB4E0F" w:rsidRPr="008D4734" w:rsidRDefault="00EB4E0F" w:rsidP="00DD4631">
            <w:pPr>
              <w:widowControl/>
              <w:spacing w:after="0" w:line="240" w:lineRule="auto"/>
              <w:rPr>
                <w:rFonts w:ascii="Arial" w:eastAsia="Times New Roman" w:hAnsi="Arial" w:cs="Arial"/>
                <w:b/>
                <w:bCs/>
                <w:sz w:val="20"/>
                <w:szCs w:val="20"/>
                <w:lang w:val="en-SG" w:eastAsia="en-SG"/>
              </w:rPr>
            </w:pPr>
            <w:r w:rsidRPr="008D4734">
              <w:rPr>
                <w:rFonts w:ascii="Arial" w:eastAsia="Times New Roman" w:hAnsi="Arial" w:cs="Arial"/>
                <w:b/>
                <w:bCs/>
                <w:sz w:val="20"/>
                <w:szCs w:val="20"/>
                <w:lang w:val="en-SG" w:eastAsia="en-SG"/>
              </w:rPr>
              <w:t xml:space="preserve">Country of incorporation </w:t>
            </w:r>
          </w:p>
        </w:tc>
        <w:tc>
          <w:tcPr>
            <w:tcW w:w="705" w:type="pct"/>
            <w:tcBorders>
              <w:top w:val="nil"/>
              <w:left w:val="nil"/>
              <w:bottom w:val="single" w:sz="4" w:space="0" w:color="auto"/>
              <w:right w:val="nil"/>
            </w:tcBorders>
            <w:shd w:val="clear" w:color="000000" w:fill="FFFFFF"/>
            <w:noWrap/>
            <w:vAlign w:val="bottom"/>
            <w:hideMark/>
          </w:tcPr>
          <w:p w14:paraId="488451AB" w14:textId="77777777" w:rsidR="00EB4E0F" w:rsidRPr="008D4734" w:rsidRDefault="00EB4E0F" w:rsidP="00DD4631">
            <w:pPr>
              <w:widowControl/>
              <w:spacing w:after="0" w:line="240" w:lineRule="auto"/>
              <w:rPr>
                <w:rFonts w:ascii="Arial" w:eastAsia="Times New Roman" w:hAnsi="Arial" w:cs="Arial"/>
                <w:b/>
                <w:bCs/>
                <w:sz w:val="20"/>
                <w:szCs w:val="20"/>
                <w:lang w:val="en-SG" w:eastAsia="en-SG"/>
              </w:rPr>
            </w:pPr>
            <w:r w:rsidRPr="008D4734">
              <w:rPr>
                <w:rFonts w:ascii="Arial" w:eastAsia="Times New Roman" w:hAnsi="Arial" w:cs="Arial"/>
                <w:b/>
                <w:bCs/>
                <w:sz w:val="20"/>
                <w:szCs w:val="20"/>
                <w:lang w:val="en-SG" w:eastAsia="en-SG"/>
              </w:rPr>
              <w:t>Holding %</w:t>
            </w:r>
          </w:p>
        </w:tc>
        <w:tc>
          <w:tcPr>
            <w:tcW w:w="1084" w:type="pct"/>
            <w:tcBorders>
              <w:top w:val="nil"/>
              <w:left w:val="nil"/>
              <w:bottom w:val="single" w:sz="4" w:space="0" w:color="auto"/>
              <w:right w:val="nil"/>
            </w:tcBorders>
            <w:shd w:val="clear" w:color="000000" w:fill="FFFFFF"/>
            <w:noWrap/>
            <w:vAlign w:val="bottom"/>
            <w:hideMark/>
          </w:tcPr>
          <w:p w14:paraId="173DE0F8" w14:textId="77777777" w:rsidR="00EB4E0F" w:rsidRPr="008D4734" w:rsidRDefault="00EB4E0F" w:rsidP="00DD4631">
            <w:pPr>
              <w:widowControl/>
              <w:spacing w:after="0" w:line="240" w:lineRule="auto"/>
              <w:rPr>
                <w:rFonts w:ascii="Arial" w:eastAsia="Times New Roman" w:hAnsi="Arial" w:cs="Arial"/>
                <w:b/>
                <w:bCs/>
                <w:sz w:val="20"/>
                <w:szCs w:val="20"/>
                <w:lang w:val="en-SG" w:eastAsia="en-SG"/>
              </w:rPr>
            </w:pPr>
            <w:r w:rsidRPr="008D4734">
              <w:rPr>
                <w:rFonts w:ascii="Arial" w:eastAsia="Times New Roman" w:hAnsi="Arial" w:cs="Arial"/>
                <w:b/>
                <w:bCs/>
                <w:sz w:val="20"/>
                <w:szCs w:val="20"/>
                <w:lang w:val="en-SG" w:eastAsia="en-SG"/>
              </w:rPr>
              <w:t>Activity</w:t>
            </w:r>
          </w:p>
        </w:tc>
      </w:tr>
      <w:tr w:rsidR="00EB4E0F" w:rsidRPr="008D4734" w14:paraId="4BD869E9" w14:textId="77777777" w:rsidTr="00DD4631">
        <w:trPr>
          <w:trHeight w:val="282"/>
        </w:trPr>
        <w:tc>
          <w:tcPr>
            <w:tcW w:w="2115" w:type="pct"/>
            <w:tcBorders>
              <w:top w:val="nil"/>
              <w:left w:val="nil"/>
              <w:bottom w:val="nil"/>
              <w:right w:val="nil"/>
            </w:tcBorders>
            <w:shd w:val="clear" w:color="000000" w:fill="FFFFFF"/>
            <w:noWrap/>
            <w:vAlign w:val="bottom"/>
            <w:hideMark/>
          </w:tcPr>
          <w:p w14:paraId="727B6AC4"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International Oilfield Services Limited</w:t>
            </w:r>
          </w:p>
        </w:tc>
        <w:tc>
          <w:tcPr>
            <w:tcW w:w="1096" w:type="pct"/>
            <w:tcBorders>
              <w:top w:val="nil"/>
              <w:left w:val="nil"/>
              <w:bottom w:val="nil"/>
              <w:right w:val="nil"/>
            </w:tcBorders>
            <w:shd w:val="clear" w:color="000000" w:fill="FFFFFF"/>
            <w:noWrap/>
            <w:vAlign w:val="bottom"/>
            <w:hideMark/>
          </w:tcPr>
          <w:p w14:paraId="03BBDE30"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Bermuda</w:t>
            </w:r>
          </w:p>
        </w:tc>
        <w:tc>
          <w:tcPr>
            <w:tcW w:w="705" w:type="pct"/>
            <w:tcBorders>
              <w:top w:val="nil"/>
              <w:left w:val="nil"/>
              <w:bottom w:val="nil"/>
              <w:right w:val="nil"/>
            </w:tcBorders>
            <w:shd w:val="clear" w:color="000000" w:fill="FFFFFF"/>
            <w:noWrap/>
            <w:vAlign w:val="bottom"/>
            <w:hideMark/>
          </w:tcPr>
          <w:p w14:paraId="59478A03"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2886863C"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2AF0AD9A" w14:textId="77777777" w:rsidTr="00DD4631">
        <w:trPr>
          <w:trHeight w:val="282"/>
        </w:trPr>
        <w:tc>
          <w:tcPr>
            <w:tcW w:w="2115" w:type="pct"/>
            <w:tcBorders>
              <w:top w:val="nil"/>
              <w:left w:val="nil"/>
              <w:bottom w:val="nil"/>
              <w:right w:val="nil"/>
            </w:tcBorders>
            <w:shd w:val="clear" w:color="000000" w:fill="FFFFFF"/>
            <w:noWrap/>
            <w:vAlign w:val="bottom"/>
            <w:hideMark/>
          </w:tcPr>
          <w:p w14:paraId="4863FFBD"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LMS Capital (Bermuda) Limited</w:t>
            </w:r>
          </w:p>
        </w:tc>
        <w:tc>
          <w:tcPr>
            <w:tcW w:w="1096" w:type="pct"/>
            <w:tcBorders>
              <w:top w:val="nil"/>
              <w:left w:val="nil"/>
              <w:bottom w:val="nil"/>
              <w:right w:val="nil"/>
            </w:tcBorders>
            <w:shd w:val="clear" w:color="000000" w:fill="FFFFFF"/>
            <w:noWrap/>
            <w:vAlign w:val="bottom"/>
            <w:hideMark/>
          </w:tcPr>
          <w:p w14:paraId="3F56C54F"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Bermuda</w:t>
            </w:r>
          </w:p>
        </w:tc>
        <w:tc>
          <w:tcPr>
            <w:tcW w:w="705" w:type="pct"/>
            <w:tcBorders>
              <w:top w:val="nil"/>
              <w:left w:val="nil"/>
              <w:bottom w:val="nil"/>
              <w:right w:val="nil"/>
            </w:tcBorders>
            <w:shd w:val="clear" w:color="000000" w:fill="FFFFFF"/>
            <w:noWrap/>
            <w:vAlign w:val="bottom"/>
            <w:hideMark/>
          </w:tcPr>
          <w:p w14:paraId="7EDC44C2"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6346B73E"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6B89DC37" w14:textId="77777777" w:rsidTr="00DD4631">
        <w:trPr>
          <w:trHeight w:val="282"/>
        </w:trPr>
        <w:tc>
          <w:tcPr>
            <w:tcW w:w="2115" w:type="pct"/>
            <w:tcBorders>
              <w:top w:val="nil"/>
              <w:left w:val="nil"/>
              <w:bottom w:val="nil"/>
              <w:right w:val="nil"/>
            </w:tcBorders>
            <w:shd w:val="clear" w:color="000000" w:fill="FFFFFF"/>
            <w:noWrap/>
            <w:vAlign w:val="bottom"/>
          </w:tcPr>
          <w:p w14:paraId="6E40ABE2"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LMS Capital (General Partner) Limited</w:t>
            </w:r>
          </w:p>
        </w:tc>
        <w:tc>
          <w:tcPr>
            <w:tcW w:w="1096" w:type="pct"/>
            <w:tcBorders>
              <w:top w:val="nil"/>
              <w:left w:val="nil"/>
              <w:bottom w:val="nil"/>
              <w:right w:val="nil"/>
            </w:tcBorders>
            <w:shd w:val="clear" w:color="000000" w:fill="FFFFFF"/>
            <w:noWrap/>
            <w:vAlign w:val="bottom"/>
          </w:tcPr>
          <w:p w14:paraId="420EED1F"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hAnsi="Arial" w:cs="Arial"/>
                <w:sz w:val="20"/>
                <w:szCs w:val="20"/>
                <w:lang w:val="en-GB"/>
              </w:rPr>
              <w:t>Bermuda</w:t>
            </w:r>
          </w:p>
        </w:tc>
        <w:tc>
          <w:tcPr>
            <w:tcW w:w="705" w:type="pct"/>
            <w:tcBorders>
              <w:top w:val="nil"/>
              <w:left w:val="nil"/>
              <w:bottom w:val="nil"/>
              <w:right w:val="nil"/>
            </w:tcBorders>
            <w:shd w:val="clear" w:color="000000" w:fill="FFFFFF"/>
            <w:noWrap/>
            <w:vAlign w:val="bottom"/>
          </w:tcPr>
          <w:p w14:paraId="51AB8704"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tcPr>
          <w:p w14:paraId="3C678C9B"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5E036AE3" w14:textId="77777777" w:rsidTr="00DD4631">
        <w:trPr>
          <w:trHeight w:val="282"/>
        </w:trPr>
        <w:tc>
          <w:tcPr>
            <w:tcW w:w="2115" w:type="pct"/>
            <w:tcBorders>
              <w:top w:val="nil"/>
              <w:left w:val="nil"/>
              <w:bottom w:val="nil"/>
              <w:right w:val="nil"/>
            </w:tcBorders>
            <w:shd w:val="clear" w:color="000000" w:fill="FFFFFF"/>
            <w:noWrap/>
            <w:vAlign w:val="bottom"/>
            <w:hideMark/>
          </w:tcPr>
          <w:p w14:paraId="22D215E1"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LMS Capital Group Limited</w:t>
            </w:r>
          </w:p>
        </w:tc>
        <w:tc>
          <w:tcPr>
            <w:tcW w:w="1096" w:type="pct"/>
            <w:tcBorders>
              <w:top w:val="nil"/>
              <w:left w:val="nil"/>
              <w:bottom w:val="nil"/>
              <w:right w:val="nil"/>
            </w:tcBorders>
            <w:shd w:val="clear" w:color="000000" w:fill="FFFFFF"/>
            <w:noWrap/>
            <w:vAlign w:val="bottom"/>
            <w:hideMark/>
          </w:tcPr>
          <w:p w14:paraId="709E21CA"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7D834667"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3030DFB8"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2AF02401" w14:textId="77777777" w:rsidTr="00DD4631">
        <w:trPr>
          <w:trHeight w:val="282"/>
        </w:trPr>
        <w:tc>
          <w:tcPr>
            <w:tcW w:w="2115" w:type="pct"/>
            <w:tcBorders>
              <w:top w:val="nil"/>
              <w:left w:val="nil"/>
              <w:bottom w:val="nil"/>
              <w:right w:val="nil"/>
            </w:tcBorders>
            <w:shd w:val="clear" w:color="000000" w:fill="FFFFFF"/>
            <w:noWrap/>
            <w:vAlign w:val="bottom"/>
            <w:hideMark/>
          </w:tcPr>
          <w:p w14:paraId="44286686"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LMS Capital Holdings Limited</w:t>
            </w:r>
          </w:p>
        </w:tc>
        <w:tc>
          <w:tcPr>
            <w:tcW w:w="1096" w:type="pct"/>
            <w:tcBorders>
              <w:top w:val="nil"/>
              <w:left w:val="nil"/>
              <w:bottom w:val="nil"/>
              <w:right w:val="nil"/>
            </w:tcBorders>
            <w:shd w:val="clear" w:color="000000" w:fill="FFFFFF"/>
            <w:noWrap/>
            <w:vAlign w:val="bottom"/>
            <w:hideMark/>
          </w:tcPr>
          <w:p w14:paraId="5CF1F746"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49A8150A"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503C0DF4"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4B20F638" w14:textId="77777777" w:rsidTr="00DD4631">
        <w:trPr>
          <w:trHeight w:val="282"/>
        </w:trPr>
        <w:tc>
          <w:tcPr>
            <w:tcW w:w="2115" w:type="pct"/>
            <w:tcBorders>
              <w:top w:val="nil"/>
              <w:left w:val="nil"/>
              <w:bottom w:val="nil"/>
              <w:right w:val="nil"/>
            </w:tcBorders>
            <w:shd w:val="clear" w:color="000000" w:fill="FFFFFF"/>
            <w:noWrap/>
            <w:vAlign w:val="bottom"/>
            <w:hideMark/>
          </w:tcPr>
          <w:p w14:paraId="59A21673"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Lioness Property Investments Limited</w:t>
            </w:r>
          </w:p>
        </w:tc>
        <w:tc>
          <w:tcPr>
            <w:tcW w:w="1096" w:type="pct"/>
            <w:tcBorders>
              <w:top w:val="nil"/>
              <w:left w:val="nil"/>
              <w:bottom w:val="nil"/>
              <w:right w:val="nil"/>
            </w:tcBorders>
            <w:shd w:val="clear" w:color="000000" w:fill="FFFFFF"/>
            <w:noWrap/>
            <w:vAlign w:val="bottom"/>
            <w:hideMark/>
          </w:tcPr>
          <w:p w14:paraId="3A441CAF"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620D366C"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2FEDA6B3"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7B44C824" w14:textId="77777777" w:rsidTr="00DD4631">
        <w:trPr>
          <w:trHeight w:val="282"/>
        </w:trPr>
        <w:tc>
          <w:tcPr>
            <w:tcW w:w="2115" w:type="pct"/>
            <w:tcBorders>
              <w:top w:val="nil"/>
              <w:left w:val="nil"/>
              <w:bottom w:val="nil"/>
              <w:right w:val="nil"/>
            </w:tcBorders>
            <w:shd w:val="clear" w:color="000000" w:fill="FFFFFF"/>
            <w:noWrap/>
            <w:vAlign w:val="bottom"/>
            <w:hideMark/>
          </w:tcPr>
          <w:p w14:paraId="4A92B057"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Lion Property Investments Limited</w:t>
            </w:r>
          </w:p>
        </w:tc>
        <w:tc>
          <w:tcPr>
            <w:tcW w:w="1096" w:type="pct"/>
            <w:tcBorders>
              <w:top w:val="nil"/>
              <w:left w:val="nil"/>
              <w:bottom w:val="nil"/>
              <w:right w:val="nil"/>
            </w:tcBorders>
            <w:shd w:val="clear" w:color="000000" w:fill="FFFFFF"/>
            <w:noWrap/>
            <w:vAlign w:val="bottom"/>
            <w:hideMark/>
          </w:tcPr>
          <w:p w14:paraId="7883C5F4"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724E255D"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3AFC4736"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67D97EDF" w14:textId="77777777" w:rsidTr="00DD4631">
        <w:trPr>
          <w:trHeight w:val="282"/>
        </w:trPr>
        <w:tc>
          <w:tcPr>
            <w:tcW w:w="2115" w:type="pct"/>
            <w:tcBorders>
              <w:top w:val="nil"/>
              <w:left w:val="nil"/>
              <w:bottom w:val="nil"/>
              <w:right w:val="nil"/>
            </w:tcBorders>
            <w:shd w:val="clear" w:color="000000" w:fill="FFFFFF"/>
            <w:noWrap/>
            <w:vAlign w:val="bottom"/>
            <w:hideMark/>
          </w:tcPr>
          <w:p w14:paraId="18BF1201"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Lion Investments Limited</w:t>
            </w:r>
          </w:p>
        </w:tc>
        <w:tc>
          <w:tcPr>
            <w:tcW w:w="1096" w:type="pct"/>
            <w:tcBorders>
              <w:top w:val="nil"/>
              <w:left w:val="nil"/>
              <w:bottom w:val="nil"/>
              <w:right w:val="nil"/>
            </w:tcBorders>
            <w:shd w:val="clear" w:color="000000" w:fill="FFFFFF"/>
            <w:noWrap/>
            <w:vAlign w:val="bottom"/>
            <w:hideMark/>
          </w:tcPr>
          <w:p w14:paraId="75226CD4"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44B5F142"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12F54EB7"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3D600EA2" w14:textId="77777777" w:rsidTr="00DD4631">
        <w:trPr>
          <w:trHeight w:val="282"/>
        </w:trPr>
        <w:tc>
          <w:tcPr>
            <w:tcW w:w="2115" w:type="pct"/>
            <w:tcBorders>
              <w:top w:val="nil"/>
              <w:left w:val="nil"/>
              <w:bottom w:val="nil"/>
              <w:right w:val="nil"/>
            </w:tcBorders>
            <w:shd w:val="clear" w:color="000000" w:fill="FFFFFF"/>
            <w:noWrap/>
            <w:vAlign w:val="bottom"/>
            <w:hideMark/>
          </w:tcPr>
          <w:p w14:paraId="1DE51A4A"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Lion Cub Property Investments Limited</w:t>
            </w:r>
          </w:p>
        </w:tc>
        <w:tc>
          <w:tcPr>
            <w:tcW w:w="1096" w:type="pct"/>
            <w:tcBorders>
              <w:top w:val="nil"/>
              <w:left w:val="nil"/>
              <w:bottom w:val="nil"/>
              <w:right w:val="nil"/>
            </w:tcBorders>
            <w:shd w:val="clear" w:color="000000" w:fill="FFFFFF"/>
            <w:noWrap/>
            <w:vAlign w:val="bottom"/>
            <w:hideMark/>
          </w:tcPr>
          <w:p w14:paraId="792E4439"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7EFC3983"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2D374BB4"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Dormant</w:t>
            </w:r>
          </w:p>
        </w:tc>
      </w:tr>
      <w:tr w:rsidR="00EB4E0F" w:rsidRPr="008D4734" w14:paraId="089D9E1F" w14:textId="77777777" w:rsidTr="00DD4631">
        <w:trPr>
          <w:trHeight w:val="282"/>
        </w:trPr>
        <w:tc>
          <w:tcPr>
            <w:tcW w:w="2115" w:type="pct"/>
            <w:tcBorders>
              <w:top w:val="nil"/>
              <w:left w:val="nil"/>
              <w:bottom w:val="nil"/>
              <w:right w:val="nil"/>
            </w:tcBorders>
            <w:shd w:val="clear" w:color="000000" w:fill="FFFFFF"/>
            <w:noWrap/>
            <w:vAlign w:val="bottom"/>
            <w:hideMark/>
          </w:tcPr>
          <w:p w14:paraId="291E3951"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Tiger Investments Limited</w:t>
            </w:r>
          </w:p>
        </w:tc>
        <w:tc>
          <w:tcPr>
            <w:tcW w:w="1096" w:type="pct"/>
            <w:tcBorders>
              <w:top w:val="nil"/>
              <w:left w:val="nil"/>
              <w:bottom w:val="nil"/>
              <w:right w:val="nil"/>
            </w:tcBorders>
            <w:shd w:val="clear" w:color="000000" w:fill="FFFFFF"/>
            <w:noWrap/>
            <w:vAlign w:val="bottom"/>
            <w:hideMark/>
          </w:tcPr>
          <w:p w14:paraId="07899173"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439DA505"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11D08C28"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60C015BE" w14:textId="77777777" w:rsidTr="00DD4631">
        <w:trPr>
          <w:trHeight w:val="282"/>
        </w:trPr>
        <w:tc>
          <w:tcPr>
            <w:tcW w:w="2115" w:type="pct"/>
            <w:tcBorders>
              <w:top w:val="nil"/>
              <w:left w:val="nil"/>
              <w:bottom w:val="nil"/>
              <w:right w:val="nil"/>
            </w:tcBorders>
            <w:shd w:val="clear" w:color="000000" w:fill="FFFFFF"/>
            <w:noWrap/>
            <w:vAlign w:val="bottom"/>
            <w:hideMark/>
          </w:tcPr>
          <w:p w14:paraId="21C7B898"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LMS Tiger Investments (II) Limited</w:t>
            </w:r>
          </w:p>
        </w:tc>
        <w:tc>
          <w:tcPr>
            <w:tcW w:w="1096" w:type="pct"/>
            <w:tcBorders>
              <w:top w:val="nil"/>
              <w:left w:val="nil"/>
              <w:bottom w:val="nil"/>
              <w:right w:val="nil"/>
            </w:tcBorders>
            <w:shd w:val="clear" w:color="000000" w:fill="FFFFFF"/>
            <w:noWrap/>
            <w:vAlign w:val="bottom"/>
            <w:hideMark/>
          </w:tcPr>
          <w:p w14:paraId="060174F1"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00EFED3D"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0F6CECAB"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56292B04" w14:textId="77777777" w:rsidTr="00DD4631">
        <w:trPr>
          <w:trHeight w:val="282"/>
        </w:trPr>
        <w:tc>
          <w:tcPr>
            <w:tcW w:w="2115" w:type="pct"/>
            <w:tcBorders>
              <w:top w:val="nil"/>
              <w:left w:val="nil"/>
              <w:bottom w:val="nil"/>
              <w:right w:val="nil"/>
            </w:tcBorders>
            <w:shd w:val="clear" w:color="000000" w:fill="FFFFFF"/>
            <w:noWrap/>
            <w:vAlign w:val="bottom"/>
            <w:hideMark/>
          </w:tcPr>
          <w:p w14:paraId="440EF327"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proofErr w:type="spellStart"/>
            <w:r w:rsidRPr="008D4734">
              <w:rPr>
                <w:rFonts w:ascii="Arial" w:eastAsia="Times New Roman" w:hAnsi="Arial" w:cs="Arial"/>
                <w:sz w:val="20"/>
                <w:szCs w:val="20"/>
                <w:lang w:val="en-SG" w:eastAsia="en-SG"/>
              </w:rPr>
              <w:t>Westpool</w:t>
            </w:r>
            <w:proofErr w:type="spellEnd"/>
            <w:r w:rsidRPr="008D4734">
              <w:rPr>
                <w:rFonts w:ascii="Arial" w:eastAsia="Times New Roman" w:hAnsi="Arial" w:cs="Arial"/>
                <w:sz w:val="20"/>
                <w:szCs w:val="20"/>
                <w:lang w:val="en-SG" w:eastAsia="en-SG"/>
              </w:rPr>
              <w:t xml:space="preserve"> Investment Trust plc</w:t>
            </w:r>
          </w:p>
        </w:tc>
        <w:tc>
          <w:tcPr>
            <w:tcW w:w="1096" w:type="pct"/>
            <w:tcBorders>
              <w:top w:val="nil"/>
              <w:left w:val="nil"/>
              <w:bottom w:val="nil"/>
              <w:right w:val="nil"/>
            </w:tcBorders>
            <w:shd w:val="clear" w:color="000000" w:fill="FFFFFF"/>
            <w:noWrap/>
            <w:vAlign w:val="bottom"/>
            <w:hideMark/>
          </w:tcPr>
          <w:p w14:paraId="0C92E827"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hideMark/>
          </w:tcPr>
          <w:p w14:paraId="7AE0D07E"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hideMark/>
          </w:tcPr>
          <w:p w14:paraId="1DAB780C"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Investment holding</w:t>
            </w:r>
          </w:p>
        </w:tc>
      </w:tr>
      <w:tr w:rsidR="00EB4E0F" w:rsidRPr="008D4734" w14:paraId="3E9F162C" w14:textId="77777777" w:rsidTr="00DD4631">
        <w:trPr>
          <w:trHeight w:val="282"/>
        </w:trPr>
        <w:tc>
          <w:tcPr>
            <w:tcW w:w="2115" w:type="pct"/>
            <w:tcBorders>
              <w:top w:val="nil"/>
              <w:left w:val="nil"/>
              <w:bottom w:val="nil"/>
              <w:right w:val="nil"/>
            </w:tcBorders>
            <w:shd w:val="clear" w:color="000000" w:fill="FFFFFF"/>
            <w:noWrap/>
            <w:vAlign w:val="bottom"/>
          </w:tcPr>
          <w:p w14:paraId="04641D50"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proofErr w:type="spellStart"/>
            <w:r w:rsidRPr="008D4734">
              <w:rPr>
                <w:rFonts w:ascii="Arial" w:eastAsia="Times New Roman" w:hAnsi="Arial" w:cs="Arial"/>
                <w:sz w:val="20"/>
                <w:szCs w:val="20"/>
                <w:lang w:val="en-SG" w:eastAsia="en-SG"/>
              </w:rPr>
              <w:t>Cavera</w:t>
            </w:r>
            <w:proofErr w:type="spellEnd"/>
            <w:r w:rsidRPr="008D4734">
              <w:rPr>
                <w:rFonts w:ascii="Arial" w:eastAsia="Times New Roman" w:hAnsi="Arial" w:cs="Arial"/>
                <w:sz w:val="20"/>
                <w:szCs w:val="20"/>
                <w:lang w:val="en-SG" w:eastAsia="en-SG"/>
              </w:rPr>
              <w:t xml:space="preserve"> Limited</w:t>
            </w:r>
          </w:p>
        </w:tc>
        <w:tc>
          <w:tcPr>
            <w:tcW w:w="1096" w:type="pct"/>
            <w:tcBorders>
              <w:top w:val="nil"/>
              <w:left w:val="nil"/>
              <w:bottom w:val="nil"/>
              <w:right w:val="nil"/>
            </w:tcBorders>
            <w:shd w:val="clear" w:color="000000" w:fill="FFFFFF"/>
            <w:noWrap/>
            <w:vAlign w:val="bottom"/>
          </w:tcPr>
          <w:p w14:paraId="0FC525E9"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nil"/>
              <w:right w:val="nil"/>
            </w:tcBorders>
            <w:shd w:val="clear" w:color="000000" w:fill="FFFFFF"/>
            <w:noWrap/>
            <w:vAlign w:val="bottom"/>
          </w:tcPr>
          <w:p w14:paraId="194C16B1"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nil"/>
              <w:right w:val="nil"/>
            </w:tcBorders>
            <w:shd w:val="clear" w:color="000000" w:fill="FFFFFF"/>
            <w:noWrap/>
            <w:vAlign w:val="bottom"/>
          </w:tcPr>
          <w:p w14:paraId="170F3CE0"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Trading</w:t>
            </w:r>
          </w:p>
        </w:tc>
      </w:tr>
      <w:tr w:rsidR="00EB4E0F" w:rsidRPr="008D4734" w14:paraId="09873530" w14:textId="77777777" w:rsidTr="00DD4631">
        <w:trPr>
          <w:trHeight w:val="282"/>
        </w:trPr>
        <w:tc>
          <w:tcPr>
            <w:tcW w:w="2115" w:type="pct"/>
            <w:tcBorders>
              <w:top w:val="nil"/>
              <w:left w:val="nil"/>
              <w:bottom w:val="single" w:sz="4" w:space="0" w:color="auto"/>
              <w:right w:val="nil"/>
            </w:tcBorders>
            <w:shd w:val="clear" w:color="000000" w:fill="FFFFFF"/>
            <w:noWrap/>
            <w:vAlign w:val="bottom"/>
          </w:tcPr>
          <w:p w14:paraId="782263AF"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LMS Co-Invest Limited</w:t>
            </w:r>
          </w:p>
        </w:tc>
        <w:tc>
          <w:tcPr>
            <w:tcW w:w="1096" w:type="pct"/>
            <w:tcBorders>
              <w:top w:val="nil"/>
              <w:left w:val="nil"/>
              <w:bottom w:val="single" w:sz="4" w:space="0" w:color="auto"/>
              <w:right w:val="nil"/>
            </w:tcBorders>
            <w:shd w:val="clear" w:color="000000" w:fill="FFFFFF"/>
            <w:noWrap/>
            <w:vAlign w:val="bottom"/>
          </w:tcPr>
          <w:p w14:paraId="5A571846"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England and Wales</w:t>
            </w:r>
          </w:p>
        </w:tc>
        <w:tc>
          <w:tcPr>
            <w:tcW w:w="705" w:type="pct"/>
            <w:tcBorders>
              <w:top w:val="nil"/>
              <w:left w:val="nil"/>
              <w:bottom w:val="single" w:sz="4" w:space="0" w:color="auto"/>
              <w:right w:val="nil"/>
            </w:tcBorders>
            <w:shd w:val="clear" w:color="000000" w:fill="FFFFFF"/>
            <w:noWrap/>
            <w:vAlign w:val="bottom"/>
          </w:tcPr>
          <w:p w14:paraId="5A4B1E41" w14:textId="77777777" w:rsidR="00EB4E0F" w:rsidRPr="008D4734" w:rsidRDefault="00EB4E0F" w:rsidP="00DD4631">
            <w:pPr>
              <w:widowControl/>
              <w:spacing w:after="0" w:line="240" w:lineRule="auto"/>
              <w:jc w:val="center"/>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100</w:t>
            </w:r>
          </w:p>
        </w:tc>
        <w:tc>
          <w:tcPr>
            <w:tcW w:w="1084" w:type="pct"/>
            <w:tcBorders>
              <w:top w:val="nil"/>
              <w:left w:val="nil"/>
              <w:bottom w:val="single" w:sz="4" w:space="0" w:color="auto"/>
              <w:right w:val="nil"/>
            </w:tcBorders>
            <w:shd w:val="clear" w:color="000000" w:fill="FFFFFF"/>
            <w:noWrap/>
            <w:vAlign w:val="bottom"/>
          </w:tcPr>
          <w:p w14:paraId="0ED481E0" w14:textId="77777777" w:rsidR="00EB4E0F" w:rsidRPr="008D4734" w:rsidRDefault="00EB4E0F" w:rsidP="00DD4631">
            <w:pPr>
              <w:widowControl/>
              <w:spacing w:after="0" w:line="240" w:lineRule="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Trading</w:t>
            </w:r>
          </w:p>
        </w:tc>
      </w:tr>
    </w:tbl>
    <w:p w14:paraId="23101881" w14:textId="77777777" w:rsidR="00EB4E0F" w:rsidRPr="008D4734" w:rsidRDefault="00EB4E0F" w:rsidP="00EB4E0F">
      <w:pPr>
        <w:widowControl/>
        <w:spacing w:after="0" w:line="259" w:lineRule="auto"/>
        <w:jc w:val="both"/>
        <w:rPr>
          <w:rFonts w:ascii="Arial" w:eastAsia="Georgia" w:hAnsi="Arial" w:cs="Arial"/>
          <w:bCs/>
          <w:lang w:val="en-GB"/>
        </w:rPr>
      </w:pPr>
    </w:p>
    <w:p w14:paraId="74A7EE9C" w14:textId="77777777" w:rsidR="00891B3A" w:rsidRPr="008D4734" w:rsidRDefault="00891B3A" w:rsidP="00891B3A">
      <w:pPr>
        <w:widowControl/>
        <w:spacing w:after="160" w:line="259" w:lineRule="auto"/>
        <w:jc w:val="both"/>
        <w:rPr>
          <w:rFonts w:ascii="Arial" w:eastAsia="Georgia" w:hAnsi="Arial" w:cs="Arial"/>
          <w:bCs/>
          <w:lang w:val="en-GB"/>
        </w:rPr>
      </w:pPr>
      <w:r w:rsidRPr="008D4734">
        <w:rPr>
          <w:rFonts w:ascii="Arial" w:eastAsia="Georgia" w:hAnsi="Arial" w:cs="Arial"/>
          <w:bCs/>
          <w:lang w:val="en-GB"/>
        </w:rPr>
        <w:t>The registered office address of the Company’s subsidiaries are as follow:</w:t>
      </w:r>
    </w:p>
    <w:p w14:paraId="6979C1AB" w14:textId="77777777" w:rsidR="00891B3A" w:rsidRPr="008D4734" w:rsidRDefault="00891B3A" w:rsidP="00891B3A">
      <w:pPr>
        <w:widowControl/>
        <w:spacing w:after="160" w:line="259" w:lineRule="auto"/>
        <w:jc w:val="both"/>
        <w:rPr>
          <w:rFonts w:ascii="Arial" w:eastAsia="Georgia" w:hAnsi="Arial" w:cs="Arial"/>
          <w:bCs/>
          <w:lang w:val="en-GB"/>
        </w:rPr>
      </w:pPr>
      <w:r w:rsidRPr="008D4734">
        <w:rPr>
          <w:rFonts w:ascii="Arial" w:eastAsia="Georgia" w:hAnsi="Arial" w:cs="Arial"/>
          <w:bCs/>
          <w:lang w:val="en-GB"/>
        </w:rPr>
        <w:t>Subsidiaries incorporated in England and Wales: 3 Bromley Place, London, United Kingdom, W1T 6DB.</w:t>
      </w:r>
    </w:p>
    <w:p w14:paraId="7F07A5A4" w14:textId="77777777" w:rsidR="00891B3A" w:rsidRPr="008D4734" w:rsidRDefault="00891B3A" w:rsidP="00891B3A">
      <w:pPr>
        <w:widowControl/>
        <w:spacing w:after="160" w:line="259" w:lineRule="auto"/>
        <w:jc w:val="both"/>
        <w:rPr>
          <w:rFonts w:ascii="Arial" w:eastAsia="Georgia" w:hAnsi="Arial" w:cs="Arial"/>
          <w:bCs/>
          <w:lang w:val="en-GB"/>
        </w:rPr>
      </w:pPr>
      <w:r w:rsidRPr="008D4734">
        <w:rPr>
          <w:rFonts w:ascii="Arial" w:eastAsia="Georgia" w:hAnsi="Arial" w:cs="Arial"/>
          <w:bCs/>
          <w:lang w:val="en-GB"/>
        </w:rPr>
        <w:t xml:space="preserve">Subsidiaries and partnerships incorporated in Bermuda: Clarendon House, 2 Church Street, Hamilton HM 11, Bermuda. </w:t>
      </w:r>
    </w:p>
    <w:p w14:paraId="636A93B0" w14:textId="77777777" w:rsidR="00891B3A" w:rsidRPr="008D4734" w:rsidRDefault="00891B3A" w:rsidP="00891B3A">
      <w:pPr>
        <w:pStyle w:val="NormalWeb"/>
        <w:shd w:val="clear" w:color="auto" w:fill="FFFFFF"/>
        <w:spacing w:before="0"/>
        <w:rPr>
          <w:rFonts w:ascii="Arial" w:hAnsi="Arial" w:cs="Arial"/>
        </w:rPr>
      </w:pPr>
    </w:p>
    <w:p w14:paraId="0AB0C4BF" w14:textId="77777777" w:rsidR="00891B3A" w:rsidRPr="008D4734" w:rsidRDefault="00891B3A" w:rsidP="00891B3A">
      <w:pPr>
        <w:shd w:val="clear" w:color="auto" w:fill="FFFFFF"/>
        <w:rPr>
          <w:rFonts w:ascii="Arial" w:hAnsi="Arial" w:cs="Arial"/>
          <w:b/>
          <w:sz w:val="28"/>
          <w:szCs w:val="28"/>
        </w:rPr>
      </w:pPr>
      <w:r w:rsidRPr="008D4734">
        <w:rPr>
          <w:rFonts w:ascii="Arial" w:hAnsi="Arial" w:cs="Arial"/>
          <w:b/>
          <w:sz w:val="28"/>
          <w:szCs w:val="28"/>
        </w:rPr>
        <w:t>9.</w:t>
      </w:r>
      <w:r w:rsidRPr="008D4734">
        <w:rPr>
          <w:rFonts w:ascii="Arial" w:hAnsi="Arial" w:cs="Arial"/>
          <w:b/>
          <w:sz w:val="28"/>
          <w:szCs w:val="28"/>
        </w:rPr>
        <w:tab/>
        <w:t>Net asset value per share</w:t>
      </w:r>
    </w:p>
    <w:p w14:paraId="3A7885E4" w14:textId="77777777" w:rsidR="00891B3A" w:rsidRPr="008D4734" w:rsidRDefault="00891B3A" w:rsidP="00891B3A">
      <w:pPr>
        <w:shd w:val="clear" w:color="auto" w:fill="FFFFFF"/>
        <w:ind w:left="142"/>
        <w:rPr>
          <w:rFonts w:ascii="Arial" w:hAnsi="Arial" w:cs="Arial"/>
        </w:rPr>
      </w:pPr>
      <w:r w:rsidRPr="008D4734">
        <w:rPr>
          <w:rFonts w:ascii="Arial" w:hAnsi="Arial" w:cs="Arial"/>
        </w:rPr>
        <w:t xml:space="preserve">The net asset value per ordinary shares in issue are as follows: </w:t>
      </w:r>
    </w:p>
    <w:tbl>
      <w:tblPr>
        <w:tblW w:w="8931" w:type="dxa"/>
        <w:tblInd w:w="108" w:type="dxa"/>
        <w:tblLook w:val="04A0" w:firstRow="1" w:lastRow="0" w:firstColumn="1" w:lastColumn="0" w:noHBand="0" w:noVBand="1"/>
      </w:tblPr>
      <w:tblGrid>
        <w:gridCol w:w="5056"/>
        <w:gridCol w:w="416"/>
        <w:gridCol w:w="1516"/>
        <w:gridCol w:w="1943"/>
      </w:tblGrid>
      <w:tr w:rsidR="00891B3A" w:rsidRPr="008D4734" w14:paraId="1BFFB5F9" w14:textId="77777777" w:rsidTr="00891B3A">
        <w:trPr>
          <w:trHeight w:val="20"/>
        </w:trPr>
        <w:tc>
          <w:tcPr>
            <w:tcW w:w="5056" w:type="dxa"/>
            <w:tcBorders>
              <w:top w:val="nil"/>
              <w:left w:val="nil"/>
              <w:bottom w:val="single" w:sz="4" w:space="0" w:color="auto"/>
              <w:right w:val="nil"/>
            </w:tcBorders>
            <w:shd w:val="clear" w:color="000000" w:fill="FFFFFF"/>
            <w:noWrap/>
            <w:vAlign w:val="bottom"/>
            <w:hideMark/>
          </w:tcPr>
          <w:p w14:paraId="3CB53FA4"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 </w:t>
            </w:r>
          </w:p>
        </w:tc>
        <w:tc>
          <w:tcPr>
            <w:tcW w:w="416" w:type="dxa"/>
            <w:tcBorders>
              <w:top w:val="nil"/>
              <w:left w:val="nil"/>
              <w:bottom w:val="single" w:sz="4" w:space="0" w:color="auto"/>
              <w:right w:val="nil"/>
            </w:tcBorders>
            <w:shd w:val="clear" w:color="000000" w:fill="FFFFFF"/>
            <w:noWrap/>
            <w:vAlign w:val="bottom"/>
            <w:hideMark/>
          </w:tcPr>
          <w:p w14:paraId="105738D1"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 </w:t>
            </w:r>
          </w:p>
        </w:tc>
        <w:tc>
          <w:tcPr>
            <w:tcW w:w="1516" w:type="dxa"/>
            <w:tcBorders>
              <w:top w:val="nil"/>
              <w:left w:val="nil"/>
              <w:bottom w:val="single" w:sz="4" w:space="0" w:color="auto"/>
              <w:right w:val="nil"/>
            </w:tcBorders>
            <w:shd w:val="clear" w:color="auto" w:fill="FDE9D9" w:themeFill="accent6" w:themeFillTint="33"/>
            <w:noWrap/>
            <w:vAlign w:val="bottom"/>
            <w:hideMark/>
          </w:tcPr>
          <w:p w14:paraId="7D2B7347"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 xml:space="preserve">30 June </w:t>
            </w:r>
          </w:p>
        </w:tc>
        <w:tc>
          <w:tcPr>
            <w:tcW w:w="1943" w:type="dxa"/>
            <w:tcBorders>
              <w:top w:val="nil"/>
              <w:left w:val="nil"/>
              <w:bottom w:val="single" w:sz="4" w:space="0" w:color="auto"/>
              <w:right w:val="nil"/>
            </w:tcBorders>
            <w:shd w:val="clear" w:color="000000" w:fill="FFFFFF"/>
            <w:vAlign w:val="bottom"/>
            <w:hideMark/>
          </w:tcPr>
          <w:p w14:paraId="06F26455"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 xml:space="preserve">31 December </w:t>
            </w:r>
          </w:p>
        </w:tc>
      </w:tr>
      <w:tr w:rsidR="00891B3A" w:rsidRPr="008D4734" w14:paraId="617F6336" w14:textId="77777777" w:rsidTr="00891B3A">
        <w:trPr>
          <w:trHeight w:val="20"/>
        </w:trPr>
        <w:tc>
          <w:tcPr>
            <w:tcW w:w="5056" w:type="dxa"/>
            <w:tcBorders>
              <w:top w:val="nil"/>
              <w:left w:val="nil"/>
              <w:right w:val="nil"/>
            </w:tcBorders>
            <w:shd w:val="clear" w:color="000000" w:fill="FFFFFF"/>
            <w:noWrap/>
            <w:vAlign w:val="bottom"/>
          </w:tcPr>
          <w:p w14:paraId="3BF4C190"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416" w:type="dxa"/>
            <w:tcBorders>
              <w:top w:val="nil"/>
              <w:left w:val="nil"/>
              <w:right w:val="nil"/>
            </w:tcBorders>
            <w:shd w:val="clear" w:color="000000" w:fill="FFFFFF"/>
            <w:noWrap/>
            <w:vAlign w:val="bottom"/>
          </w:tcPr>
          <w:p w14:paraId="37B27C51"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1516" w:type="dxa"/>
            <w:tcBorders>
              <w:top w:val="single" w:sz="4" w:space="0" w:color="auto"/>
              <w:left w:val="nil"/>
              <w:right w:val="nil"/>
            </w:tcBorders>
            <w:shd w:val="clear" w:color="auto" w:fill="FDE9D9" w:themeFill="accent6" w:themeFillTint="33"/>
            <w:noWrap/>
            <w:vAlign w:val="bottom"/>
          </w:tcPr>
          <w:p w14:paraId="55580272"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2021</w:t>
            </w:r>
          </w:p>
        </w:tc>
        <w:tc>
          <w:tcPr>
            <w:tcW w:w="1943" w:type="dxa"/>
            <w:tcBorders>
              <w:top w:val="single" w:sz="4" w:space="0" w:color="auto"/>
              <w:left w:val="nil"/>
              <w:right w:val="nil"/>
            </w:tcBorders>
            <w:shd w:val="clear" w:color="000000" w:fill="FFFFFF"/>
            <w:vAlign w:val="bottom"/>
          </w:tcPr>
          <w:p w14:paraId="2C62B325"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2020</w:t>
            </w:r>
          </w:p>
        </w:tc>
      </w:tr>
      <w:tr w:rsidR="00891B3A" w:rsidRPr="008D4734" w14:paraId="5C7273FB" w14:textId="77777777" w:rsidTr="00891B3A">
        <w:trPr>
          <w:trHeight w:val="20"/>
        </w:trPr>
        <w:tc>
          <w:tcPr>
            <w:tcW w:w="5056" w:type="dxa"/>
            <w:tcBorders>
              <w:top w:val="nil"/>
              <w:left w:val="nil"/>
              <w:bottom w:val="single" w:sz="4" w:space="0" w:color="auto"/>
              <w:right w:val="nil"/>
            </w:tcBorders>
            <w:shd w:val="clear" w:color="000000" w:fill="FFFFFF"/>
            <w:noWrap/>
            <w:vAlign w:val="bottom"/>
          </w:tcPr>
          <w:p w14:paraId="6F0E0779"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416" w:type="dxa"/>
            <w:tcBorders>
              <w:top w:val="nil"/>
              <w:left w:val="nil"/>
              <w:bottom w:val="single" w:sz="4" w:space="0" w:color="auto"/>
              <w:right w:val="nil"/>
            </w:tcBorders>
            <w:shd w:val="clear" w:color="000000" w:fill="FFFFFF"/>
            <w:noWrap/>
            <w:vAlign w:val="bottom"/>
          </w:tcPr>
          <w:p w14:paraId="0841ACA3"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p>
        </w:tc>
        <w:tc>
          <w:tcPr>
            <w:tcW w:w="1516" w:type="dxa"/>
            <w:tcBorders>
              <w:top w:val="nil"/>
              <w:left w:val="nil"/>
              <w:bottom w:val="single" w:sz="4" w:space="0" w:color="auto"/>
              <w:right w:val="nil"/>
            </w:tcBorders>
            <w:shd w:val="clear" w:color="auto" w:fill="FDE9D9" w:themeFill="accent6" w:themeFillTint="33"/>
            <w:noWrap/>
            <w:vAlign w:val="bottom"/>
          </w:tcPr>
          <w:p w14:paraId="5A88B078"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£'000</w:t>
            </w:r>
          </w:p>
        </w:tc>
        <w:tc>
          <w:tcPr>
            <w:tcW w:w="1943" w:type="dxa"/>
            <w:tcBorders>
              <w:top w:val="nil"/>
              <w:left w:val="nil"/>
              <w:bottom w:val="single" w:sz="4" w:space="0" w:color="auto"/>
              <w:right w:val="nil"/>
            </w:tcBorders>
            <w:shd w:val="clear" w:color="000000" w:fill="FFFFFF"/>
            <w:vAlign w:val="bottom"/>
          </w:tcPr>
          <w:p w14:paraId="48E6E1D5"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£'000</w:t>
            </w:r>
          </w:p>
        </w:tc>
      </w:tr>
      <w:tr w:rsidR="00891B3A" w:rsidRPr="008D4734" w14:paraId="0929FAA1" w14:textId="77777777" w:rsidTr="00891B3A">
        <w:trPr>
          <w:trHeight w:val="281"/>
        </w:trPr>
        <w:tc>
          <w:tcPr>
            <w:tcW w:w="5056" w:type="dxa"/>
            <w:tcBorders>
              <w:top w:val="single" w:sz="4" w:space="0" w:color="auto"/>
              <w:left w:val="nil"/>
              <w:bottom w:val="nil"/>
              <w:right w:val="nil"/>
            </w:tcBorders>
            <w:shd w:val="clear" w:color="000000" w:fill="FFFFFF"/>
            <w:noWrap/>
            <w:vAlign w:val="bottom"/>
            <w:hideMark/>
          </w:tcPr>
          <w:p w14:paraId="2DD84897"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Net asset value (£'000)</w:t>
            </w:r>
          </w:p>
        </w:tc>
        <w:tc>
          <w:tcPr>
            <w:tcW w:w="416" w:type="dxa"/>
            <w:tcBorders>
              <w:top w:val="single" w:sz="4" w:space="0" w:color="auto"/>
              <w:left w:val="nil"/>
              <w:bottom w:val="nil"/>
              <w:right w:val="nil"/>
            </w:tcBorders>
            <w:shd w:val="clear" w:color="000000" w:fill="FFFFFF"/>
            <w:noWrap/>
            <w:vAlign w:val="bottom"/>
            <w:hideMark/>
          </w:tcPr>
          <w:p w14:paraId="5D658B9D"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 </w:t>
            </w:r>
          </w:p>
        </w:tc>
        <w:tc>
          <w:tcPr>
            <w:tcW w:w="1516" w:type="dxa"/>
            <w:tcBorders>
              <w:top w:val="single" w:sz="4" w:space="0" w:color="auto"/>
              <w:left w:val="nil"/>
              <w:bottom w:val="nil"/>
              <w:right w:val="nil"/>
            </w:tcBorders>
            <w:shd w:val="clear" w:color="auto" w:fill="FDE9D9" w:themeFill="accent6" w:themeFillTint="33"/>
            <w:noWrap/>
            <w:vAlign w:val="bottom"/>
          </w:tcPr>
          <w:p w14:paraId="1BAA002C" w14:textId="421018DA"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47,</w:t>
            </w:r>
            <w:r w:rsidR="00AD7EBE" w:rsidRPr="008D4734">
              <w:rPr>
                <w:rFonts w:ascii="Arial" w:eastAsia="Times New Roman" w:hAnsi="Arial" w:cs="Arial"/>
                <w:b/>
                <w:sz w:val="20"/>
                <w:szCs w:val="20"/>
                <w:lang w:val="en-SG" w:eastAsia="en-SG"/>
              </w:rPr>
              <w:t>59</w:t>
            </w:r>
            <w:r w:rsidR="000570C8" w:rsidRPr="008D4734">
              <w:rPr>
                <w:rFonts w:ascii="Arial" w:eastAsia="Times New Roman" w:hAnsi="Arial" w:cs="Arial"/>
                <w:b/>
                <w:sz w:val="20"/>
                <w:szCs w:val="20"/>
                <w:lang w:val="en-SG" w:eastAsia="en-SG"/>
              </w:rPr>
              <w:t>2</w:t>
            </w:r>
          </w:p>
        </w:tc>
        <w:tc>
          <w:tcPr>
            <w:tcW w:w="1943" w:type="dxa"/>
            <w:tcBorders>
              <w:top w:val="single" w:sz="4" w:space="0" w:color="auto"/>
              <w:left w:val="nil"/>
              <w:bottom w:val="nil"/>
              <w:right w:val="nil"/>
            </w:tcBorders>
            <w:shd w:val="clear" w:color="auto" w:fill="auto"/>
            <w:noWrap/>
            <w:vAlign w:val="bottom"/>
          </w:tcPr>
          <w:p w14:paraId="63D54E4E"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 xml:space="preserve">47,923 </w:t>
            </w:r>
          </w:p>
        </w:tc>
      </w:tr>
      <w:tr w:rsidR="00891B3A" w:rsidRPr="008D4734" w14:paraId="3A59CCA4" w14:textId="77777777" w:rsidTr="00891B3A">
        <w:trPr>
          <w:trHeight w:val="281"/>
        </w:trPr>
        <w:tc>
          <w:tcPr>
            <w:tcW w:w="5056" w:type="dxa"/>
            <w:tcBorders>
              <w:top w:val="nil"/>
              <w:left w:val="nil"/>
              <w:bottom w:val="nil"/>
              <w:right w:val="nil"/>
            </w:tcBorders>
            <w:shd w:val="clear" w:color="000000" w:fill="FFFFFF"/>
            <w:noWrap/>
            <w:vAlign w:val="bottom"/>
          </w:tcPr>
          <w:p w14:paraId="2A80A25E"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Number of ordinary shares in issue</w:t>
            </w:r>
          </w:p>
        </w:tc>
        <w:tc>
          <w:tcPr>
            <w:tcW w:w="416" w:type="dxa"/>
            <w:tcBorders>
              <w:top w:val="nil"/>
              <w:left w:val="nil"/>
              <w:bottom w:val="nil"/>
              <w:right w:val="nil"/>
            </w:tcBorders>
            <w:shd w:val="clear" w:color="000000" w:fill="FFFFFF"/>
            <w:noWrap/>
            <w:vAlign w:val="bottom"/>
          </w:tcPr>
          <w:p w14:paraId="23E1CC9D"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 </w:t>
            </w:r>
          </w:p>
        </w:tc>
        <w:tc>
          <w:tcPr>
            <w:tcW w:w="1516" w:type="dxa"/>
            <w:tcBorders>
              <w:top w:val="nil"/>
              <w:left w:val="nil"/>
              <w:bottom w:val="nil"/>
              <w:right w:val="nil"/>
            </w:tcBorders>
            <w:shd w:val="clear" w:color="auto" w:fill="FDE9D9" w:themeFill="accent6" w:themeFillTint="33"/>
            <w:noWrap/>
            <w:vAlign w:val="bottom"/>
          </w:tcPr>
          <w:p w14:paraId="28735C0F"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bCs/>
                <w:sz w:val="20"/>
                <w:szCs w:val="20"/>
                <w:lang w:val="en-SG" w:eastAsia="en-SG"/>
              </w:rPr>
            </w:pPr>
            <w:r w:rsidRPr="008D4734">
              <w:rPr>
                <w:rFonts w:ascii="Arial" w:eastAsia="Times New Roman" w:hAnsi="Arial" w:cs="Arial"/>
                <w:b/>
                <w:bCs/>
                <w:sz w:val="20"/>
                <w:szCs w:val="20"/>
                <w:lang w:val="en-SG" w:eastAsia="en-SG"/>
              </w:rPr>
              <w:t xml:space="preserve">80,727,450 </w:t>
            </w:r>
          </w:p>
        </w:tc>
        <w:tc>
          <w:tcPr>
            <w:tcW w:w="1943" w:type="dxa"/>
            <w:tcBorders>
              <w:top w:val="nil"/>
              <w:left w:val="nil"/>
              <w:bottom w:val="nil"/>
              <w:right w:val="nil"/>
            </w:tcBorders>
            <w:shd w:val="clear" w:color="auto" w:fill="auto"/>
            <w:noWrap/>
            <w:vAlign w:val="bottom"/>
          </w:tcPr>
          <w:p w14:paraId="6C9F67B0"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 xml:space="preserve">80,727,450 </w:t>
            </w:r>
          </w:p>
        </w:tc>
      </w:tr>
      <w:tr w:rsidR="00891B3A" w:rsidRPr="008D4734" w14:paraId="38C186D5" w14:textId="77777777" w:rsidTr="00891B3A">
        <w:trPr>
          <w:trHeight w:val="281"/>
        </w:trPr>
        <w:tc>
          <w:tcPr>
            <w:tcW w:w="5056" w:type="dxa"/>
            <w:tcBorders>
              <w:top w:val="nil"/>
              <w:left w:val="nil"/>
              <w:bottom w:val="single" w:sz="4" w:space="0" w:color="auto"/>
              <w:right w:val="nil"/>
            </w:tcBorders>
            <w:shd w:val="clear" w:color="000000" w:fill="FFFFFF"/>
            <w:noWrap/>
            <w:vAlign w:val="bottom"/>
          </w:tcPr>
          <w:p w14:paraId="220C733E"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Net asset value per share (in pence)</w:t>
            </w:r>
          </w:p>
        </w:tc>
        <w:tc>
          <w:tcPr>
            <w:tcW w:w="416" w:type="dxa"/>
            <w:tcBorders>
              <w:top w:val="nil"/>
              <w:left w:val="nil"/>
              <w:bottom w:val="single" w:sz="4" w:space="0" w:color="auto"/>
              <w:right w:val="nil"/>
            </w:tcBorders>
            <w:shd w:val="clear" w:color="000000" w:fill="FFFFFF"/>
            <w:noWrap/>
            <w:vAlign w:val="bottom"/>
          </w:tcPr>
          <w:p w14:paraId="52ADC5D3" w14:textId="77777777" w:rsidR="00891B3A" w:rsidRPr="008D4734" w:rsidRDefault="00891B3A" w:rsidP="00891B3A">
            <w:pPr>
              <w:widowControl/>
              <w:suppressAutoHyphens w:val="0"/>
              <w:autoSpaceDN/>
              <w:spacing w:after="0" w:line="240" w:lineRule="auto"/>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 </w:t>
            </w:r>
          </w:p>
        </w:tc>
        <w:tc>
          <w:tcPr>
            <w:tcW w:w="1516" w:type="dxa"/>
            <w:tcBorders>
              <w:top w:val="nil"/>
              <w:left w:val="nil"/>
              <w:bottom w:val="single" w:sz="4" w:space="0" w:color="auto"/>
              <w:right w:val="nil"/>
            </w:tcBorders>
            <w:shd w:val="clear" w:color="auto" w:fill="FDE9D9" w:themeFill="accent6" w:themeFillTint="33"/>
            <w:noWrap/>
            <w:vAlign w:val="bottom"/>
          </w:tcPr>
          <w:p w14:paraId="6F8B013F" w14:textId="5190979D" w:rsidR="00891B3A" w:rsidRPr="008D4734" w:rsidRDefault="00891B3A" w:rsidP="00891B3A">
            <w:pPr>
              <w:widowControl/>
              <w:suppressAutoHyphens w:val="0"/>
              <w:autoSpaceDN/>
              <w:spacing w:after="0" w:line="240" w:lineRule="auto"/>
              <w:jc w:val="right"/>
              <w:textAlignment w:val="auto"/>
              <w:rPr>
                <w:rFonts w:ascii="Arial" w:eastAsia="Times New Roman" w:hAnsi="Arial" w:cs="Arial"/>
                <w:b/>
                <w:sz w:val="20"/>
                <w:szCs w:val="20"/>
                <w:lang w:val="en-SG" w:eastAsia="en-SG"/>
              </w:rPr>
            </w:pPr>
            <w:r w:rsidRPr="008D4734">
              <w:rPr>
                <w:rFonts w:ascii="Arial" w:eastAsia="Times New Roman" w:hAnsi="Arial" w:cs="Arial"/>
                <w:b/>
                <w:sz w:val="20"/>
                <w:szCs w:val="20"/>
                <w:lang w:val="en-SG" w:eastAsia="en-SG"/>
              </w:rPr>
              <w:t>5</w:t>
            </w:r>
            <w:r w:rsidR="0058350B" w:rsidRPr="008D4734">
              <w:rPr>
                <w:rFonts w:ascii="Arial" w:eastAsia="Times New Roman" w:hAnsi="Arial" w:cs="Arial"/>
                <w:b/>
                <w:sz w:val="20"/>
                <w:szCs w:val="20"/>
                <w:lang w:val="en-SG" w:eastAsia="en-SG"/>
              </w:rPr>
              <w:t>9</w:t>
            </w:r>
            <w:r w:rsidRPr="008D4734">
              <w:rPr>
                <w:rFonts w:ascii="Arial" w:eastAsia="Times New Roman" w:hAnsi="Arial" w:cs="Arial"/>
                <w:b/>
                <w:sz w:val="20"/>
                <w:szCs w:val="20"/>
                <w:lang w:val="en-SG" w:eastAsia="en-SG"/>
              </w:rPr>
              <w:t>.</w:t>
            </w:r>
            <w:r w:rsidR="0058350B" w:rsidRPr="008D4734">
              <w:rPr>
                <w:rFonts w:ascii="Arial" w:eastAsia="Times New Roman" w:hAnsi="Arial" w:cs="Arial"/>
                <w:b/>
                <w:sz w:val="20"/>
                <w:szCs w:val="20"/>
                <w:lang w:val="en-SG" w:eastAsia="en-SG"/>
              </w:rPr>
              <w:t>0</w:t>
            </w:r>
            <w:r w:rsidRPr="008D4734">
              <w:rPr>
                <w:rFonts w:ascii="Arial" w:eastAsia="Times New Roman" w:hAnsi="Arial" w:cs="Arial"/>
                <w:b/>
                <w:sz w:val="20"/>
                <w:szCs w:val="20"/>
                <w:lang w:val="en-SG" w:eastAsia="en-SG"/>
              </w:rPr>
              <w:t xml:space="preserve"> pence</w:t>
            </w:r>
          </w:p>
        </w:tc>
        <w:tc>
          <w:tcPr>
            <w:tcW w:w="1943" w:type="dxa"/>
            <w:tcBorders>
              <w:top w:val="nil"/>
              <w:left w:val="nil"/>
              <w:bottom w:val="single" w:sz="4" w:space="0" w:color="auto"/>
              <w:right w:val="nil"/>
            </w:tcBorders>
            <w:shd w:val="clear" w:color="auto" w:fill="auto"/>
            <w:noWrap/>
            <w:vAlign w:val="bottom"/>
          </w:tcPr>
          <w:p w14:paraId="42BBC6AC" w14:textId="77777777" w:rsidR="00891B3A" w:rsidRPr="008D4734" w:rsidRDefault="00891B3A" w:rsidP="00891B3A">
            <w:pPr>
              <w:widowControl/>
              <w:suppressAutoHyphens w:val="0"/>
              <w:autoSpaceDN/>
              <w:spacing w:after="0" w:line="240" w:lineRule="auto"/>
              <w:jc w:val="right"/>
              <w:textAlignment w:val="auto"/>
              <w:rPr>
                <w:rFonts w:ascii="Arial" w:eastAsia="Times New Roman" w:hAnsi="Arial" w:cs="Arial"/>
                <w:sz w:val="20"/>
                <w:szCs w:val="20"/>
                <w:lang w:val="en-SG" w:eastAsia="en-SG"/>
              </w:rPr>
            </w:pPr>
            <w:r w:rsidRPr="008D4734">
              <w:rPr>
                <w:rFonts w:ascii="Arial" w:eastAsia="Times New Roman" w:hAnsi="Arial" w:cs="Arial"/>
                <w:sz w:val="20"/>
                <w:szCs w:val="20"/>
                <w:lang w:val="en-SG" w:eastAsia="en-SG"/>
              </w:rPr>
              <w:t>59.4 pence</w:t>
            </w:r>
          </w:p>
        </w:tc>
      </w:tr>
    </w:tbl>
    <w:p w14:paraId="735E64C1" w14:textId="77777777" w:rsidR="00891B3A" w:rsidRPr="008D4734" w:rsidRDefault="00891B3A" w:rsidP="00891B3A">
      <w:pPr>
        <w:shd w:val="clear" w:color="auto" w:fill="FFFFFF"/>
        <w:rPr>
          <w:rFonts w:ascii="Arial" w:hAnsi="Arial" w:cs="Arial"/>
          <w:b/>
          <w:sz w:val="28"/>
          <w:szCs w:val="28"/>
        </w:rPr>
      </w:pPr>
    </w:p>
    <w:p w14:paraId="37EFBD9F" w14:textId="469A2684" w:rsidR="001C1ED4" w:rsidRPr="008D4734" w:rsidRDefault="00891B3A" w:rsidP="008D17BD">
      <w:pPr>
        <w:shd w:val="clear" w:color="auto" w:fill="FFFFFF"/>
        <w:rPr>
          <w:rFonts w:ascii="Arial" w:hAnsi="Arial" w:cs="Arial"/>
          <w:b/>
          <w:sz w:val="28"/>
          <w:szCs w:val="28"/>
        </w:rPr>
      </w:pPr>
      <w:r w:rsidRPr="008D4734">
        <w:rPr>
          <w:rFonts w:ascii="Arial" w:hAnsi="Arial" w:cs="Arial"/>
          <w:b/>
          <w:sz w:val="28"/>
          <w:szCs w:val="28"/>
        </w:rPr>
        <w:t>10.</w:t>
      </w:r>
      <w:r w:rsidRPr="008D4734">
        <w:rPr>
          <w:rFonts w:ascii="Arial" w:hAnsi="Arial" w:cs="Arial"/>
          <w:b/>
          <w:sz w:val="28"/>
          <w:szCs w:val="28"/>
        </w:rPr>
        <w:tab/>
        <w:t>Subsequent Event</w:t>
      </w:r>
    </w:p>
    <w:p w14:paraId="11BF8706" w14:textId="647BE8EF" w:rsidR="00891B3A" w:rsidRPr="00C67A93" w:rsidRDefault="00891B3A" w:rsidP="00891B3A">
      <w:pPr>
        <w:spacing w:after="0"/>
        <w:jc w:val="both"/>
        <w:rPr>
          <w:rFonts w:ascii="Arial" w:eastAsia="Georgia" w:hAnsi="Arial" w:cs="Arial"/>
          <w:bCs/>
        </w:rPr>
      </w:pPr>
      <w:r w:rsidRPr="008D4734">
        <w:rPr>
          <w:rFonts w:ascii="Arial" w:eastAsia="Georgia" w:hAnsi="Arial" w:cs="Arial"/>
          <w:bCs/>
        </w:rPr>
        <w:t xml:space="preserve">There are </w:t>
      </w:r>
      <w:r w:rsidR="008D17BD" w:rsidRPr="008D4734">
        <w:rPr>
          <w:rFonts w:ascii="Arial" w:eastAsia="Georgia" w:hAnsi="Arial" w:cs="Arial"/>
          <w:bCs/>
        </w:rPr>
        <w:t>no</w:t>
      </w:r>
      <w:r w:rsidRPr="008D4734">
        <w:rPr>
          <w:rFonts w:ascii="Arial" w:eastAsia="Georgia" w:hAnsi="Arial" w:cs="Arial"/>
          <w:bCs/>
        </w:rPr>
        <w:t xml:space="preserve"> subsequent events that would materially affect the interpretation of these Financial Statements.</w:t>
      </w:r>
    </w:p>
    <w:p w14:paraId="7BABA46D" w14:textId="77777777" w:rsidR="00891B3A" w:rsidRPr="00C67A93" w:rsidRDefault="00891B3A" w:rsidP="00891B3A">
      <w:pPr>
        <w:spacing w:after="0"/>
        <w:rPr>
          <w:rFonts w:ascii="Arial" w:hAnsi="Arial" w:cs="Arial"/>
        </w:rPr>
      </w:pPr>
    </w:p>
    <w:p w14:paraId="316D86D6" w14:textId="77777777" w:rsidR="00891B3A" w:rsidRDefault="00891B3A" w:rsidP="00891B3A">
      <w:pPr>
        <w:spacing w:after="0"/>
        <w:rPr>
          <w:rFonts w:ascii="Arial" w:hAnsi="Arial" w:cs="Arial"/>
        </w:rPr>
      </w:pPr>
    </w:p>
    <w:p w14:paraId="51DA977C" w14:textId="77777777" w:rsidR="00891B3A" w:rsidRDefault="00891B3A" w:rsidP="00891B3A">
      <w:pPr>
        <w:spacing w:after="0"/>
        <w:rPr>
          <w:rFonts w:ascii="Arial" w:hAnsi="Arial" w:cs="Arial"/>
        </w:rPr>
      </w:pPr>
    </w:p>
    <w:p w14:paraId="665341D2" w14:textId="77777777" w:rsidR="00891B3A" w:rsidRPr="0088739C" w:rsidRDefault="00891B3A" w:rsidP="0088739C">
      <w:pPr>
        <w:rPr>
          <w:rFonts w:ascii="Arial" w:hAnsi="Arial" w:cs="Arial"/>
        </w:rPr>
      </w:pPr>
      <w:r w:rsidRPr="0088739C">
        <w:rPr>
          <w:rFonts w:ascii="Arial" w:hAnsi="Arial" w:cs="Arial"/>
          <w:b/>
          <w:sz w:val="32"/>
          <w:szCs w:val="32"/>
        </w:rPr>
        <w:lastRenderedPageBreak/>
        <w:t>Statement of Directors’ responsibilities</w:t>
      </w:r>
    </w:p>
    <w:p w14:paraId="231100BD" w14:textId="035CD863" w:rsidR="00891B3A" w:rsidRPr="0088739C" w:rsidRDefault="00891B3A" w:rsidP="0088739C">
      <w:pPr>
        <w:jc w:val="both"/>
        <w:rPr>
          <w:rFonts w:ascii="Arial" w:hAnsi="Arial" w:cs="Arial"/>
        </w:rPr>
      </w:pPr>
      <w:r w:rsidRPr="0088739C">
        <w:rPr>
          <w:rFonts w:ascii="Arial" w:eastAsia="Times New Roman" w:hAnsi="Arial" w:cs="Arial"/>
          <w:lang w:val="en-GB" w:eastAsia="en-GB"/>
        </w:rPr>
        <w:t xml:space="preserve">The Directors listed on pages </w:t>
      </w:r>
      <w:r w:rsidR="00EC3C28" w:rsidRPr="0088739C">
        <w:rPr>
          <w:rFonts w:ascii="Arial" w:eastAsia="Times New Roman" w:hAnsi="Arial" w:cs="Arial"/>
          <w:lang w:val="en-GB" w:eastAsia="en-GB"/>
        </w:rPr>
        <w:t>26-27</w:t>
      </w:r>
      <w:r w:rsidRPr="0088739C">
        <w:rPr>
          <w:rFonts w:ascii="Arial" w:eastAsia="Times New Roman" w:hAnsi="Arial" w:cs="Arial"/>
          <w:lang w:val="en-GB" w:eastAsia="en-GB"/>
        </w:rPr>
        <w:t xml:space="preserve"> of the Company’s Annual Report for the period ended 30 </w:t>
      </w:r>
      <w:r w:rsidR="00AD5414" w:rsidRPr="0088739C">
        <w:rPr>
          <w:rFonts w:ascii="Arial" w:eastAsia="Times New Roman" w:hAnsi="Arial" w:cs="Arial"/>
          <w:lang w:val="en-GB" w:eastAsia="en-GB"/>
        </w:rPr>
        <w:t>December 2020</w:t>
      </w:r>
      <w:r w:rsidRPr="0088739C">
        <w:rPr>
          <w:rFonts w:ascii="Arial" w:eastAsia="Times New Roman" w:hAnsi="Arial" w:cs="Arial"/>
          <w:lang w:val="en-GB" w:eastAsia="en-GB"/>
        </w:rPr>
        <w:t xml:space="preserve"> continued in office during the six months ended 30 June 2021. </w:t>
      </w:r>
    </w:p>
    <w:p w14:paraId="5E561844" w14:textId="77777777" w:rsidR="00891B3A" w:rsidRPr="0088739C" w:rsidRDefault="00891B3A" w:rsidP="0088739C">
      <w:pPr>
        <w:jc w:val="both"/>
        <w:rPr>
          <w:rFonts w:ascii="Arial" w:eastAsia="Times New Roman" w:hAnsi="Arial" w:cs="Arial"/>
          <w:lang w:val="en-GB" w:eastAsia="en-GB"/>
        </w:rPr>
      </w:pPr>
      <w:r w:rsidRPr="0088739C">
        <w:rPr>
          <w:rFonts w:ascii="Arial" w:eastAsia="Times New Roman" w:hAnsi="Arial" w:cs="Arial"/>
          <w:lang w:val="en-GB" w:eastAsia="en-GB"/>
        </w:rPr>
        <w:t>We confirm that to the best of our knowledge:</w:t>
      </w:r>
    </w:p>
    <w:p w14:paraId="27EDDF17" w14:textId="2855294E" w:rsidR="00891B3A" w:rsidRPr="0088739C" w:rsidRDefault="00891B3A" w:rsidP="0088739C">
      <w:pPr>
        <w:widowControl/>
        <w:numPr>
          <w:ilvl w:val="0"/>
          <w:numId w:val="7"/>
        </w:numPr>
        <w:suppressAutoHyphens w:val="0"/>
        <w:spacing w:line="240" w:lineRule="auto"/>
        <w:jc w:val="both"/>
        <w:textAlignment w:val="auto"/>
        <w:rPr>
          <w:rFonts w:ascii="Arial" w:eastAsia="Times New Roman" w:hAnsi="Arial" w:cs="Arial"/>
          <w:lang w:val="en-GB" w:eastAsia="en-GB"/>
        </w:rPr>
      </w:pPr>
      <w:r w:rsidRPr="0088739C">
        <w:rPr>
          <w:rFonts w:ascii="Arial" w:eastAsia="Times New Roman" w:hAnsi="Arial" w:cs="Arial"/>
          <w:lang w:val="en-GB" w:eastAsia="en-GB"/>
        </w:rPr>
        <w:t xml:space="preserve">the condensed Financial Statements have been prepared </w:t>
      </w:r>
      <w:r w:rsidR="00D4599C">
        <w:rPr>
          <w:rFonts w:ascii="Arial" w:eastAsia="Times New Roman" w:hAnsi="Arial" w:cs="Arial"/>
          <w:lang w:val="en-GB" w:eastAsia="en-GB"/>
        </w:rPr>
        <w:t xml:space="preserve">in </w:t>
      </w:r>
      <w:r w:rsidR="00801286" w:rsidRPr="00801286">
        <w:rPr>
          <w:rFonts w:ascii="Arial" w:eastAsia="Times New Roman" w:hAnsi="Arial" w:cs="Arial"/>
          <w:lang w:val="en-GB" w:eastAsia="en-GB"/>
        </w:rPr>
        <w:t>accordance with UK adopted International Accounting Standard 34, 'Interim Financial Reporting' and the Disclosure Guidance and Transparency Rules sourcebook of the United Kingdom’s Financial Conduct Authority</w:t>
      </w:r>
      <w:r w:rsidRPr="0088739C">
        <w:rPr>
          <w:rFonts w:ascii="Arial" w:eastAsia="Times New Roman" w:hAnsi="Arial" w:cs="Arial"/>
          <w:lang w:val="en-GB" w:eastAsia="en-GB"/>
        </w:rPr>
        <w:t>; and</w:t>
      </w:r>
    </w:p>
    <w:p w14:paraId="6B944EE4" w14:textId="77777777" w:rsidR="00891B3A" w:rsidRPr="0088739C" w:rsidRDefault="00891B3A" w:rsidP="0088739C">
      <w:pPr>
        <w:widowControl/>
        <w:numPr>
          <w:ilvl w:val="0"/>
          <w:numId w:val="7"/>
        </w:numPr>
        <w:suppressAutoHyphens w:val="0"/>
        <w:spacing w:line="240" w:lineRule="auto"/>
        <w:jc w:val="both"/>
        <w:textAlignment w:val="auto"/>
        <w:rPr>
          <w:rFonts w:ascii="Arial" w:eastAsia="Times New Roman" w:hAnsi="Arial" w:cs="Arial"/>
          <w:lang w:val="en-GB" w:eastAsia="en-GB"/>
        </w:rPr>
      </w:pPr>
      <w:r w:rsidRPr="0088739C">
        <w:rPr>
          <w:rFonts w:ascii="Arial" w:eastAsia="Times New Roman" w:hAnsi="Arial" w:cs="Arial"/>
          <w:lang w:val="en-GB" w:eastAsia="en-GB"/>
        </w:rPr>
        <w:t>the interim management report includes a fair review of the information required by:</w:t>
      </w:r>
    </w:p>
    <w:p w14:paraId="33A3835B" w14:textId="77777777" w:rsidR="00891B3A" w:rsidRPr="0088739C" w:rsidRDefault="00891B3A" w:rsidP="0088739C">
      <w:pPr>
        <w:widowControl/>
        <w:numPr>
          <w:ilvl w:val="1"/>
          <w:numId w:val="7"/>
        </w:numPr>
        <w:suppressAutoHyphens w:val="0"/>
        <w:spacing w:line="240" w:lineRule="auto"/>
        <w:jc w:val="both"/>
        <w:textAlignment w:val="auto"/>
        <w:rPr>
          <w:rFonts w:ascii="Arial" w:hAnsi="Arial" w:cs="Arial"/>
        </w:rPr>
      </w:pPr>
      <w:r w:rsidRPr="0088739C">
        <w:rPr>
          <w:rFonts w:ascii="Arial" w:eastAsia="Times New Roman" w:hAnsi="Arial" w:cs="Arial"/>
          <w:lang w:val="en-GB" w:eastAsia="en-GB"/>
        </w:rPr>
        <w:t>DTR 4.2.7R of the Disclosure and Transparency Rules, being an indication of              important events that have occurred during the first six months of the current           financial year and their impact on the condensed Financial Statements, and a          description of the principal risks and uncertainties for the remaining six months of the year; and</w:t>
      </w:r>
    </w:p>
    <w:p w14:paraId="22F2FDB9" w14:textId="0D6605D2" w:rsidR="00891B3A" w:rsidRPr="0088739C" w:rsidRDefault="00891B3A" w:rsidP="0088739C">
      <w:pPr>
        <w:widowControl/>
        <w:numPr>
          <w:ilvl w:val="1"/>
          <w:numId w:val="7"/>
        </w:numPr>
        <w:suppressAutoHyphens w:val="0"/>
        <w:spacing w:after="0" w:line="240" w:lineRule="auto"/>
        <w:jc w:val="both"/>
        <w:textAlignment w:val="auto"/>
        <w:rPr>
          <w:rFonts w:ascii="Arial" w:hAnsi="Arial" w:cs="Arial"/>
        </w:rPr>
      </w:pPr>
      <w:r w:rsidRPr="0088739C">
        <w:rPr>
          <w:rFonts w:ascii="Arial" w:eastAsia="Times New Roman" w:hAnsi="Arial" w:cs="Arial"/>
          <w:lang w:val="en-GB" w:eastAsia="en-GB"/>
        </w:rPr>
        <w:t>DTR 4.2.8R of the Disclosure and Transparency Rules, being related party            transactions that have taken place in the first six months of the current financial year and that have materially affected the financial position or performance of the Company during that period; and any changes in the related party transactions</w:t>
      </w:r>
      <w:r w:rsidR="00801286">
        <w:rPr>
          <w:rFonts w:ascii="Arial" w:eastAsia="Times New Roman" w:hAnsi="Arial" w:cs="Arial"/>
          <w:lang w:val="en-GB" w:eastAsia="en-GB"/>
        </w:rPr>
        <w:t xml:space="preserve"> </w:t>
      </w:r>
      <w:r w:rsidRPr="0088739C">
        <w:rPr>
          <w:rFonts w:ascii="Arial" w:eastAsia="Times New Roman" w:hAnsi="Arial" w:cs="Arial"/>
          <w:lang w:val="en-GB" w:eastAsia="en-GB"/>
        </w:rPr>
        <w:t xml:space="preserve">described in the last annual report that could do so. </w:t>
      </w:r>
    </w:p>
    <w:p w14:paraId="5EFC5681" w14:textId="77777777" w:rsidR="00891B3A" w:rsidRPr="0088739C" w:rsidRDefault="00891B3A" w:rsidP="0088739C">
      <w:pPr>
        <w:spacing w:before="240"/>
        <w:rPr>
          <w:rFonts w:ascii="Arial" w:hAnsi="Arial" w:cs="Arial"/>
        </w:rPr>
      </w:pPr>
      <w:r w:rsidRPr="0088739C">
        <w:rPr>
          <w:rFonts w:ascii="Arial" w:eastAsia="Times New Roman" w:hAnsi="Arial" w:cs="Arial"/>
          <w:lang w:val="en-GB" w:eastAsia="en-GB"/>
        </w:rPr>
        <w:tab/>
      </w:r>
      <w:r w:rsidRPr="0088739C">
        <w:rPr>
          <w:rFonts w:ascii="Arial" w:eastAsia="Times New Roman" w:hAnsi="Arial" w:cs="Arial"/>
          <w:lang w:val="en-GB" w:eastAsia="en-GB"/>
        </w:rPr>
        <w:tab/>
      </w:r>
      <w:r w:rsidRPr="0088739C">
        <w:rPr>
          <w:rFonts w:ascii="Arial" w:eastAsia="Times New Roman" w:hAnsi="Arial" w:cs="Arial"/>
          <w:lang w:val="en-GB" w:eastAsia="en-GB"/>
        </w:rPr>
        <w:tab/>
      </w:r>
      <w:r w:rsidRPr="0088739C">
        <w:rPr>
          <w:rFonts w:ascii="Arial" w:eastAsia="Times New Roman" w:hAnsi="Arial" w:cs="Arial"/>
          <w:lang w:val="en-GB" w:eastAsia="en-GB"/>
        </w:rPr>
        <w:tab/>
      </w:r>
    </w:p>
    <w:p w14:paraId="118F8AD4" w14:textId="77777777" w:rsidR="00891B3A" w:rsidRPr="0088739C" w:rsidRDefault="00891B3A" w:rsidP="0088739C">
      <w:pPr>
        <w:rPr>
          <w:rFonts w:ascii="Arial" w:eastAsia="Times New Roman" w:hAnsi="Arial" w:cs="Arial"/>
          <w:lang w:val="en-GB" w:eastAsia="en-GB"/>
        </w:rPr>
      </w:pPr>
      <w:r w:rsidRPr="0088739C">
        <w:rPr>
          <w:rFonts w:ascii="Arial" w:eastAsia="Times New Roman" w:hAnsi="Arial" w:cs="Arial"/>
          <w:lang w:val="en-GB" w:eastAsia="en-GB"/>
        </w:rPr>
        <w:t xml:space="preserve">Nicholas Robert </w:t>
      </w:r>
      <w:proofErr w:type="spellStart"/>
      <w:r w:rsidRPr="0088739C">
        <w:rPr>
          <w:rFonts w:ascii="Arial" w:eastAsia="Times New Roman" w:hAnsi="Arial" w:cs="Arial"/>
          <w:lang w:val="en-GB" w:eastAsia="en-GB"/>
        </w:rPr>
        <w:t>Friedlos</w:t>
      </w:r>
      <w:proofErr w:type="spellEnd"/>
      <w:r w:rsidRPr="0088739C" w:rsidDel="003836A4">
        <w:rPr>
          <w:rFonts w:ascii="Arial" w:eastAsia="Times New Roman" w:hAnsi="Arial" w:cs="Arial"/>
          <w:lang w:val="en-GB" w:eastAsia="en-GB"/>
        </w:rPr>
        <w:t xml:space="preserve"> </w:t>
      </w:r>
    </w:p>
    <w:p w14:paraId="4ACD9313" w14:textId="77777777" w:rsidR="00891B3A" w:rsidRPr="0088739C" w:rsidRDefault="00891B3A" w:rsidP="0088739C">
      <w:pPr>
        <w:rPr>
          <w:rFonts w:ascii="Arial" w:eastAsia="Times New Roman" w:hAnsi="Arial" w:cs="Arial"/>
          <w:lang w:val="en-GB" w:eastAsia="en-GB"/>
        </w:rPr>
      </w:pPr>
      <w:r w:rsidRPr="0088739C">
        <w:rPr>
          <w:rFonts w:ascii="Arial" w:eastAsia="Times New Roman" w:hAnsi="Arial" w:cs="Arial"/>
          <w:lang w:val="en-GB" w:eastAsia="en-GB"/>
        </w:rPr>
        <w:t xml:space="preserve">Director </w:t>
      </w:r>
    </w:p>
    <w:p w14:paraId="4B901240" w14:textId="39331F05" w:rsidR="00891B3A" w:rsidRPr="0088739C" w:rsidRDefault="001D4120" w:rsidP="0088739C">
      <w:pPr>
        <w:widowControl/>
        <w:spacing w:after="0" w:line="240" w:lineRule="auto"/>
        <w:jc w:val="both"/>
        <w:rPr>
          <w:rFonts w:ascii="Arial" w:eastAsia="Times New Roman" w:hAnsi="Arial" w:cs="Arial"/>
          <w:shd w:val="clear" w:color="auto" w:fill="FFFF00"/>
          <w:lang w:val="en-GB" w:eastAsia="en-GB"/>
        </w:rPr>
      </w:pPr>
      <w:r>
        <w:rPr>
          <w:rFonts w:ascii="Arial" w:eastAsia="Times New Roman" w:hAnsi="Arial" w:cs="Arial"/>
          <w:lang w:val="en-GB" w:eastAsia="en-GB"/>
        </w:rPr>
        <w:t>2</w:t>
      </w:r>
      <w:r w:rsidR="00891B3A" w:rsidRPr="0088739C">
        <w:rPr>
          <w:rFonts w:ascii="Arial" w:eastAsia="Times New Roman" w:hAnsi="Arial" w:cs="Arial"/>
          <w:lang w:val="en-GB" w:eastAsia="en-GB"/>
        </w:rPr>
        <w:t xml:space="preserve"> </w:t>
      </w:r>
      <w:r w:rsidR="00F95F68" w:rsidRPr="0088739C">
        <w:rPr>
          <w:rFonts w:ascii="Arial" w:eastAsia="Times New Roman" w:hAnsi="Arial" w:cs="Arial"/>
          <w:lang w:val="en-GB" w:eastAsia="en-GB"/>
        </w:rPr>
        <w:t>August</w:t>
      </w:r>
      <w:r w:rsidR="00891B3A" w:rsidRPr="0088739C">
        <w:rPr>
          <w:rFonts w:ascii="Arial" w:eastAsia="Times New Roman" w:hAnsi="Arial" w:cs="Arial"/>
          <w:lang w:val="en-GB" w:eastAsia="en-GB"/>
        </w:rPr>
        <w:t xml:space="preserve"> 2021</w:t>
      </w:r>
    </w:p>
    <w:p w14:paraId="7118ECA0" w14:textId="77777777" w:rsidR="00891B3A" w:rsidRPr="00C67A93" w:rsidRDefault="00891B3A" w:rsidP="00891B3A">
      <w:pPr>
        <w:shd w:val="clear" w:color="auto" w:fill="FFFFFF"/>
        <w:jc w:val="both"/>
        <w:rPr>
          <w:rFonts w:ascii="Arial" w:hAnsi="Arial" w:cs="Arial"/>
          <w:highlight w:val="yellow"/>
        </w:rPr>
      </w:pPr>
    </w:p>
    <w:p w14:paraId="643AABFC" w14:textId="77777777" w:rsidR="00891B3A" w:rsidRDefault="00891B3A" w:rsidP="00891B3A">
      <w:pPr>
        <w:shd w:val="clear" w:color="auto" w:fill="FFFFFF"/>
        <w:jc w:val="both"/>
        <w:rPr>
          <w:rFonts w:ascii="Arial" w:hAnsi="Arial" w:cs="Arial"/>
          <w:highlight w:val="yellow"/>
        </w:rPr>
      </w:pPr>
    </w:p>
    <w:p w14:paraId="39E4D81C" w14:textId="77777777" w:rsidR="00891B3A" w:rsidRPr="00C67A93" w:rsidRDefault="00891B3A" w:rsidP="00891B3A">
      <w:pPr>
        <w:shd w:val="clear" w:color="auto" w:fill="FFFFFF"/>
        <w:jc w:val="both"/>
        <w:rPr>
          <w:rFonts w:ascii="Arial" w:hAnsi="Arial" w:cs="Arial"/>
          <w:highlight w:val="yellow"/>
        </w:rPr>
      </w:pPr>
    </w:p>
    <w:p w14:paraId="1B4383CA" w14:textId="77777777" w:rsidR="00891B3A" w:rsidRPr="00C67A93" w:rsidRDefault="00891B3A" w:rsidP="00891B3A">
      <w:pPr>
        <w:shd w:val="clear" w:color="auto" w:fill="FFFFFF"/>
        <w:jc w:val="both"/>
        <w:rPr>
          <w:rFonts w:ascii="Arial" w:hAnsi="Arial" w:cs="Arial"/>
          <w:highlight w:val="yellow"/>
        </w:rPr>
      </w:pPr>
    </w:p>
    <w:p w14:paraId="08239927" w14:textId="77777777" w:rsidR="00891B3A" w:rsidRPr="00C67A93" w:rsidRDefault="00891B3A" w:rsidP="00891B3A">
      <w:pPr>
        <w:shd w:val="clear" w:color="auto" w:fill="FFFFFF"/>
        <w:rPr>
          <w:rFonts w:ascii="Arial" w:hAnsi="Arial" w:cs="Arial"/>
          <w:highlight w:val="yellow"/>
        </w:rPr>
      </w:pPr>
    </w:p>
    <w:p w14:paraId="58B72C8E" w14:textId="77777777" w:rsidR="00891B3A" w:rsidRPr="00C67A93" w:rsidRDefault="00891B3A" w:rsidP="00891B3A">
      <w:pPr>
        <w:shd w:val="clear" w:color="auto" w:fill="FFFFFF"/>
        <w:rPr>
          <w:rFonts w:ascii="Arial" w:hAnsi="Arial" w:cs="Arial"/>
          <w:highlight w:val="yellow"/>
        </w:rPr>
      </w:pPr>
    </w:p>
    <w:p w14:paraId="0635370E" w14:textId="77777777" w:rsidR="00891B3A" w:rsidRPr="00C67A93" w:rsidRDefault="00891B3A" w:rsidP="00891B3A">
      <w:pPr>
        <w:shd w:val="clear" w:color="auto" w:fill="FFFFFF"/>
        <w:rPr>
          <w:rFonts w:ascii="Arial" w:hAnsi="Arial" w:cs="Arial"/>
          <w:highlight w:val="yellow"/>
        </w:rPr>
      </w:pPr>
    </w:p>
    <w:p w14:paraId="428DC40A" w14:textId="77777777" w:rsidR="00891B3A" w:rsidRPr="00C67A93" w:rsidRDefault="00891B3A" w:rsidP="00891B3A">
      <w:pPr>
        <w:shd w:val="clear" w:color="auto" w:fill="FFFFFF"/>
        <w:rPr>
          <w:rFonts w:ascii="Arial" w:hAnsi="Arial" w:cs="Arial"/>
          <w:highlight w:val="yellow"/>
        </w:rPr>
      </w:pPr>
    </w:p>
    <w:p w14:paraId="53A69710" w14:textId="77777777" w:rsidR="00891B3A" w:rsidRPr="00C67A93" w:rsidRDefault="00891B3A" w:rsidP="00891B3A">
      <w:pPr>
        <w:shd w:val="clear" w:color="auto" w:fill="FFFFFF"/>
        <w:rPr>
          <w:rFonts w:ascii="Arial" w:hAnsi="Arial" w:cs="Arial"/>
          <w:highlight w:val="yellow"/>
        </w:rPr>
      </w:pPr>
    </w:p>
    <w:p w14:paraId="24947C6F" w14:textId="677A0027" w:rsidR="00153FBE" w:rsidRDefault="00153FBE" w:rsidP="00153FBE">
      <w:pPr>
        <w:jc w:val="both"/>
        <w:rPr>
          <w:rFonts w:ascii="Arial" w:hAnsi="Arial" w:cs="Arial"/>
          <w:highlight w:val="yellow"/>
        </w:rPr>
      </w:pPr>
    </w:p>
    <w:p w14:paraId="4E64C8DC" w14:textId="77777777" w:rsidR="00F02B5E" w:rsidRPr="00153FBE" w:rsidRDefault="00F02B5E" w:rsidP="00153FBE">
      <w:pPr>
        <w:jc w:val="both"/>
        <w:rPr>
          <w:rFonts w:ascii="Arial" w:hAnsi="Arial" w:cs="Arial"/>
          <w:b/>
          <w:sz w:val="32"/>
          <w:szCs w:val="32"/>
          <w:highlight w:val="yellow"/>
          <w:lang w:val="en-GB"/>
        </w:rPr>
      </w:pPr>
    </w:p>
    <w:p w14:paraId="6059BE22" w14:textId="02F1821F" w:rsidR="00D20F2E" w:rsidRPr="00D20F2E" w:rsidRDefault="00D20F2E" w:rsidP="00D20F2E">
      <w:pPr>
        <w:jc w:val="both"/>
        <w:rPr>
          <w:rFonts w:ascii="Arial" w:hAnsi="Arial" w:cs="Arial"/>
          <w:b/>
          <w:sz w:val="32"/>
          <w:szCs w:val="32"/>
          <w:lang w:val="en-GB"/>
        </w:rPr>
      </w:pPr>
      <w:r w:rsidRPr="00D20F2E">
        <w:rPr>
          <w:rFonts w:ascii="Arial" w:hAnsi="Arial" w:cs="Arial"/>
          <w:b/>
          <w:sz w:val="32"/>
          <w:szCs w:val="32"/>
          <w:lang w:val="en-GB"/>
        </w:rPr>
        <w:lastRenderedPageBreak/>
        <w:t xml:space="preserve">INDEPENDENT REVIEW REPORT TO </w:t>
      </w:r>
      <w:r>
        <w:rPr>
          <w:rFonts w:ascii="Arial" w:hAnsi="Arial" w:cs="Arial"/>
          <w:b/>
          <w:sz w:val="32"/>
          <w:szCs w:val="32"/>
          <w:lang w:val="en-GB"/>
        </w:rPr>
        <w:t>LMS</w:t>
      </w:r>
      <w:r w:rsidRPr="00D20F2E">
        <w:rPr>
          <w:rFonts w:ascii="Arial" w:hAnsi="Arial" w:cs="Arial"/>
          <w:b/>
          <w:sz w:val="32"/>
          <w:szCs w:val="32"/>
          <w:lang w:val="en-GB"/>
        </w:rPr>
        <w:t xml:space="preserve"> </w:t>
      </w:r>
      <w:r>
        <w:rPr>
          <w:rFonts w:ascii="Arial" w:hAnsi="Arial" w:cs="Arial"/>
          <w:b/>
          <w:sz w:val="32"/>
          <w:szCs w:val="32"/>
          <w:lang w:val="en-GB"/>
        </w:rPr>
        <w:t>CAPITAL</w:t>
      </w:r>
      <w:r w:rsidRPr="00D20F2E">
        <w:rPr>
          <w:rFonts w:ascii="Arial" w:hAnsi="Arial" w:cs="Arial"/>
          <w:b/>
          <w:sz w:val="32"/>
          <w:szCs w:val="32"/>
          <w:lang w:val="en-GB"/>
        </w:rPr>
        <w:t xml:space="preserve"> PLC</w:t>
      </w:r>
    </w:p>
    <w:p w14:paraId="30BFEB87" w14:textId="77777777" w:rsidR="00153FBE" w:rsidRPr="00153FBE" w:rsidRDefault="00153FBE" w:rsidP="00153FBE">
      <w:pPr>
        <w:jc w:val="both"/>
        <w:rPr>
          <w:rFonts w:ascii="Arial" w:hAnsi="Arial" w:cs="Arial"/>
          <w:b/>
          <w:lang w:val="en-GB"/>
        </w:rPr>
      </w:pPr>
      <w:r w:rsidRPr="00153FBE">
        <w:rPr>
          <w:rFonts w:ascii="Arial" w:hAnsi="Arial" w:cs="Arial"/>
          <w:b/>
          <w:lang w:val="en-GB"/>
        </w:rPr>
        <w:t>Introduction</w:t>
      </w:r>
    </w:p>
    <w:p w14:paraId="148CE18A" w14:textId="32D2B589" w:rsidR="00EB4E0F" w:rsidRPr="00EB4E0F" w:rsidRDefault="00EB4E0F" w:rsidP="00EB4E0F">
      <w:pPr>
        <w:jc w:val="both"/>
        <w:rPr>
          <w:rFonts w:ascii="Arial" w:hAnsi="Arial" w:cs="Arial"/>
          <w:bCs/>
          <w:lang w:val="en-GB"/>
        </w:rPr>
      </w:pPr>
      <w:r w:rsidRPr="00EB4E0F">
        <w:rPr>
          <w:rFonts w:ascii="Arial" w:hAnsi="Arial" w:cs="Arial"/>
          <w:bCs/>
          <w:lang w:val="en-GB"/>
        </w:rPr>
        <w:t xml:space="preserve">We have been engaged by the Company to review the condensed set of </w:t>
      </w:r>
      <w:r w:rsidR="00411F3F">
        <w:rPr>
          <w:rFonts w:ascii="Arial" w:hAnsi="Arial" w:cs="Arial"/>
          <w:bCs/>
          <w:lang w:val="en-GB"/>
        </w:rPr>
        <w:t xml:space="preserve">Financial Statements </w:t>
      </w:r>
      <w:r w:rsidRPr="00EB4E0F">
        <w:rPr>
          <w:rFonts w:ascii="Arial" w:hAnsi="Arial" w:cs="Arial"/>
          <w:bCs/>
          <w:lang w:val="en-GB"/>
        </w:rPr>
        <w:t>in the half-yearly financial report for the six months ended 30 June 2021 which comprises the Condensed Income Statement, Condensed Statement of other comprehensive income, Condensed Statement of Financial Position, Statement of Changes in Equity and the Condensed Cash Flow Statement and all accompanying notes.</w:t>
      </w:r>
    </w:p>
    <w:p w14:paraId="7BB523B3" w14:textId="5C439CC9" w:rsidR="00EB4E0F" w:rsidRPr="00EB4E0F" w:rsidRDefault="00EB4E0F" w:rsidP="00EB4E0F">
      <w:pPr>
        <w:jc w:val="both"/>
        <w:rPr>
          <w:rFonts w:ascii="Arial" w:hAnsi="Arial" w:cs="Arial"/>
          <w:bCs/>
          <w:lang w:val="en-GB"/>
        </w:rPr>
      </w:pPr>
      <w:r w:rsidRPr="00EB4E0F">
        <w:rPr>
          <w:rFonts w:ascii="Arial" w:hAnsi="Arial" w:cs="Arial"/>
          <w:bCs/>
          <w:lang w:val="en-GB"/>
        </w:rPr>
        <w:t xml:space="preserve">We have read the other information contained in the half-yearly financial report and considered whether it contains any apparent misstatements or material inconsistencies with the information in the condensed set of </w:t>
      </w:r>
      <w:r w:rsidR="003F69F2">
        <w:rPr>
          <w:rFonts w:ascii="Arial" w:hAnsi="Arial" w:cs="Arial"/>
          <w:bCs/>
          <w:lang w:val="en-GB"/>
        </w:rPr>
        <w:t>F</w:t>
      </w:r>
      <w:r w:rsidRPr="00EB4E0F">
        <w:rPr>
          <w:rFonts w:ascii="Arial" w:hAnsi="Arial" w:cs="Arial"/>
          <w:bCs/>
          <w:lang w:val="en-GB"/>
        </w:rPr>
        <w:t xml:space="preserve">inancial </w:t>
      </w:r>
      <w:r w:rsidR="003F69F2">
        <w:rPr>
          <w:rFonts w:ascii="Arial" w:hAnsi="Arial" w:cs="Arial"/>
          <w:bCs/>
          <w:lang w:val="en-GB"/>
        </w:rPr>
        <w:t>S</w:t>
      </w:r>
      <w:r w:rsidRPr="00EB4E0F">
        <w:rPr>
          <w:rFonts w:ascii="Arial" w:hAnsi="Arial" w:cs="Arial"/>
          <w:bCs/>
          <w:lang w:val="en-GB"/>
        </w:rPr>
        <w:t>tatements.</w:t>
      </w:r>
    </w:p>
    <w:p w14:paraId="6F278F8C" w14:textId="77777777" w:rsidR="00EB4E0F" w:rsidRPr="00EB4E0F" w:rsidRDefault="00EB4E0F" w:rsidP="00EB4E0F">
      <w:pPr>
        <w:jc w:val="both"/>
        <w:rPr>
          <w:rFonts w:ascii="Arial" w:hAnsi="Arial" w:cs="Arial"/>
          <w:b/>
          <w:bCs/>
          <w:lang w:val="en-GB"/>
        </w:rPr>
      </w:pPr>
      <w:r w:rsidRPr="00EB4E0F">
        <w:rPr>
          <w:rFonts w:ascii="Arial" w:hAnsi="Arial" w:cs="Arial"/>
          <w:b/>
          <w:bCs/>
          <w:lang w:val="en-GB"/>
        </w:rPr>
        <w:t>Directors’ responsibilities</w:t>
      </w:r>
    </w:p>
    <w:p w14:paraId="5BBAE212" w14:textId="77777777" w:rsidR="00EB4E0F" w:rsidRPr="00EB4E0F" w:rsidRDefault="00EB4E0F" w:rsidP="00EB4E0F">
      <w:pPr>
        <w:jc w:val="both"/>
        <w:rPr>
          <w:rFonts w:ascii="Arial" w:hAnsi="Arial" w:cs="Arial"/>
          <w:bCs/>
          <w:lang w:val="en-GB"/>
        </w:rPr>
      </w:pPr>
      <w:r w:rsidRPr="00EB4E0F">
        <w:rPr>
          <w:rFonts w:ascii="Arial" w:hAnsi="Arial" w:cs="Arial"/>
          <w:bCs/>
          <w:lang w:val="en-GB"/>
        </w:rPr>
        <w:t>The half-yearly financial report is the responsibility of and has been approved by the directors.  The directors are responsible for preparing the half-yearly financial report in accordance with the Disclosure Guidance and Transparency Rules of the United Kingdom’s Financial Conduct Authority.</w:t>
      </w:r>
    </w:p>
    <w:p w14:paraId="2B7FC241" w14:textId="6090CD8D" w:rsidR="00EB4E0F" w:rsidRPr="00EB4E0F" w:rsidRDefault="00EB4E0F" w:rsidP="00EB4E0F">
      <w:pPr>
        <w:jc w:val="both"/>
        <w:rPr>
          <w:rFonts w:ascii="Arial" w:hAnsi="Arial" w:cs="Arial"/>
          <w:b/>
          <w:bCs/>
          <w:lang w:val="en-GB"/>
        </w:rPr>
      </w:pPr>
      <w:r w:rsidRPr="00EB4E0F">
        <w:rPr>
          <w:rFonts w:ascii="Arial" w:hAnsi="Arial" w:cs="Arial"/>
          <w:bCs/>
          <w:lang w:val="en-GB"/>
        </w:rPr>
        <w:t xml:space="preserve">As disclosed in note 1, the annual </w:t>
      </w:r>
      <w:r w:rsidR="00411F3F">
        <w:rPr>
          <w:rFonts w:ascii="Arial" w:hAnsi="Arial" w:cs="Arial"/>
          <w:bCs/>
          <w:lang w:val="en-GB"/>
        </w:rPr>
        <w:t xml:space="preserve">Financial Statements </w:t>
      </w:r>
      <w:r w:rsidRPr="00EB4E0F">
        <w:rPr>
          <w:rFonts w:ascii="Arial" w:hAnsi="Arial" w:cs="Arial"/>
          <w:bCs/>
          <w:lang w:val="en-GB"/>
        </w:rPr>
        <w:t xml:space="preserve">of the group will be prepared in accordance with UK adopted international accounting standards. The condensed set of </w:t>
      </w:r>
      <w:r w:rsidR="00411F3F">
        <w:rPr>
          <w:rFonts w:ascii="Arial" w:hAnsi="Arial" w:cs="Arial"/>
          <w:bCs/>
          <w:lang w:val="en-GB"/>
        </w:rPr>
        <w:t xml:space="preserve">Financial Statements </w:t>
      </w:r>
      <w:r w:rsidRPr="00EB4E0F">
        <w:rPr>
          <w:rFonts w:ascii="Arial" w:hAnsi="Arial" w:cs="Arial"/>
          <w:bCs/>
          <w:lang w:val="en-GB"/>
        </w:rPr>
        <w:t>included in this interim financial report has been prepared in accordance with UK adopted International Accounting Standard 34, ‘‘Interim Financial Reporting’’.</w:t>
      </w:r>
    </w:p>
    <w:p w14:paraId="5F4BF8CD" w14:textId="2E5CF3DB" w:rsidR="00EB4E0F" w:rsidRPr="00EB4E0F" w:rsidRDefault="00EB4E0F" w:rsidP="00EB4E0F">
      <w:pPr>
        <w:jc w:val="both"/>
        <w:rPr>
          <w:rFonts w:ascii="Arial" w:hAnsi="Arial" w:cs="Arial"/>
          <w:bCs/>
          <w:lang w:val="en-GB"/>
        </w:rPr>
      </w:pPr>
      <w:r w:rsidRPr="00EB4E0F">
        <w:rPr>
          <w:rFonts w:ascii="Arial" w:hAnsi="Arial" w:cs="Arial"/>
          <w:bCs/>
          <w:lang w:val="en-GB"/>
        </w:rPr>
        <w:t xml:space="preserve">Our responsibility is to express to the Company a conclusion on the condensed set of </w:t>
      </w:r>
      <w:r w:rsidR="00411F3F">
        <w:rPr>
          <w:rFonts w:ascii="Arial" w:hAnsi="Arial" w:cs="Arial"/>
          <w:bCs/>
          <w:lang w:val="en-GB"/>
        </w:rPr>
        <w:t xml:space="preserve">Financial Statements </w:t>
      </w:r>
      <w:r w:rsidRPr="00EB4E0F">
        <w:rPr>
          <w:rFonts w:ascii="Arial" w:hAnsi="Arial" w:cs="Arial"/>
          <w:bCs/>
          <w:lang w:val="en-GB"/>
        </w:rPr>
        <w:t>in the half-yearly financial report based on our review.</w:t>
      </w:r>
    </w:p>
    <w:p w14:paraId="0094AB5D" w14:textId="77777777" w:rsidR="00EB4E0F" w:rsidRPr="00EB4E0F" w:rsidRDefault="00EB4E0F" w:rsidP="00EB4E0F">
      <w:pPr>
        <w:jc w:val="both"/>
        <w:rPr>
          <w:rFonts w:ascii="Arial" w:hAnsi="Arial" w:cs="Arial"/>
          <w:b/>
          <w:bCs/>
          <w:lang w:val="en-GB"/>
        </w:rPr>
      </w:pPr>
      <w:r w:rsidRPr="00EB4E0F">
        <w:rPr>
          <w:rFonts w:ascii="Arial" w:hAnsi="Arial" w:cs="Arial"/>
          <w:b/>
          <w:bCs/>
          <w:lang w:val="en-GB"/>
        </w:rPr>
        <w:t>Scope of review</w:t>
      </w:r>
    </w:p>
    <w:p w14:paraId="627ECEEC" w14:textId="77777777" w:rsidR="00EB4E0F" w:rsidRPr="00EB4E0F" w:rsidRDefault="00EB4E0F" w:rsidP="00EB4E0F">
      <w:pPr>
        <w:jc w:val="both"/>
        <w:rPr>
          <w:rFonts w:ascii="Arial" w:hAnsi="Arial" w:cs="Arial"/>
          <w:bCs/>
          <w:lang w:val="en-GB"/>
        </w:rPr>
      </w:pPr>
      <w:r w:rsidRPr="00EB4E0F">
        <w:rPr>
          <w:rFonts w:ascii="Arial" w:hAnsi="Arial" w:cs="Arial"/>
          <w:bCs/>
          <w:lang w:val="en-GB"/>
        </w:rPr>
        <w:t>We conducted our review in accordance with International Standard on Review Engagements (UK and Ireland) 2410, ‘‘Review of Interim Financial Information Performed by the Independent Auditor of the Entity’’, issued by the Financial Reporting Council for use in the United Kingdom.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(UK) and consequently does not enable us to obtain assurance that we would become aware of all significant matters that might be identified in an audit.  Accordingly, we do not express an audit opinion.</w:t>
      </w:r>
    </w:p>
    <w:p w14:paraId="35D52028" w14:textId="77777777" w:rsidR="00EB4E0F" w:rsidRPr="00EB4E0F" w:rsidRDefault="00EB4E0F" w:rsidP="00EB4E0F">
      <w:pPr>
        <w:jc w:val="both"/>
        <w:rPr>
          <w:rFonts w:ascii="Arial" w:hAnsi="Arial" w:cs="Arial"/>
          <w:b/>
          <w:bCs/>
          <w:lang w:val="en-GB"/>
        </w:rPr>
      </w:pPr>
      <w:r w:rsidRPr="00EB4E0F">
        <w:rPr>
          <w:rFonts w:ascii="Arial" w:hAnsi="Arial" w:cs="Arial"/>
          <w:b/>
          <w:bCs/>
          <w:lang w:val="en-GB"/>
        </w:rPr>
        <w:t>Conclusion</w:t>
      </w:r>
    </w:p>
    <w:p w14:paraId="4C3F7D77" w14:textId="13747BE1" w:rsidR="00EB4E0F" w:rsidRDefault="00EB4E0F" w:rsidP="00EB4E0F">
      <w:pPr>
        <w:jc w:val="both"/>
        <w:rPr>
          <w:rFonts w:ascii="Arial" w:hAnsi="Arial" w:cs="Arial"/>
          <w:bCs/>
          <w:lang w:val="en-GB"/>
        </w:rPr>
      </w:pPr>
      <w:r w:rsidRPr="00EB4E0F">
        <w:rPr>
          <w:rFonts w:ascii="Arial" w:hAnsi="Arial" w:cs="Arial"/>
          <w:bCs/>
          <w:lang w:val="en-GB"/>
        </w:rPr>
        <w:t xml:space="preserve">Based on our review, nothing has come to our attention that causes us to believe that the condensed set of </w:t>
      </w:r>
      <w:r w:rsidR="00411F3F">
        <w:rPr>
          <w:rFonts w:ascii="Arial" w:hAnsi="Arial" w:cs="Arial"/>
          <w:bCs/>
          <w:lang w:val="en-GB"/>
        </w:rPr>
        <w:t xml:space="preserve">Financial Statements </w:t>
      </w:r>
      <w:r w:rsidRPr="00EB4E0F">
        <w:rPr>
          <w:rFonts w:ascii="Arial" w:hAnsi="Arial" w:cs="Arial"/>
          <w:bCs/>
          <w:lang w:val="en-GB"/>
        </w:rPr>
        <w:t>in the half-yearly financial report for the six months ended 30 June 2021</w:t>
      </w:r>
      <w:r w:rsidRPr="00EB4E0F">
        <w:rPr>
          <w:rFonts w:ascii="Arial" w:hAnsi="Arial" w:cs="Arial"/>
          <w:b/>
          <w:bCs/>
          <w:lang w:val="en-GB"/>
        </w:rPr>
        <w:t xml:space="preserve"> </w:t>
      </w:r>
      <w:r w:rsidRPr="00EB4E0F">
        <w:rPr>
          <w:rFonts w:ascii="Arial" w:hAnsi="Arial" w:cs="Arial"/>
          <w:bCs/>
          <w:lang w:val="en-GB"/>
        </w:rPr>
        <w:t>is not prepared, in all material respects, in accordance with UK adopted International Accounting Standard 34 and the Disclosure Guidance and Transparency Rules of the United Kingdom’s Financial Conduct Authority.</w:t>
      </w:r>
    </w:p>
    <w:p w14:paraId="3B86E796" w14:textId="77777777" w:rsidR="00EB4E0F" w:rsidRPr="00EB4E0F" w:rsidRDefault="00EB4E0F" w:rsidP="00EB4E0F">
      <w:pPr>
        <w:jc w:val="both"/>
        <w:rPr>
          <w:rFonts w:ascii="Arial" w:hAnsi="Arial" w:cs="Arial"/>
          <w:bCs/>
          <w:lang w:val="en-GB"/>
        </w:rPr>
      </w:pPr>
    </w:p>
    <w:p w14:paraId="3ABD1D64" w14:textId="77777777" w:rsidR="00EB4E0F" w:rsidRPr="00EB4E0F" w:rsidRDefault="00EB4E0F" w:rsidP="00EB4E0F">
      <w:pPr>
        <w:jc w:val="both"/>
        <w:rPr>
          <w:rFonts w:ascii="Arial" w:hAnsi="Arial" w:cs="Arial"/>
          <w:b/>
          <w:bCs/>
          <w:lang w:val="en-GB"/>
        </w:rPr>
      </w:pPr>
      <w:r w:rsidRPr="00EB4E0F">
        <w:rPr>
          <w:rFonts w:ascii="Arial" w:hAnsi="Arial" w:cs="Arial"/>
          <w:b/>
          <w:bCs/>
          <w:lang w:val="en-GB"/>
        </w:rPr>
        <w:lastRenderedPageBreak/>
        <w:t xml:space="preserve">Use of our report </w:t>
      </w:r>
    </w:p>
    <w:p w14:paraId="041D5308" w14:textId="77777777" w:rsidR="00EB4E0F" w:rsidRPr="00EB4E0F" w:rsidRDefault="00EB4E0F" w:rsidP="00EB4E0F">
      <w:pPr>
        <w:jc w:val="both"/>
        <w:rPr>
          <w:rFonts w:ascii="Arial" w:hAnsi="Arial" w:cs="Arial"/>
          <w:bCs/>
          <w:lang w:val="en-GB"/>
        </w:rPr>
      </w:pPr>
      <w:r w:rsidRPr="00EB4E0F">
        <w:rPr>
          <w:rFonts w:ascii="Arial" w:hAnsi="Arial" w:cs="Arial"/>
          <w:bCs/>
          <w:lang w:val="en-GB"/>
        </w:rPr>
        <w:t>Our report has been prepared in accordance with the terms of our engagement to assist the Company in meeting its responsibilities in respect of half-yearly financial reporting in accordance with the Disclosure Guidance and Transparency Rules of the United Kingdom’s Financial Conduct Authority and for no other purpose. No person is entitled to rely on this report unless such a person is a person entitled to rely upon this report by virtue of and for the purpose of our terms of engagement or has been expressly authorised to do so by our prior written consent. Save as above, we do not accept responsibility for this report to any other person or for any other purpose and we hereby expressly disclaim any and all such liability.</w:t>
      </w:r>
    </w:p>
    <w:p w14:paraId="427DC653" w14:textId="3D802E0C" w:rsidR="00EB4E0F" w:rsidRDefault="00EB4E0F" w:rsidP="00153FBE">
      <w:pPr>
        <w:jc w:val="both"/>
        <w:rPr>
          <w:rFonts w:ascii="Arial" w:hAnsi="Arial" w:cs="Arial"/>
          <w:bCs/>
          <w:lang w:val="en-GB"/>
        </w:rPr>
      </w:pPr>
    </w:p>
    <w:p w14:paraId="797348A4" w14:textId="56B6A3F4" w:rsidR="002E6D8F" w:rsidRDefault="002E6D8F" w:rsidP="00153FBE">
      <w:pPr>
        <w:jc w:val="both"/>
        <w:rPr>
          <w:rFonts w:ascii="Arial" w:hAnsi="Arial" w:cs="Arial"/>
          <w:bCs/>
          <w:lang w:val="en-GB"/>
        </w:rPr>
      </w:pPr>
    </w:p>
    <w:p w14:paraId="37BCA288" w14:textId="5AB3FB8B" w:rsidR="002E6D8F" w:rsidRDefault="002E6D8F" w:rsidP="00153FBE">
      <w:pPr>
        <w:jc w:val="both"/>
        <w:rPr>
          <w:rFonts w:ascii="Arial" w:hAnsi="Arial" w:cs="Arial"/>
          <w:bCs/>
          <w:lang w:val="en-GB"/>
        </w:rPr>
      </w:pPr>
    </w:p>
    <w:p w14:paraId="57F86848" w14:textId="77777777" w:rsidR="002E6D8F" w:rsidRPr="00153FBE" w:rsidRDefault="002E6D8F" w:rsidP="00153FBE">
      <w:pPr>
        <w:jc w:val="both"/>
        <w:rPr>
          <w:rFonts w:ascii="Arial" w:hAnsi="Arial" w:cs="Arial"/>
          <w:bCs/>
          <w:lang w:val="en-GB"/>
        </w:rPr>
      </w:pPr>
    </w:p>
    <w:p w14:paraId="0258F5E0" w14:textId="77777777" w:rsidR="00153FBE" w:rsidRPr="00153FBE" w:rsidRDefault="00153FBE" w:rsidP="00153FBE">
      <w:pPr>
        <w:spacing w:after="0"/>
        <w:jc w:val="both"/>
        <w:rPr>
          <w:rFonts w:ascii="Arial" w:hAnsi="Arial" w:cs="Arial"/>
          <w:bCs/>
          <w:lang w:val="en-GB"/>
        </w:rPr>
      </w:pPr>
      <w:r w:rsidRPr="00153FBE">
        <w:rPr>
          <w:rFonts w:ascii="Arial" w:hAnsi="Arial" w:cs="Arial"/>
          <w:bCs/>
          <w:lang w:val="en-GB"/>
        </w:rPr>
        <w:t>BDO LLP</w:t>
      </w:r>
      <w:r w:rsidRPr="00153FBE" w:rsidDel="00B44B8B">
        <w:rPr>
          <w:rFonts w:ascii="Arial" w:hAnsi="Arial" w:cs="Arial"/>
          <w:bCs/>
          <w:lang w:val="en-GB"/>
        </w:rPr>
        <w:t xml:space="preserve"> </w:t>
      </w:r>
    </w:p>
    <w:p w14:paraId="29DD4900" w14:textId="77777777" w:rsidR="00153FBE" w:rsidRPr="00153FBE" w:rsidRDefault="00153FBE" w:rsidP="00153FBE">
      <w:pPr>
        <w:spacing w:after="0"/>
        <w:jc w:val="both"/>
        <w:rPr>
          <w:rFonts w:ascii="Arial" w:hAnsi="Arial" w:cs="Arial"/>
          <w:bCs/>
          <w:lang w:val="en-GB"/>
        </w:rPr>
      </w:pPr>
      <w:r w:rsidRPr="00153FBE">
        <w:rPr>
          <w:rFonts w:ascii="Arial" w:hAnsi="Arial" w:cs="Arial"/>
          <w:bCs/>
          <w:lang w:val="en-GB"/>
        </w:rPr>
        <w:t xml:space="preserve">Chartered Accountants </w:t>
      </w:r>
    </w:p>
    <w:p w14:paraId="29464871" w14:textId="77777777" w:rsidR="00153FBE" w:rsidRPr="00153FBE" w:rsidRDefault="00153FBE" w:rsidP="00153FBE">
      <w:pPr>
        <w:spacing w:after="0"/>
        <w:jc w:val="both"/>
        <w:rPr>
          <w:rFonts w:ascii="Arial" w:hAnsi="Arial" w:cs="Arial"/>
          <w:bCs/>
          <w:lang w:val="en-GB"/>
        </w:rPr>
      </w:pPr>
      <w:r w:rsidRPr="00153FBE">
        <w:rPr>
          <w:rFonts w:ascii="Arial" w:hAnsi="Arial" w:cs="Arial"/>
          <w:bCs/>
          <w:lang w:val="en-GB"/>
        </w:rPr>
        <w:t>London</w:t>
      </w:r>
      <w:r w:rsidRPr="00153FBE">
        <w:rPr>
          <w:rFonts w:ascii="Arial" w:hAnsi="Arial" w:cs="Arial"/>
          <w:bCs/>
          <w:u w:val="single"/>
          <w:lang w:val="en-GB"/>
        </w:rPr>
        <w:t xml:space="preserve"> </w:t>
      </w:r>
      <w:bookmarkStart w:id="6" w:name="_GoBack"/>
      <w:bookmarkEnd w:id="6"/>
    </w:p>
    <w:p w14:paraId="0855CD74" w14:textId="66F71104" w:rsidR="00153FBE" w:rsidRPr="00153FBE" w:rsidRDefault="001D4120" w:rsidP="00153FBE">
      <w:pPr>
        <w:spacing w:after="0"/>
        <w:jc w:val="both"/>
        <w:rPr>
          <w:rFonts w:ascii="Arial" w:hAnsi="Arial" w:cs="Arial"/>
          <w:bCs/>
          <w:iCs/>
          <w:lang w:val="en-GB"/>
        </w:rPr>
      </w:pPr>
      <w:r>
        <w:rPr>
          <w:rFonts w:ascii="Arial" w:hAnsi="Arial" w:cs="Arial"/>
          <w:bCs/>
          <w:iCs/>
          <w:lang w:val="en-GB"/>
        </w:rPr>
        <w:t>2</w:t>
      </w:r>
      <w:r w:rsidR="00153FBE">
        <w:rPr>
          <w:rFonts w:ascii="Arial" w:hAnsi="Arial" w:cs="Arial"/>
          <w:bCs/>
          <w:iCs/>
          <w:lang w:val="en-GB"/>
        </w:rPr>
        <w:t xml:space="preserve"> Aug</w:t>
      </w:r>
      <w:r w:rsidR="006504CA">
        <w:rPr>
          <w:rFonts w:ascii="Arial" w:hAnsi="Arial" w:cs="Arial"/>
          <w:bCs/>
          <w:iCs/>
          <w:lang w:val="en-GB"/>
        </w:rPr>
        <w:t>ust</w:t>
      </w:r>
      <w:r w:rsidR="00153FBE">
        <w:rPr>
          <w:rFonts w:ascii="Arial" w:hAnsi="Arial" w:cs="Arial"/>
          <w:bCs/>
          <w:iCs/>
          <w:lang w:val="en-GB"/>
        </w:rPr>
        <w:t xml:space="preserve"> 2021</w:t>
      </w:r>
    </w:p>
    <w:p w14:paraId="5EB789AB" w14:textId="77777777" w:rsidR="00153FBE" w:rsidRPr="00153FBE" w:rsidRDefault="00153FBE" w:rsidP="00153FBE">
      <w:pPr>
        <w:jc w:val="both"/>
        <w:rPr>
          <w:rFonts w:ascii="Arial" w:hAnsi="Arial" w:cs="Arial"/>
          <w:bCs/>
          <w:i/>
          <w:lang w:val="en-GB"/>
        </w:rPr>
      </w:pPr>
    </w:p>
    <w:p w14:paraId="42295D9B" w14:textId="77777777" w:rsidR="00153FBE" w:rsidRPr="00153FBE" w:rsidRDefault="00153FBE" w:rsidP="00153FBE">
      <w:pPr>
        <w:jc w:val="both"/>
        <w:rPr>
          <w:rFonts w:ascii="Arial" w:hAnsi="Arial" w:cs="Arial"/>
          <w:bCs/>
          <w:lang w:val="en-GB"/>
        </w:rPr>
      </w:pPr>
    </w:p>
    <w:p w14:paraId="47F8E025" w14:textId="77777777" w:rsidR="00153FBE" w:rsidRPr="00153FBE" w:rsidRDefault="00153FBE" w:rsidP="00153FBE">
      <w:pPr>
        <w:jc w:val="both"/>
        <w:rPr>
          <w:rFonts w:ascii="Arial" w:hAnsi="Arial" w:cs="Arial"/>
          <w:bCs/>
          <w:lang w:val="en-GB"/>
        </w:rPr>
      </w:pPr>
      <w:r w:rsidRPr="00153FBE">
        <w:rPr>
          <w:rFonts w:ascii="Arial" w:hAnsi="Arial" w:cs="Arial"/>
          <w:bCs/>
          <w:lang w:val="en-GB"/>
        </w:rPr>
        <w:t>BDO LLP is a limited liability partnership registered in England and Wales (with registered number OC305127).</w:t>
      </w:r>
    </w:p>
    <w:p w14:paraId="31BBC74E" w14:textId="77777777" w:rsidR="00153FBE" w:rsidRPr="00153FBE" w:rsidRDefault="00153FBE" w:rsidP="00153FBE">
      <w:pPr>
        <w:jc w:val="both"/>
        <w:rPr>
          <w:rFonts w:ascii="Arial" w:hAnsi="Arial" w:cs="Arial"/>
          <w:bCs/>
          <w:lang w:val="en-GB"/>
        </w:rPr>
      </w:pPr>
    </w:p>
    <w:p w14:paraId="0BD9C957" w14:textId="77777777" w:rsidR="00153FBE" w:rsidRPr="00153FBE" w:rsidRDefault="00153FBE" w:rsidP="00153FBE">
      <w:pPr>
        <w:jc w:val="both"/>
        <w:rPr>
          <w:rFonts w:ascii="Arial" w:hAnsi="Arial" w:cs="Arial"/>
          <w:bCs/>
          <w:lang w:val="en-GB"/>
        </w:rPr>
      </w:pPr>
    </w:p>
    <w:p w14:paraId="45FD0C1F" w14:textId="77777777" w:rsidR="00891B3A" w:rsidRPr="00153FBE" w:rsidRDefault="00891B3A" w:rsidP="00891B3A">
      <w:pPr>
        <w:jc w:val="both"/>
        <w:rPr>
          <w:rFonts w:ascii="Arial" w:hAnsi="Arial" w:cs="Arial"/>
          <w:bCs/>
        </w:rPr>
      </w:pPr>
    </w:p>
    <w:bookmarkEnd w:id="0"/>
    <w:p w14:paraId="1BB9678A" w14:textId="17C6DFF9" w:rsidR="00C761CB" w:rsidRPr="00153FBE" w:rsidRDefault="00C761CB" w:rsidP="00C761CB">
      <w:pPr>
        <w:shd w:val="clear" w:color="auto" w:fill="FFFFFF"/>
        <w:spacing w:after="0"/>
        <w:jc w:val="both"/>
        <w:rPr>
          <w:rFonts w:ascii="Arial" w:hAnsi="Arial" w:cs="Arial"/>
          <w:bCs/>
        </w:rPr>
      </w:pPr>
    </w:p>
    <w:sectPr w:rsidR="00C761CB" w:rsidRPr="00153FBE" w:rsidSect="00891B3A">
      <w:type w:val="continuous"/>
      <w:pgSz w:w="11906" w:h="16838"/>
      <w:pgMar w:top="1440" w:right="1418" w:bottom="1440" w:left="1418"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Doug Mills" w:date="2021-07-29T12:27:00Z" w:initials="DM">
    <w:p w14:paraId="014BB917" w14:textId="3F08F433" w:rsidR="00F94997" w:rsidRDefault="00F94997">
      <w:pPr>
        <w:pStyle w:val="CommentText"/>
      </w:pPr>
      <w:r>
        <w:rPr>
          <w:rStyle w:val="CommentReference"/>
        </w:rPr>
        <w:annotationRef/>
      </w:r>
      <w:r>
        <w:t>Add a subtotal below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4BB9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4BB917" w16cid:durableId="24AD1D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417BA" w14:textId="77777777" w:rsidR="00F94997" w:rsidRDefault="00F94997">
      <w:pPr>
        <w:spacing w:after="0" w:line="240" w:lineRule="auto"/>
      </w:pPr>
      <w:r>
        <w:separator/>
      </w:r>
    </w:p>
  </w:endnote>
  <w:endnote w:type="continuationSeparator" w:id="0">
    <w:p w14:paraId="4D49D0AB" w14:textId="77777777" w:rsidR="00F94997" w:rsidRDefault="00F9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BoldMT">
    <w:altName w:val="Arial"/>
    <w:charset w:val="00"/>
    <w:family w:val="auto"/>
    <w:pitch w:val="default"/>
  </w:font>
  <w:font w:name="ArialMT">
    <w:altName w:val="Arial"/>
    <w:charset w:val="00"/>
    <w:family w:val="auto"/>
    <w:pitch w:val="default"/>
  </w:font>
  <w:font w:name="Georgia">
    <w:altName w:val="﷽﷽﷽﷽﷽﷽﷽﷽"/>
    <w:panose1 w:val="02040502050405020303"/>
    <w:charset w:val="00"/>
    <w:family w:val="roman"/>
    <w:pitch w:val="variable"/>
    <w:sig w:usb0="00000287" w:usb1="00000000" w:usb2="00000000" w:usb3="00000000" w:csb0="0000009F" w:csb1="00000000"/>
  </w:font>
  <w:font w:name="NewBaskerville">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403279"/>
      <w:docPartObj>
        <w:docPartGallery w:val="Page Numbers (Bottom of Page)"/>
        <w:docPartUnique/>
      </w:docPartObj>
    </w:sdtPr>
    <w:sdtEndPr>
      <w:rPr>
        <w:noProof/>
      </w:rPr>
    </w:sdtEndPr>
    <w:sdtContent>
      <w:p w14:paraId="3BAF7F13" w14:textId="7235B2EF" w:rsidR="00F94997" w:rsidRDefault="00F94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1E193" w14:textId="77777777" w:rsidR="00F94997" w:rsidRDefault="00F94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552124"/>
      <w:docPartObj>
        <w:docPartGallery w:val="Page Numbers (Bottom of Page)"/>
        <w:docPartUnique/>
      </w:docPartObj>
    </w:sdtPr>
    <w:sdtEndPr>
      <w:rPr>
        <w:noProof/>
      </w:rPr>
    </w:sdtEndPr>
    <w:sdtContent>
      <w:p w14:paraId="4DD6C171" w14:textId="0CA82C86" w:rsidR="00F94997" w:rsidRDefault="00F94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CB099" w14:textId="19F1748E" w:rsidR="00F94997" w:rsidRPr="00891B3A" w:rsidRDefault="00F9499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878444"/>
      <w:docPartObj>
        <w:docPartGallery w:val="Page Numbers (Bottom of Page)"/>
        <w:docPartUnique/>
      </w:docPartObj>
    </w:sdtPr>
    <w:sdtEndPr>
      <w:rPr>
        <w:rFonts w:ascii="Arial" w:hAnsi="Arial" w:cs="Arial"/>
        <w:noProof/>
      </w:rPr>
    </w:sdtEndPr>
    <w:sdtContent>
      <w:p w14:paraId="60E8B0FE" w14:textId="77777777" w:rsidR="00F94997" w:rsidRPr="00AC0617" w:rsidRDefault="00F94997">
        <w:pPr>
          <w:pStyle w:val="Footer"/>
          <w:jc w:val="center"/>
          <w:rPr>
            <w:rFonts w:ascii="Arial" w:hAnsi="Arial" w:cs="Arial"/>
          </w:rPr>
        </w:pPr>
        <w:r w:rsidRPr="00AC0617">
          <w:rPr>
            <w:rFonts w:ascii="Arial" w:hAnsi="Arial" w:cs="Arial"/>
          </w:rPr>
          <w:fldChar w:fldCharType="begin"/>
        </w:r>
        <w:r w:rsidRPr="00AC0617">
          <w:rPr>
            <w:rFonts w:ascii="Arial" w:hAnsi="Arial" w:cs="Arial"/>
          </w:rPr>
          <w:instrText xml:space="preserve"> PAGE   \* MERGEFORMAT </w:instrText>
        </w:r>
        <w:r w:rsidRPr="00AC0617">
          <w:rPr>
            <w:rFonts w:ascii="Arial" w:hAnsi="Arial" w:cs="Arial"/>
          </w:rPr>
          <w:fldChar w:fldCharType="separate"/>
        </w:r>
        <w:r w:rsidRPr="00AC0617">
          <w:rPr>
            <w:rFonts w:ascii="Arial" w:hAnsi="Arial" w:cs="Arial"/>
            <w:noProof/>
          </w:rPr>
          <w:t>2</w:t>
        </w:r>
        <w:r w:rsidRPr="00AC0617">
          <w:rPr>
            <w:rFonts w:ascii="Arial" w:hAnsi="Arial" w:cs="Arial"/>
            <w:noProof/>
          </w:rPr>
          <w:fldChar w:fldCharType="end"/>
        </w:r>
      </w:p>
    </w:sdtContent>
  </w:sdt>
  <w:p w14:paraId="59DAFA41" w14:textId="77777777" w:rsidR="00F94997" w:rsidRDefault="00F94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D3E1C" w14:textId="77777777" w:rsidR="00F94997" w:rsidRDefault="00F94997">
      <w:pPr>
        <w:spacing w:after="0" w:line="240" w:lineRule="auto"/>
      </w:pPr>
      <w:r>
        <w:rPr>
          <w:color w:val="000000"/>
        </w:rPr>
        <w:separator/>
      </w:r>
    </w:p>
  </w:footnote>
  <w:footnote w:type="continuationSeparator" w:id="0">
    <w:p w14:paraId="1215B12A" w14:textId="77777777" w:rsidR="00F94997" w:rsidRDefault="00F94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4D8"/>
    <w:multiLevelType w:val="multilevel"/>
    <w:tmpl w:val="20804E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01737"/>
    <w:multiLevelType w:val="hybridMultilevel"/>
    <w:tmpl w:val="C19E8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E5067"/>
    <w:multiLevelType w:val="hybridMultilevel"/>
    <w:tmpl w:val="7B0CE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72752"/>
    <w:multiLevelType w:val="hybridMultilevel"/>
    <w:tmpl w:val="6AB0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67022"/>
    <w:multiLevelType w:val="hybridMultilevel"/>
    <w:tmpl w:val="194E2B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B0588"/>
    <w:multiLevelType w:val="hybridMultilevel"/>
    <w:tmpl w:val="CC1C03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A572186"/>
    <w:multiLevelType w:val="hybridMultilevel"/>
    <w:tmpl w:val="7550EF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535D8"/>
    <w:multiLevelType w:val="hybridMultilevel"/>
    <w:tmpl w:val="5428F6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8B1E60"/>
    <w:multiLevelType w:val="multilevel"/>
    <w:tmpl w:val="F5B25B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194138"/>
    <w:multiLevelType w:val="hybridMultilevel"/>
    <w:tmpl w:val="8FCC04B2"/>
    <w:lvl w:ilvl="0" w:tplc="F2008510">
      <w:start w:val="8"/>
      <w:numFmt w:val="decimal"/>
      <w:lvlText w:val="%1."/>
      <w:lvlJc w:val="left"/>
      <w:pPr>
        <w:ind w:left="36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66907"/>
    <w:multiLevelType w:val="hybridMultilevel"/>
    <w:tmpl w:val="F2E285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CBA7510"/>
    <w:multiLevelType w:val="hybridMultilevel"/>
    <w:tmpl w:val="70F4BD80"/>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2" w15:restartNumberingAfterBreak="0">
    <w:nsid w:val="4298022F"/>
    <w:multiLevelType w:val="hybridMultilevel"/>
    <w:tmpl w:val="C286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63D4E"/>
    <w:multiLevelType w:val="hybridMultilevel"/>
    <w:tmpl w:val="3A64592C"/>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14" w15:restartNumberingAfterBreak="0">
    <w:nsid w:val="47D759D8"/>
    <w:multiLevelType w:val="multilevel"/>
    <w:tmpl w:val="EDFED8D4"/>
    <w:styleLink w:val="LFO1"/>
    <w:lvl w:ilvl="0">
      <w:numFmt w:val="bullet"/>
      <w:pStyle w:val="BodyBulletfinal"/>
      <w:lvlText w:val=""/>
      <w:lvlJc w:val="left"/>
      <w:pPr>
        <w:ind w:left="45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5" w15:restartNumberingAfterBreak="0">
    <w:nsid w:val="4CBA3775"/>
    <w:multiLevelType w:val="hybridMultilevel"/>
    <w:tmpl w:val="84288C34"/>
    <w:styleLink w:val="BulletBig"/>
    <w:lvl w:ilvl="0" w:tplc="1A1A9B30">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121CE4">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3AAF14">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66CB5C">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C236C">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422B0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1235DC">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2B356">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C84D36">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E892602"/>
    <w:multiLevelType w:val="hybridMultilevel"/>
    <w:tmpl w:val="D2AEE51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7" w15:restartNumberingAfterBreak="0">
    <w:nsid w:val="50D967D7"/>
    <w:multiLevelType w:val="hybridMultilevel"/>
    <w:tmpl w:val="FAFA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C345F"/>
    <w:multiLevelType w:val="multilevel"/>
    <w:tmpl w:val="DDD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FE6FAC"/>
    <w:multiLevelType w:val="hybridMultilevel"/>
    <w:tmpl w:val="91F280DE"/>
    <w:lvl w:ilvl="0" w:tplc="34588C6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8044AB"/>
    <w:multiLevelType w:val="hybridMultilevel"/>
    <w:tmpl w:val="11925C58"/>
    <w:styleLink w:val="ImportedStyle2"/>
    <w:lvl w:ilvl="0" w:tplc="2F703874">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0A7928">
      <w:start w:val="1"/>
      <w:numFmt w:val="bullet"/>
      <w:lvlText w:val="o"/>
      <w:lvlJc w:val="left"/>
      <w:pPr>
        <w:ind w:left="13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E66E6C">
      <w:start w:val="1"/>
      <w:numFmt w:val="bullet"/>
      <w:lvlText w:val="▪"/>
      <w:lvlJc w:val="left"/>
      <w:pPr>
        <w:ind w:left="20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04F4CA">
      <w:start w:val="1"/>
      <w:numFmt w:val="bullet"/>
      <w:lvlText w:val="·"/>
      <w:lvlJc w:val="left"/>
      <w:pPr>
        <w:ind w:left="28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70F232">
      <w:start w:val="1"/>
      <w:numFmt w:val="bullet"/>
      <w:lvlText w:val="o"/>
      <w:lvlJc w:val="left"/>
      <w:pPr>
        <w:ind w:left="35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8EBB2A">
      <w:start w:val="1"/>
      <w:numFmt w:val="bullet"/>
      <w:lvlText w:val="▪"/>
      <w:lvlJc w:val="left"/>
      <w:pPr>
        <w:ind w:left="42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3EBB38">
      <w:start w:val="1"/>
      <w:numFmt w:val="bullet"/>
      <w:lvlText w:val="·"/>
      <w:lvlJc w:val="left"/>
      <w:pPr>
        <w:ind w:left="49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B4F504">
      <w:start w:val="1"/>
      <w:numFmt w:val="bullet"/>
      <w:lvlText w:val="o"/>
      <w:lvlJc w:val="left"/>
      <w:pPr>
        <w:ind w:left="56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82C18A">
      <w:start w:val="1"/>
      <w:numFmt w:val="bullet"/>
      <w:lvlText w:val="▪"/>
      <w:lvlJc w:val="left"/>
      <w:pPr>
        <w:ind w:left="64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EBD38E2"/>
    <w:multiLevelType w:val="hybridMultilevel"/>
    <w:tmpl w:val="064C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0166F0"/>
    <w:multiLevelType w:val="hybridMultilevel"/>
    <w:tmpl w:val="DE447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B95C4D"/>
    <w:multiLevelType w:val="hybridMultilevel"/>
    <w:tmpl w:val="78E21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7B4E0E"/>
    <w:multiLevelType w:val="hybridMultilevel"/>
    <w:tmpl w:val="7AFEC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936255"/>
    <w:multiLevelType w:val="multilevel"/>
    <w:tmpl w:val="4D262E66"/>
    <w:lvl w:ilvl="0">
      <w:start w:val="1"/>
      <w:numFmt w:val="lowerLetter"/>
      <w:lvlText w:val="%1"/>
      <w:lvlJc w:val="left"/>
      <w:pPr>
        <w:ind w:left="720" w:hanging="360"/>
      </w:pPr>
    </w:lvl>
    <w:lvl w:ilvl="1">
      <w:start w:val="1"/>
      <w:numFmt w:val="lowerRoman"/>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89568F0"/>
    <w:multiLevelType w:val="hybridMultilevel"/>
    <w:tmpl w:val="1A48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76DDD"/>
    <w:multiLevelType w:val="multilevel"/>
    <w:tmpl w:val="2970197C"/>
    <w:styleLink w:val="LFO3"/>
    <w:lvl w:ilvl="0">
      <w:start w:val="1"/>
      <w:numFmt w:val="none"/>
      <w:pStyle w:val="Level5"/>
      <w:lvlText w:val="%1"/>
      <w:lvlJc w:val="left"/>
      <w:rPr>
        <w:rFonts w:ascii="Arial" w:hAnsi="Arial" w:cs="Times New Roman"/>
        <w:b w:val="0"/>
        <w:i w:val="0"/>
        <w:sz w:val="22"/>
      </w:rPr>
    </w:lvl>
    <w:lvl w:ilvl="1">
      <w:start w:val="1"/>
      <w:numFmt w:val="decimal"/>
      <w:lvlText w:val="%2"/>
      <w:lvlJc w:val="left"/>
      <w:pPr>
        <w:ind w:left="680" w:hanging="680"/>
      </w:pPr>
      <w:rPr>
        <w:rFonts w:ascii="Arial" w:hAnsi="Arial" w:cs="Times New Roman"/>
        <w:b w:val="0"/>
        <w:i w:val="0"/>
        <w:sz w:val="22"/>
      </w:rPr>
    </w:lvl>
    <w:lvl w:ilvl="2">
      <w:start w:val="1"/>
      <w:numFmt w:val="decimal"/>
      <w:lvlText w:val="%1.%2.%3"/>
      <w:lvlJc w:val="left"/>
      <w:pPr>
        <w:ind w:left="1361" w:hanging="681"/>
      </w:pPr>
      <w:rPr>
        <w:rFonts w:ascii="Arial" w:hAnsi="Arial" w:cs="Times New Roman"/>
        <w:b w:val="0"/>
        <w:i w:val="0"/>
        <w:strike w:val="0"/>
        <w:dstrike w:val="0"/>
        <w:sz w:val="22"/>
        <w:u w:val="none"/>
      </w:rPr>
    </w:lvl>
    <w:lvl w:ilvl="3">
      <w:start w:val="1"/>
      <w:numFmt w:val="decimal"/>
      <w:lvlText w:val="%1.%2.%3.%4"/>
      <w:lvlJc w:val="left"/>
      <w:pPr>
        <w:ind w:left="2041" w:hanging="680"/>
      </w:pPr>
      <w:rPr>
        <w:rFonts w:ascii="Arial" w:hAnsi="Arial" w:cs="Times New Roman"/>
        <w:b w:val="0"/>
        <w:i w:val="0"/>
        <w:sz w:val="22"/>
      </w:rPr>
    </w:lvl>
    <w:lvl w:ilvl="4">
      <w:start w:val="1"/>
      <w:numFmt w:val="lowerLetter"/>
      <w:lvlText w:val="(%5)"/>
      <w:lvlJc w:val="left"/>
      <w:pPr>
        <w:ind w:left="2722" w:hanging="681"/>
      </w:pPr>
    </w:lvl>
    <w:lvl w:ilvl="5">
      <w:start w:val="1"/>
      <w:numFmt w:val="lowerRoman"/>
      <w:lvlText w:val="(%6)"/>
      <w:lvlJc w:val="left"/>
      <w:pPr>
        <w:ind w:left="3402" w:hanging="6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AA75F4F"/>
    <w:multiLevelType w:val="hybridMultilevel"/>
    <w:tmpl w:val="4138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11EDB"/>
    <w:multiLevelType w:val="hybridMultilevel"/>
    <w:tmpl w:val="B57CD048"/>
    <w:lvl w:ilvl="0" w:tplc="E58A81B8">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9612C1"/>
    <w:multiLevelType w:val="hybridMultilevel"/>
    <w:tmpl w:val="4F9A3F54"/>
    <w:lvl w:ilvl="0" w:tplc="6EDC8034">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3FE33DD"/>
    <w:multiLevelType w:val="hybridMultilevel"/>
    <w:tmpl w:val="A7EC76E4"/>
    <w:styleLink w:val="Bullet"/>
    <w:lvl w:ilvl="0" w:tplc="9B163C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3C800B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770420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E84474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C342B2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F5ACE9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184EEF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1A2FBD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1B4EB1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2" w15:restartNumberingAfterBreak="0">
    <w:nsid w:val="74844274"/>
    <w:multiLevelType w:val="multilevel"/>
    <w:tmpl w:val="3A762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9881EEF"/>
    <w:multiLevelType w:val="hybridMultilevel"/>
    <w:tmpl w:val="A9A23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627E4A"/>
    <w:multiLevelType w:val="multilevel"/>
    <w:tmpl w:val="613E14F2"/>
    <w:styleLink w:val="LFO2"/>
    <w:lvl w:ilvl="0">
      <w:numFmt w:val="bullet"/>
      <w:pStyle w:val="BodyBulletslevel2"/>
      <w:lvlText w:val="o"/>
      <w:lvlJc w:val="left"/>
      <w:pPr>
        <w:ind w:left="984" w:hanging="360"/>
      </w:pPr>
      <w:rPr>
        <w:rFonts w:ascii="Courier New" w:hAnsi="Courier New" w:cs="Courier New"/>
        <w:b w:val="0"/>
        <w:bCs w:val="0"/>
        <w:i w:val="0"/>
        <w:iCs w:val="0"/>
        <w:sz w:val="18"/>
        <w:szCs w:val="18"/>
      </w:rPr>
    </w:lvl>
    <w:lvl w:ilvl="1">
      <w:numFmt w:val="bullet"/>
      <w:lvlText w:val="•"/>
      <w:lvlJc w:val="left"/>
      <w:pPr>
        <w:ind w:left="1990" w:hanging="456"/>
      </w:pPr>
      <w:rPr>
        <w:rFonts w:ascii="Times New Roman" w:eastAsia="Times New Roman" w:hAnsi="Times New Roman" w:cs="Times New Roman"/>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Times New Roman"/>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Times New Roman"/>
      </w:rPr>
    </w:lvl>
    <w:lvl w:ilvl="8">
      <w:numFmt w:val="bullet"/>
      <w:lvlText w:val=""/>
      <w:lvlJc w:val="left"/>
      <w:pPr>
        <w:ind w:left="6934" w:hanging="360"/>
      </w:pPr>
      <w:rPr>
        <w:rFonts w:ascii="Wingdings" w:hAnsi="Wingdings"/>
      </w:rPr>
    </w:lvl>
  </w:abstractNum>
  <w:abstractNum w:abstractNumId="35" w15:restartNumberingAfterBreak="0">
    <w:nsid w:val="7C6E6032"/>
    <w:multiLevelType w:val="hybridMultilevel"/>
    <w:tmpl w:val="6FDA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BC16AD"/>
    <w:multiLevelType w:val="hybridMultilevel"/>
    <w:tmpl w:val="2CEA9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27"/>
  </w:num>
  <w:num w:numId="4">
    <w:abstractNumId w:val="32"/>
  </w:num>
  <w:num w:numId="5">
    <w:abstractNumId w:val="8"/>
  </w:num>
  <w:num w:numId="6">
    <w:abstractNumId w:val="0"/>
  </w:num>
  <w:num w:numId="7">
    <w:abstractNumId w:val="25"/>
  </w:num>
  <w:num w:numId="8">
    <w:abstractNumId w:val="15"/>
  </w:num>
  <w:num w:numId="9">
    <w:abstractNumId w:val="26"/>
  </w:num>
  <w:num w:numId="10">
    <w:abstractNumId w:val="28"/>
  </w:num>
  <w:num w:numId="11">
    <w:abstractNumId w:val="4"/>
  </w:num>
  <w:num w:numId="12">
    <w:abstractNumId w:val="1"/>
  </w:num>
  <w:num w:numId="13">
    <w:abstractNumId w:val="36"/>
  </w:num>
  <w:num w:numId="14">
    <w:abstractNumId w:val="11"/>
  </w:num>
  <w:num w:numId="15">
    <w:abstractNumId w:val="23"/>
  </w:num>
  <w:num w:numId="16">
    <w:abstractNumId w:val="17"/>
  </w:num>
  <w:num w:numId="17">
    <w:abstractNumId w:val="5"/>
  </w:num>
  <w:num w:numId="18">
    <w:abstractNumId w:val="24"/>
  </w:num>
  <w:num w:numId="19">
    <w:abstractNumId w:val="3"/>
  </w:num>
  <w:num w:numId="20">
    <w:abstractNumId w:val="31"/>
  </w:num>
  <w:num w:numId="21">
    <w:abstractNumId w:val="20"/>
  </w:num>
  <w:num w:numId="22">
    <w:abstractNumId w:val="22"/>
  </w:num>
  <w:num w:numId="23">
    <w:abstractNumId w:val="35"/>
  </w:num>
  <w:num w:numId="24">
    <w:abstractNumId w:val="33"/>
  </w:num>
  <w:num w:numId="25">
    <w:abstractNumId w:val="6"/>
  </w:num>
  <w:num w:numId="26">
    <w:abstractNumId w:val="13"/>
  </w:num>
  <w:num w:numId="27">
    <w:abstractNumId w:val="10"/>
  </w:num>
  <w:num w:numId="28">
    <w:abstractNumId w:val="12"/>
  </w:num>
  <w:num w:numId="29">
    <w:abstractNumId w:val="29"/>
  </w:num>
  <w:num w:numId="30">
    <w:abstractNumId w:val="30"/>
  </w:num>
  <w:num w:numId="31">
    <w:abstractNumId w:val="16"/>
  </w:num>
  <w:num w:numId="32">
    <w:abstractNumId w:val="9"/>
  </w:num>
  <w:num w:numId="33">
    <w:abstractNumId w:val="19"/>
  </w:num>
  <w:num w:numId="34">
    <w:abstractNumId w:val="18"/>
  </w:num>
  <w:num w:numId="35">
    <w:abstractNumId w:val="21"/>
  </w:num>
  <w:num w:numId="36">
    <w:abstractNumId w:val="2"/>
  </w:num>
  <w:num w:numId="37">
    <w:abstractNumId w:val="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ug Mills">
    <w15:presenceInfo w15:providerId="AD" w15:userId="S::dmills@lmscapital.com::80040ee2-6df8-4a16-864b-7e512fbfa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EB"/>
    <w:rsid w:val="00000376"/>
    <w:rsid w:val="000047F6"/>
    <w:rsid w:val="0000554E"/>
    <w:rsid w:val="0000753C"/>
    <w:rsid w:val="00007AC6"/>
    <w:rsid w:val="00012A3A"/>
    <w:rsid w:val="00012DFC"/>
    <w:rsid w:val="00016656"/>
    <w:rsid w:val="00017E45"/>
    <w:rsid w:val="00020417"/>
    <w:rsid w:val="000247C4"/>
    <w:rsid w:val="00026130"/>
    <w:rsid w:val="000316F9"/>
    <w:rsid w:val="00032A34"/>
    <w:rsid w:val="00032F35"/>
    <w:rsid w:val="00033A2D"/>
    <w:rsid w:val="000369DF"/>
    <w:rsid w:val="00036A2E"/>
    <w:rsid w:val="00041037"/>
    <w:rsid w:val="00044196"/>
    <w:rsid w:val="000444A1"/>
    <w:rsid w:val="00045933"/>
    <w:rsid w:val="00046234"/>
    <w:rsid w:val="00046670"/>
    <w:rsid w:val="00046D29"/>
    <w:rsid w:val="00047978"/>
    <w:rsid w:val="00050425"/>
    <w:rsid w:val="00051895"/>
    <w:rsid w:val="000527AB"/>
    <w:rsid w:val="00054507"/>
    <w:rsid w:val="00055643"/>
    <w:rsid w:val="000566C3"/>
    <w:rsid w:val="000570C8"/>
    <w:rsid w:val="000614A3"/>
    <w:rsid w:val="0006213D"/>
    <w:rsid w:val="00062381"/>
    <w:rsid w:val="00062883"/>
    <w:rsid w:val="00063CBC"/>
    <w:rsid w:val="00064AD5"/>
    <w:rsid w:val="00066951"/>
    <w:rsid w:val="00070637"/>
    <w:rsid w:val="000719A7"/>
    <w:rsid w:val="000750F5"/>
    <w:rsid w:val="0007566E"/>
    <w:rsid w:val="00076C48"/>
    <w:rsid w:val="0007714B"/>
    <w:rsid w:val="00081E13"/>
    <w:rsid w:val="0008515B"/>
    <w:rsid w:val="000874D9"/>
    <w:rsid w:val="000907D0"/>
    <w:rsid w:val="00090D5B"/>
    <w:rsid w:val="000913E7"/>
    <w:rsid w:val="0009444E"/>
    <w:rsid w:val="000953B0"/>
    <w:rsid w:val="00095B33"/>
    <w:rsid w:val="00095FB3"/>
    <w:rsid w:val="000971D7"/>
    <w:rsid w:val="000976AB"/>
    <w:rsid w:val="000A21C9"/>
    <w:rsid w:val="000A231C"/>
    <w:rsid w:val="000A3A7D"/>
    <w:rsid w:val="000A5A3E"/>
    <w:rsid w:val="000A611E"/>
    <w:rsid w:val="000A7162"/>
    <w:rsid w:val="000A71E4"/>
    <w:rsid w:val="000A76A3"/>
    <w:rsid w:val="000B1CBF"/>
    <w:rsid w:val="000B2125"/>
    <w:rsid w:val="000B399B"/>
    <w:rsid w:val="000B552A"/>
    <w:rsid w:val="000B58A5"/>
    <w:rsid w:val="000B7C66"/>
    <w:rsid w:val="000B7F20"/>
    <w:rsid w:val="000C474F"/>
    <w:rsid w:val="000C4FB4"/>
    <w:rsid w:val="000D0DB0"/>
    <w:rsid w:val="000D0DDF"/>
    <w:rsid w:val="000D167E"/>
    <w:rsid w:val="000D38FB"/>
    <w:rsid w:val="000D3DE1"/>
    <w:rsid w:val="000D5D80"/>
    <w:rsid w:val="000D5DB5"/>
    <w:rsid w:val="000D6742"/>
    <w:rsid w:val="000E0B64"/>
    <w:rsid w:val="000E1B70"/>
    <w:rsid w:val="000E1C9C"/>
    <w:rsid w:val="000E37B6"/>
    <w:rsid w:val="000E4AF6"/>
    <w:rsid w:val="000E511C"/>
    <w:rsid w:val="000E5B75"/>
    <w:rsid w:val="000E60C4"/>
    <w:rsid w:val="000E6F4D"/>
    <w:rsid w:val="000F03D8"/>
    <w:rsid w:val="000F0594"/>
    <w:rsid w:val="000F30BC"/>
    <w:rsid w:val="000F3209"/>
    <w:rsid w:val="000F3925"/>
    <w:rsid w:val="000F400B"/>
    <w:rsid w:val="000F72A0"/>
    <w:rsid w:val="00105220"/>
    <w:rsid w:val="00117315"/>
    <w:rsid w:val="00124393"/>
    <w:rsid w:val="00124D6A"/>
    <w:rsid w:val="00127CA9"/>
    <w:rsid w:val="00131936"/>
    <w:rsid w:val="00132F58"/>
    <w:rsid w:val="00134237"/>
    <w:rsid w:val="0013798C"/>
    <w:rsid w:val="001416C8"/>
    <w:rsid w:val="001427CF"/>
    <w:rsid w:val="001444D1"/>
    <w:rsid w:val="001509D9"/>
    <w:rsid w:val="00151D45"/>
    <w:rsid w:val="001536D9"/>
    <w:rsid w:val="00153FBE"/>
    <w:rsid w:val="001556B5"/>
    <w:rsid w:val="001574A1"/>
    <w:rsid w:val="00157BED"/>
    <w:rsid w:val="001610AB"/>
    <w:rsid w:val="0016110A"/>
    <w:rsid w:val="00163DCD"/>
    <w:rsid w:val="00166455"/>
    <w:rsid w:val="00167758"/>
    <w:rsid w:val="00172F62"/>
    <w:rsid w:val="0017641C"/>
    <w:rsid w:val="00182051"/>
    <w:rsid w:val="00183CF4"/>
    <w:rsid w:val="00184500"/>
    <w:rsid w:val="001852D1"/>
    <w:rsid w:val="00190B31"/>
    <w:rsid w:val="00190BF4"/>
    <w:rsid w:val="001929F4"/>
    <w:rsid w:val="001949AD"/>
    <w:rsid w:val="00194AC3"/>
    <w:rsid w:val="00196C94"/>
    <w:rsid w:val="001A01CB"/>
    <w:rsid w:val="001A072D"/>
    <w:rsid w:val="001A0F12"/>
    <w:rsid w:val="001A0F80"/>
    <w:rsid w:val="001A4F6D"/>
    <w:rsid w:val="001A5E6A"/>
    <w:rsid w:val="001A7A2D"/>
    <w:rsid w:val="001B159B"/>
    <w:rsid w:val="001B1A8F"/>
    <w:rsid w:val="001B1F4B"/>
    <w:rsid w:val="001B21E8"/>
    <w:rsid w:val="001B2E62"/>
    <w:rsid w:val="001B31EB"/>
    <w:rsid w:val="001B33EB"/>
    <w:rsid w:val="001B3821"/>
    <w:rsid w:val="001B4BFA"/>
    <w:rsid w:val="001B56EF"/>
    <w:rsid w:val="001C1363"/>
    <w:rsid w:val="001C1ED4"/>
    <w:rsid w:val="001C2E5B"/>
    <w:rsid w:val="001C433D"/>
    <w:rsid w:val="001C5014"/>
    <w:rsid w:val="001C56C7"/>
    <w:rsid w:val="001D158D"/>
    <w:rsid w:val="001D2522"/>
    <w:rsid w:val="001D351B"/>
    <w:rsid w:val="001D4120"/>
    <w:rsid w:val="001D570B"/>
    <w:rsid w:val="001D5F44"/>
    <w:rsid w:val="001D73AF"/>
    <w:rsid w:val="001D76E1"/>
    <w:rsid w:val="001D7FB1"/>
    <w:rsid w:val="001E2CC7"/>
    <w:rsid w:val="001E3B8B"/>
    <w:rsid w:val="001E497D"/>
    <w:rsid w:val="001E6538"/>
    <w:rsid w:val="001F3ADF"/>
    <w:rsid w:val="001F5CC7"/>
    <w:rsid w:val="001F5E9D"/>
    <w:rsid w:val="001F7D63"/>
    <w:rsid w:val="0020091D"/>
    <w:rsid w:val="00202969"/>
    <w:rsid w:val="00202F9B"/>
    <w:rsid w:val="00203CE1"/>
    <w:rsid w:val="00204C43"/>
    <w:rsid w:val="00210941"/>
    <w:rsid w:val="002118A3"/>
    <w:rsid w:val="002128A4"/>
    <w:rsid w:val="00212AAB"/>
    <w:rsid w:val="00214141"/>
    <w:rsid w:val="00215854"/>
    <w:rsid w:val="0021797E"/>
    <w:rsid w:val="002202AC"/>
    <w:rsid w:val="00223278"/>
    <w:rsid w:val="00223812"/>
    <w:rsid w:val="0022561F"/>
    <w:rsid w:val="00230159"/>
    <w:rsid w:val="00232187"/>
    <w:rsid w:val="002361F0"/>
    <w:rsid w:val="00236EAC"/>
    <w:rsid w:val="0024101E"/>
    <w:rsid w:val="002442CD"/>
    <w:rsid w:val="0025155D"/>
    <w:rsid w:val="00252251"/>
    <w:rsid w:val="0025594B"/>
    <w:rsid w:val="00257079"/>
    <w:rsid w:val="00257FC8"/>
    <w:rsid w:val="0026236B"/>
    <w:rsid w:val="00263C56"/>
    <w:rsid w:val="002655B6"/>
    <w:rsid w:val="00265D71"/>
    <w:rsid w:val="00271EE4"/>
    <w:rsid w:val="00273A91"/>
    <w:rsid w:val="00275A87"/>
    <w:rsid w:val="00277DCF"/>
    <w:rsid w:val="00281A5D"/>
    <w:rsid w:val="00283FC8"/>
    <w:rsid w:val="00284536"/>
    <w:rsid w:val="00287856"/>
    <w:rsid w:val="00290180"/>
    <w:rsid w:val="002914A2"/>
    <w:rsid w:val="002961EE"/>
    <w:rsid w:val="00297371"/>
    <w:rsid w:val="00297E09"/>
    <w:rsid w:val="002A08D8"/>
    <w:rsid w:val="002A2200"/>
    <w:rsid w:val="002A3C65"/>
    <w:rsid w:val="002A4C70"/>
    <w:rsid w:val="002A7231"/>
    <w:rsid w:val="002A7F05"/>
    <w:rsid w:val="002B36EC"/>
    <w:rsid w:val="002B3F1A"/>
    <w:rsid w:val="002B4205"/>
    <w:rsid w:val="002B7FE1"/>
    <w:rsid w:val="002C0E73"/>
    <w:rsid w:val="002C0E8E"/>
    <w:rsid w:val="002C1D43"/>
    <w:rsid w:val="002C616B"/>
    <w:rsid w:val="002C7232"/>
    <w:rsid w:val="002D1840"/>
    <w:rsid w:val="002D42A2"/>
    <w:rsid w:val="002D4400"/>
    <w:rsid w:val="002D7857"/>
    <w:rsid w:val="002E277C"/>
    <w:rsid w:val="002E2F06"/>
    <w:rsid w:val="002E3140"/>
    <w:rsid w:val="002E6D8F"/>
    <w:rsid w:val="002F21C9"/>
    <w:rsid w:val="002F294C"/>
    <w:rsid w:val="002F4A5C"/>
    <w:rsid w:val="003009D7"/>
    <w:rsid w:val="003030A5"/>
    <w:rsid w:val="00303F19"/>
    <w:rsid w:val="0030461B"/>
    <w:rsid w:val="00304D25"/>
    <w:rsid w:val="00310DF6"/>
    <w:rsid w:val="00310FE4"/>
    <w:rsid w:val="0031463A"/>
    <w:rsid w:val="00316783"/>
    <w:rsid w:val="00316A23"/>
    <w:rsid w:val="003208A3"/>
    <w:rsid w:val="00321362"/>
    <w:rsid w:val="00321D2D"/>
    <w:rsid w:val="0032202D"/>
    <w:rsid w:val="00322BFD"/>
    <w:rsid w:val="0032755E"/>
    <w:rsid w:val="0033025B"/>
    <w:rsid w:val="00332187"/>
    <w:rsid w:val="0033276F"/>
    <w:rsid w:val="003343C3"/>
    <w:rsid w:val="00335120"/>
    <w:rsid w:val="003355E1"/>
    <w:rsid w:val="00335AA3"/>
    <w:rsid w:val="00337121"/>
    <w:rsid w:val="00340156"/>
    <w:rsid w:val="003410BE"/>
    <w:rsid w:val="0034210F"/>
    <w:rsid w:val="003423DB"/>
    <w:rsid w:val="003440EF"/>
    <w:rsid w:val="00345472"/>
    <w:rsid w:val="00345AA5"/>
    <w:rsid w:val="00347698"/>
    <w:rsid w:val="00347F0B"/>
    <w:rsid w:val="003517B4"/>
    <w:rsid w:val="00351E16"/>
    <w:rsid w:val="003522F9"/>
    <w:rsid w:val="00353EDE"/>
    <w:rsid w:val="00354E89"/>
    <w:rsid w:val="00355EC4"/>
    <w:rsid w:val="0035619D"/>
    <w:rsid w:val="00362AB8"/>
    <w:rsid w:val="00363F96"/>
    <w:rsid w:val="003704E4"/>
    <w:rsid w:val="00372573"/>
    <w:rsid w:val="00373CAF"/>
    <w:rsid w:val="003742EE"/>
    <w:rsid w:val="00374CEC"/>
    <w:rsid w:val="00376590"/>
    <w:rsid w:val="003814F1"/>
    <w:rsid w:val="003819BE"/>
    <w:rsid w:val="003836A4"/>
    <w:rsid w:val="003842E2"/>
    <w:rsid w:val="0038499F"/>
    <w:rsid w:val="00384A34"/>
    <w:rsid w:val="00384C76"/>
    <w:rsid w:val="0039132E"/>
    <w:rsid w:val="00391D9F"/>
    <w:rsid w:val="00393C93"/>
    <w:rsid w:val="003946EB"/>
    <w:rsid w:val="00396662"/>
    <w:rsid w:val="003A0ED4"/>
    <w:rsid w:val="003A36E3"/>
    <w:rsid w:val="003A3B37"/>
    <w:rsid w:val="003A4AAC"/>
    <w:rsid w:val="003A5A38"/>
    <w:rsid w:val="003B012B"/>
    <w:rsid w:val="003B28E2"/>
    <w:rsid w:val="003B6153"/>
    <w:rsid w:val="003B76A2"/>
    <w:rsid w:val="003C1603"/>
    <w:rsid w:val="003C174A"/>
    <w:rsid w:val="003C5FE3"/>
    <w:rsid w:val="003D09EA"/>
    <w:rsid w:val="003D19A5"/>
    <w:rsid w:val="003D23DF"/>
    <w:rsid w:val="003D2802"/>
    <w:rsid w:val="003E0D21"/>
    <w:rsid w:val="003E30E2"/>
    <w:rsid w:val="003E45CD"/>
    <w:rsid w:val="003E590A"/>
    <w:rsid w:val="003E74C9"/>
    <w:rsid w:val="003F07AE"/>
    <w:rsid w:val="003F2819"/>
    <w:rsid w:val="003F3B5B"/>
    <w:rsid w:val="003F46A1"/>
    <w:rsid w:val="003F69F2"/>
    <w:rsid w:val="003F7C7F"/>
    <w:rsid w:val="004012A5"/>
    <w:rsid w:val="0040298A"/>
    <w:rsid w:val="00403889"/>
    <w:rsid w:val="004044DD"/>
    <w:rsid w:val="00405AF9"/>
    <w:rsid w:val="00411F3F"/>
    <w:rsid w:val="00416165"/>
    <w:rsid w:val="0041674F"/>
    <w:rsid w:val="00417770"/>
    <w:rsid w:val="00420130"/>
    <w:rsid w:val="00421E56"/>
    <w:rsid w:val="00422FC8"/>
    <w:rsid w:val="0042444B"/>
    <w:rsid w:val="00426677"/>
    <w:rsid w:val="00426695"/>
    <w:rsid w:val="0043519A"/>
    <w:rsid w:val="00442935"/>
    <w:rsid w:val="00446FC1"/>
    <w:rsid w:val="00450112"/>
    <w:rsid w:val="00451750"/>
    <w:rsid w:val="00452378"/>
    <w:rsid w:val="00452A8A"/>
    <w:rsid w:val="0045570D"/>
    <w:rsid w:val="004561CB"/>
    <w:rsid w:val="004567AD"/>
    <w:rsid w:val="004569DA"/>
    <w:rsid w:val="00456DE2"/>
    <w:rsid w:val="0046079B"/>
    <w:rsid w:val="00460FF1"/>
    <w:rsid w:val="00462BC3"/>
    <w:rsid w:val="0046352D"/>
    <w:rsid w:val="0046645E"/>
    <w:rsid w:val="00466A94"/>
    <w:rsid w:val="00467FC7"/>
    <w:rsid w:val="00471296"/>
    <w:rsid w:val="00474C0B"/>
    <w:rsid w:val="004759B0"/>
    <w:rsid w:val="00476CFE"/>
    <w:rsid w:val="00484C20"/>
    <w:rsid w:val="00485B5F"/>
    <w:rsid w:val="00485BDA"/>
    <w:rsid w:val="00485F6F"/>
    <w:rsid w:val="00486E0E"/>
    <w:rsid w:val="004871B4"/>
    <w:rsid w:val="00495092"/>
    <w:rsid w:val="004964B5"/>
    <w:rsid w:val="0049722A"/>
    <w:rsid w:val="004A0B4B"/>
    <w:rsid w:val="004A22FA"/>
    <w:rsid w:val="004A4D4A"/>
    <w:rsid w:val="004A5389"/>
    <w:rsid w:val="004A65A8"/>
    <w:rsid w:val="004A7C43"/>
    <w:rsid w:val="004B0ABD"/>
    <w:rsid w:val="004B0C12"/>
    <w:rsid w:val="004B0FF7"/>
    <w:rsid w:val="004B1AC5"/>
    <w:rsid w:val="004B2859"/>
    <w:rsid w:val="004B2CDF"/>
    <w:rsid w:val="004B3012"/>
    <w:rsid w:val="004B39ED"/>
    <w:rsid w:val="004B3F36"/>
    <w:rsid w:val="004B4154"/>
    <w:rsid w:val="004B4AA6"/>
    <w:rsid w:val="004B5205"/>
    <w:rsid w:val="004B68D6"/>
    <w:rsid w:val="004C1280"/>
    <w:rsid w:val="004C3501"/>
    <w:rsid w:val="004C545E"/>
    <w:rsid w:val="004C6737"/>
    <w:rsid w:val="004C69E4"/>
    <w:rsid w:val="004C6EA2"/>
    <w:rsid w:val="004C77DF"/>
    <w:rsid w:val="004C79DF"/>
    <w:rsid w:val="004C7E81"/>
    <w:rsid w:val="004D1B2D"/>
    <w:rsid w:val="004D1BD7"/>
    <w:rsid w:val="004D281C"/>
    <w:rsid w:val="004D2D09"/>
    <w:rsid w:val="004D2E95"/>
    <w:rsid w:val="004D3D1D"/>
    <w:rsid w:val="004D68EA"/>
    <w:rsid w:val="004E1698"/>
    <w:rsid w:val="004E2314"/>
    <w:rsid w:val="004E356A"/>
    <w:rsid w:val="004E3AD5"/>
    <w:rsid w:val="004E3F5F"/>
    <w:rsid w:val="004E511A"/>
    <w:rsid w:val="004E7E08"/>
    <w:rsid w:val="004F1CF7"/>
    <w:rsid w:val="004F45CF"/>
    <w:rsid w:val="004F4F44"/>
    <w:rsid w:val="004F7005"/>
    <w:rsid w:val="004F74C8"/>
    <w:rsid w:val="00500CB4"/>
    <w:rsid w:val="0050184C"/>
    <w:rsid w:val="00503B54"/>
    <w:rsid w:val="005055F1"/>
    <w:rsid w:val="005056B8"/>
    <w:rsid w:val="005133D0"/>
    <w:rsid w:val="00520770"/>
    <w:rsid w:val="005248D2"/>
    <w:rsid w:val="00526373"/>
    <w:rsid w:val="005311E3"/>
    <w:rsid w:val="00534359"/>
    <w:rsid w:val="0053546F"/>
    <w:rsid w:val="0054191D"/>
    <w:rsid w:val="00545BC2"/>
    <w:rsid w:val="0054690A"/>
    <w:rsid w:val="005471D5"/>
    <w:rsid w:val="005477BB"/>
    <w:rsid w:val="00550BEA"/>
    <w:rsid w:val="00551844"/>
    <w:rsid w:val="0055431A"/>
    <w:rsid w:val="005547AF"/>
    <w:rsid w:val="00555A94"/>
    <w:rsid w:val="005569B5"/>
    <w:rsid w:val="00556F83"/>
    <w:rsid w:val="005606AB"/>
    <w:rsid w:val="005609A0"/>
    <w:rsid w:val="00564A80"/>
    <w:rsid w:val="00564C3E"/>
    <w:rsid w:val="005702A0"/>
    <w:rsid w:val="005714E5"/>
    <w:rsid w:val="00573B8F"/>
    <w:rsid w:val="005746BF"/>
    <w:rsid w:val="00576A87"/>
    <w:rsid w:val="005808A5"/>
    <w:rsid w:val="005832E7"/>
    <w:rsid w:val="0058349B"/>
    <w:rsid w:val="0058350B"/>
    <w:rsid w:val="005856DF"/>
    <w:rsid w:val="00585A4C"/>
    <w:rsid w:val="00591776"/>
    <w:rsid w:val="00597A74"/>
    <w:rsid w:val="005A2A33"/>
    <w:rsid w:val="005A3E95"/>
    <w:rsid w:val="005A4EDE"/>
    <w:rsid w:val="005A568A"/>
    <w:rsid w:val="005A7C46"/>
    <w:rsid w:val="005B010D"/>
    <w:rsid w:val="005B11C6"/>
    <w:rsid w:val="005B4C56"/>
    <w:rsid w:val="005B561F"/>
    <w:rsid w:val="005C1287"/>
    <w:rsid w:val="005C1D76"/>
    <w:rsid w:val="005C4133"/>
    <w:rsid w:val="005C72B5"/>
    <w:rsid w:val="005C76C3"/>
    <w:rsid w:val="005D02DD"/>
    <w:rsid w:val="005D09F5"/>
    <w:rsid w:val="005D0DA8"/>
    <w:rsid w:val="005D1C20"/>
    <w:rsid w:val="005D5B35"/>
    <w:rsid w:val="005D5EEC"/>
    <w:rsid w:val="005D62EC"/>
    <w:rsid w:val="005E0679"/>
    <w:rsid w:val="005E150B"/>
    <w:rsid w:val="005E3440"/>
    <w:rsid w:val="005E5B0A"/>
    <w:rsid w:val="005F158C"/>
    <w:rsid w:val="005F181C"/>
    <w:rsid w:val="005F40C7"/>
    <w:rsid w:val="005F563B"/>
    <w:rsid w:val="005F604E"/>
    <w:rsid w:val="005F6830"/>
    <w:rsid w:val="00600399"/>
    <w:rsid w:val="00604431"/>
    <w:rsid w:val="00604AA1"/>
    <w:rsid w:val="00604CB3"/>
    <w:rsid w:val="0060509C"/>
    <w:rsid w:val="006119A4"/>
    <w:rsid w:val="00611A1C"/>
    <w:rsid w:val="006123EF"/>
    <w:rsid w:val="00613520"/>
    <w:rsid w:val="00613D85"/>
    <w:rsid w:val="00616269"/>
    <w:rsid w:val="006168EF"/>
    <w:rsid w:val="00620D9E"/>
    <w:rsid w:val="00624D8A"/>
    <w:rsid w:val="00625EE0"/>
    <w:rsid w:val="00626D4E"/>
    <w:rsid w:val="00627B18"/>
    <w:rsid w:val="00627C38"/>
    <w:rsid w:val="006316E0"/>
    <w:rsid w:val="0063228F"/>
    <w:rsid w:val="0063266F"/>
    <w:rsid w:val="0063325C"/>
    <w:rsid w:val="00633BEB"/>
    <w:rsid w:val="00637C58"/>
    <w:rsid w:val="006406B8"/>
    <w:rsid w:val="006406D2"/>
    <w:rsid w:val="00641D06"/>
    <w:rsid w:val="00643010"/>
    <w:rsid w:val="006444FE"/>
    <w:rsid w:val="00645869"/>
    <w:rsid w:val="00646D92"/>
    <w:rsid w:val="00647B32"/>
    <w:rsid w:val="006504CA"/>
    <w:rsid w:val="0065054A"/>
    <w:rsid w:val="00654CD8"/>
    <w:rsid w:val="0065675D"/>
    <w:rsid w:val="00657EF0"/>
    <w:rsid w:val="00661754"/>
    <w:rsid w:val="00662E9C"/>
    <w:rsid w:val="00662FD2"/>
    <w:rsid w:val="006633F8"/>
    <w:rsid w:val="00666886"/>
    <w:rsid w:val="00666DCC"/>
    <w:rsid w:val="00667649"/>
    <w:rsid w:val="006677AD"/>
    <w:rsid w:val="006724CE"/>
    <w:rsid w:val="0067296C"/>
    <w:rsid w:val="0067390E"/>
    <w:rsid w:val="006739B8"/>
    <w:rsid w:val="006744C8"/>
    <w:rsid w:val="00675207"/>
    <w:rsid w:val="006757B2"/>
    <w:rsid w:val="0067685B"/>
    <w:rsid w:val="0068112E"/>
    <w:rsid w:val="00691D05"/>
    <w:rsid w:val="006936A6"/>
    <w:rsid w:val="00693868"/>
    <w:rsid w:val="00694679"/>
    <w:rsid w:val="006A30C8"/>
    <w:rsid w:val="006A637D"/>
    <w:rsid w:val="006A7017"/>
    <w:rsid w:val="006A7B2D"/>
    <w:rsid w:val="006A7E05"/>
    <w:rsid w:val="006B0DCA"/>
    <w:rsid w:val="006B160E"/>
    <w:rsid w:val="006B54CF"/>
    <w:rsid w:val="006B5BF9"/>
    <w:rsid w:val="006B6169"/>
    <w:rsid w:val="006B65E6"/>
    <w:rsid w:val="006B706F"/>
    <w:rsid w:val="006C052B"/>
    <w:rsid w:val="006C18DC"/>
    <w:rsid w:val="006C2FCC"/>
    <w:rsid w:val="006C457D"/>
    <w:rsid w:val="006C4F18"/>
    <w:rsid w:val="006D09F7"/>
    <w:rsid w:val="006D1C4C"/>
    <w:rsid w:val="006D2556"/>
    <w:rsid w:val="006D31CF"/>
    <w:rsid w:val="006D38F3"/>
    <w:rsid w:val="006D51D4"/>
    <w:rsid w:val="006D7375"/>
    <w:rsid w:val="006E01B7"/>
    <w:rsid w:val="006E1B7D"/>
    <w:rsid w:val="006E2345"/>
    <w:rsid w:val="006E2B58"/>
    <w:rsid w:val="006E3CC6"/>
    <w:rsid w:val="006E407B"/>
    <w:rsid w:val="006F041F"/>
    <w:rsid w:val="006F22AE"/>
    <w:rsid w:val="006F2CFF"/>
    <w:rsid w:val="006F3517"/>
    <w:rsid w:val="006F6E74"/>
    <w:rsid w:val="006F7ABF"/>
    <w:rsid w:val="006F7F2D"/>
    <w:rsid w:val="00700560"/>
    <w:rsid w:val="00700952"/>
    <w:rsid w:val="0070392E"/>
    <w:rsid w:val="0070614C"/>
    <w:rsid w:val="00707DAE"/>
    <w:rsid w:val="00711F6A"/>
    <w:rsid w:val="00714ECC"/>
    <w:rsid w:val="00716BD8"/>
    <w:rsid w:val="00720A52"/>
    <w:rsid w:val="007222C9"/>
    <w:rsid w:val="0072258A"/>
    <w:rsid w:val="00724BAB"/>
    <w:rsid w:val="00726254"/>
    <w:rsid w:val="007275A6"/>
    <w:rsid w:val="007323F2"/>
    <w:rsid w:val="00741A54"/>
    <w:rsid w:val="00741F10"/>
    <w:rsid w:val="00742141"/>
    <w:rsid w:val="007431A4"/>
    <w:rsid w:val="0074328C"/>
    <w:rsid w:val="007438B4"/>
    <w:rsid w:val="007472DD"/>
    <w:rsid w:val="0075320A"/>
    <w:rsid w:val="00754383"/>
    <w:rsid w:val="0075574D"/>
    <w:rsid w:val="00760D93"/>
    <w:rsid w:val="00761A63"/>
    <w:rsid w:val="007621EB"/>
    <w:rsid w:val="00762738"/>
    <w:rsid w:val="0076413B"/>
    <w:rsid w:val="0076425B"/>
    <w:rsid w:val="00765140"/>
    <w:rsid w:val="0076598B"/>
    <w:rsid w:val="00767B15"/>
    <w:rsid w:val="00770801"/>
    <w:rsid w:val="00770CD8"/>
    <w:rsid w:val="0077108F"/>
    <w:rsid w:val="00772AB4"/>
    <w:rsid w:val="007745DC"/>
    <w:rsid w:val="00780B2D"/>
    <w:rsid w:val="00781FA3"/>
    <w:rsid w:val="007826C2"/>
    <w:rsid w:val="00782A74"/>
    <w:rsid w:val="00785CAF"/>
    <w:rsid w:val="00786178"/>
    <w:rsid w:val="00786DFC"/>
    <w:rsid w:val="00793691"/>
    <w:rsid w:val="00795D39"/>
    <w:rsid w:val="007A2020"/>
    <w:rsid w:val="007A354C"/>
    <w:rsid w:val="007A46F6"/>
    <w:rsid w:val="007A74FD"/>
    <w:rsid w:val="007A7768"/>
    <w:rsid w:val="007B071D"/>
    <w:rsid w:val="007B457C"/>
    <w:rsid w:val="007B57E6"/>
    <w:rsid w:val="007B741C"/>
    <w:rsid w:val="007B795A"/>
    <w:rsid w:val="007C08FD"/>
    <w:rsid w:val="007C1C70"/>
    <w:rsid w:val="007C39AF"/>
    <w:rsid w:val="007C78BB"/>
    <w:rsid w:val="007D190A"/>
    <w:rsid w:val="007D292D"/>
    <w:rsid w:val="007D6B01"/>
    <w:rsid w:val="007E0394"/>
    <w:rsid w:val="007E0E4D"/>
    <w:rsid w:val="007E17AD"/>
    <w:rsid w:val="007E3E53"/>
    <w:rsid w:val="007E7330"/>
    <w:rsid w:val="007F1D67"/>
    <w:rsid w:val="007F27ED"/>
    <w:rsid w:val="007F2E4E"/>
    <w:rsid w:val="007F53A3"/>
    <w:rsid w:val="007F5A3E"/>
    <w:rsid w:val="007F6196"/>
    <w:rsid w:val="007F7DF7"/>
    <w:rsid w:val="00801286"/>
    <w:rsid w:val="0080369A"/>
    <w:rsid w:val="00804F28"/>
    <w:rsid w:val="00806B23"/>
    <w:rsid w:val="00807F3C"/>
    <w:rsid w:val="00814870"/>
    <w:rsid w:val="00815AB8"/>
    <w:rsid w:val="00817340"/>
    <w:rsid w:val="008177DC"/>
    <w:rsid w:val="00821298"/>
    <w:rsid w:val="008213BD"/>
    <w:rsid w:val="00826470"/>
    <w:rsid w:val="0082740F"/>
    <w:rsid w:val="008319E3"/>
    <w:rsid w:val="00834201"/>
    <w:rsid w:val="008357B3"/>
    <w:rsid w:val="008365E4"/>
    <w:rsid w:val="00837009"/>
    <w:rsid w:val="00837F31"/>
    <w:rsid w:val="00842D7B"/>
    <w:rsid w:val="008433D4"/>
    <w:rsid w:val="0084436B"/>
    <w:rsid w:val="008443C6"/>
    <w:rsid w:val="0084646C"/>
    <w:rsid w:val="00851BB1"/>
    <w:rsid w:val="00852496"/>
    <w:rsid w:val="00852B89"/>
    <w:rsid w:val="0085538F"/>
    <w:rsid w:val="008575E3"/>
    <w:rsid w:val="00857C12"/>
    <w:rsid w:val="00860C17"/>
    <w:rsid w:val="0086223C"/>
    <w:rsid w:val="008632D0"/>
    <w:rsid w:val="00867DFA"/>
    <w:rsid w:val="00873E78"/>
    <w:rsid w:val="00874162"/>
    <w:rsid w:val="008743AE"/>
    <w:rsid w:val="00874FF8"/>
    <w:rsid w:val="0087626F"/>
    <w:rsid w:val="008764D1"/>
    <w:rsid w:val="0088092F"/>
    <w:rsid w:val="00880C1A"/>
    <w:rsid w:val="00881B16"/>
    <w:rsid w:val="00883486"/>
    <w:rsid w:val="008836C1"/>
    <w:rsid w:val="008853E5"/>
    <w:rsid w:val="00885910"/>
    <w:rsid w:val="00885F49"/>
    <w:rsid w:val="0088739C"/>
    <w:rsid w:val="00890555"/>
    <w:rsid w:val="00891B3A"/>
    <w:rsid w:val="0089246E"/>
    <w:rsid w:val="00892F78"/>
    <w:rsid w:val="008957D6"/>
    <w:rsid w:val="00896A0B"/>
    <w:rsid w:val="00896B89"/>
    <w:rsid w:val="008A386B"/>
    <w:rsid w:val="008B03F0"/>
    <w:rsid w:val="008C10D7"/>
    <w:rsid w:val="008C4355"/>
    <w:rsid w:val="008C6364"/>
    <w:rsid w:val="008C7B4D"/>
    <w:rsid w:val="008D14BD"/>
    <w:rsid w:val="008D17BD"/>
    <w:rsid w:val="008D1843"/>
    <w:rsid w:val="008D3F11"/>
    <w:rsid w:val="008D4734"/>
    <w:rsid w:val="008E412A"/>
    <w:rsid w:val="008E46FC"/>
    <w:rsid w:val="008E528F"/>
    <w:rsid w:val="008E5CCD"/>
    <w:rsid w:val="008F0ABE"/>
    <w:rsid w:val="008F2AAC"/>
    <w:rsid w:val="008F2DBA"/>
    <w:rsid w:val="008F64D2"/>
    <w:rsid w:val="008F6FD9"/>
    <w:rsid w:val="008F7354"/>
    <w:rsid w:val="009010A1"/>
    <w:rsid w:val="0090166B"/>
    <w:rsid w:val="00905779"/>
    <w:rsid w:val="00906F2F"/>
    <w:rsid w:val="00906FE6"/>
    <w:rsid w:val="00911C95"/>
    <w:rsid w:val="00913A8F"/>
    <w:rsid w:val="00915A1E"/>
    <w:rsid w:val="00917032"/>
    <w:rsid w:val="00920845"/>
    <w:rsid w:val="00921493"/>
    <w:rsid w:val="00922A72"/>
    <w:rsid w:val="00924B6E"/>
    <w:rsid w:val="00925532"/>
    <w:rsid w:val="00927F45"/>
    <w:rsid w:val="00931B95"/>
    <w:rsid w:val="00933995"/>
    <w:rsid w:val="009339BE"/>
    <w:rsid w:val="00933B9F"/>
    <w:rsid w:val="009379C4"/>
    <w:rsid w:val="00937CD9"/>
    <w:rsid w:val="00940595"/>
    <w:rsid w:val="0094164B"/>
    <w:rsid w:val="00941DA4"/>
    <w:rsid w:val="00943775"/>
    <w:rsid w:val="00943AD8"/>
    <w:rsid w:val="00943F4C"/>
    <w:rsid w:val="00944AC3"/>
    <w:rsid w:val="009515FB"/>
    <w:rsid w:val="00952772"/>
    <w:rsid w:val="009528A8"/>
    <w:rsid w:val="00954D6D"/>
    <w:rsid w:val="009573BE"/>
    <w:rsid w:val="00961F17"/>
    <w:rsid w:val="00963838"/>
    <w:rsid w:val="009638B1"/>
    <w:rsid w:val="00963EF8"/>
    <w:rsid w:val="00966BB1"/>
    <w:rsid w:val="00975327"/>
    <w:rsid w:val="0098209A"/>
    <w:rsid w:val="009824F5"/>
    <w:rsid w:val="00982E56"/>
    <w:rsid w:val="00983399"/>
    <w:rsid w:val="00984882"/>
    <w:rsid w:val="009873BF"/>
    <w:rsid w:val="00996753"/>
    <w:rsid w:val="00997F60"/>
    <w:rsid w:val="009A0A44"/>
    <w:rsid w:val="009A250A"/>
    <w:rsid w:val="009A4107"/>
    <w:rsid w:val="009A4F09"/>
    <w:rsid w:val="009A644E"/>
    <w:rsid w:val="009B0CDF"/>
    <w:rsid w:val="009B1F14"/>
    <w:rsid w:val="009B48DA"/>
    <w:rsid w:val="009B5851"/>
    <w:rsid w:val="009B634C"/>
    <w:rsid w:val="009C6DD0"/>
    <w:rsid w:val="009C7767"/>
    <w:rsid w:val="009C7F39"/>
    <w:rsid w:val="009D03F9"/>
    <w:rsid w:val="009D07C6"/>
    <w:rsid w:val="009D2025"/>
    <w:rsid w:val="009D3F98"/>
    <w:rsid w:val="009D61D4"/>
    <w:rsid w:val="009D6EE5"/>
    <w:rsid w:val="009D7192"/>
    <w:rsid w:val="009D7EB4"/>
    <w:rsid w:val="009E0803"/>
    <w:rsid w:val="009E127D"/>
    <w:rsid w:val="009E7052"/>
    <w:rsid w:val="009F379D"/>
    <w:rsid w:val="009F569A"/>
    <w:rsid w:val="00A00F59"/>
    <w:rsid w:val="00A03FF7"/>
    <w:rsid w:val="00A13D8E"/>
    <w:rsid w:val="00A1600A"/>
    <w:rsid w:val="00A16F35"/>
    <w:rsid w:val="00A1759B"/>
    <w:rsid w:val="00A24A89"/>
    <w:rsid w:val="00A26832"/>
    <w:rsid w:val="00A26923"/>
    <w:rsid w:val="00A274D9"/>
    <w:rsid w:val="00A306FD"/>
    <w:rsid w:val="00A3083E"/>
    <w:rsid w:val="00A30852"/>
    <w:rsid w:val="00A31080"/>
    <w:rsid w:val="00A34801"/>
    <w:rsid w:val="00A356B4"/>
    <w:rsid w:val="00A373BC"/>
    <w:rsid w:val="00A40E3D"/>
    <w:rsid w:val="00A40F4E"/>
    <w:rsid w:val="00A426A8"/>
    <w:rsid w:val="00A4344A"/>
    <w:rsid w:val="00A43BFE"/>
    <w:rsid w:val="00A46C7F"/>
    <w:rsid w:val="00A4719D"/>
    <w:rsid w:val="00A51236"/>
    <w:rsid w:val="00A55F21"/>
    <w:rsid w:val="00A56E7F"/>
    <w:rsid w:val="00A640D1"/>
    <w:rsid w:val="00A64E1D"/>
    <w:rsid w:val="00A65D53"/>
    <w:rsid w:val="00A710CF"/>
    <w:rsid w:val="00A712DE"/>
    <w:rsid w:val="00A727A5"/>
    <w:rsid w:val="00A81499"/>
    <w:rsid w:val="00A835D9"/>
    <w:rsid w:val="00A84631"/>
    <w:rsid w:val="00A84CE4"/>
    <w:rsid w:val="00A855D5"/>
    <w:rsid w:val="00A85F84"/>
    <w:rsid w:val="00A867F8"/>
    <w:rsid w:val="00A86B62"/>
    <w:rsid w:val="00A87CAA"/>
    <w:rsid w:val="00A91C4F"/>
    <w:rsid w:val="00A92084"/>
    <w:rsid w:val="00A95D0C"/>
    <w:rsid w:val="00AA16DA"/>
    <w:rsid w:val="00AA1903"/>
    <w:rsid w:val="00AA46AB"/>
    <w:rsid w:val="00AA4809"/>
    <w:rsid w:val="00AA4D0D"/>
    <w:rsid w:val="00AB2305"/>
    <w:rsid w:val="00AB2C9F"/>
    <w:rsid w:val="00AB41FB"/>
    <w:rsid w:val="00AB4470"/>
    <w:rsid w:val="00AB6A64"/>
    <w:rsid w:val="00AC2DB2"/>
    <w:rsid w:val="00AC3004"/>
    <w:rsid w:val="00AC3207"/>
    <w:rsid w:val="00AC619F"/>
    <w:rsid w:val="00AC7263"/>
    <w:rsid w:val="00AD01E3"/>
    <w:rsid w:val="00AD18A5"/>
    <w:rsid w:val="00AD1A8B"/>
    <w:rsid w:val="00AD2876"/>
    <w:rsid w:val="00AD316A"/>
    <w:rsid w:val="00AD3485"/>
    <w:rsid w:val="00AD3E85"/>
    <w:rsid w:val="00AD3FD4"/>
    <w:rsid w:val="00AD5414"/>
    <w:rsid w:val="00AD6602"/>
    <w:rsid w:val="00AD72E2"/>
    <w:rsid w:val="00AD7EBE"/>
    <w:rsid w:val="00AE027D"/>
    <w:rsid w:val="00AE1A34"/>
    <w:rsid w:val="00AE28F1"/>
    <w:rsid w:val="00AE3632"/>
    <w:rsid w:val="00AE50EA"/>
    <w:rsid w:val="00AF0160"/>
    <w:rsid w:val="00AF055C"/>
    <w:rsid w:val="00AF1B26"/>
    <w:rsid w:val="00AF1CE1"/>
    <w:rsid w:val="00AF2001"/>
    <w:rsid w:val="00B00B28"/>
    <w:rsid w:val="00B00DE3"/>
    <w:rsid w:val="00B03744"/>
    <w:rsid w:val="00B04271"/>
    <w:rsid w:val="00B06F02"/>
    <w:rsid w:val="00B07AC1"/>
    <w:rsid w:val="00B07DAD"/>
    <w:rsid w:val="00B10EB0"/>
    <w:rsid w:val="00B11573"/>
    <w:rsid w:val="00B11777"/>
    <w:rsid w:val="00B16067"/>
    <w:rsid w:val="00B16A1F"/>
    <w:rsid w:val="00B16B2F"/>
    <w:rsid w:val="00B16BD7"/>
    <w:rsid w:val="00B17279"/>
    <w:rsid w:val="00B1739F"/>
    <w:rsid w:val="00B21855"/>
    <w:rsid w:val="00B21C02"/>
    <w:rsid w:val="00B23DF9"/>
    <w:rsid w:val="00B240F7"/>
    <w:rsid w:val="00B30087"/>
    <w:rsid w:val="00B35D8A"/>
    <w:rsid w:val="00B371F2"/>
    <w:rsid w:val="00B37729"/>
    <w:rsid w:val="00B40872"/>
    <w:rsid w:val="00B43E91"/>
    <w:rsid w:val="00B4690A"/>
    <w:rsid w:val="00B50157"/>
    <w:rsid w:val="00B50255"/>
    <w:rsid w:val="00B51E7A"/>
    <w:rsid w:val="00B51FF5"/>
    <w:rsid w:val="00B53633"/>
    <w:rsid w:val="00B5440A"/>
    <w:rsid w:val="00B560BE"/>
    <w:rsid w:val="00B5699C"/>
    <w:rsid w:val="00B57B81"/>
    <w:rsid w:val="00B61F54"/>
    <w:rsid w:val="00B622E2"/>
    <w:rsid w:val="00B63E30"/>
    <w:rsid w:val="00B67765"/>
    <w:rsid w:val="00B67B69"/>
    <w:rsid w:val="00B67E20"/>
    <w:rsid w:val="00B67F33"/>
    <w:rsid w:val="00B72D27"/>
    <w:rsid w:val="00B736DE"/>
    <w:rsid w:val="00B742A3"/>
    <w:rsid w:val="00B77CE1"/>
    <w:rsid w:val="00B80944"/>
    <w:rsid w:val="00B80C8F"/>
    <w:rsid w:val="00B81E17"/>
    <w:rsid w:val="00B83B78"/>
    <w:rsid w:val="00B83E26"/>
    <w:rsid w:val="00B8691B"/>
    <w:rsid w:val="00B86E9E"/>
    <w:rsid w:val="00B928D6"/>
    <w:rsid w:val="00B9486C"/>
    <w:rsid w:val="00B94E81"/>
    <w:rsid w:val="00B956F8"/>
    <w:rsid w:val="00BA091D"/>
    <w:rsid w:val="00BA0B81"/>
    <w:rsid w:val="00BA1CF1"/>
    <w:rsid w:val="00BA1FDD"/>
    <w:rsid w:val="00BA2268"/>
    <w:rsid w:val="00BA3465"/>
    <w:rsid w:val="00BA4C17"/>
    <w:rsid w:val="00BA583D"/>
    <w:rsid w:val="00BA6A07"/>
    <w:rsid w:val="00BB5E30"/>
    <w:rsid w:val="00BB5E9B"/>
    <w:rsid w:val="00BC2C79"/>
    <w:rsid w:val="00BC5AA2"/>
    <w:rsid w:val="00BC61C3"/>
    <w:rsid w:val="00BC62E9"/>
    <w:rsid w:val="00BC6F11"/>
    <w:rsid w:val="00BC7910"/>
    <w:rsid w:val="00BD0093"/>
    <w:rsid w:val="00BD2029"/>
    <w:rsid w:val="00BD23E8"/>
    <w:rsid w:val="00BD3464"/>
    <w:rsid w:val="00BD57B6"/>
    <w:rsid w:val="00BD6544"/>
    <w:rsid w:val="00BE1686"/>
    <w:rsid w:val="00BE17CC"/>
    <w:rsid w:val="00BE51B1"/>
    <w:rsid w:val="00BE6E86"/>
    <w:rsid w:val="00BF083F"/>
    <w:rsid w:val="00BF1EEA"/>
    <w:rsid w:val="00BF271C"/>
    <w:rsid w:val="00BF59C3"/>
    <w:rsid w:val="00BF5C40"/>
    <w:rsid w:val="00BF6A0C"/>
    <w:rsid w:val="00C0185F"/>
    <w:rsid w:val="00C0207D"/>
    <w:rsid w:val="00C02FDE"/>
    <w:rsid w:val="00C04D31"/>
    <w:rsid w:val="00C11A0D"/>
    <w:rsid w:val="00C13FF5"/>
    <w:rsid w:val="00C14AF9"/>
    <w:rsid w:val="00C15EC3"/>
    <w:rsid w:val="00C165F5"/>
    <w:rsid w:val="00C20A25"/>
    <w:rsid w:val="00C22632"/>
    <w:rsid w:val="00C235D0"/>
    <w:rsid w:val="00C23C29"/>
    <w:rsid w:val="00C30901"/>
    <w:rsid w:val="00C31EC8"/>
    <w:rsid w:val="00C3307E"/>
    <w:rsid w:val="00C34142"/>
    <w:rsid w:val="00C34D0F"/>
    <w:rsid w:val="00C35AE7"/>
    <w:rsid w:val="00C36029"/>
    <w:rsid w:val="00C36BCF"/>
    <w:rsid w:val="00C373DC"/>
    <w:rsid w:val="00C4095C"/>
    <w:rsid w:val="00C42304"/>
    <w:rsid w:val="00C42BBA"/>
    <w:rsid w:val="00C42EC6"/>
    <w:rsid w:val="00C47293"/>
    <w:rsid w:val="00C50408"/>
    <w:rsid w:val="00C50B89"/>
    <w:rsid w:val="00C51A73"/>
    <w:rsid w:val="00C52737"/>
    <w:rsid w:val="00C53A07"/>
    <w:rsid w:val="00C54CBB"/>
    <w:rsid w:val="00C55CAC"/>
    <w:rsid w:val="00C56D31"/>
    <w:rsid w:val="00C60248"/>
    <w:rsid w:val="00C612AC"/>
    <w:rsid w:val="00C61E4D"/>
    <w:rsid w:val="00C62A27"/>
    <w:rsid w:val="00C6423C"/>
    <w:rsid w:val="00C66923"/>
    <w:rsid w:val="00C67A93"/>
    <w:rsid w:val="00C72AEA"/>
    <w:rsid w:val="00C75616"/>
    <w:rsid w:val="00C761CB"/>
    <w:rsid w:val="00C779FB"/>
    <w:rsid w:val="00C8409D"/>
    <w:rsid w:val="00C8458A"/>
    <w:rsid w:val="00C8601C"/>
    <w:rsid w:val="00C87ABA"/>
    <w:rsid w:val="00C95CE3"/>
    <w:rsid w:val="00C96499"/>
    <w:rsid w:val="00C97FDA"/>
    <w:rsid w:val="00CA4D87"/>
    <w:rsid w:val="00CA7589"/>
    <w:rsid w:val="00CA7DBA"/>
    <w:rsid w:val="00CA7ECC"/>
    <w:rsid w:val="00CB06C1"/>
    <w:rsid w:val="00CB078E"/>
    <w:rsid w:val="00CB15C9"/>
    <w:rsid w:val="00CB2D05"/>
    <w:rsid w:val="00CB62E8"/>
    <w:rsid w:val="00CB736D"/>
    <w:rsid w:val="00CC16B4"/>
    <w:rsid w:val="00CC2717"/>
    <w:rsid w:val="00CC4D39"/>
    <w:rsid w:val="00CC5075"/>
    <w:rsid w:val="00CC734B"/>
    <w:rsid w:val="00CD0AD5"/>
    <w:rsid w:val="00CD0C4B"/>
    <w:rsid w:val="00CD27CD"/>
    <w:rsid w:val="00CD3AF4"/>
    <w:rsid w:val="00CD4168"/>
    <w:rsid w:val="00CD43AB"/>
    <w:rsid w:val="00CD57A1"/>
    <w:rsid w:val="00CD67F4"/>
    <w:rsid w:val="00CE0241"/>
    <w:rsid w:val="00CE0ACF"/>
    <w:rsid w:val="00CE10BA"/>
    <w:rsid w:val="00CE22A6"/>
    <w:rsid w:val="00CE248B"/>
    <w:rsid w:val="00CE3B11"/>
    <w:rsid w:val="00CE3D6C"/>
    <w:rsid w:val="00CE5C79"/>
    <w:rsid w:val="00CE66FB"/>
    <w:rsid w:val="00CE78C6"/>
    <w:rsid w:val="00CE7DF9"/>
    <w:rsid w:val="00CF0114"/>
    <w:rsid w:val="00CF39E3"/>
    <w:rsid w:val="00CF5463"/>
    <w:rsid w:val="00CF6E66"/>
    <w:rsid w:val="00D039B3"/>
    <w:rsid w:val="00D03F79"/>
    <w:rsid w:val="00D061C8"/>
    <w:rsid w:val="00D1116E"/>
    <w:rsid w:val="00D12B53"/>
    <w:rsid w:val="00D131D1"/>
    <w:rsid w:val="00D1323C"/>
    <w:rsid w:val="00D1493D"/>
    <w:rsid w:val="00D1562C"/>
    <w:rsid w:val="00D17A32"/>
    <w:rsid w:val="00D20F2E"/>
    <w:rsid w:val="00D2440F"/>
    <w:rsid w:val="00D2561E"/>
    <w:rsid w:val="00D2746B"/>
    <w:rsid w:val="00D30701"/>
    <w:rsid w:val="00D31EE0"/>
    <w:rsid w:val="00D328BA"/>
    <w:rsid w:val="00D330BF"/>
    <w:rsid w:val="00D333B8"/>
    <w:rsid w:val="00D3351D"/>
    <w:rsid w:val="00D348CA"/>
    <w:rsid w:val="00D34CFD"/>
    <w:rsid w:val="00D40F4F"/>
    <w:rsid w:val="00D41FAF"/>
    <w:rsid w:val="00D42267"/>
    <w:rsid w:val="00D427CD"/>
    <w:rsid w:val="00D443CA"/>
    <w:rsid w:val="00D449A7"/>
    <w:rsid w:val="00D45315"/>
    <w:rsid w:val="00D4599C"/>
    <w:rsid w:val="00D46BDD"/>
    <w:rsid w:val="00D47BE8"/>
    <w:rsid w:val="00D518A2"/>
    <w:rsid w:val="00D519E8"/>
    <w:rsid w:val="00D52A29"/>
    <w:rsid w:val="00D545E7"/>
    <w:rsid w:val="00D64F64"/>
    <w:rsid w:val="00D67632"/>
    <w:rsid w:val="00D71D46"/>
    <w:rsid w:val="00D74BBF"/>
    <w:rsid w:val="00D74F96"/>
    <w:rsid w:val="00D7699F"/>
    <w:rsid w:val="00D80FFA"/>
    <w:rsid w:val="00D85434"/>
    <w:rsid w:val="00D86863"/>
    <w:rsid w:val="00D90816"/>
    <w:rsid w:val="00D92A49"/>
    <w:rsid w:val="00D92C01"/>
    <w:rsid w:val="00D93A25"/>
    <w:rsid w:val="00D93F6C"/>
    <w:rsid w:val="00D94AFA"/>
    <w:rsid w:val="00D96A90"/>
    <w:rsid w:val="00DA1367"/>
    <w:rsid w:val="00DA3890"/>
    <w:rsid w:val="00DA514F"/>
    <w:rsid w:val="00DB367B"/>
    <w:rsid w:val="00DB3D2B"/>
    <w:rsid w:val="00DB411B"/>
    <w:rsid w:val="00DB76AE"/>
    <w:rsid w:val="00DC1106"/>
    <w:rsid w:val="00DC4E9A"/>
    <w:rsid w:val="00DC5460"/>
    <w:rsid w:val="00DC69C6"/>
    <w:rsid w:val="00DC6C06"/>
    <w:rsid w:val="00DC74FF"/>
    <w:rsid w:val="00DD00B4"/>
    <w:rsid w:val="00DD1930"/>
    <w:rsid w:val="00DD79BD"/>
    <w:rsid w:val="00DE19A6"/>
    <w:rsid w:val="00DE343F"/>
    <w:rsid w:val="00DE3862"/>
    <w:rsid w:val="00DE4F67"/>
    <w:rsid w:val="00DE7709"/>
    <w:rsid w:val="00DF1AE6"/>
    <w:rsid w:val="00DF2522"/>
    <w:rsid w:val="00DF2AFA"/>
    <w:rsid w:val="00DF36AE"/>
    <w:rsid w:val="00DF73B7"/>
    <w:rsid w:val="00DF789F"/>
    <w:rsid w:val="00E027A5"/>
    <w:rsid w:val="00E02DAA"/>
    <w:rsid w:val="00E05613"/>
    <w:rsid w:val="00E06AD3"/>
    <w:rsid w:val="00E06F5F"/>
    <w:rsid w:val="00E10045"/>
    <w:rsid w:val="00E104C5"/>
    <w:rsid w:val="00E13E76"/>
    <w:rsid w:val="00E147E6"/>
    <w:rsid w:val="00E16984"/>
    <w:rsid w:val="00E22A36"/>
    <w:rsid w:val="00E23088"/>
    <w:rsid w:val="00E24B0C"/>
    <w:rsid w:val="00E26FED"/>
    <w:rsid w:val="00E30473"/>
    <w:rsid w:val="00E31348"/>
    <w:rsid w:val="00E31B33"/>
    <w:rsid w:val="00E32404"/>
    <w:rsid w:val="00E32649"/>
    <w:rsid w:val="00E32F00"/>
    <w:rsid w:val="00E3343C"/>
    <w:rsid w:val="00E35ADF"/>
    <w:rsid w:val="00E369FE"/>
    <w:rsid w:val="00E37145"/>
    <w:rsid w:val="00E37279"/>
    <w:rsid w:val="00E41CAE"/>
    <w:rsid w:val="00E42F26"/>
    <w:rsid w:val="00E442F6"/>
    <w:rsid w:val="00E474B1"/>
    <w:rsid w:val="00E52622"/>
    <w:rsid w:val="00E607F6"/>
    <w:rsid w:val="00E60A00"/>
    <w:rsid w:val="00E61AB0"/>
    <w:rsid w:val="00E623CE"/>
    <w:rsid w:val="00E634D5"/>
    <w:rsid w:val="00E644B1"/>
    <w:rsid w:val="00E71C3B"/>
    <w:rsid w:val="00E73C77"/>
    <w:rsid w:val="00E77689"/>
    <w:rsid w:val="00E80492"/>
    <w:rsid w:val="00E80E14"/>
    <w:rsid w:val="00E8271E"/>
    <w:rsid w:val="00E861F9"/>
    <w:rsid w:val="00E90F4C"/>
    <w:rsid w:val="00E93F17"/>
    <w:rsid w:val="00E971B0"/>
    <w:rsid w:val="00EA0E77"/>
    <w:rsid w:val="00EA16C8"/>
    <w:rsid w:val="00EA33BB"/>
    <w:rsid w:val="00EB4E0F"/>
    <w:rsid w:val="00EB53BA"/>
    <w:rsid w:val="00EB5477"/>
    <w:rsid w:val="00EB6938"/>
    <w:rsid w:val="00EB7C63"/>
    <w:rsid w:val="00EC0879"/>
    <w:rsid w:val="00EC11E3"/>
    <w:rsid w:val="00EC3C28"/>
    <w:rsid w:val="00EC5F62"/>
    <w:rsid w:val="00EC7CCA"/>
    <w:rsid w:val="00ED00F3"/>
    <w:rsid w:val="00ED5DF7"/>
    <w:rsid w:val="00EE0296"/>
    <w:rsid w:val="00EE090F"/>
    <w:rsid w:val="00EE4414"/>
    <w:rsid w:val="00EE58EE"/>
    <w:rsid w:val="00EE7279"/>
    <w:rsid w:val="00EF3F89"/>
    <w:rsid w:val="00EF52C3"/>
    <w:rsid w:val="00F026B5"/>
    <w:rsid w:val="00F0280A"/>
    <w:rsid w:val="00F02B5E"/>
    <w:rsid w:val="00F03922"/>
    <w:rsid w:val="00F04DA7"/>
    <w:rsid w:val="00F05D9F"/>
    <w:rsid w:val="00F07C82"/>
    <w:rsid w:val="00F10903"/>
    <w:rsid w:val="00F10C76"/>
    <w:rsid w:val="00F12F49"/>
    <w:rsid w:val="00F14FF9"/>
    <w:rsid w:val="00F17317"/>
    <w:rsid w:val="00F216A7"/>
    <w:rsid w:val="00F22041"/>
    <w:rsid w:val="00F235DC"/>
    <w:rsid w:val="00F26327"/>
    <w:rsid w:val="00F270E7"/>
    <w:rsid w:val="00F323BC"/>
    <w:rsid w:val="00F325A2"/>
    <w:rsid w:val="00F32946"/>
    <w:rsid w:val="00F32F9B"/>
    <w:rsid w:val="00F332CC"/>
    <w:rsid w:val="00F33623"/>
    <w:rsid w:val="00F347C0"/>
    <w:rsid w:val="00F3667C"/>
    <w:rsid w:val="00F36DC9"/>
    <w:rsid w:val="00F371B2"/>
    <w:rsid w:val="00F4193D"/>
    <w:rsid w:val="00F41D78"/>
    <w:rsid w:val="00F42E7C"/>
    <w:rsid w:val="00F437C8"/>
    <w:rsid w:val="00F457F1"/>
    <w:rsid w:val="00F46B86"/>
    <w:rsid w:val="00F46D22"/>
    <w:rsid w:val="00F4731E"/>
    <w:rsid w:val="00F51481"/>
    <w:rsid w:val="00F514FB"/>
    <w:rsid w:val="00F5284F"/>
    <w:rsid w:val="00F57BC7"/>
    <w:rsid w:val="00F57F5F"/>
    <w:rsid w:val="00F57FE4"/>
    <w:rsid w:val="00F60752"/>
    <w:rsid w:val="00F6182C"/>
    <w:rsid w:val="00F656DB"/>
    <w:rsid w:val="00F66173"/>
    <w:rsid w:val="00F71ABA"/>
    <w:rsid w:val="00F7209B"/>
    <w:rsid w:val="00F72303"/>
    <w:rsid w:val="00F72AA3"/>
    <w:rsid w:val="00F74215"/>
    <w:rsid w:val="00F74C55"/>
    <w:rsid w:val="00F76605"/>
    <w:rsid w:val="00F76BC1"/>
    <w:rsid w:val="00F77F97"/>
    <w:rsid w:val="00F81D7B"/>
    <w:rsid w:val="00F81EA5"/>
    <w:rsid w:val="00F82E91"/>
    <w:rsid w:val="00F860A6"/>
    <w:rsid w:val="00F86434"/>
    <w:rsid w:val="00F8672B"/>
    <w:rsid w:val="00F87553"/>
    <w:rsid w:val="00F90C69"/>
    <w:rsid w:val="00F913E6"/>
    <w:rsid w:val="00F9372F"/>
    <w:rsid w:val="00F94997"/>
    <w:rsid w:val="00F955DB"/>
    <w:rsid w:val="00F95F68"/>
    <w:rsid w:val="00FA0BA9"/>
    <w:rsid w:val="00FA1E36"/>
    <w:rsid w:val="00FA5B94"/>
    <w:rsid w:val="00FB247C"/>
    <w:rsid w:val="00FB3AA4"/>
    <w:rsid w:val="00FB5C38"/>
    <w:rsid w:val="00FB5C4B"/>
    <w:rsid w:val="00FB79A9"/>
    <w:rsid w:val="00FC051C"/>
    <w:rsid w:val="00FC112A"/>
    <w:rsid w:val="00FC1C81"/>
    <w:rsid w:val="00FC40A6"/>
    <w:rsid w:val="00FC4317"/>
    <w:rsid w:val="00FC573B"/>
    <w:rsid w:val="00FC6EA8"/>
    <w:rsid w:val="00FD0C86"/>
    <w:rsid w:val="00FD1B09"/>
    <w:rsid w:val="00FD32E2"/>
    <w:rsid w:val="00FD3D1A"/>
    <w:rsid w:val="00FD59F1"/>
    <w:rsid w:val="00FD754F"/>
    <w:rsid w:val="00FE0F5E"/>
    <w:rsid w:val="00FE5382"/>
    <w:rsid w:val="00FE6C2C"/>
    <w:rsid w:val="00FE79B5"/>
    <w:rsid w:val="00FF0B45"/>
    <w:rsid w:val="00FF160A"/>
    <w:rsid w:val="00FF684C"/>
    <w:rsid w:val="00FF7615"/>
    <w:rsid w:val="00FF7D3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6EB8E3E5"/>
  <w15:docId w15:val="{0F3B0768-5078-4A57-A2AF-153B70EC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spacing w:after="200" w:line="276" w:lineRule="auto"/>
    </w:pPr>
    <w:rPr>
      <w:lang w:val="en-US"/>
    </w:rPr>
  </w:style>
  <w:style w:type="paragraph" w:styleId="Heading2">
    <w:name w:val="heading 2"/>
    <w:basedOn w:val="Normal"/>
    <w:next w:val="Normal"/>
    <w:uiPriority w:val="9"/>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485B5F"/>
    <w:pPr>
      <w:keepNext/>
      <w:keepLines/>
      <w:suppressAutoHyphens w:val="0"/>
      <w:autoSpaceDN/>
      <w:spacing w:before="40" w:after="0"/>
      <w:textAlignment w:val="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uiPriority w:val="9"/>
    <w:qFormat/>
    <w:pPr>
      <w:keepNext/>
      <w:keepLines/>
      <w:spacing w:before="40" w:after="0"/>
      <w:outlineLvl w:val="4"/>
    </w:pPr>
    <w:rPr>
      <w:rFonts w:ascii="Calibri Light" w:eastAsia="Times New Roman" w:hAnsi="Calibri Light"/>
      <w:color w:val="2F5496"/>
    </w:rPr>
  </w:style>
  <w:style w:type="paragraph" w:styleId="Heading7">
    <w:name w:val="heading 7"/>
    <w:basedOn w:val="Normal"/>
    <w:next w:val="Normal"/>
    <w:uiPriority w:val="9"/>
    <w:qFormat/>
    <w:pPr>
      <w:keepNext/>
      <w:keepLines/>
      <w:spacing w:before="40" w:after="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Section">
    <w:name w:val="HeadSection"/>
    <w:basedOn w:val="BodyText"/>
    <w:next w:val="BodyText"/>
    <w:pPr>
      <w:keepNext/>
      <w:widowControl/>
      <w:tabs>
        <w:tab w:val="left" w:pos="360"/>
      </w:tabs>
      <w:spacing w:before="280" w:after="220" w:line="240" w:lineRule="auto"/>
      <w:ind w:left="720" w:hanging="360"/>
      <w:outlineLvl w:val="0"/>
    </w:pPr>
    <w:rPr>
      <w:rFonts w:ascii="Arial" w:hAnsi="Arial"/>
      <w:b/>
      <w:kern w:val="3"/>
      <w:sz w:val="23"/>
      <w:szCs w:val="20"/>
      <w:lang w:val="en-GB"/>
    </w:rPr>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lang w:val="en-US"/>
    </w:rPr>
  </w:style>
  <w:style w:type="character" w:customStyle="1" w:styleId="Heading5Char">
    <w:name w:val="Heading 5 Char"/>
    <w:basedOn w:val="DefaultParagraphFont"/>
    <w:uiPriority w:val="9"/>
    <w:rPr>
      <w:rFonts w:ascii="Calibri Light" w:eastAsia="Times New Roman" w:hAnsi="Calibri Light" w:cs="Times New Roman"/>
      <w:color w:val="2F5496"/>
      <w:lang w:val="en-US"/>
    </w:rPr>
  </w:style>
  <w:style w:type="character" w:customStyle="1" w:styleId="Heading7Char">
    <w:name w:val="Heading 7 Char"/>
    <w:basedOn w:val="DefaultParagraphFont"/>
    <w:uiPriority w:val="9"/>
    <w:rPr>
      <w:rFonts w:ascii="Calibri Light" w:eastAsia="Times New Roman" w:hAnsi="Calibri Light" w:cs="Times New Roman"/>
      <w:i/>
      <w:iCs/>
      <w:color w:val="1F3763"/>
      <w:lang w:val="en-U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rPr>
      <w:color w:val="954F72"/>
      <w:u w:val="single"/>
    </w:rPr>
  </w:style>
  <w:style w:type="paragraph" w:customStyle="1" w:styleId="msonormal0">
    <w:name w:val="msonormal"/>
    <w:basedOn w:val="Normal"/>
    <w:pPr>
      <w:widowControl/>
      <w:spacing w:before="100" w:after="100" w:line="240" w:lineRule="auto"/>
      <w:ind w:left="150"/>
    </w:pPr>
    <w:rPr>
      <w:rFonts w:ascii="Verdana" w:eastAsia="Times New Roman" w:hAnsi="Verdana"/>
      <w:sz w:val="20"/>
      <w:szCs w:val="20"/>
      <w:lang w:val="en-GB" w:eastAsia="en-GB"/>
    </w:rPr>
  </w:style>
  <w:style w:type="paragraph" w:styleId="NormalWeb">
    <w:name w:val="Normal (Web)"/>
    <w:basedOn w:val="Normal"/>
    <w:uiPriority w:val="99"/>
    <w:pPr>
      <w:widowControl/>
      <w:spacing w:before="100" w:after="100" w:line="240" w:lineRule="auto"/>
      <w:ind w:left="150"/>
    </w:pPr>
    <w:rPr>
      <w:rFonts w:ascii="Verdana" w:eastAsia="Times New Roman" w:hAnsi="Verdana"/>
      <w:sz w:val="20"/>
      <w:szCs w:val="20"/>
      <w:lang w:val="en-GB" w:eastAsia="en-GB"/>
    </w:rPr>
  </w:style>
  <w:style w:type="paragraph" w:styleId="FootnoteText">
    <w:name w:val="footnote text"/>
    <w:basedOn w:val="Normal"/>
    <w:uiPriority w:val="99"/>
    <w:pPr>
      <w:spacing w:after="0" w:line="240" w:lineRule="auto"/>
    </w:pPr>
    <w:rPr>
      <w:sz w:val="20"/>
      <w:szCs w:val="20"/>
    </w:rPr>
  </w:style>
  <w:style w:type="character" w:customStyle="1" w:styleId="FootnoteTextChar">
    <w:name w:val="Footnote Text Char"/>
    <w:basedOn w:val="DefaultParagraphFont"/>
    <w:uiPriority w:val="99"/>
    <w:rPr>
      <w:sz w:val="20"/>
      <w:szCs w:val="20"/>
      <w:lang w:val="en-US"/>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lang w:val="en-US"/>
    </w:rPr>
  </w:style>
  <w:style w:type="paragraph" w:styleId="Header">
    <w:name w:val="header"/>
    <w:basedOn w:val="Normal"/>
    <w:uiPriority w:val="99"/>
    <w:pPr>
      <w:widowControl/>
      <w:tabs>
        <w:tab w:val="center" w:pos="4680"/>
        <w:tab w:val="right" w:pos="9360"/>
      </w:tabs>
      <w:spacing w:after="0" w:line="240" w:lineRule="auto"/>
    </w:pPr>
    <w:rPr>
      <w:lang w:val="en-GB"/>
    </w:rPr>
  </w:style>
  <w:style w:type="character" w:customStyle="1" w:styleId="HeaderChar">
    <w:name w:val="Header Char"/>
    <w:basedOn w:val="DefaultParagraphFont"/>
    <w:uiPriority w:val="99"/>
  </w:style>
  <w:style w:type="paragraph" w:styleId="Footer">
    <w:name w:val="footer"/>
    <w:basedOn w:val="Normal"/>
    <w:uiPriority w:val="99"/>
    <w:pPr>
      <w:widowControl/>
      <w:tabs>
        <w:tab w:val="center" w:pos="4680"/>
        <w:tab w:val="right" w:pos="9360"/>
      </w:tabs>
      <w:spacing w:after="0" w:line="240" w:lineRule="auto"/>
    </w:pPr>
    <w:rPr>
      <w:lang w:val="en-GB"/>
    </w:rPr>
  </w:style>
  <w:style w:type="character" w:customStyle="1" w:styleId="FooterChar">
    <w:name w:val="Footer Char"/>
    <w:basedOn w:val="DefaultParagraphFont"/>
    <w:uiPriority w:val="99"/>
  </w:style>
  <w:style w:type="paragraph" w:styleId="BodyText">
    <w:name w:val="Body Text"/>
    <w:basedOn w:val="Normal"/>
    <w:uiPriority w:val="99"/>
    <w:pPr>
      <w:spacing w:after="120"/>
    </w:pPr>
  </w:style>
  <w:style w:type="character" w:customStyle="1" w:styleId="BodyTextChar">
    <w:name w:val="Body Text Char"/>
    <w:basedOn w:val="DefaultParagraphFont"/>
    <w:uiPriority w:val="99"/>
    <w:rPr>
      <w:lang w:val="en-U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lang w:val="en-US"/>
    </w:rPr>
  </w:style>
  <w:style w:type="paragraph" w:styleId="BalloonText">
    <w:name w:val="Balloon Text"/>
    <w:basedOn w:val="Normal"/>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rPr>
      <w:rFonts w:ascii="Segoe UI" w:hAnsi="Segoe UI" w:cs="Segoe UI"/>
      <w:sz w:val="18"/>
      <w:szCs w:val="18"/>
      <w:lang w:val="en-US"/>
    </w:rPr>
  </w:style>
  <w:style w:type="paragraph" w:styleId="Revision">
    <w:name w:val="Revision"/>
    <w:uiPriority w:val="99"/>
    <w:pPr>
      <w:suppressAutoHyphens/>
      <w:spacing w:after="0"/>
    </w:pPr>
    <w:rPr>
      <w:lang w:val="en-US"/>
    </w:rPr>
  </w:style>
  <w:style w:type="paragraph" w:styleId="ListParagraph">
    <w:name w:val="List Paragraph"/>
    <w:basedOn w:val="Normal"/>
    <w:uiPriority w:val="34"/>
    <w:qFormat/>
    <w:pPr>
      <w:ind w:left="720"/>
    </w:pPr>
  </w:style>
  <w:style w:type="paragraph" w:customStyle="1" w:styleId="Body">
    <w:name w:val="Body"/>
    <w:pPr>
      <w:suppressAutoHyphens/>
      <w:spacing w:after="0" w:line="280" w:lineRule="exact"/>
    </w:pPr>
    <w:rPr>
      <w:rFonts w:ascii="Arial" w:eastAsia="Arial" w:hAnsi="Arial" w:cs="Arial"/>
      <w:color w:val="000000"/>
      <w:lang w:eastAsia="en-GB"/>
    </w:rPr>
  </w:style>
  <w:style w:type="paragraph" w:customStyle="1" w:styleId="Default">
    <w:name w:val="Default"/>
    <w:pPr>
      <w:suppressAutoHyphens/>
      <w:autoSpaceDE w:val="0"/>
      <w:spacing w:after="0"/>
    </w:pPr>
    <w:rPr>
      <w:rFonts w:ascii="Times New Roman" w:hAnsi="Times New Roman"/>
      <w:color w:val="000000"/>
      <w:sz w:val="24"/>
      <w:szCs w:val="24"/>
      <w:lang w:val="en-US"/>
    </w:rPr>
  </w:style>
  <w:style w:type="paragraph" w:customStyle="1" w:styleId="NoParagraphStyle">
    <w:name w:val="[No Paragraph Style]"/>
    <w:pPr>
      <w:widowControl w:val="0"/>
      <w:suppressAutoHyphens/>
      <w:autoSpaceDE w:val="0"/>
      <w:spacing w:after="0" w:line="288" w:lineRule="auto"/>
    </w:pPr>
    <w:rPr>
      <w:rFonts w:ascii="MinionPro-Regular" w:eastAsia="Times New Roman" w:hAnsi="MinionPro-Regular" w:cs="MinionPro-Regular"/>
      <w:color w:val="000000"/>
      <w:sz w:val="24"/>
      <w:szCs w:val="24"/>
    </w:rPr>
  </w:style>
  <w:style w:type="paragraph" w:customStyle="1" w:styleId="TableHeaderTable">
    <w:name w:val="Table Header (Table)"/>
    <w:basedOn w:val="NoParagraphStyle"/>
    <w:uiPriority w:val="99"/>
    <w:pPr>
      <w:spacing w:line="210" w:lineRule="atLeast"/>
      <w:ind w:right="57"/>
      <w:jc w:val="right"/>
    </w:pPr>
    <w:rPr>
      <w:rFonts w:ascii="Arial" w:hAnsi="Arial" w:cs="Arial-BoldMT"/>
      <w:b/>
      <w:bCs/>
      <w:sz w:val="16"/>
      <w:szCs w:val="16"/>
      <w:lang w:val="en-US"/>
    </w:rPr>
  </w:style>
  <w:style w:type="paragraph" w:customStyle="1" w:styleId="TableFigures16mmTable">
    <w:name w:val="Table Figures 16mm (Table)"/>
    <w:basedOn w:val="NoParagraphStyle"/>
    <w:uiPriority w:val="99"/>
    <w:pPr>
      <w:tabs>
        <w:tab w:val="left" w:pos="794"/>
      </w:tabs>
      <w:spacing w:line="170" w:lineRule="atLeast"/>
      <w:ind w:right="57"/>
      <w:jc w:val="right"/>
    </w:pPr>
    <w:rPr>
      <w:rFonts w:ascii="Arial" w:hAnsi="Arial" w:cs="ArialMT"/>
      <w:sz w:val="16"/>
      <w:szCs w:val="16"/>
      <w:lang w:val="en-US"/>
    </w:rPr>
  </w:style>
  <w:style w:type="paragraph" w:customStyle="1" w:styleId="TableHeaderCentredTable">
    <w:name w:val="Table Header Centred (Table)"/>
    <w:basedOn w:val="TableHeaderTable"/>
    <w:uiPriority w:val="99"/>
    <w:pPr>
      <w:ind w:left="113"/>
      <w:jc w:val="center"/>
    </w:pPr>
  </w:style>
  <w:style w:type="paragraph" w:customStyle="1" w:styleId="TableTextTable">
    <w:name w:val="Table Text (Table)"/>
    <w:basedOn w:val="NoParagraphStyle"/>
    <w:uiPriority w:val="99"/>
    <w:pPr>
      <w:spacing w:line="210" w:lineRule="atLeast"/>
      <w:ind w:left="71"/>
    </w:pPr>
    <w:rPr>
      <w:rFonts w:ascii="Arial" w:hAnsi="Arial" w:cs="ArialMT"/>
      <w:sz w:val="16"/>
      <w:szCs w:val="16"/>
      <w:lang w:val="en-US"/>
    </w:rPr>
  </w:style>
  <w:style w:type="paragraph" w:customStyle="1" w:styleId="BodyBullets">
    <w:name w:val="Body Bullets"/>
    <w:basedOn w:val="Body"/>
    <w:uiPriority w:val="99"/>
    <w:pPr>
      <w:widowControl w:val="0"/>
      <w:tabs>
        <w:tab w:val="left" w:pos="454"/>
      </w:tabs>
      <w:autoSpaceDE w:val="0"/>
      <w:spacing w:after="85" w:line="240" w:lineRule="atLeast"/>
      <w:ind w:left="284" w:hanging="284"/>
    </w:pPr>
    <w:rPr>
      <w:rFonts w:eastAsia="Times New Roman" w:cs="ArialMT"/>
      <w:sz w:val="18"/>
      <w:szCs w:val="18"/>
      <w:lang w:val="en-US" w:eastAsia="en-US"/>
    </w:rPr>
  </w:style>
  <w:style w:type="paragraph" w:customStyle="1" w:styleId="BodyBulletslevel2">
    <w:name w:val="Body Bullets level 2"/>
    <w:uiPriority w:val="99"/>
    <w:pPr>
      <w:numPr>
        <w:numId w:val="2"/>
      </w:numPr>
      <w:suppressAutoHyphens/>
      <w:spacing w:after="85" w:line="240" w:lineRule="atLeast"/>
    </w:pPr>
    <w:rPr>
      <w:rFonts w:ascii="ArialMT" w:eastAsia="Times New Roman" w:hAnsi="ArialMT" w:cs="ArialMT"/>
      <w:color w:val="000000"/>
      <w:sz w:val="18"/>
      <w:szCs w:val="18"/>
      <w:lang w:val="en-US"/>
    </w:rPr>
  </w:style>
  <w:style w:type="paragraph" w:customStyle="1" w:styleId="BodyBulletfinal">
    <w:name w:val="Body Bullet final"/>
    <w:basedOn w:val="BodyBullets"/>
    <w:qFormat/>
    <w:pPr>
      <w:numPr>
        <w:numId w:val="1"/>
      </w:numPr>
      <w:spacing w:after="165"/>
    </w:pPr>
  </w:style>
  <w:style w:type="paragraph" w:customStyle="1" w:styleId="SubHeadlevel2">
    <w:name w:val="Sub Head level 2"/>
    <w:basedOn w:val="Body"/>
    <w:autoRedefine/>
    <w:uiPriority w:val="99"/>
    <w:pPr>
      <w:widowControl w:val="0"/>
      <w:tabs>
        <w:tab w:val="left" w:pos="283"/>
      </w:tabs>
      <w:autoSpaceDE w:val="0"/>
      <w:spacing w:line="240" w:lineRule="atLeast"/>
      <w:jc w:val="both"/>
    </w:pPr>
    <w:rPr>
      <w:rFonts w:ascii="Times New Roman" w:eastAsia="Times New Roman" w:hAnsi="Times New Roman" w:cs="Times New Roman"/>
      <w:bCs/>
      <w:i/>
      <w:color w:val="auto"/>
      <w:sz w:val="24"/>
      <w:szCs w:val="24"/>
      <w:lang w:val="en-US" w:eastAsia="en-US"/>
    </w:rPr>
  </w:style>
  <w:style w:type="paragraph" w:customStyle="1" w:styleId="SubHeadLevel1">
    <w:name w:val="Sub Head Level 1"/>
    <w:basedOn w:val="Normal"/>
    <w:autoRedefine/>
    <w:uiPriority w:val="99"/>
    <w:pPr>
      <w:tabs>
        <w:tab w:val="left" w:pos="0"/>
        <w:tab w:val="left" w:pos="283"/>
      </w:tabs>
      <w:autoSpaceDE w:val="0"/>
      <w:spacing w:after="0" w:line="288" w:lineRule="auto"/>
      <w:jc w:val="both"/>
    </w:pPr>
    <w:rPr>
      <w:rFonts w:ascii="Times New Roman" w:eastAsia="Times New Roman" w:hAnsi="Times New Roman"/>
      <w:b/>
      <w:bCs/>
      <w:color w:val="000000"/>
      <w:sz w:val="24"/>
      <w:szCs w:val="24"/>
      <w:lang w:val="en-GB"/>
    </w:rPr>
  </w:style>
  <w:style w:type="paragraph" w:customStyle="1" w:styleId="PageTitle">
    <w:name w:val="Page Title"/>
    <w:basedOn w:val="NoParagraphStyle"/>
    <w:uiPriority w:val="99"/>
    <w:rPr>
      <w:rFonts w:ascii="Arial-BoldMT" w:hAnsi="Arial-BoldMT" w:cs="Arial-BoldMT"/>
      <w:b/>
      <w:bCs/>
      <w:spacing w:val="-3"/>
      <w:sz w:val="28"/>
      <w:szCs w:val="28"/>
    </w:rPr>
  </w:style>
  <w:style w:type="paragraph" w:customStyle="1" w:styleId="TableFigures22mmTable">
    <w:name w:val="Table Figures 22mm (Table)"/>
    <w:basedOn w:val="NoParagraphStyle"/>
    <w:uiPriority w:val="99"/>
    <w:pPr>
      <w:tabs>
        <w:tab w:val="decimal" w:pos="1134"/>
      </w:tabs>
      <w:spacing w:line="170" w:lineRule="atLeast"/>
      <w:ind w:right="57"/>
      <w:jc w:val="right"/>
    </w:pPr>
    <w:rPr>
      <w:rFonts w:ascii="Arial" w:hAnsi="Arial" w:cs="ArialMT"/>
      <w:sz w:val="16"/>
      <w:szCs w:val="16"/>
      <w:lang w:val="en-US"/>
    </w:rPr>
  </w:style>
  <w:style w:type="paragraph" w:customStyle="1" w:styleId="SubHeadLevel3">
    <w:name w:val="Sub Head Level 3"/>
    <w:basedOn w:val="SubHeadlevel2"/>
    <w:uiPriority w:val="99"/>
    <w:rPr>
      <w:rFonts w:ascii="Calibri" w:hAnsi="Calibri" w:cs="Calibri"/>
      <w:b/>
      <w:sz w:val="22"/>
      <w:szCs w:val="22"/>
    </w:rPr>
  </w:style>
  <w:style w:type="paragraph" w:customStyle="1" w:styleId="NotesAfterTableTable">
    <w:name w:val="Notes – After Table (Table)"/>
    <w:basedOn w:val="Body"/>
    <w:uiPriority w:val="99"/>
    <w:pPr>
      <w:widowControl w:val="0"/>
      <w:tabs>
        <w:tab w:val="left" w:pos="454"/>
      </w:tabs>
      <w:autoSpaceDE w:val="0"/>
      <w:spacing w:after="57" w:line="160" w:lineRule="atLeast"/>
      <w:ind w:left="170" w:hanging="170"/>
    </w:pPr>
    <w:rPr>
      <w:rFonts w:eastAsia="Times New Roman" w:cs="ArialMT"/>
      <w:spacing w:val="-1"/>
      <w:sz w:val="14"/>
      <w:szCs w:val="14"/>
      <w:lang w:val="en-US" w:eastAsia="en-US"/>
    </w:rPr>
  </w:style>
  <w:style w:type="paragraph" w:customStyle="1" w:styleId="TableTextBoldTable">
    <w:name w:val="Table Text Bold (Table)"/>
    <w:basedOn w:val="TableTextTable"/>
    <w:uiPriority w:val="99"/>
    <w:rPr>
      <w:rFonts w:cs="Arial-BoldMT"/>
      <w:b/>
      <w:bCs/>
    </w:rPr>
  </w:style>
  <w:style w:type="paragraph" w:customStyle="1" w:styleId="textForfigsover">
    <w:name w:val="_text (For figsover)"/>
    <w:basedOn w:val="Normal"/>
    <w:uiPriority w:val="99"/>
    <w:pPr>
      <w:widowControl/>
      <w:tabs>
        <w:tab w:val="left" w:pos="227"/>
      </w:tabs>
      <w:autoSpaceDE w:val="0"/>
      <w:spacing w:after="120" w:line="200" w:lineRule="atLeast"/>
    </w:pPr>
    <w:rPr>
      <w:rFonts w:ascii="Arial" w:hAnsi="Arial" w:cs="Arial"/>
      <w:color w:val="000000"/>
      <w:sz w:val="18"/>
      <w:szCs w:val="18"/>
      <w:lang w:val="en-GB"/>
    </w:rPr>
  </w:style>
  <w:style w:type="paragraph" w:customStyle="1" w:styleId="Level1">
    <w:name w:val="Level 1"/>
    <w:basedOn w:val="Normal"/>
    <w:pPr>
      <w:widowControl/>
      <w:spacing w:after="220" w:line="240" w:lineRule="auto"/>
      <w:jc w:val="both"/>
    </w:pPr>
    <w:rPr>
      <w:rFonts w:ascii="Arial" w:hAnsi="Arial"/>
      <w:kern w:val="3"/>
      <w:sz w:val="20"/>
      <w:szCs w:val="20"/>
      <w:lang w:val="en-GB"/>
    </w:rPr>
  </w:style>
  <w:style w:type="paragraph" w:customStyle="1" w:styleId="Level2">
    <w:name w:val="Level 2"/>
    <w:basedOn w:val="Normal"/>
    <w:pPr>
      <w:widowControl/>
      <w:tabs>
        <w:tab w:val="left" w:pos="680"/>
        <w:tab w:val="left" w:pos="1361"/>
      </w:tabs>
      <w:spacing w:after="220" w:line="240" w:lineRule="auto"/>
      <w:ind w:left="680" w:hanging="680"/>
      <w:jc w:val="both"/>
    </w:pPr>
    <w:rPr>
      <w:rFonts w:ascii="Arial" w:hAnsi="Arial"/>
      <w:kern w:val="3"/>
      <w:sz w:val="20"/>
      <w:szCs w:val="20"/>
      <w:lang w:val="en-GB"/>
    </w:rPr>
  </w:style>
  <w:style w:type="paragraph" w:customStyle="1" w:styleId="Level3">
    <w:name w:val="Level 3"/>
    <w:basedOn w:val="Normal"/>
    <w:pPr>
      <w:widowControl/>
      <w:tabs>
        <w:tab w:val="left" w:pos="680"/>
        <w:tab w:val="left" w:pos="2041"/>
      </w:tabs>
      <w:spacing w:after="220" w:line="240" w:lineRule="auto"/>
      <w:ind w:left="1360"/>
      <w:jc w:val="both"/>
    </w:pPr>
    <w:rPr>
      <w:rFonts w:ascii="Arial" w:hAnsi="Arial"/>
      <w:kern w:val="3"/>
      <w:sz w:val="20"/>
      <w:szCs w:val="20"/>
      <w:lang w:val="en-GB"/>
    </w:rPr>
  </w:style>
  <w:style w:type="paragraph" w:customStyle="1" w:styleId="Level4">
    <w:name w:val="Level 4"/>
    <w:basedOn w:val="Normal"/>
    <w:pPr>
      <w:widowControl/>
      <w:tabs>
        <w:tab w:val="left" w:pos="2041"/>
        <w:tab w:val="left" w:pos="2722"/>
      </w:tabs>
      <w:spacing w:after="220" w:line="240" w:lineRule="auto"/>
      <w:ind w:left="2041" w:hanging="680"/>
      <w:jc w:val="both"/>
    </w:pPr>
    <w:rPr>
      <w:rFonts w:ascii="Arial" w:hAnsi="Arial"/>
      <w:kern w:val="3"/>
      <w:sz w:val="20"/>
      <w:szCs w:val="20"/>
      <w:lang w:val="en-GB"/>
    </w:rPr>
  </w:style>
  <w:style w:type="paragraph" w:customStyle="1" w:styleId="Level5">
    <w:name w:val="Level 5"/>
    <w:basedOn w:val="Normal"/>
    <w:pPr>
      <w:widowControl/>
      <w:numPr>
        <w:numId w:val="3"/>
      </w:numPr>
      <w:tabs>
        <w:tab w:val="left" w:pos="2722"/>
        <w:tab w:val="left" w:pos="3402"/>
      </w:tabs>
      <w:spacing w:after="220" w:line="240" w:lineRule="auto"/>
      <w:jc w:val="both"/>
    </w:pPr>
    <w:rPr>
      <w:rFonts w:ascii="Arial" w:hAnsi="Arial"/>
      <w:kern w:val="3"/>
      <w:sz w:val="20"/>
      <w:szCs w:val="20"/>
      <w:lang w:val="en-GB"/>
    </w:rPr>
  </w:style>
  <w:style w:type="paragraph" w:customStyle="1" w:styleId="BodyLetter">
    <w:name w:val="Body Letter"/>
    <w:basedOn w:val="Normal"/>
    <w:qFormat/>
    <w:pPr>
      <w:widowControl/>
      <w:spacing w:after="0" w:line="240" w:lineRule="auto"/>
    </w:pPr>
    <w:rPr>
      <w:rFonts w:ascii="Arial" w:hAnsi="Arial"/>
      <w:kern w:val="3"/>
      <w:sz w:val="20"/>
      <w:szCs w:val="20"/>
      <w:lang w:val="en-GB"/>
    </w:rPr>
  </w:style>
  <w:style w:type="paragraph" w:customStyle="1" w:styleId="BasicParagraph">
    <w:name w:val="[Basic Paragraph]"/>
    <w:basedOn w:val="NoParagraphStyle"/>
    <w:uiPriority w:val="99"/>
    <w:pPr>
      <w:spacing w:after="200"/>
    </w:pPr>
    <w:rPr>
      <w:sz w:val="22"/>
      <w:szCs w:val="22"/>
    </w:rPr>
  </w:style>
  <w:style w:type="character" w:styleId="FootnoteReference">
    <w:name w:val="footnote reference"/>
    <w:basedOn w:val="DefaultParagraphFont"/>
    <w:uiPriority w:val="99"/>
    <w:rPr>
      <w:position w:val="0"/>
      <w:vertAlign w:val="superscript"/>
    </w:rPr>
  </w:style>
  <w:style w:type="character" w:styleId="CommentReference">
    <w:name w:val="annotation reference"/>
    <w:basedOn w:val="DefaultParagraphFont"/>
    <w:uiPriority w:val="99"/>
    <w:rPr>
      <w:sz w:val="16"/>
      <w:szCs w:val="16"/>
    </w:rPr>
  </w:style>
  <w:style w:type="character" w:customStyle="1" w:styleId="Bold">
    <w:name w:val="Bold"/>
    <w:uiPriority w:val="99"/>
    <w:rPr>
      <w:b/>
      <w:bCs/>
    </w:rPr>
  </w:style>
  <w:style w:type="character" w:customStyle="1" w:styleId="larger">
    <w:name w:val="larger"/>
    <w:basedOn w:val="DefaultParagraphFont"/>
  </w:style>
  <w:style w:type="character" w:customStyle="1" w:styleId="block">
    <w:name w:val="block"/>
    <w:basedOn w:val="DefaultParagraphFont"/>
  </w:style>
  <w:style w:type="character" w:customStyle="1" w:styleId="displayanchors">
    <w:name w:val="displayanchors"/>
    <w:basedOn w:val="DefaultParagraphFont"/>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paragraph" w:styleId="NoSpacing">
    <w:name w:val="No Spacing"/>
    <w:uiPriority w:val="1"/>
    <w:qFormat/>
    <w:rsid w:val="001A01CB"/>
    <w:pPr>
      <w:widowControl w:val="0"/>
      <w:suppressAutoHyphens/>
      <w:spacing w:after="0"/>
    </w:pPr>
    <w:rPr>
      <w:lang w:val="en-US"/>
    </w:rPr>
  </w:style>
  <w:style w:type="numbering" w:customStyle="1" w:styleId="BulletBig">
    <w:name w:val="Bullet Big"/>
    <w:rsid w:val="0055431A"/>
    <w:pPr>
      <w:numPr>
        <w:numId w:val="8"/>
      </w:numPr>
    </w:pPr>
  </w:style>
  <w:style w:type="paragraph" w:styleId="NormalIndent">
    <w:name w:val="Normal Indent"/>
    <w:basedOn w:val="Normal"/>
    <w:rsid w:val="00984882"/>
    <w:pPr>
      <w:widowControl/>
      <w:suppressAutoHyphens w:val="0"/>
      <w:autoSpaceDN/>
      <w:spacing w:after="240" w:line="240" w:lineRule="auto"/>
      <w:ind w:left="709"/>
      <w:jc w:val="both"/>
      <w:textAlignment w:val="auto"/>
    </w:pPr>
    <w:rPr>
      <w:rFonts w:ascii="Times New Roman" w:eastAsia="Times New Roman" w:hAnsi="Times New Roman"/>
      <w:sz w:val="24"/>
      <w:szCs w:val="20"/>
      <w:lang w:val="en-GB" w:eastAsia="en-GB"/>
    </w:rPr>
  </w:style>
  <w:style w:type="paragraph" w:customStyle="1" w:styleId="BodyA">
    <w:name w:val="Body A"/>
    <w:rsid w:val="00B67B69"/>
    <w:pPr>
      <w:pBdr>
        <w:top w:val="nil"/>
        <w:left w:val="nil"/>
        <w:bottom w:val="nil"/>
        <w:right w:val="nil"/>
        <w:between w:val="nil"/>
        <w:bar w:val="nil"/>
      </w:pBdr>
      <w:autoSpaceDN/>
      <w:spacing w:after="0"/>
      <w:textAlignment w:val="auto"/>
    </w:pPr>
    <w:rPr>
      <w:rFonts w:cs="Calibri"/>
      <w:color w:val="000000"/>
      <w:sz w:val="24"/>
      <w:szCs w:val="24"/>
      <w:u w:color="000000"/>
      <w:bdr w:val="nil"/>
      <w:lang w:val="it-IT"/>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485B5F"/>
    <w:rPr>
      <w:rFonts w:asciiTheme="majorHAnsi" w:eastAsiaTheme="majorEastAsia" w:hAnsiTheme="majorHAnsi" w:cstheme="majorBidi"/>
      <w:color w:val="243F60" w:themeColor="accent1" w:themeShade="7F"/>
      <w:sz w:val="24"/>
      <w:szCs w:val="24"/>
      <w:lang w:val="en-US"/>
    </w:rPr>
  </w:style>
  <w:style w:type="numbering" w:customStyle="1" w:styleId="NoList1">
    <w:name w:val="No List1"/>
    <w:next w:val="NoList"/>
    <w:uiPriority w:val="99"/>
    <w:semiHidden/>
    <w:unhideWhenUsed/>
    <w:rsid w:val="00485B5F"/>
  </w:style>
  <w:style w:type="table" w:styleId="TableGrid">
    <w:name w:val="Table Grid"/>
    <w:basedOn w:val="TableNormal"/>
    <w:uiPriority w:val="59"/>
    <w:rsid w:val="00485B5F"/>
    <w:pPr>
      <w:widowControl w:val="0"/>
      <w:autoSpaceDN/>
      <w:spacing w:after="0"/>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85B5F"/>
    <w:pPr>
      <w:numPr>
        <w:numId w:val="20"/>
      </w:numPr>
    </w:pPr>
  </w:style>
  <w:style w:type="numbering" w:customStyle="1" w:styleId="ImportedStyle2">
    <w:name w:val="Imported Style 2"/>
    <w:rsid w:val="00485B5F"/>
    <w:pPr>
      <w:numPr>
        <w:numId w:val="21"/>
      </w:numPr>
    </w:pPr>
  </w:style>
  <w:style w:type="table" w:customStyle="1" w:styleId="TableGrid1">
    <w:name w:val="Table Grid1"/>
    <w:basedOn w:val="TableNormal"/>
    <w:next w:val="TableGrid"/>
    <w:uiPriority w:val="59"/>
    <w:rsid w:val="00485B5F"/>
    <w:pPr>
      <w:autoSpaceDN/>
      <w:spacing w:after="0"/>
      <w:textAlignment w:val="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1">
    <w:name w:val="Bullet1"/>
    <w:rsid w:val="00485B5F"/>
  </w:style>
  <w:style w:type="paragraph" w:styleId="EndnoteText">
    <w:name w:val="endnote text"/>
    <w:basedOn w:val="Normal"/>
    <w:link w:val="EndnoteTextChar"/>
    <w:uiPriority w:val="99"/>
    <w:semiHidden/>
    <w:unhideWhenUsed/>
    <w:rsid w:val="00485B5F"/>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85B5F"/>
    <w:rPr>
      <w:rFonts w:asciiTheme="minorHAnsi" w:eastAsiaTheme="minorHAnsi" w:hAnsiTheme="minorHAnsi" w:cstheme="minorBidi"/>
      <w:sz w:val="20"/>
      <w:szCs w:val="20"/>
      <w:lang w:val="en-US"/>
    </w:rPr>
  </w:style>
  <w:style w:type="character" w:styleId="EndnoteReference">
    <w:name w:val="endnote reference"/>
    <w:basedOn w:val="DefaultParagraphFont"/>
    <w:uiPriority w:val="99"/>
    <w:semiHidden/>
    <w:unhideWhenUsed/>
    <w:rsid w:val="00485B5F"/>
    <w:rPr>
      <w:vertAlign w:val="superscript"/>
    </w:rPr>
  </w:style>
  <w:style w:type="paragraph" w:customStyle="1" w:styleId="bt">
    <w:name w:val="bt"/>
    <w:rsid w:val="00485B5F"/>
    <w:pPr>
      <w:pBdr>
        <w:top w:val="nil"/>
        <w:left w:val="nil"/>
        <w:bottom w:val="nil"/>
        <w:right w:val="nil"/>
        <w:between w:val="nil"/>
        <w:bar w:val="nil"/>
      </w:pBdr>
      <w:autoSpaceDN/>
      <w:spacing w:before="100" w:after="100"/>
      <w:textAlignment w:val="auto"/>
    </w:pPr>
    <w:rPr>
      <w:rFonts w:ascii="Times New Roman" w:eastAsia="Arial Unicode MS" w:hAnsi="Times New Roman" w:cs="Arial Unicode MS"/>
      <w:color w:val="000000"/>
      <w:sz w:val="24"/>
      <w:szCs w:val="24"/>
      <w:u w:color="000000"/>
      <w:bdr w:val="nil"/>
      <w:lang w:val="en-US" w:eastAsia="en-GB"/>
    </w:rPr>
  </w:style>
  <w:style w:type="table" w:customStyle="1" w:styleId="TableGrid2">
    <w:name w:val="Table Grid2"/>
    <w:basedOn w:val="TableNormal"/>
    <w:next w:val="TableGrid"/>
    <w:uiPriority w:val="59"/>
    <w:rsid w:val="00485B5F"/>
    <w:pPr>
      <w:autoSpaceDN/>
      <w:spacing w:after="0"/>
      <w:textAlignment w:val="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5EEC"/>
    <w:pPr>
      <w:autoSpaceDN/>
      <w:spacing w:after="0"/>
      <w:textAlignment w:val="auto"/>
    </w:pPr>
    <w:rPr>
      <w:rFonts w:ascii="Arial" w:eastAsiaTheme="minorHAns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4471">
      <w:bodyDiv w:val="1"/>
      <w:marLeft w:val="0"/>
      <w:marRight w:val="0"/>
      <w:marTop w:val="0"/>
      <w:marBottom w:val="0"/>
      <w:divBdr>
        <w:top w:val="none" w:sz="0" w:space="0" w:color="auto"/>
        <w:left w:val="none" w:sz="0" w:space="0" w:color="auto"/>
        <w:bottom w:val="none" w:sz="0" w:space="0" w:color="auto"/>
        <w:right w:val="none" w:sz="0" w:space="0" w:color="auto"/>
      </w:divBdr>
    </w:div>
    <w:div w:id="81074793">
      <w:bodyDiv w:val="1"/>
      <w:marLeft w:val="0"/>
      <w:marRight w:val="0"/>
      <w:marTop w:val="0"/>
      <w:marBottom w:val="0"/>
      <w:divBdr>
        <w:top w:val="none" w:sz="0" w:space="0" w:color="auto"/>
        <w:left w:val="none" w:sz="0" w:space="0" w:color="auto"/>
        <w:bottom w:val="none" w:sz="0" w:space="0" w:color="auto"/>
        <w:right w:val="none" w:sz="0" w:space="0" w:color="auto"/>
      </w:divBdr>
    </w:div>
    <w:div w:id="114182560">
      <w:bodyDiv w:val="1"/>
      <w:marLeft w:val="0"/>
      <w:marRight w:val="0"/>
      <w:marTop w:val="0"/>
      <w:marBottom w:val="0"/>
      <w:divBdr>
        <w:top w:val="none" w:sz="0" w:space="0" w:color="auto"/>
        <w:left w:val="none" w:sz="0" w:space="0" w:color="auto"/>
        <w:bottom w:val="none" w:sz="0" w:space="0" w:color="auto"/>
        <w:right w:val="none" w:sz="0" w:space="0" w:color="auto"/>
      </w:divBdr>
    </w:div>
    <w:div w:id="182324635">
      <w:bodyDiv w:val="1"/>
      <w:marLeft w:val="0"/>
      <w:marRight w:val="0"/>
      <w:marTop w:val="0"/>
      <w:marBottom w:val="0"/>
      <w:divBdr>
        <w:top w:val="none" w:sz="0" w:space="0" w:color="auto"/>
        <w:left w:val="none" w:sz="0" w:space="0" w:color="auto"/>
        <w:bottom w:val="none" w:sz="0" w:space="0" w:color="auto"/>
        <w:right w:val="none" w:sz="0" w:space="0" w:color="auto"/>
      </w:divBdr>
    </w:div>
    <w:div w:id="201209267">
      <w:bodyDiv w:val="1"/>
      <w:marLeft w:val="0"/>
      <w:marRight w:val="0"/>
      <w:marTop w:val="0"/>
      <w:marBottom w:val="0"/>
      <w:divBdr>
        <w:top w:val="none" w:sz="0" w:space="0" w:color="auto"/>
        <w:left w:val="none" w:sz="0" w:space="0" w:color="auto"/>
        <w:bottom w:val="none" w:sz="0" w:space="0" w:color="auto"/>
        <w:right w:val="none" w:sz="0" w:space="0" w:color="auto"/>
      </w:divBdr>
    </w:div>
    <w:div w:id="214436237">
      <w:bodyDiv w:val="1"/>
      <w:marLeft w:val="0"/>
      <w:marRight w:val="0"/>
      <w:marTop w:val="0"/>
      <w:marBottom w:val="0"/>
      <w:divBdr>
        <w:top w:val="none" w:sz="0" w:space="0" w:color="auto"/>
        <w:left w:val="none" w:sz="0" w:space="0" w:color="auto"/>
        <w:bottom w:val="none" w:sz="0" w:space="0" w:color="auto"/>
        <w:right w:val="none" w:sz="0" w:space="0" w:color="auto"/>
      </w:divBdr>
    </w:div>
    <w:div w:id="237518465">
      <w:bodyDiv w:val="1"/>
      <w:marLeft w:val="0"/>
      <w:marRight w:val="0"/>
      <w:marTop w:val="0"/>
      <w:marBottom w:val="0"/>
      <w:divBdr>
        <w:top w:val="none" w:sz="0" w:space="0" w:color="auto"/>
        <w:left w:val="none" w:sz="0" w:space="0" w:color="auto"/>
        <w:bottom w:val="none" w:sz="0" w:space="0" w:color="auto"/>
        <w:right w:val="none" w:sz="0" w:space="0" w:color="auto"/>
      </w:divBdr>
    </w:div>
    <w:div w:id="245918939">
      <w:bodyDiv w:val="1"/>
      <w:marLeft w:val="0"/>
      <w:marRight w:val="0"/>
      <w:marTop w:val="0"/>
      <w:marBottom w:val="0"/>
      <w:divBdr>
        <w:top w:val="none" w:sz="0" w:space="0" w:color="auto"/>
        <w:left w:val="none" w:sz="0" w:space="0" w:color="auto"/>
        <w:bottom w:val="none" w:sz="0" w:space="0" w:color="auto"/>
        <w:right w:val="none" w:sz="0" w:space="0" w:color="auto"/>
      </w:divBdr>
    </w:div>
    <w:div w:id="307781770">
      <w:bodyDiv w:val="1"/>
      <w:marLeft w:val="0"/>
      <w:marRight w:val="0"/>
      <w:marTop w:val="0"/>
      <w:marBottom w:val="0"/>
      <w:divBdr>
        <w:top w:val="none" w:sz="0" w:space="0" w:color="auto"/>
        <w:left w:val="none" w:sz="0" w:space="0" w:color="auto"/>
        <w:bottom w:val="none" w:sz="0" w:space="0" w:color="auto"/>
        <w:right w:val="none" w:sz="0" w:space="0" w:color="auto"/>
      </w:divBdr>
    </w:div>
    <w:div w:id="337195533">
      <w:bodyDiv w:val="1"/>
      <w:marLeft w:val="0"/>
      <w:marRight w:val="0"/>
      <w:marTop w:val="0"/>
      <w:marBottom w:val="0"/>
      <w:divBdr>
        <w:top w:val="none" w:sz="0" w:space="0" w:color="auto"/>
        <w:left w:val="none" w:sz="0" w:space="0" w:color="auto"/>
        <w:bottom w:val="none" w:sz="0" w:space="0" w:color="auto"/>
        <w:right w:val="none" w:sz="0" w:space="0" w:color="auto"/>
      </w:divBdr>
    </w:div>
    <w:div w:id="337390196">
      <w:bodyDiv w:val="1"/>
      <w:marLeft w:val="0"/>
      <w:marRight w:val="0"/>
      <w:marTop w:val="0"/>
      <w:marBottom w:val="0"/>
      <w:divBdr>
        <w:top w:val="none" w:sz="0" w:space="0" w:color="auto"/>
        <w:left w:val="none" w:sz="0" w:space="0" w:color="auto"/>
        <w:bottom w:val="none" w:sz="0" w:space="0" w:color="auto"/>
        <w:right w:val="none" w:sz="0" w:space="0" w:color="auto"/>
      </w:divBdr>
    </w:div>
    <w:div w:id="379136808">
      <w:bodyDiv w:val="1"/>
      <w:marLeft w:val="0"/>
      <w:marRight w:val="0"/>
      <w:marTop w:val="0"/>
      <w:marBottom w:val="0"/>
      <w:divBdr>
        <w:top w:val="none" w:sz="0" w:space="0" w:color="auto"/>
        <w:left w:val="none" w:sz="0" w:space="0" w:color="auto"/>
        <w:bottom w:val="none" w:sz="0" w:space="0" w:color="auto"/>
        <w:right w:val="none" w:sz="0" w:space="0" w:color="auto"/>
      </w:divBdr>
    </w:div>
    <w:div w:id="753627942">
      <w:bodyDiv w:val="1"/>
      <w:marLeft w:val="0"/>
      <w:marRight w:val="0"/>
      <w:marTop w:val="0"/>
      <w:marBottom w:val="0"/>
      <w:divBdr>
        <w:top w:val="none" w:sz="0" w:space="0" w:color="auto"/>
        <w:left w:val="none" w:sz="0" w:space="0" w:color="auto"/>
        <w:bottom w:val="none" w:sz="0" w:space="0" w:color="auto"/>
        <w:right w:val="none" w:sz="0" w:space="0" w:color="auto"/>
      </w:divBdr>
    </w:div>
    <w:div w:id="802773527">
      <w:bodyDiv w:val="1"/>
      <w:marLeft w:val="0"/>
      <w:marRight w:val="0"/>
      <w:marTop w:val="0"/>
      <w:marBottom w:val="0"/>
      <w:divBdr>
        <w:top w:val="none" w:sz="0" w:space="0" w:color="auto"/>
        <w:left w:val="none" w:sz="0" w:space="0" w:color="auto"/>
        <w:bottom w:val="none" w:sz="0" w:space="0" w:color="auto"/>
        <w:right w:val="none" w:sz="0" w:space="0" w:color="auto"/>
      </w:divBdr>
    </w:div>
    <w:div w:id="826822230">
      <w:bodyDiv w:val="1"/>
      <w:marLeft w:val="0"/>
      <w:marRight w:val="0"/>
      <w:marTop w:val="0"/>
      <w:marBottom w:val="0"/>
      <w:divBdr>
        <w:top w:val="none" w:sz="0" w:space="0" w:color="auto"/>
        <w:left w:val="none" w:sz="0" w:space="0" w:color="auto"/>
        <w:bottom w:val="none" w:sz="0" w:space="0" w:color="auto"/>
        <w:right w:val="none" w:sz="0" w:space="0" w:color="auto"/>
      </w:divBdr>
    </w:div>
    <w:div w:id="852916870">
      <w:bodyDiv w:val="1"/>
      <w:marLeft w:val="0"/>
      <w:marRight w:val="0"/>
      <w:marTop w:val="0"/>
      <w:marBottom w:val="0"/>
      <w:divBdr>
        <w:top w:val="none" w:sz="0" w:space="0" w:color="auto"/>
        <w:left w:val="none" w:sz="0" w:space="0" w:color="auto"/>
        <w:bottom w:val="none" w:sz="0" w:space="0" w:color="auto"/>
        <w:right w:val="none" w:sz="0" w:space="0" w:color="auto"/>
      </w:divBdr>
    </w:div>
    <w:div w:id="903570149">
      <w:bodyDiv w:val="1"/>
      <w:marLeft w:val="0"/>
      <w:marRight w:val="0"/>
      <w:marTop w:val="0"/>
      <w:marBottom w:val="0"/>
      <w:divBdr>
        <w:top w:val="none" w:sz="0" w:space="0" w:color="auto"/>
        <w:left w:val="none" w:sz="0" w:space="0" w:color="auto"/>
        <w:bottom w:val="none" w:sz="0" w:space="0" w:color="auto"/>
        <w:right w:val="none" w:sz="0" w:space="0" w:color="auto"/>
      </w:divBdr>
    </w:div>
    <w:div w:id="994915584">
      <w:bodyDiv w:val="1"/>
      <w:marLeft w:val="0"/>
      <w:marRight w:val="0"/>
      <w:marTop w:val="0"/>
      <w:marBottom w:val="0"/>
      <w:divBdr>
        <w:top w:val="none" w:sz="0" w:space="0" w:color="auto"/>
        <w:left w:val="none" w:sz="0" w:space="0" w:color="auto"/>
        <w:bottom w:val="none" w:sz="0" w:space="0" w:color="auto"/>
        <w:right w:val="none" w:sz="0" w:space="0" w:color="auto"/>
      </w:divBdr>
    </w:div>
    <w:div w:id="1000422994">
      <w:bodyDiv w:val="1"/>
      <w:marLeft w:val="0"/>
      <w:marRight w:val="0"/>
      <w:marTop w:val="0"/>
      <w:marBottom w:val="0"/>
      <w:divBdr>
        <w:top w:val="none" w:sz="0" w:space="0" w:color="auto"/>
        <w:left w:val="none" w:sz="0" w:space="0" w:color="auto"/>
        <w:bottom w:val="none" w:sz="0" w:space="0" w:color="auto"/>
        <w:right w:val="none" w:sz="0" w:space="0" w:color="auto"/>
      </w:divBdr>
    </w:div>
    <w:div w:id="1058017601">
      <w:bodyDiv w:val="1"/>
      <w:marLeft w:val="0"/>
      <w:marRight w:val="0"/>
      <w:marTop w:val="0"/>
      <w:marBottom w:val="0"/>
      <w:divBdr>
        <w:top w:val="none" w:sz="0" w:space="0" w:color="auto"/>
        <w:left w:val="none" w:sz="0" w:space="0" w:color="auto"/>
        <w:bottom w:val="none" w:sz="0" w:space="0" w:color="auto"/>
        <w:right w:val="none" w:sz="0" w:space="0" w:color="auto"/>
      </w:divBdr>
    </w:div>
    <w:div w:id="1066415960">
      <w:bodyDiv w:val="1"/>
      <w:marLeft w:val="0"/>
      <w:marRight w:val="0"/>
      <w:marTop w:val="0"/>
      <w:marBottom w:val="0"/>
      <w:divBdr>
        <w:top w:val="none" w:sz="0" w:space="0" w:color="auto"/>
        <w:left w:val="none" w:sz="0" w:space="0" w:color="auto"/>
        <w:bottom w:val="none" w:sz="0" w:space="0" w:color="auto"/>
        <w:right w:val="none" w:sz="0" w:space="0" w:color="auto"/>
      </w:divBdr>
    </w:div>
    <w:div w:id="1139034082">
      <w:bodyDiv w:val="1"/>
      <w:marLeft w:val="0"/>
      <w:marRight w:val="0"/>
      <w:marTop w:val="0"/>
      <w:marBottom w:val="0"/>
      <w:divBdr>
        <w:top w:val="none" w:sz="0" w:space="0" w:color="auto"/>
        <w:left w:val="none" w:sz="0" w:space="0" w:color="auto"/>
        <w:bottom w:val="none" w:sz="0" w:space="0" w:color="auto"/>
        <w:right w:val="none" w:sz="0" w:space="0" w:color="auto"/>
      </w:divBdr>
    </w:div>
    <w:div w:id="1193373347">
      <w:bodyDiv w:val="1"/>
      <w:marLeft w:val="0"/>
      <w:marRight w:val="0"/>
      <w:marTop w:val="0"/>
      <w:marBottom w:val="0"/>
      <w:divBdr>
        <w:top w:val="none" w:sz="0" w:space="0" w:color="auto"/>
        <w:left w:val="none" w:sz="0" w:space="0" w:color="auto"/>
        <w:bottom w:val="none" w:sz="0" w:space="0" w:color="auto"/>
        <w:right w:val="none" w:sz="0" w:space="0" w:color="auto"/>
      </w:divBdr>
    </w:div>
    <w:div w:id="1272515082">
      <w:bodyDiv w:val="1"/>
      <w:marLeft w:val="0"/>
      <w:marRight w:val="0"/>
      <w:marTop w:val="0"/>
      <w:marBottom w:val="0"/>
      <w:divBdr>
        <w:top w:val="none" w:sz="0" w:space="0" w:color="auto"/>
        <w:left w:val="none" w:sz="0" w:space="0" w:color="auto"/>
        <w:bottom w:val="none" w:sz="0" w:space="0" w:color="auto"/>
        <w:right w:val="none" w:sz="0" w:space="0" w:color="auto"/>
      </w:divBdr>
    </w:div>
    <w:div w:id="1316254512">
      <w:bodyDiv w:val="1"/>
      <w:marLeft w:val="0"/>
      <w:marRight w:val="0"/>
      <w:marTop w:val="0"/>
      <w:marBottom w:val="0"/>
      <w:divBdr>
        <w:top w:val="none" w:sz="0" w:space="0" w:color="auto"/>
        <w:left w:val="none" w:sz="0" w:space="0" w:color="auto"/>
        <w:bottom w:val="none" w:sz="0" w:space="0" w:color="auto"/>
        <w:right w:val="none" w:sz="0" w:space="0" w:color="auto"/>
      </w:divBdr>
    </w:div>
    <w:div w:id="1325863194">
      <w:bodyDiv w:val="1"/>
      <w:marLeft w:val="0"/>
      <w:marRight w:val="0"/>
      <w:marTop w:val="0"/>
      <w:marBottom w:val="0"/>
      <w:divBdr>
        <w:top w:val="none" w:sz="0" w:space="0" w:color="auto"/>
        <w:left w:val="none" w:sz="0" w:space="0" w:color="auto"/>
        <w:bottom w:val="none" w:sz="0" w:space="0" w:color="auto"/>
        <w:right w:val="none" w:sz="0" w:space="0" w:color="auto"/>
      </w:divBdr>
    </w:div>
    <w:div w:id="1382746817">
      <w:bodyDiv w:val="1"/>
      <w:marLeft w:val="0"/>
      <w:marRight w:val="0"/>
      <w:marTop w:val="0"/>
      <w:marBottom w:val="0"/>
      <w:divBdr>
        <w:top w:val="none" w:sz="0" w:space="0" w:color="auto"/>
        <w:left w:val="none" w:sz="0" w:space="0" w:color="auto"/>
        <w:bottom w:val="none" w:sz="0" w:space="0" w:color="auto"/>
        <w:right w:val="none" w:sz="0" w:space="0" w:color="auto"/>
      </w:divBdr>
    </w:div>
    <w:div w:id="1406875626">
      <w:bodyDiv w:val="1"/>
      <w:marLeft w:val="0"/>
      <w:marRight w:val="0"/>
      <w:marTop w:val="0"/>
      <w:marBottom w:val="0"/>
      <w:divBdr>
        <w:top w:val="none" w:sz="0" w:space="0" w:color="auto"/>
        <w:left w:val="none" w:sz="0" w:space="0" w:color="auto"/>
        <w:bottom w:val="none" w:sz="0" w:space="0" w:color="auto"/>
        <w:right w:val="none" w:sz="0" w:space="0" w:color="auto"/>
      </w:divBdr>
    </w:div>
    <w:div w:id="1514104297">
      <w:bodyDiv w:val="1"/>
      <w:marLeft w:val="0"/>
      <w:marRight w:val="0"/>
      <w:marTop w:val="0"/>
      <w:marBottom w:val="0"/>
      <w:divBdr>
        <w:top w:val="none" w:sz="0" w:space="0" w:color="auto"/>
        <w:left w:val="none" w:sz="0" w:space="0" w:color="auto"/>
        <w:bottom w:val="none" w:sz="0" w:space="0" w:color="auto"/>
        <w:right w:val="none" w:sz="0" w:space="0" w:color="auto"/>
      </w:divBdr>
    </w:div>
    <w:div w:id="1550990282">
      <w:bodyDiv w:val="1"/>
      <w:marLeft w:val="0"/>
      <w:marRight w:val="0"/>
      <w:marTop w:val="0"/>
      <w:marBottom w:val="0"/>
      <w:divBdr>
        <w:top w:val="none" w:sz="0" w:space="0" w:color="auto"/>
        <w:left w:val="none" w:sz="0" w:space="0" w:color="auto"/>
        <w:bottom w:val="none" w:sz="0" w:space="0" w:color="auto"/>
        <w:right w:val="none" w:sz="0" w:space="0" w:color="auto"/>
      </w:divBdr>
    </w:div>
    <w:div w:id="1591701161">
      <w:bodyDiv w:val="1"/>
      <w:marLeft w:val="0"/>
      <w:marRight w:val="0"/>
      <w:marTop w:val="0"/>
      <w:marBottom w:val="0"/>
      <w:divBdr>
        <w:top w:val="none" w:sz="0" w:space="0" w:color="auto"/>
        <w:left w:val="none" w:sz="0" w:space="0" w:color="auto"/>
        <w:bottom w:val="none" w:sz="0" w:space="0" w:color="auto"/>
        <w:right w:val="none" w:sz="0" w:space="0" w:color="auto"/>
      </w:divBdr>
    </w:div>
    <w:div w:id="1692024446">
      <w:bodyDiv w:val="1"/>
      <w:marLeft w:val="0"/>
      <w:marRight w:val="0"/>
      <w:marTop w:val="0"/>
      <w:marBottom w:val="0"/>
      <w:divBdr>
        <w:top w:val="none" w:sz="0" w:space="0" w:color="auto"/>
        <w:left w:val="none" w:sz="0" w:space="0" w:color="auto"/>
        <w:bottom w:val="none" w:sz="0" w:space="0" w:color="auto"/>
        <w:right w:val="none" w:sz="0" w:space="0" w:color="auto"/>
      </w:divBdr>
    </w:div>
    <w:div w:id="1785271723">
      <w:bodyDiv w:val="1"/>
      <w:marLeft w:val="0"/>
      <w:marRight w:val="0"/>
      <w:marTop w:val="0"/>
      <w:marBottom w:val="0"/>
      <w:divBdr>
        <w:top w:val="none" w:sz="0" w:space="0" w:color="auto"/>
        <w:left w:val="none" w:sz="0" w:space="0" w:color="auto"/>
        <w:bottom w:val="none" w:sz="0" w:space="0" w:color="auto"/>
        <w:right w:val="none" w:sz="0" w:space="0" w:color="auto"/>
      </w:divBdr>
    </w:div>
    <w:div w:id="1868789746">
      <w:bodyDiv w:val="1"/>
      <w:marLeft w:val="0"/>
      <w:marRight w:val="0"/>
      <w:marTop w:val="0"/>
      <w:marBottom w:val="0"/>
      <w:divBdr>
        <w:top w:val="none" w:sz="0" w:space="0" w:color="auto"/>
        <w:left w:val="none" w:sz="0" w:space="0" w:color="auto"/>
        <w:bottom w:val="none" w:sz="0" w:space="0" w:color="auto"/>
        <w:right w:val="none" w:sz="0" w:space="0" w:color="auto"/>
      </w:divBdr>
    </w:div>
    <w:div w:id="2004622289">
      <w:bodyDiv w:val="1"/>
      <w:marLeft w:val="0"/>
      <w:marRight w:val="0"/>
      <w:marTop w:val="0"/>
      <w:marBottom w:val="0"/>
      <w:divBdr>
        <w:top w:val="none" w:sz="0" w:space="0" w:color="auto"/>
        <w:left w:val="none" w:sz="0" w:space="0" w:color="auto"/>
        <w:bottom w:val="none" w:sz="0" w:space="0" w:color="auto"/>
        <w:right w:val="none" w:sz="0" w:space="0" w:color="auto"/>
      </w:divBdr>
    </w:div>
    <w:div w:id="2014843103">
      <w:bodyDiv w:val="1"/>
      <w:marLeft w:val="0"/>
      <w:marRight w:val="0"/>
      <w:marTop w:val="0"/>
      <w:marBottom w:val="0"/>
      <w:divBdr>
        <w:top w:val="none" w:sz="0" w:space="0" w:color="auto"/>
        <w:left w:val="none" w:sz="0" w:space="0" w:color="auto"/>
        <w:bottom w:val="none" w:sz="0" w:space="0" w:color="auto"/>
        <w:right w:val="none" w:sz="0" w:space="0" w:color="auto"/>
      </w:divBdr>
    </w:div>
    <w:div w:id="2042896979">
      <w:bodyDiv w:val="1"/>
      <w:marLeft w:val="0"/>
      <w:marRight w:val="0"/>
      <w:marTop w:val="0"/>
      <w:marBottom w:val="0"/>
      <w:divBdr>
        <w:top w:val="none" w:sz="0" w:space="0" w:color="auto"/>
        <w:left w:val="none" w:sz="0" w:space="0" w:color="auto"/>
        <w:bottom w:val="none" w:sz="0" w:space="0" w:color="auto"/>
        <w:right w:val="none" w:sz="0" w:space="0" w:color="auto"/>
      </w:divBdr>
    </w:div>
    <w:div w:id="2096903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239B4AA44984E93CF7C9E1ABAE52F" ma:contentTypeVersion="10" ma:contentTypeDescription="Create a new document." ma:contentTypeScope="" ma:versionID="3197e695aa345daa38478cc1ad3fc68d">
  <xsd:schema xmlns:xsd="http://www.w3.org/2001/XMLSchema" xmlns:xs="http://www.w3.org/2001/XMLSchema" xmlns:p="http://schemas.microsoft.com/office/2006/metadata/properties" xmlns:ns2="8902437c-c6fa-42f5-af58-0fedb3791336" xmlns:ns3="daee0f6d-00f4-4952-bf76-680e81983867" targetNamespace="http://schemas.microsoft.com/office/2006/metadata/properties" ma:root="true" ma:fieldsID="7867aad0f91563434836ae8750e7480a" ns2:_="" ns3:_="">
    <xsd:import namespace="8902437c-c6fa-42f5-af58-0fedb3791336"/>
    <xsd:import namespace="daee0f6d-00f4-4952-bf76-680e81983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2437c-c6fa-42f5-af58-0fedb37913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e0f6d-00f4-4952-bf76-680e81983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B74B-C771-4075-8A44-E348813E7000}">
  <ds:schemaRefs>
    <ds:schemaRef ds:uri="http://schemas.microsoft.com/sharepoint/v3/contenttype/forms"/>
  </ds:schemaRefs>
</ds:datastoreItem>
</file>

<file path=customXml/itemProps2.xml><?xml version="1.0" encoding="utf-8"?>
<ds:datastoreItem xmlns:ds="http://schemas.openxmlformats.org/officeDocument/2006/customXml" ds:itemID="{28E39C36-5DD1-4770-BD9B-0794F4F3B9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0A5C64-8606-4F5C-B5B6-D5CD4386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2437c-c6fa-42f5-af58-0fedb3791336"/>
    <ds:schemaRef ds:uri="daee0f6d-00f4-4952-bf76-680e81983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C1759-96B3-477C-9643-37B970C2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10332</Words>
  <Characters>58899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Augentius</Company>
  <LinksUpToDate>false</LinksUpToDate>
  <CharactersWithSpaces>69093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Mellow Blaze Cadalin</dc:creator>
  <cp:keywords/>
  <dc:description/>
  <cp:lastModifiedBy>Mellow Blaze Cadalin</cp:lastModifiedBy>
  <cp:revision>8</cp:revision>
  <cp:lastPrinted>2021-08-02T17:07:00Z</cp:lastPrinted>
  <dcterms:created xsi:type="dcterms:W3CDTF">2021-08-02T16:52:00Z</dcterms:created>
  <dcterms:modified xsi:type="dcterms:W3CDTF">2021-08-02T17:18:00Z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0x010100B64239B4AA44984E93CF7C9E1ABAE52F</vt:lpwstr>
  </property>
</Properties>
</file>