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C7BED" w14:textId="6BC5AD42" w:rsidR="00DE5AF2" w:rsidRPr="007D6590" w:rsidRDefault="00DE5AF2" w:rsidP="00396E87">
      <w:pPr>
        <w:pStyle w:val="NormalOCAshurst"/>
        <w:spacing w:after="240"/>
        <w:rPr>
          <w:rFonts w:asciiTheme="majorHAnsi" w:hAnsiTheme="majorHAnsi" w:cstheme="majorHAnsi"/>
          <w:b/>
          <w:noProof/>
          <w:sz w:val="15"/>
          <w:szCs w:val="15"/>
        </w:rPr>
      </w:pPr>
      <w:r w:rsidRPr="007D6590">
        <w:rPr>
          <w:rFonts w:asciiTheme="majorHAnsi" w:hAnsiTheme="majorHAnsi" w:cstheme="majorHAnsi"/>
          <w:b/>
          <w:noProof/>
          <w:sz w:val="15"/>
          <w:szCs w:val="15"/>
        </w:rPr>
        <w:t xml:space="preserve">THIS DOCUMENT </w:t>
      </w:r>
      <w:r w:rsidR="00E5149B">
        <w:rPr>
          <w:rFonts w:asciiTheme="majorHAnsi" w:hAnsiTheme="majorHAnsi" w:cstheme="majorHAnsi"/>
          <w:b/>
          <w:noProof/>
          <w:sz w:val="15"/>
          <w:szCs w:val="15"/>
        </w:rPr>
        <w:t xml:space="preserve">IS </w:t>
      </w:r>
      <w:r w:rsidRPr="007D6590">
        <w:rPr>
          <w:rFonts w:asciiTheme="majorHAnsi" w:hAnsiTheme="majorHAnsi" w:cstheme="majorHAnsi"/>
          <w:b/>
          <w:noProof/>
          <w:sz w:val="15"/>
          <w:szCs w:val="15"/>
        </w:rPr>
        <w:t>IMPORTANT AND REQUIRE</w:t>
      </w:r>
      <w:r w:rsidR="00FB6CC4">
        <w:rPr>
          <w:rFonts w:asciiTheme="majorHAnsi" w:hAnsiTheme="majorHAnsi" w:cstheme="majorHAnsi"/>
          <w:b/>
          <w:noProof/>
          <w:sz w:val="15"/>
          <w:szCs w:val="15"/>
        </w:rPr>
        <w:t>S</w:t>
      </w:r>
      <w:r w:rsidRPr="007D6590">
        <w:rPr>
          <w:rFonts w:asciiTheme="majorHAnsi" w:hAnsiTheme="majorHAnsi" w:cstheme="majorHAnsi"/>
          <w:b/>
          <w:noProof/>
          <w:sz w:val="15"/>
          <w:szCs w:val="15"/>
        </w:rPr>
        <w:t xml:space="preserve"> YOUR IMMEDIATE ATTENTION. If you are in any doubt as to the action you should take, you are recommended to seek your own financial advice immediately from your stockbroker, bank manager, solicitor, accountant or other independent financial adviser authorised under the Financial Services and Markets Act 2000 (as amended) (the "FSMA") if you are resident in the United Kingdom or, if not, from another appropriately authorised independent financial adviser. </w:t>
      </w:r>
    </w:p>
    <w:p w14:paraId="525B1E65" w14:textId="7E0B9D02" w:rsidR="00DE5AF2" w:rsidRPr="007D6590" w:rsidRDefault="00DE5AF2" w:rsidP="00396E87">
      <w:pPr>
        <w:pStyle w:val="NormalOCAshurst"/>
        <w:spacing w:after="240"/>
        <w:rPr>
          <w:rFonts w:asciiTheme="majorHAnsi" w:hAnsiTheme="majorHAnsi" w:cstheme="majorHAnsi"/>
          <w:bCs/>
          <w:noProof/>
          <w:sz w:val="15"/>
          <w:szCs w:val="15"/>
        </w:rPr>
      </w:pPr>
      <w:r w:rsidRPr="007D6590">
        <w:rPr>
          <w:rFonts w:asciiTheme="majorHAnsi" w:hAnsiTheme="majorHAnsi" w:cstheme="majorHAnsi"/>
          <w:bCs/>
          <w:noProof/>
          <w:sz w:val="15"/>
          <w:szCs w:val="15"/>
        </w:rPr>
        <w:t xml:space="preserve">This document </w:t>
      </w:r>
      <w:r w:rsidR="003B087C">
        <w:rPr>
          <w:rFonts w:asciiTheme="majorHAnsi" w:hAnsiTheme="majorHAnsi" w:cstheme="majorHAnsi"/>
          <w:bCs/>
          <w:noProof/>
          <w:sz w:val="15"/>
          <w:szCs w:val="15"/>
        </w:rPr>
        <w:t>constitutes</w:t>
      </w:r>
      <w:r w:rsidR="003B087C" w:rsidRPr="007D6590">
        <w:rPr>
          <w:rFonts w:asciiTheme="majorHAnsi" w:hAnsiTheme="majorHAnsi" w:cstheme="majorHAnsi"/>
          <w:bCs/>
          <w:noProof/>
          <w:sz w:val="15"/>
          <w:szCs w:val="15"/>
        </w:rPr>
        <w:t xml:space="preserve"> </w:t>
      </w:r>
      <w:r w:rsidRPr="007D6590">
        <w:rPr>
          <w:rFonts w:asciiTheme="majorHAnsi" w:hAnsiTheme="majorHAnsi" w:cstheme="majorHAnsi"/>
          <w:bCs/>
          <w:noProof/>
          <w:sz w:val="15"/>
          <w:szCs w:val="15"/>
        </w:rPr>
        <w:t>a</w:t>
      </w:r>
      <w:r w:rsidR="003B087C">
        <w:rPr>
          <w:rFonts w:asciiTheme="majorHAnsi" w:hAnsiTheme="majorHAnsi" w:cstheme="majorHAnsi"/>
          <w:bCs/>
          <w:noProof/>
          <w:sz w:val="15"/>
          <w:szCs w:val="15"/>
        </w:rPr>
        <w:t xml:space="preserve"> supplementary</w:t>
      </w:r>
      <w:r w:rsidRPr="007D6590">
        <w:rPr>
          <w:rFonts w:asciiTheme="majorHAnsi" w:hAnsiTheme="majorHAnsi" w:cstheme="majorHAnsi"/>
          <w:bCs/>
          <w:noProof/>
          <w:sz w:val="15"/>
          <w:szCs w:val="15"/>
        </w:rPr>
        <w:t xml:space="preserve"> prospectus</w:t>
      </w:r>
      <w:r w:rsidR="003B087C">
        <w:rPr>
          <w:rFonts w:asciiTheme="majorHAnsi" w:hAnsiTheme="majorHAnsi" w:cstheme="majorHAnsi"/>
          <w:bCs/>
          <w:noProof/>
          <w:sz w:val="15"/>
          <w:szCs w:val="15"/>
        </w:rPr>
        <w:t xml:space="preserve"> (the "</w:t>
      </w:r>
      <w:r w:rsidR="003B087C">
        <w:rPr>
          <w:rFonts w:asciiTheme="majorHAnsi" w:hAnsiTheme="majorHAnsi" w:cstheme="majorHAnsi"/>
          <w:b/>
          <w:noProof/>
          <w:sz w:val="15"/>
          <w:szCs w:val="15"/>
        </w:rPr>
        <w:t>Supplementary Prospectus</w:t>
      </w:r>
      <w:r w:rsidR="003B087C">
        <w:rPr>
          <w:rFonts w:asciiTheme="majorHAnsi" w:hAnsiTheme="majorHAnsi" w:cstheme="majorHAnsi"/>
          <w:bCs/>
          <w:noProof/>
          <w:sz w:val="15"/>
          <w:szCs w:val="15"/>
        </w:rPr>
        <w:t>")</w:t>
      </w:r>
      <w:r w:rsidRPr="007D6590">
        <w:rPr>
          <w:rFonts w:asciiTheme="majorHAnsi" w:hAnsiTheme="majorHAnsi" w:cstheme="majorHAnsi"/>
          <w:bCs/>
          <w:noProof/>
          <w:sz w:val="15"/>
          <w:szCs w:val="15"/>
        </w:rPr>
        <w:t xml:space="preserve"> for the purposes of the UK version of Regulation (EU) 2017/1129 which forms part of UK law by virtue of the European Union (Withdrawal) Act 2018 (the "</w:t>
      </w:r>
      <w:r w:rsidRPr="007D6590">
        <w:rPr>
          <w:rFonts w:asciiTheme="majorHAnsi" w:hAnsiTheme="majorHAnsi" w:cstheme="majorHAnsi"/>
          <w:b/>
          <w:noProof/>
          <w:sz w:val="15"/>
          <w:szCs w:val="15"/>
        </w:rPr>
        <w:t>UK Prospectus Regulation</w:t>
      </w:r>
      <w:r w:rsidRPr="007D6590">
        <w:rPr>
          <w:rFonts w:asciiTheme="majorHAnsi" w:hAnsiTheme="majorHAnsi" w:cstheme="majorHAnsi"/>
          <w:bCs/>
          <w:noProof/>
          <w:sz w:val="15"/>
          <w:szCs w:val="15"/>
        </w:rPr>
        <w:t>") relating to EnQuest PLC (the "</w:t>
      </w:r>
      <w:r w:rsidRPr="007D6590">
        <w:rPr>
          <w:rFonts w:asciiTheme="majorHAnsi" w:hAnsiTheme="majorHAnsi" w:cstheme="majorHAnsi"/>
          <w:b/>
          <w:noProof/>
          <w:sz w:val="15"/>
          <w:szCs w:val="15"/>
        </w:rPr>
        <w:t>Company</w:t>
      </w:r>
      <w:r w:rsidRPr="007D6590">
        <w:rPr>
          <w:rFonts w:asciiTheme="majorHAnsi" w:hAnsiTheme="majorHAnsi" w:cstheme="majorHAnsi"/>
          <w:bCs/>
          <w:noProof/>
          <w:sz w:val="15"/>
          <w:szCs w:val="15"/>
        </w:rPr>
        <w:t>") prepared in accordance with the UK Prospectus Regulation Rules of the Financial Conduct Authority (the "</w:t>
      </w:r>
      <w:r w:rsidRPr="007D6590">
        <w:rPr>
          <w:rFonts w:asciiTheme="majorHAnsi" w:hAnsiTheme="majorHAnsi" w:cstheme="majorHAnsi"/>
          <w:b/>
          <w:noProof/>
          <w:sz w:val="15"/>
          <w:szCs w:val="15"/>
        </w:rPr>
        <w:t>FCA</w:t>
      </w:r>
      <w:r w:rsidRPr="007D6590">
        <w:rPr>
          <w:rFonts w:asciiTheme="majorHAnsi" w:hAnsiTheme="majorHAnsi" w:cstheme="majorHAnsi"/>
          <w:bCs/>
          <w:noProof/>
          <w:sz w:val="15"/>
          <w:szCs w:val="15"/>
        </w:rPr>
        <w:t xml:space="preserve">") made under section 73A of the FSMA. This document has been approved by the FCA (as competent authority under the UK Prospectus Regulation). The FCA only approves this </w:t>
      </w:r>
      <w:r w:rsidR="00A57C4E">
        <w:rPr>
          <w:rFonts w:asciiTheme="majorHAnsi" w:hAnsiTheme="majorHAnsi" w:cstheme="majorHAnsi"/>
          <w:bCs/>
          <w:noProof/>
          <w:sz w:val="15"/>
          <w:szCs w:val="15"/>
        </w:rPr>
        <w:t xml:space="preserve">supplementary </w:t>
      </w:r>
      <w:r w:rsidRPr="007D6590">
        <w:rPr>
          <w:rFonts w:asciiTheme="majorHAnsi" w:hAnsiTheme="majorHAnsi" w:cstheme="majorHAnsi"/>
          <w:bCs/>
          <w:noProof/>
          <w:sz w:val="15"/>
          <w:szCs w:val="15"/>
        </w:rPr>
        <w:t xml:space="preserve">prospectus as meeting the standards of completeness, comprehensibility and consistency imposed by the UK Prospectus Regulation. Such approval should not be considered as an endorsement of the Company that is, or the quality of the securities that are, the subject of this </w:t>
      </w:r>
      <w:r w:rsidR="00A57C4E">
        <w:rPr>
          <w:rFonts w:asciiTheme="majorHAnsi" w:hAnsiTheme="majorHAnsi" w:cstheme="majorHAnsi"/>
          <w:bCs/>
          <w:noProof/>
          <w:sz w:val="15"/>
          <w:szCs w:val="15"/>
        </w:rPr>
        <w:t xml:space="preserve">supplementary </w:t>
      </w:r>
      <w:r w:rsidRPr="007D6590">
        <w:rPr>
          <w:rFonts w:asciiTheme="majorHAnsi" w:hAnsiTheme="majorHAnsi" w:cstheme="majorHAnsi"/>
          <w:bCs/>
          <w:noProof/>
          <w:sz w:val="15"/>
          <w:szCs w:val="15"/>
        </w:rPr>
        <w:t xml:space="preserve">prospectus. Investors should make their own assessment as to the suitability of investing in the ordinary shares in the capital of the Company. </w:t>
      </w:r>
    </w:p>
    <w:p w14:paraId="5B001197" w14:textId="570169D2" w:rsidR="003B087C" w:rsidRPr="003B087C" w:rsidRDefault="003B087C" w:rsidP="00396E87">
      <w:pPr>
        <w:pStyle w:val="NormalOCAshurst"/>
        <w:spacing w:after="240"/>
        <w:rPr>
          <w:rFonts w:asciiTheme="majorHAnsi" w:hAnsiTheme="majorHAnsi" w:cstheme="majorHAnsi"/>
          <w:bCs/>
          <w:noProof/>
          <w:sz w:val="15"/>
          <w:szCs w:val="15"/>
        </w:rPr>
      </w:pPr>
      <w:r w:rsidRPr="003B087C">
        <w:rPr>
          <w:rFonts w:asciiTheme="majorHAnsi" w:hAnsiTheme="majorHAnsi" w:cstheme="majorHAnsi"/>
          <w:bCs/>
          <w:noProof/>
          <w:sz w:val="15"/>
          <w:szCs w:val="15"/>
        </w:rPr>
        <w:t xml:space="preserve">This Supplementary Prospectus is supplementary to, and must be read in conjunction with, the </w:t>
      </w:r>
      <w:r w:rsidR="00A57C4E">
        <w:rPr>
          <w:rFonts w:asciiTheme="majorHAnsi" w:hAnsiTheme="majorHAnsi" w:cstheme="majorHAnsi"/>
          <w:bCs/>
          <w:noProof/>
          <w:sz w:val="15"/>
          <w:szCs w:val="15"/>
        </w:rPr>
        <w:t xml:space="preserve">combined circular and </w:t>
      </w:r>
      <w:r w:rsidRPr="003B087C">
        <w:rPr>
          <w:rFonts w:asciiTheme="majorHAnsi" w:hAnsiTheme="majorHAnsi" w:cstheme="majorHAnsi"/>
          <w:bCs/>
          <w:noProof/>
          <w:sz w:val="15"/>
          <w:szCs w:val="15"/>
        </w:rPr>
        <w:t xml:space="preserve">prospectus published by the Company on </w:t>
      </w:r>
      <w:r>
        <w:rPr>
          <w:rFonts w:asciiTheme="majorHAnsi" w:hAnsiTheme="majorHAnsi" w:cstheme="majorHAnsi"/>
          <w:bCs/>
          <w:noProof/>
          <w:sz w:val="15"/>
          <w:szCs w:val="15"/>
        </w:rPr>
        <w:t>30 June</w:t>
      </w:r>
      <w:r w:rsidRPr="003B087C">
        <w:rPr>
          <w:rFonts w:asciiTheme="majorHAnsi" w:hAnsiTheme="majorHAnsi" w:cstheme="majorHAnsi"/>
          <w:bCs/>
          <w:noProof/>
          <w:sz w:val="15"/>
          <w:szCs w:val="15"/>
        </w:rPr>
        <w:t xml:space="preserve"> 2021 in relation to the </w:t>
      </w:r>
      <w:r>
        <w:rPr>
          <w:rFonts w:asciiTheme="majorHAnsi" w:hAnsiTheme="majorHAnsi" w:cstheme="majorHAnsi"/>
          <w:bCs/>
          <w:noProof/>
          <w:sz w:val="15"/>
          <w:szCs w:val="15"/>
        </w:rPr>
        <w:t xml:space="preserve">Acquisition, Capital Raising and Related Party Transaction </w:t>
      </w:r>
      <w:r w:rsidRPr="003B087C">
        <w:rPr>
          <w:rFonts w:asciiTheme="majorHAnsi" w:hAnsiTheme="majorHAnsi" w:cstheme="majorHAnsi"/>
          <w:bCs/>
          <w:noProof/>
          <w:sz w:val="15"/>
          <w:szCs w:val="15"/>
        </w:rPr>
        <w:t xml:space="preserve">(the </w:t>
      </w:r>
      <w:r>
        <w:rPr>
          <w:rFonts w:asciiTheme="majorHAnsi" w:hAnsiTheme="majorHAnsi" w:cstheme="majorHAnsi"/>
          <w:bCs/>
          <w:noProof/>
          <w:sz w:val="15"/>
          <w:szCs w:val="15"/>
        </w:rPr>
        <w:t>"</w:t>
      </w:r>
      <w:r w:rsidRPr="00186BEA">
        <w:rPr>
          <w:rFonts w:asciiTheme="majorHAnsi" w:hAnsiTheme="majorHAnsi" w:cstheme="majorHAnsi"/>
          <w:b/>
          <w:noProof/>
          <w:sz w:val="15"/>
          <w:szCs w:val="15"/>
        </w:rPr>
        <w:t>Original Prospectus</w:t>
      </w:r>
      <w:r>
        <w:rPr>
          <w:rFonts w:asciiTheme="majorHAnsi" w:hAnsiTheme="majorHAnsi" w:cstheme="majorHAnsi"/>
          <w:bCs/>
          <w:noProof/>
          <w:sz w:val="15"/>
          <w:szCs w:val="15"/>
        </w:rPr>
        <w:t>"</w:t>
      </w:r>
      <w:r w:rsidRPr="003B087C">
        <w:rPr>
          <w:rFonts w:asciiTheme="majorHAnsi" w:hAnsiTheme="majorHAnsi" w:cstheme="majorHAnsi"/>
          <w:bCs/>
          <w:noProof/>
          <w:sz w:val="15"/>
          <w:szCs w:val="15"/>
        </w:rPr>
        <w:t xml:space="preserve">, and together with this Supplementary Prospectus, the </w:t>
      </w:r>
      <w:r>
        <w:rPr>
          <w:rFonts w:asciiTheme="majorHAnsi" w:hAnsiTheme="majorHAnsi" w:cstheme="majorHAnsi"/>
          <w:bCs/>
          <w:noProof/>
          <w:sz w:val="15"/>
          <w:szCs w:val="15"/>
        </w:rPr>
        <w:t>"</w:t>
      </w:r>
      <w:r w:rsidRPr="00186BEA">
        <w:rPr>
          <w:rFonts w:asciiTheme="majorHAnsi" w:hAnsiTheme="majorHAnsi" w:cstheme="majorHAnsi"/>
          <w:b/>
          <w:noProof/>
          <w:sz w:val="15"/>
          <w:szCs w:val="15"/>
        </w:rPr>
        <w:t>Prospectus</w:t>
      </w:r>
      <w:r>
        <w:rPr>
          <w:rFonts w:asciiTheme="majorHAnsi" w:hAnsiTheme="majorHAnsi" w:cstheme="majorHAnsi"/>
          <w:bCs/>
          <w:noProof/>
          <w:sz w:val="15"/>
          <w:szCs w:val="15"/>
        </w:rPr>
        <w:t>"</w:t>
      </w:r>
      <w:r w:rsidRPr="003B087C">
        <w:rPr>
          <w:rFonts w:asciiTheme="majorHAnsi" w:hAnsiTheme="majorHAnsi" w:cstheme="majorHAnsi"/>
          <w:bCs/>
          <w:noProof/>
          <w:sz w:val="15"/>
          <w:szCs w:val="15"/>
        </w:rPr>
        <w:t>). Save as disclosed in this Supplementary Prospectus, since the publication of the Original Prospectus, there have been no significant new factors, material mistakes or material inaccuracies relating to the information contained in the Original Prospectus.</w:t>
      </w:r>
      <w:r w:rsidR="00E5149B">
        <w:rPr>
          <w:rFonts w:asciiTheme="majorHAnsi" w:hAnsiTheme="majorHAnsi" w:cstheme="majorHAnsi"/>
          <w:bCs/>
          <w:noProof/>
          <w:sz w:val="15"/>
          <w:szCs w:val="15"/>
        </w:rPr>
        <w:t xml:space="preserve"> This document </w:t>
      </w:r>
      <w:r w:rsidR="00240B9C">
        <w:rPr>
          <w:rFonts w:asciiTheme="majorHAnsi" w:hAnsiTheme="majorHAnsi" w:cstheme="majorHAnsi"/>
          <w:bCs/>
          <w:noProof/>
          <w:sz w:val="15"/>
          <w:szCs w:val="15"/>
        </w:rPr>
        <w:t>will be</w:t>
      </w:r>
      <w:r w:rsidR="007F677F">
        <w:rPr>
          <w:rFonts w:asciiTheme="majorHAnsi" w:hAnsiTheme="majorHAnsi" w:cstheme="majorHAnsi"/>
          <w:bCs/>
          <w:noProof/>
          <w:sz w:val="15"/>
          <w:szCs w:val="15"/>
        </w:rPr>
        <w:t>,</w:t>
      </w:r>
      <w:r w:rsidR="00240B9C">
        <w:rPr>
          <w:rFonts w:asciiTheme="majorHAnsi" w:hAnsiTheme="majorHAnsi" w:cstheme="majorHAnsi"/>
          <w:bCs/>
          <w:noProof/>
          <w:sz w:val="15"/>
          <w:szCs w:val="15"/>
        </w:rPr>
        <w:t xml:space="preserve"> </w:t>
      </w:r>
      <w:r w:rsidR="00E5149B">
        <w:rPr>
          <w:rFonts w:asciiTheme="majorHAnsi" w:hAnsiTheme="majorHAnsi" w:cstheme="majorHAnsi"/>
          <w:bCs/>
          <w:noProof/>
          <w:sz w:val="15"/>
          <w:szCs w:val="15"/>
        </w:rPr>
        <w:t xml:space="preserve">and the Original Prospectus together with the documents incorporated into </w:t>
      </w:r>
      <w:r w:rsidR="00240B9C">
        <w:rPr>
          <w:rFonts w:asciiTheme="majorHAnsi" w:hAnsiTheme="majorHAnsi" w:cstheme="majorHAnsi"/>
          <w:bCs/>
          <w:noProof/>
          <w:sz w:val="15"/>
          <w:szCs w:val="15"/>
        </w:rPr>
        <w:t xml:space="preserve">the Original Prospectus </w:t>
      </w:r>
      <w:r w:rsidR="00E5149B">
        <w:rPr>
          <w:rFonts w:asciiTheme="majorHAnsi" w:hAnsiTheme="majorHAnsi" w:cstheme="majorHAnsi"/>
          <w:bCs/>
          <w:noProof/>
          <w:sz w:val="15"/>
          <w:szCs w:val="15"/>
        </w:rPr>
        <w:t xml:space="preserve">by reference </w:t>
      </w:r>
      <w:r w:rsidR="00240B9C">
        <w:rPr>
          <w:rFonts w:asciiTheme="majorHAnsi" w:hAnsiTheme="majorHAnsi" w:cstheme="majorHAnsi"/>
          <w:bCs/>
          <w:noProof/>
          <w:sz w:val="15"/>
          <w:szCs w:val="15"/>
        </w:rPr>
        <w:t>have been</w:t>
      </w:r>
      <w:r w:rsidR="007F677F">
        <w:rPr>
          <w:rFonts w:asciiTheme="majorHAnsi" w:hAnsiTheme="majorHAnsi" w:cstheme="majorHAnsi"/>
          <w:bCs/>
          <w:noProof/>
          <w:sz w:val="15"/>
          <w:szCs w:val="15"/>
        </w:rPr>
        <w:t>,</w:t>
      </w:r>
      <w:r w:rsidR="00240B9C">
        <w:rPr>
          <w:rFonts w:asciiTheme="majorHAnsi" w:hAnsiTheme="majorHAnsi" w:cstheme="majorHAnsi"/>
          <w:bCs/>
          <w:noProof/>
          <w:sz w:val="15"/>
          <w:szCs w:val="15"/>
        </w:rPr>
        <w:t xml:space="preserve"> </w:t>
      </w:r>
      <w:r w:rsidR="00E5149B">
        <w:rPr>
          <w:rFonts w:asciiTheme="majorHAnsi" w:hAnsiTheme="majorHAnsi" w:cstheme="majorHAnsi"/>
          <w:bCs/>
          <w:noProof/>
          <w:sz w:val="15"/>
          <w:szCs w:val="15"/>
        </w:rPr>
        <w:t xml:space="preserve">made available to the public in accordance with UK Prospectus </w:t>
      </w:r>
      <w:r w:rsidR="00FB6CC4">
        <w:rPr>
          <w:rFonts w:asciiTheme="majorHAnsi" w:hAnsiTheme="majorHAnsi" w:cstheme="majorHAnsi"/>
          <w:bCs/>
          <w:noProof/>
          <w:sz w:val="15"/>
          <w:szCs w:val="15"/>
        </w:rPr>
        <w:t xml:space="preserve">Regulation </w:t>
      </w:r>
      <w:r w:rsidR="00E5149B">
        <w:rPr>
          <w:rFonts w:asciiTheme="majorHAnsi" w:hAnsiTheme="majorHAnsi" w:cstheme="majorHAnsi"/>
          <w:bCs/>
          <w:noProof/>
          <w:sz w:val="15"/>
          <w:szCs w:val="15"/>
        </w:rPr>
        <w:t xml:space="preserve">Rule 3.2.1 by the same being made available, free of charge, at </w:t>
      </w:r>
      <w:r w:rsidR="00E5149B" w:rsidRPr="001E486A">
        <w:rPr>
          <w:rFonts w:asciiTheme="majorHAnsi" w:hAnsiTheme="majorHAnsi" w:cstheme="majorHAnsi"/>
          <w:bCs/>
          <w:i/>
          <w:iCs/>
          <w:noProof/>
          <w:sz w:val="15"/>
          <w:szCs w:val="15"/>
        </w:rPr>
        <w:t>www.EnQuest.com</w:t>
      </w:r>
      <w:r w:rsidR="00E5149B">
        <w:rPr>
          <w:rFonts w:asciiTheme="majorHAnsi" w:hAnsiTheme="majorHAnsi" w:cstheme="majorHAnsi"/>
          <w:bCs/>
          <w:noProof/>
          <w:sz w:val="15"/>
          <w:szCs w:val="15"/>
        </w:rPr>
        <w:t>.</w:t>
      </w:r>
    </w:p>
    <w:p w14:paraId="5C29F9A7" w14:textId="5A4DA2ED" w:rsidR="003B087C" w:rsidRDefault="003B087C" w:rsidP="00396E87">
      <w:pPr>
        <w:pStyle w:val="NormalOCAshurst"/>
        <w:spacing w:after="240"/>
        <w:rPr>
          <w:rFonts w:asciiTheme="majorHAnsi" w:hAnsiTheme="majorHAnsi" w:cstheme="majorHAnsi"/>
          <w:bCs/>
          <w:noProof/>
          <w:sz w:val="15"/>
          <w:szCs w:val="15"/>
        </w:rPr>
      </w:pPr>
      <w:r w:rsidRPr="003B087C">
        <w:rPr>
          <w:rFonts w:asciiTheme="majorHAnsi" w:hAnsiTheme="majorHAnsi" w:cstheme="majorHAnsi"/>
          <w:bCs/>
          <w:noProof/>
          <w:sz w:val="15"/>
          <w:szCs w:val="15"/>
        </w:rPr>
        <w:t xml:space="preserve">Capitalised terms used </w:t>
      </w:r>
      <w:r w:rsidR="003669B3">
        <w:rPr>
          <w:rFonts w:asciiTheme="majorHAnsi" w:hAnsiTheme="majorHAnsi" w:cstheme="majorHAnsi"/>
          <w:bCs/>
          <w:noProof/>
          <w:sz w:val="15"/>
          <w:szCs w:val="15"/>
        </w:rPr>
        <w:t>but</w:t>
      </w:r>
      <w:r w:rsidRPr="003B087C">
        <w:rPr>
          <w:rFonts w:asciiTheme="majorHAnsi" w:hAnsiTheme="majorHAnsi" w:cstheme="majorHAnsi"/>
          <w:bCs/>
          <w:noProof/>
          <w:sz w:val="15"/>
          <w:szCs w:val="15"/>
        </w:rPr>
        <w:t xml:space="preserve"> not defined in this Supplementary Prospectus shall have the meanings given to such terms in the Original Prospectus.</w:t>
      </w:r>
    </w:p>
    <w:p w14:paraId="1E16796F" w14:textId="389EB22A" w:rsidR="00DE5AF2" w:rsidRPr="007D6590" w:rsidRDefault="00DE5AF2" w:rsidP="00396E87">
      <w:pPr>
        <w:pStyle w:val="NormalOCAshurst"/>
        <w:spacing w:after="240"/>
        <w:rPr>
          <w:rFonts w:asciiTheme="majorHAnsi" w:hAnsiTheme="majorHAnsi" w:cstheme="majorHAnsi"/>
          <w:b/>
          <w:noProof/>
          <w:sz w:val="15"/>
          <w:szCs w:val="15"/>
        </w:rPr>
      </w:pPr>
      <w:r w:rsidRPr="007D6590">
        <w:rPr>
          <w:rFonts w:asciiTheme="majorHAnsi" w:hAnsiTheme="majorHAnsi" w:cstheme="majorHAnsi"/>
          <w:b/>
          <w:noProof/>
          <w:sz w:val="15"/>
          <w:szCs w:val="15"/>
        </w:rPr>
        <w:t xml:space="preserve">The distribution of this document in jurisdictions outside the United Kingdom may be restricted by law and therefore persons into whose possession this document and/or any accompanying documents come should inform themselves about and observe such restrictions. Any failure to comply with any of these restrictions may constitute a violation of the securities law of any such jurisdiction. </w:t>
      </w:r>
      <w:r w:rsidR="00B07D12" w:rsidRPr="00B07D12">
        <w:rPr>
          <w:rFonts w:asciiTheme="majorHAnsi" w:hAnsiTheme="majorHAnsi" w:cstheme="majorHAnsi"/>
          <w:b/>
          <w:noProof/>
          <w:sz w:val="15"/>
          <w:szCs w:val="15"/>
        </w:rPr>
        <w:t>In particular, subject to certain exceptions, the documents should not be distributed, forwarded or transmitted in or into the United States or any other Excluded Territory.</w:t>
      </w:r>
    </w:p>
    <w:p w14:paraId="5F3D6A45" w14:textId="01EC4321" w:rsidR="00DE5AF2" w:rsidRPr="007D6590" w:rsidRDefault="00DE5AF2" w:rsidP="00396E87">
      <w:pPr>
        <w:pStyle w:val="NormalOCAshurst"/>
        <w:spacing w:after="240"/>
        <w:rPr>
          <w:rFonts w:asciiTheme="majorHAnsi" w:hAnsiTheme="majorHAnsi" w:cstheme="majorHAnsi"/>
          <w:bCs/>
          <w:noProof/>
          <w:sz w:val="15"/>
          <w:szCs w:val="15"/>
        </w:rPr>
      </w:pPr>
      <w:r w:rsidRPr="007D6590">
        <w:rPr>
          <w:rFonts w:asciiTheme="majorHAnsi" w:hAnsiTheme="majorHAnsi" w:cstheme="majorHAnsi"/>
          <w:bCs/>
          <w:noProof/>
          <w:sz w:val="15"/>
          <w:szCs w:val="15"/>
        </w:rPr>
        <w:t xml:space="preserve">The Company and the Directors, whose names appear on page </w:t>
      </w:r>
      <w:r w:rsidR="009A7598">
        <w:rPr>
          <w:rFonts w:asciiTheme="majorHAnsi" w:hAnsiTheme="majorHAnsi" w:cstheme="majorHAnsi"/>
          <w:bCs/>
          <w:noProof/>
          <w:sz w:val="15"/>
          <w:szCs w:val="15"/>
        </w:rPr>
        <w:fldChar w:fldCharType="begin"/>
      </w:r>
      <w:r w:rsidR="009A7598">
        <w:rPr>
          <w:rFonts w:asciiTheme="majorHAnsi" w:hAnsiTheme="majorHAnsi" w:cstheme="majorHAnsi"/>
          <w:bCs/>
          <w:noProof/>
          <w:sz w:val="15"/>
          <w:szCs w:val="15"/>
        </w:rPr>
        <w:instrText xml:space="preserve"> PAGEREF _Ref81908799 \h </w:instrText>
      </w:r>
      <w:r w:rsidR="009A7598">
        <w:rPr>
          <w:rFonts w:asciiTheme="majorHAnsi" w:hAnsiTheme="majorHAnsi" w:cstheme="majorHAnsi"/>
          <w:bCs/>
          <w:noProof/>
          <w:sz w:val="15"/>
          <w:szCs w:val="15"/>
        </w:rPr>
      </w:r>
      <w:r w:rsidR="009A7598">
        <w:rPr>
          <w:rFonts w:asciiTheme="majorHAnsi" w:hAnsiTheme="majorHAnsi" w:cstheme="majorHAnsi"/>
          <w:bCs/>
          <w:noProof/>
          <w:sz w:val="15"/>
          <w:szCs w:val="15"/>
        </w:rPr>
        <w:fldChar w:fldCharType="separate"/>
      </w:r>
      <w:r w:rsidR="006D1B33">
        <w:rPr>
          <w:rFonts w:asciiTheme="majorHAnsi" w:hAnsiTheme="majorHAnsi" w:cstheme="majorHAnsi"/>
          <w:bCs/>
          <w:noProof/>
          <w:sz w:val="15"/>
          <w:szCs w:val="15"/>
        </w:rPr>
        <w:t>19</w:t>
      </w:r>
      <w:r w:rsidR="009A7598">
        <w:rPr>
          <w:rFonts w:asciiTheme="majorHAnsi" w:hAnsiTheme="majorHAnsi" w:cstheme="majorHAnsi"/>
          <w:bCs/>
          <w:noProof/>
          <w:sz w:val="15"/>
          <w:szCs w:val="15"/>
        </w:rPr>
        <w:fldChar w:fldCharType="end"/>
      </w:r>
      <w:r w:rsidRPr="007D6590">
        <w:rPr>
          <w:rFonts w:asciiTheme="majorHAnsi" w:hAnsiTheme="majorHAnsi" w:cstheme="majorHAnsi"/>
          <w:bCs/>
          <w:noProof/>
          <w:sz w:val="15"/>
          <w:szCs w:val="15"/>
        </w:rPr>
        <w:t xml:space="preserve"> of this document, accept responsibility for the information contained in this document. To the best of the knowledge of the Company and the Directors, the information contained in this document is in accordance with the facts and</w:t>
      </w:r>
      <w:r w:rsidR="00706235">
        <w:rPr>
          <w:rFonts w:asciiTheme="majorHAnsi" w:hAnsiTheme="majorHAnsi" w:cstheme="majorHAnsi"/>
          <w:bCs/>
          <w:noProof/>
          <w:sz w:val="15"/>
          <w:szCs w:val="15"/>
        </w:rPr>
        <w:t xml:space="preserve"> this document</w:t>
      </w:r>
      <w:r w:rsidRPr="007D6590">
        <w:rPr>
          <w:rFonts w:asciiTheme="majorHAnsi" w:hAnsiTheme="majorHAnsi" w:cstheme="majorHAnsi"/>
          <w:bCs/>
          <w:noProof/>
          <w:sz w:val="15"/>
          <w:szCs w:val="15"/>
        </w:rPr>
        <w:t xml:space="preserve"> makes no omission likely to affect its import.</w:t>
      </w:r>
    </w:p>
    <w:p w14:paraId="18A65AE9" w14:textId="1F18CC2F" w:rsidR="00DE5AF2" w:rsidRPr="007D6590" w:rsidRDefault="00DE5AF2" w:rsidP="00396E87">
      <w:pPr>
        <w:pStyle w:val="NormalOCAshurst"/>
        <w:spacing w:after="240"/>
        <w:rPr>
          <w:rFonts w:asciiTheme="majorHAnsi" w:hAnsiTheme="majorHAnsi" w:cstheme="majorHAnsi"/>
          <w:bCs/>
          <w:noProof/>
          <w:sz w:val="15"/>
          <w:szCs w:val="15"/>
        </w:rPr>
      </w:pPr>
      <w:r w:rsidRPr="007D6590">
        <w:rPr>
          <w:rFonts w:asciiTheme="majorHAnsi" w:hAnsiTheme="majorHAnsi" w:cstheme="majorHAnsi"/>
          <w:bCs/>
          <w:noProof/>
          <w:sz w:val="15"/>
          <w:szCs w:val="15"/>
        </w:rPr>
        <w:t>Unless expressly stated otherwise, references to an EU regulation shall be to that regulation as it forms part of the law of England and Wales by virtue of the European Union (Withdrawal) Act 2018 (as amended) and as the law of England and Wales is amended or re-enacted as at the date of this document.</w:t>
      </w:r>
    </w:p>
    <w:p w14:paraId="6278320A" w14:textId="1603B53F" w:rsidR="00DE5AF2" w:rsidRPr="007D6590" w:rsidRDefault="00DE5AF2" w:rsidP="00396E87">
      <w:pPr>
        <w:pStyle w:val="NormalOCAshurst"/>
        <w:pBdr>
          <w:top w:val="single" w:sz="4" w:space="1" w:color="auto"/>
        </w:pBdr>
        <w:jc w:val="center"/>
        <w:rPr>
          <w:rFonts w:asciiTheme="majorHAnsi" w:hAnsiTheme="majorHAnsi" w:cstheme="majorHAnsi"/>
          <w:b/>
          <w:sz w:val="44"/>
          <w:szCs w:val="44"/>
        </w:rPr>
      </w:pPr>
      <w:r w:rsidRPr="007D6590">
        <w:rPr>
          <w:rFonts w:asciiTheme="majorHAnsi" w:hAnsiTheme="majorHAnsi" w:cstheme="majorHAnsi"/>
          <w:b/>
          <w:sz w:val="44"/>
          <w:szCs w:val="44"/>
        </w:rPr>
        <w:t>EnQuest PLC</w:t>
      </w:r>
    </w:p>
    <w:p w14:paraId="3824857F" w14:textId="274CF613" w:rsidR="00DE5AF2" w:rsidRPr="002B168C" w:rsidRDefault="007C3381" w:rsidP="00396E87">
      <w:pPr>
        <w:pStyle w:val="NormalOCAshurst"/>
        <w:jc w:val="center"/>
        <w:rPr>
          <w:rFonts w:asciiTheme="majorHAnsi" w:hAnsiTheme="majorHAnsi" w:cstheme="majorHAnsi"/>
        </w:rPr>
      </w:pPr>
      <w:r w:rsidRPr="007C3381">
        <w:t xml:space="preserve"> </w:t>
      </w:r>
      <w:r>
        <w:rPr>
          <w:noProof/>
        </w:rPr>
        <w:drawing>
          <wp:inline distT="0" distB="0" distL="0" distR="0" wp14:anchorId="18CD836A" wp14:editId="3B2AD8A1">
            <wp:extent cx="821288" cy="559559"/>
            <wp:effectExtent l="0" t="0" r="0" b="0"/>
            <wp:docPr id="122" name="Picture 122" descr="Logo: downloads - En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downloads - EnQu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4816" cy="575589"/>
                    </a:xfrm>
                    <a:prstGeom prst="rect">
                      <a:avLst/>
                    </a:prstGeom>
                    <a:noFill/>
                    <a:ln>
                      <a:noFill/>
                    </a:ln>
                  </pic:spPr>
                </pic:pic>
              </a:graphicData>
            </a:graphic>
          </wp:inline>
        </w:drawing>
      </w:r>
    </w:p>
    <w:p w14:paraId="6C222722" w14:textId="77777777" w:rsidR="00DE5AF2" w:rsidRPr="007D6590" w:rsidRDefault="00DE5AF2" w:rsidP="00396E87">
      <w:pPr>
        <w:pStyle w:val="NormalOCAshurst"/>
        <w:spacing w:after="120"/>
        <w:jc w:val="center"/>
        <w:rPr>
          <w:rFonts w:asciiTheme="majorHAnsi" w:hAnsiTheme="majorHAnsi" w:cstheme="majorHAnsi"/>
          <w:sz w:val="16"/>
          <w:szCs w:val="16"/>
        </w:rPr>
      </w:pPr>
      <w:r w:rsidRPr="007D6590">
        <w:rPr>
          <w:rFonts w:asciiTheme="majorHAnsi" w:hAnsiTheme="majorHAnsi" w:cstheme="majorHAnsi"/>
          <w:sz w:val="16"/>
          <w:szCs w:val="16"/>
        </w:rPr>
        <w:t>(Incorporated and registered in England and Wales under the Companies Act 2006 with registered no. 7140891)</w:t>
      </w:r>
    </w:p>
    <w:p w14:paraId="509D25AC" w14:textId="77777777" w:rsidR="007C3381" w:rsidRDefault="007C3381" w:rsidP="00396E87">
      <w:pPr>
        <w:pStyle w:val="NormalOCAshurst"/>
        <w:spacing w:after="120"/>
        <w:jc w:val="center"/>
        <w:rPr>
          <w:rFonts w:asciiTheme="majorHAnsi" w:hAnsiTheme="majorHAnsi" w:cstheme="majorHAnsi"/>
          <w:b/>
          <w:sz w:val="18"/>
          <w:szCs w:val="18"/>
        </w:rPr>
      </w:pPr>
    </w:p>
    <w:p w14:paraId="7589DD1F" w14:textId="39B0ACDA" w:rsidR="00DE5AF2" w:rsidRPr="007D6590" w:rsidRDefault="00DE5AF2" w:rsidP="00396E87">
      <w:pPr>
        <w:pStyle w:val="NormalOCAshurst"/>
        <w:spacing w:after="120"/>
        <w:jc w:val="center"/>
        <w:rPr>
          <w:rFonts w:asciiTheme="majorHAnsi" w:hAnsiTheme="majorHAnsi" w:cstheme="majorHAnsi"/>
          <w:b/>
          <w:sz w:val="18"/>
          <w:szCs w:val="18"/>
        </w:rPr>
      </w:pPr>
      <w:r w:rsidRPr="007D6590">
        <w:rPr>
          <w:rFonts w:asciiTheme="majorHAnsi" w:hAnsiTheme="majorHAnsi" w:cstheme="majorHAnsi"/>
          <w:b/>
          <w:sz w:val="18"/>
          <w:szCs w:val="18"/>
        </w:rPr>
        <w:t>Re-admission of Ordinary Shares to the premium listing segment of the Official List and to trading on the London Stock Exchange's main market for listed securities</w:t>
      </w:r>
    </w:p>
    <w:p w14:paraId="006D9F70" w14:textId="08C074D7" w:rsidR="00DE5AF2" w:rsidRPr="007D6590" w:rsidRDefault="00DE5AF2" w:rsidP="00396E87">
      <w:pPr>
        <w:pStyle w:val="NormalOCAshurst"/>
        <w:spacing w:after="120"/>
        <w:jc w:val="center"/>
        <w:rPr>
          <w:rFonts w:asciiTheme="majorHAnsi" w:hAnsiTheme="majorHAnsi" w:cstheme="maj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000"/>
        <w:gridCol w:w="3000"/>
      </w:tblGrid>
      <w:tr w:rsidR="00BF629A" w:rsidRPr="007D6590" w14:paraId="61E4A6E8" w14:textId="77777777" w:rsidTr="00DE5AF2">
        <w:trPr>
          <w:trHeight w:val="439"/>
        </w:trPr>
        <w:tc>
          <w:tcPr>
            <w:tcW w:w="3004" w:type="dxa"/>
          </w:tcPr>
          <w:p w14:paraId="088A3281" w14:textId="77777777" w:rsidR="00DE5AF2" w:rsidRPr="007D6590" w:rsidRDefault="00DE5AF2" w:rsidP="00396E87">
            <w:pPr>
              <w:pStyle w:val="StandardOCAshurst"/>
              <w:jc w:val="center"/>
              <w:rPr>
                <w:rFonts w:asciiTheme="majorHAnsi" w:hAnsiTheme="majorHAnsi" w:cstheme="majorHAnsi"/>
                <w:sz w:val="18"/>
                <w:szCs w:val="18"/>
              </w:rPr>
            </w:pPr>
          </w:p>
        </w:tc>
        <w:tc>
          <w:tcPr>
            <w:tcW w:w="3000" w:type="dxa"/>
          </w:tcPr>
          <w:p w14:paraId="38C035CA" w14:textId="77777777" w:rsidR="00DE5AF2" w:rsidRPr="007D6590" w:rsidRDefault="00DE5AF2" w:rsidP="00396E87">
            <w:pPr>
              <w:pStyle w:val="StandardOCAshurst"/>
              <w:jc w:val="center"/>
              <w:rPr>
                <w:rFonts w:asciiTheme="majorHAnsi" w:hAnsiTheme="majorHAnsi" w:cstheme="majorHAnsi"/>
                <w:b/>
                <w:sz w:val="18"/>
                <w:szCs w:val="18"/>
              </w:rPr>
            </w:pPr>
            <w:r w:rsidRPr="007D6590">
              <w:rPr>
                <w:rFonts w:asciiTheme="majorHAnsi" w:hAnsiTheme="majorHAnsi" w:cstheme="majorHAnsi"/>
                <w:b/>
                <w:sz w:val="18"/>
                <w:szCs w:val="18"/>
              </w:rPr>
              <w:t>J.P. Morgan Cazenove</w:t>
            </w:r>
          </w:p>
          <w:p w14:paraId="40DC4AD5" w14:textId="77777777" w:rsidR="00DE5AF2" w:rsidRPr="007D6590" w:rsidRDefault="00DE5AF2" w:rsidP="00396E87">
            <w:pPr>
              <w:pStyle w:val="StandardOCAshurst"/>
              <w:jc w:val="center"/>
              <w:rPr>
                <w:rFonts w:asciiTheme="majorHAnsi" w:hAnsiTheme="majorHAnsi" w:cstheme="majorHAnsi"/>
                <w:sz w:val="18"/>
                <w:szCs w:val="18"/>
              </w:rPr>
            </w:pPr>
            <w:r w:rsidRPr="007D6590">
              <w:rPr>
                <w:rFonts w:asciiTheme="majorHAnsi" w:hAnsiTheme="majorHAnsi" w:cstheme="majorHAnsi"/>
                <w:i/>
                <w:sz w:val="18"/>
                <w:szCs w:val="18"/>
              </w:rPr>
              <w:t>Sponsor and Bookrunner</w:t>
            </w:r>
            <w:r w:rsidRPr="007D6590">
              <w:rPr>
                <w:rFonts w:asciiTheme="majorHAnsi" w:hAnsiTheme="majorHAnsi" w:cstheme="majorHAnsi"/>
                <w:b/>
                <w:sz w:val="18"/>
                <w:szCs w:val="18"/>
              </w:rPr>
              <w:t xml:space="preserve"> </w:t>
            </w:r>
          </w:p>
        </w:tc>
        <w:tc>
          <w:tcPr>
            <w:tcW w:w="3000" w:type="dxa"/>
          </w:tcPr>
          <w:p w14:paraId="5E2F9143" w14:textId="77777777" w:rsidR="00DE5AF2" w:rsidRPr="007D6590" w:rsidRDefault="00DE5AF2" w:rsidP="00396E87">
            <w:pPr>
              <w:pStyle w:val="StandardOCAshurst"/>
              <w:jc w:val="center"/>
              <w:rPr>
                <w:rFonts w:asciiTheme="majorHAnsi" w:hAnsiTheme="majorHAnsi" w:cstheme="majorHAnsi"/>
                <w:i/>
                <w:sz w:val="18"/>
                <w:szCs w:val="18"/>
              </w:rPr>
            </w:pPr>
          </w:p>
        </w:tc>
      </w:tr>
    </w:tbl>
    <w:p w14:paraId="1BE3FDE1" w14:textId="77777777" w:rsidR="00DE5AF2" w:rsidRPr="007D6590" w:rsidRDefault="00DE5AF2" w:rsidP="00396E87">
      <w:pPr>
        <w:pStyle w:val="NormalOCAshurst"/>
        <w:pBdr>
          <w:bottom w:val="single" w:sz="6" w:space="1" w:color="auto"/>
        </w:pBdr>
        <w:rPr>
          <w:rFonts w:asciiTheme="majorHAnsi" w:hAnsiTheme="majorHAnsi" w:cstheme="majorHAnsi"/>
          <w:b/>
          <w:sz w:val="16"/>
        </w:rPr>
      </w:pPr>
    </w:p>
    <w:p w14:paraId="148F7449" w14:textId="6C457E52" w:rsidR="00DE5AF2" w:rsidRPr="007D6590" w:rsidRDefault="007C3381" w:rsidP="00396E87">
      <w:pPr>
        <w:pStyle w:val="NormalOCAshurst"/>
        <w:rPr>
          <w:rFonts w:asciiTheme="majorHAnsi" w:hAnsiTheme="majorHAnsi" w:cstheme="majorHAnsi"/>
          <w:b/>
          <w:bCs/>
          <w:sz w:val="16"/>
        </w:rPr>
      </w:pPr>
      <w:r>
        <w:rPr>
          <w:rFonts w:asciiTheme="majorHAnsi" w:hAnsiTheme="majorHAnsi" w:cstheme="majorHAnsi"/>
          <w:b/>
          <w:sz w:val="16"/>
        </w:rPr>
        <w:t>You should read this Supplementary Prospectus and the Original Prospectus (including any documents incorporated therein by reference), as a whole carefully and in their entirety</w:t>
      </w:r>
      <w:r w:rsidR="00DE5AF2" w:rsidRPr="007D6590">
        <w:rPr>
          <w:rFonts w:asciiTheme="majorHAnsi" w:hAnsiTheme="majorHAnsi" w:cstheme="majorHAnsi"/>
          <w:b/>
          <w:sz w:val="16"/>
        </w:rPr>
        <w:t xml:space="preserve">. </w:t>
      </w:r>
      <w:r w:rsidR="00DE5AF2" w:rsidRPr="007D6590">
        <w:rPr>
          <w:rFonts w:asciiTheme="majorHAnsi" w:hAnsiTheme="majorHAnsi" w:cstheme="majorHAnsi"/>
          <w:b/>
          <w:bCs/>
          <w:sz w:val="16"/>
        </w:rPr>
        <w:t>Your attention is also drawn, in particular, to the section headed "</w:t>
      </w:r>
      <w:r w:rsidR="00DE5AF2" w:rsidRPr="007D6590">
        <w:rPr>
          <w:rFonts w:asciiTheme="majorHAnsi" w:hAnsiTheme="majorHAnsi" w:cstheme="majorHAnsi"/>
          <w:b/>
          <w:bCs/>
          <w:i/>
          <w:sz w:val="16"/>
        </w:rPr>
        <w:t>Risk Factors</w:t>
      </w:r>
      <w:r w:rsidR="00DE5AF2" w:rsidRPr="007D6590">
        <w:rPr>
          <w:rFonts w:asciiTheme="majorHAnsi" w:hAnsiTheme="majorHAnsi" w:cstheme="majorHAnsi"/>
          <w:b/>
          <w:bCs/>
          <w:sz w:val="16"/>
        </w:rPr>
        <w:t xml:space="preserve">" at the beginning of </w:t>
      </w:r>
      <w:r>
        <w:rPr>
          <w:rFonts w:asciiTheme="majorHAnsi" w:hAnsiTheme="majorHAnsi" w:cstheme="majorHAnsi"/>
          <w:b/>
          <w:bCs/>
          <w:sz w:val="16"/>
        </w:rPr>
        <w:t>the Original Prospectus</w:t>
      </w:r>
      <w:r w:rsidR="00DE5AF2" w:rsidRPr="007D6590">
        <w:rPr>
          <w:rFonts w:asciiTheme="majorHAnsi" w:hAnsiTheme="majorHAnsi" w:cstheme="majorHAnsi"/>
          <w:b/>
          <w:bCs/>
          <w:sz w:val="16"/>
        </w:rPr>
        <w:t xml:space="preserve"> which sets out certain risks and other factors </w:t>
      </w:r>
      <w:r>
        <w:rPr>
          <w:rFonts w:asciiTheme="majorHAnsi" w:hAnsiTheme="majorHAnsi" w:cstheme="majorHAnsi"/>
          <w:b/>
          <w:bCs/>
          <w:sz w:val="16"/>
        </w:rPr>
        <w:t>which may materially affect the value of an investment in the EnQuest Group, the Enlarged Group and/or</w:t>
      </w:r>
      <w:r w:rsidR="003669B3">
        <w:rPr>
          <w:rFonts w:asciiTheme="majorHAnsi" w:hAnsiTheme="majorHAnsi" w:cstheme="majorHAnsi"/>
          <w:b/>
          <w:bCs/>
          <w:sz w:val="16"/>
        </w:rPr>
        <w:t xml:space="preserve"> the</w:t>
      </w:r>
      <w:r>
        <w:rPr>
          <w:rFonts w:asciiTheme="majorHAnsi" w:hAnsiTheme="majorHAnsi" w:cstheme="majorHAnsi"/>
          <w:b/>
          <w:bCs/>
          <w:sz w:val="16"/>
        </w:rPr>
        <w:t xml:space="preserve"> Ordinary Shares</w:t>
      </w:r>
      <w:r w:rsidR="00DE5AF2" w:rsidRPr="007D6590">
        <w:rPr>
          <w:rFonts w:asciiTheme="majorHAnsi" w:hAnsiTheme="majorHAnsi" w:cstheme="majorHAnsi"/>
          <w:b/>
          <w:bCs/>
          <w:sz w:val="16"/>
        </w:rPr>
        <w:t xml:space="preserve">. </w:t>
      </w:r>
    </w:p>
    <w:p w14:paraId="10252E76" w14:textId="5589FF64" w:rsidR="00B07D12" w:rsidRPr="00A57C4E" w:rsidRDefault="00B07D12" w:rsidP="00396E87">
      <w:pPr>
        <w:pStyle w:val="NormalOCAshurst"/>
        <w:spacing w:after="240"/>
        <w:rPr>
          <w:rFonts w:asciiTheme="majorHAnsi" w:hAnsiTheme="majorHAnsi" w:cstheme="majorHAnsi"/>
          <w:bCs/>
          <w:noProof/>
          <w:sz w:val="16"/>
          <w:szCs w:val="16"/>
        </w:rPr>
      </w:pPr>
      <w:r w:rsidRPr="00A57C4E">
        <w:rPr>
          <w:rFonts w:asciiTheme="majorHAnsi" w:hAnsiTheme="majorHAnsi" w:cstheme="majorHAnsi"/>
          <w:bCs/>
          <w:noProof/>
          <w:sz w:val="16"/>
          <w:szCs w:val="16"/>
        </w:rPr>
        <w:t>The Ordinary Shares are listed on the premium listing segment of the Official List maintained by the FCA (the "</w:t>
      </w:r>
      <w:r w:rsidRPr="00A57C4E">
        <w:rPr>
          <w:rFonts w:asciiTheme="majorHAnsi" w:hAnsiTheme="majorHAnsi" w:cstheme="majorHAnsi"/>
          <w:b/>
          <w:noProof/>
          <w:sz w:val="16"/>
          <w:szCs w:val="16"/>
        </w:rPr>
        <w:t>Official List</w:t>
      </w:r>
      <w:r w:rsidRPr="00A57C4E">
        <w:rPr>
          <w:rFonts w:asciiTheme="majorHAnsi" w:hAnsiTheme="majorHAnsi" w:cstheme="majorHAnsi"/>
          <w:bCs/>
          <w:noProof/>
          <w:sz w:val="16"/>
          <w:szCs w:val="16"/>
        </w:rPr>
        <w:t>") and traded on</w:t>
      </w:r>
      <w:r w:rsidRPr="007D6590">
        <w:rPr>
          <w:rFonts w:asciiTheme="majorHAnsi" w:hAnsiTheme="majorHAnsi" w:cstheme="majorHAnsi"/>
          <w:bCs/>
          <w:noProof/>
          <w:sz w:val="15"/>
          <w:szCs w:val="15"/>
        </w:rPr>
        <w:t xml:space="preserve"> </w:t>
      </w:r>
      <w:r w:rsidRPr="00A57C4E">
        <w:rPr>
          <w:rFonts w:asciiTheme="majorHAnsi" w:hAnsiTheme="majorHAnsi" w:cstheme="majorHAnsi"/>
          <w:bCs/>
          <w:noProof/>
          <w:sz w:val="16"/>
          <w:szCs w:val="16"/>
        </w:rPr>
        <w:t>the London Stock Exchange's main market for listed securities (the "</w:t>
      </w:r>
      <w:r w:rsidRPr="00A57C4E">
        <w:rPr>
          <w:rFonts w:asciiTheme="majorHAnsi" w:hAnsiTheme="majorHAnsi" w:cstheme="majorHAnsi"/>
          <w:b/>
          <w:noProof/>
          <w:sz w:val="16"/>
          <w:szCs w:val="16"/>
        </w:rPr>
        <w:t>Main Market</w:t>
      </w:r>
      <w:r w:rsidRPr="00A57C4E">
        <w:rPr>
          <w:rFonts w:asciiTheme="majorHAnsi" w:hAnsiTheme="majorHAnsi" w:cstheme="majorHAnsi"/>
          <w:bCs/>
          <w:noProof/>
          <w:sz w:val="16"/>
          <w:szCs w:val="16"/>
        </w:rPr>
        <w:t>") and the Ordinary Shares registered in the VPC System are admitted to trading on NASDAQ Stockholm.</w:t>
      </w:r>
    </w:p>
    <w:p w14:paraId="7D741365" w14:textId="60DB2070" w:rsidR="00B07D12" w:rsidRPr="00A57C4E" w:rsidRDefault="00B07D12" w:rsidP="00396E87">
      <w:pPr>
        <w:pStyle w:val="NormalOCAshurst"/>
        <w:spacing w:after="240"/>
        <w:rPr>
          <w:rFonts w:asciiTheme="majorHAnsi" w:hAnsiTheme="majorHAnsi" w:cstheme="majorHAnsi"/>
          <w:bCs/>
          <w:noProof/>
          <w:sz w:val="16"/>
          <w:szCs w:val="16"/>
        </w:rPr>
      </w:pPr>
      <w:r w:rsidRPr="00A57C4E">
        <w:rPr>
          <w:rFonts w:asciiTheme="majorHAnsi" w:hAnsiTheme="majorHAnsi" w:cstheme="majorHAnsi"/>
          <w:bCs/>
          <w:noProof/>
          <w:sz w:val="16"/>
          <w:szCs w:val="16"/>
        </w:rPr>
        <w:t xml:space="preserve">As the Acquisition constitutes a reverse takeover under the Listing Rules, the admission of the Ordinary Shares in issue immediately prior to Completion to the premium listing segment of the Official List and to trading on the Main Market will be cancelled on Completion. </w:t>
      </w:r>
      <w:r w:rsidR="00E5149B">
        <w:rPr>
          <w:rFonts w:asciiTheme="majorHAnsi" w:hAnsiTheme="majorHAnsi" w:cstheme="majorHAnsi"/>
          <w:bCs/>
          <w:noProof/>
          <w:sz w:val="16"/>
          <w:szCs w:val="16"/>
        </w:rPr>
        <w:t>A</w:t>
      </w:r>
      <w:r w:rsidRPr="00A57C4E">
        <w:rPr>
          <w:rFonts w:asciiTheme="majorHAnsi" w:hAnsiTheme="majorHAnsi" w:cstheme="majorHAnsi"/>
          <w:bCs/>
          <w:noProof/>
          <w:sz w:val="16"/>
          <w:szCs w:val="16"/>
        </w:rPr>
        <w:t>pplication will be made to the FCA and the London Stock Exchange, respectively, for those Ordinary Shares, including the New Ordinary Shares, to be re-admitted to the premium listing segment of the Official List and to trading on the Main Market ("</w:t>
      </w:r>
      <w:r w:rsidRPr="00A57C4E">
        <w:rPr>
          <w:rFonts w:asciiTheme="majorHAnsi" w:hAnsiTheme="majorHAnsi" w:cstheme="majorHAnsi"/>
          <w:b/>
          <w:noProof/>
          <w:sz w:val="16"/>
          <w:szCs w:val="16"/>
        </w:rPr>
        <w:t>Re-admission</w:t>
      </w:r>
      <w:r w:rsidRPr="00A57C4E">
        <w:rPr>
          <w:rFonts w:asciiTheme="majorHAnsi" w:hAnsiTheme="majorHAnsi" w:cstheme="majorHAnsi"/>
          <w:bCs/>
          <w:noProof/>
          <w:sz w:val="16"/>
          <w:szCs w:val="16"/>
        </w:rPr>
        <w:t xml:space="preserve">"). </w:t>
      </w:r>
    </w:p>
    <w:p w14:paraId="6919022D" w14:textId="77777777" w:rsidR="00B07D12" w:rsidRPr="00A57C4E" w:rsidRDefault="00B07D12" w:rsidP="00396E87">
      <w:pPr>
        <w:pStyle w:val="NormalOCAshurst"/>
        <w:spacing w:after="240"/>
        <w:rPr>
          <w:rFonts w:asciiTheme="majorHAnsi" w:hAnsiTheme="majorHAnsi" w:cstheme="majorHAnsi"/>
          <w:bCs/>
          <w:noProof/>
          <w:sz w:val="16"/>
          <w:szCs w:val="16"/>
        </w:rPr>
      </w:pPr>
      <w:r w:rsidRPr="00A57C4E">
        <w:rPr>
          <w:rFonts w:asciiTheme="majorHAnsi" w:hAnsiTheme="majorHAnsi" w:cstheme="majorHAnsi"/>
          <w:bCs/>
          <w:noProof/>
          <w:sz w:val="16"/>
          <w:szCs w:val="16"/>
        </w:rPr>
        <w:lastRenderedPageBreak/>
        <w:t xml:space="preserve">It is currently expected that Re-admission will become effective, and that dealings in the Ordinary Shares on the Main Market, will commence at 8.00 a.m. on the day of Completion (whereupon an announcement will be made by the Company to a Regulatory Information Service). </w:t>
      </w:r>
    </w:p>
    <w:p w14:paraId="5339286A" w14:textId="7E7B74FE" w:rsidR="00DE5AF2" w:rsidRPr="007D6590" w:rsidRDefault="00DE5AF2" w:rsidP="00396E87">
      <w:pPr>
        <w:pStyle w:val="NormalOCAshurst"/>
        <w:rPr>
          <w:rFonts w:asciiTheme="majorHAnsi" w:hAnsiTheme="majorHAnsi" w:cstheme="majorHAnsi"/>
          <w:sz w:val="16"/>
          <w:szCs w:val="16"/>
        </w:rPr>
      </w:pPr>
      <w:r w:rsidRPr="007D6590">
        <w:rPr>
          <w:rFonts w:asciiTheme="majorHAnsi" w:hAnsiTheme="majorHAnsi" w:cstheme="majorHAnsi"/>
          <w:sz w:val="16"/>
          <w:szCs w:val="16"/>
        </w:rPr>
        <w:t>J.P. Morgan Securities plc (which conducts its investment banking activities in the United Kingdom as J.P. Morgan Cazenove, "</w:t>
      </w:r>
      <w:r w:rsidRPr="007D6590">
        <w:rPr>
          <w:rFonts w:asciiTheme="majorHAnsi" w:hAnsiTheme="majorHAnsi" w:cstheme="majorHAnsi"/>
          <w:b/>
          <w:sz w:val="16"/>
          <w:szCs w:val="16"/>
        </w:rPr>
        <w:t>J.P. Morgan Cazenove</w:t>
      </w:r>
      <w:r w:rsidRPr="007D6590">
        <w:rPr>
          <w:rFonts w:asciiTheme="majorHAnsi" w:hAnsiTheme="majorHAnsi" w:cstheme="majorHAnsi"/>
          <w:sz w:val="16"/>
          <w:szCs w:val="16"/>
        </w:rPr>
        <w:t>"), which is authorised by the Prudential Regulatory Authority (the "</w:t>
      </w:r>
      <w:r w:rsidRPr="007D6590">
        <w:rPr>
          <w:rFonts w:asciiTheme="majorHAnsi" w:hAnsiTheme="majorHAnsi" w:cstheme="majorHAnsi"/>
          <w:b/>
          <w:sz w:val="16"/>
          <w:szCs w:val="16"/>
        </w:rPr>
        <w:t>PRA</w:t>
      </w:r>
      <w:r w:rsidRPr="007D6590">
        <w:rPr>
          <w:rFonts w:asciiTheme="majorHAnsi" w:hAnsiTheme="majorHAnsi" w:cstheme="majorHAnsi"/>
          <w:sz w:val="16"/>
          <w:szCs w:val="16"/>
        </w:rPr>
        <w:t xml:space="preserve">") and regulated in the UK by the </w:t>
      </w:r>
      <w:r w:rsidRPr="007D6590">
        <w:rPr>
          <w:rFonts w:asciiTheme="majorHAnsi" w:hAnsiTheme="majorHAnsi" w:cstheme="majorHAnsi"/>
          <w:bCs/>
          <w:sz w:val="16"/>
          <w:szCs w:val="16"/>
        </w:rPr>
        <w:t>FCA</w:t>
      </w:r>
      <w:r w:rsidRPr="007D6590">
        <w:rPr>
          <w:rFonts w:asciiTheme="majorHAnsi" w:hAnsiTheme="majorHAnsi" w:cstheme="majorHAnsi"/>
          <w:sz w:val="16"/>
          <w:szCs w:val="16"/>
        </w:rPr>
        <w:t xml:space="preserve"> and the PRA, is acting exclusively for the Company and no one else in connection with the contents of </w:t>
      </w:r>
      <w:r w:rsidR="00E5149B">
        <w:rPr>
          <w:rFonts w:asciiTheme="majorHAnsi" w:hAnsiTheme="majorHAnsi" w:cstheme="majorHAnsi"/>
          <w:sz w:val="16"/>
          <w:szCs w:val="16"/>
        </w:rPr>
        <w:t>this document</w:t>
      </w:r>
      <w:r w:rsidR="00F86019">
        <w:rPr>
          <w:rFonts w:asciiTheme="majorHAnsi" w:hAnsiTheme="majorHAnsi" w:cstheme="majorHAnsi"/>
          <w:sz w:val="16"/>
          <w:szCs w:val="16"/>
        </w:rPr>
        <w:t>,</w:t>
      </w:r>
      <w:r w:rsidR="00E5149B">
        <w:rPr>
          <w:rFonts w:asciiTheme="majorHAnsi" w:hAnsiTheme="majorHAnsi" w:cstheme="majorHAnsi"/>
          <w:sz w:val="16"/>
          <w:szCs w:val="16"/>
        </w:rPr>
        <w:t xml:space="preserve"> </w:t>
      </w:r>
      <w:r w:rsidR="00722F2D">
        <w:rPr>
          <w:rFonts w:asciiTheme="majorHAnsi" w:hAnsiTheme="majorHAnsi" w:cstheme="majorHAnsi"/>
          <w:sz w:val="16"/>
          <w:szCs w:val="16"/>
        </w:rPr>
        <w:t>the</w:t>
      </w:r>
      <w:r w:rsidR="00B07D12">
        <w:rPr>
          <w:rFonts w:asciiTheme="majorHAnsi" w:hAnsiTheme="majorHAnsi" w:cstheme="majorHAnsi"/>
          <w:sz w:val="16"/>
          <w:szCs w:val="16"/>
        </w:rPr>
        <w:t xml:space="preserve"> </w:t>
      </w:r>
      <w:r w:rsidR="00E5149B">
        <w:rPr>
          <w:rFonts w:asciiTheme="majorHAnsi" w:hAnsiTheme="majorHAnsi" w:cstheme="majorHAnsi"/>
          <w:sz w:val="16"/>
          <w:szCs w:val="16"/>
        </w:rPr>
        <w:t xml:space="preserve">Original </w:t>
      </w:r>
      <w:r w:rsidR="00B07D12">
        <w:rPr>
          <w:rFonts w:asciiTheme="majorHAnsi" w:hAnsiTheme="majorHAnsi" w:cstheme="majorHAnsi"/>
          <w:sz w:val="16"/>
          <w:szCs w:val="16"/>
        </w:rPr>
        <w:t>Prospectus,</w:t>
      </w:r>
      <w:r w:rsidRPr="007D6590">
        <w:rPr>
          <w:rFonts w:asciiTheme="majorHAnsi" w:hAnsiTheme="majorHAnsi" w:cstheme="majorHAnsi"/>
          <w:sz w:val="16"/>
          <w:szCs w:val="16"/>
        </w:rPr>
        <w:t xml:space="preserve"> </w:t>
      </w:r>
      <w:r w:rsidR="00B07D12">
        <w:rPr>
          <w:rFonts w:asciiTheme="majorHAnsi" w:hAnsiTheme="majorHAnsi" w:cstheme="majorHAnsi"/>
          <w:sz w:val="16"/>
          <w:szCs w:val="16"/>
        </w:rPr>
        <w:t>Re-admission</w:t>
      </w:r>
      <w:r w:rsidRPr="007D6590">
        <w:rPr>
          <w:rFonts w:asciiTheme="majorHAnsi" w:hAnsiTheme="majorHAnsi" w:cstheme="majorHAnsi"/>
          <w:sz w:val="16"/>
          <w:szCs w:val="16"/>
        </w:rPr>
        <w:t xml:space="preserve"> </w:t>
      </w:r>
      <w:r w:rsidR="00F86019">
        <w:rPr>
          <w:rFonts w:asciiTheme="majorHAnsi" w:hAnsiTheme="majorHAnsi" w:cstheme="majorHAnsi"/>
          <w:sz w:val="16"/>
          <w:szCs w:val="16"/>
        </w:rPr>
        <w:t>and</w:t>
      </w:r>
      <w:r w:rsidRPr="007D6590">
        <w:rPr>
          <w:rFonts w:asciiTheme="majorHAnsi" w:hAnsiTheme="majorHAnsi" w:cstheme="majorHAnsi"/>
          <w:sz w:val="16"/>
          <w:szCs w:val="16"/>
        </w:rPr>
        <w:t xml:space="preserve"> any other matters referred to in this document </w:t>
      </w:r>
      <w:r w:rsidR="00E5149B">
        <w:rPr>
          <w:rFonts w:asciiTheme="majorHAnsi" w:hAnsiTheme="majorHAnsi" w:cstheme="majorHAnsi"/>
          <w:sz w:val="16"/>
          <w:szCs w:val="16"/>
        </w:rPr>
        <w:t xml:space="preserve">or the Original Prospectus </w:t>
      </w:r>
      <w:r w:rsidRPr="007D6590">
        <w:rPr>
          <w:rFonts w:asciiTheme="majorHAnsi" w:hAnsiTheme="majorHAnsi" w:cstheme="majorHAnsi"/>
          <w:sz w:val="16"/>
          <w:szCs w:val="16"/>
        </w:rPr>
        <w:t xml:space="preserve">and will not regard any other person (whether or not a recipient of this document) as a client in relation to </w:t>
      </w:r>
      <w:r w:rsidR="00E5149B">
        <w:rPr>
          <w:rFonts w:asciiTheme="majorHAnsi" w:hAnsiTheme="majorHAnsi" w:cstheme="majorHAnsi"/>
          <w:sz w:val="16"/>
          <w:szCs w:val="16"/>
        </w:rPr>
        <w:t xml:space="preserve">this document, </w:t>
      </w:r>
      <w:r w:rsidRPr="007D6590">
        <w:rPr>
          <w:rFonts w:asciiTheme="majorHAnsi" w:hAnsiTheme="majorHAnsi" w:cstheme="majorHAnsi"/>
          <w:sz w:val="16"/>
          <w:szCs w:val="16"/>
        </w:rPr>
        <w:t xml:space="preserve">the </w:t>
      </w:r>
      <w:r w:rsidR="00E5149B">
        <w:rPr>
          <w:rFonts w:asciiTheme="majorHAnsi" w:hAnsiTheme="majorHAnsi" w:cstheme="majorHAnsi"/>
          <w:sz w:val="16"/>
          <w:szCs w:val="16"/>
        </w:rPr>
        <w:t xml:space="preserve">Original </w:t>
      </w:r>
      <w:r w:rsidR="00A57C4E">
        <w:rPr>
          <w:rFonts w:asciiTheme="majorHAnsi" w:hAnsiTheme="majorHAnsi" w:cstheme="majorHAnsi"/>
          <w:sz w:val="16"/>
          <w:szCs w:val="16"/>
        </w:rPr>
        <w:t xml:space="preserve">Prospectus, </w:t>
      </w:r>
      <w:r w:rsidRPr="007D6590">
        <w:rPr>
          <w:rFonts w:asciiTheme="majorHAnsi" w:hAnsiTheme="majorHAnsi" w:cstheme="majorHAnsi"/>
          <w:sz w:val="16"/>
          <w:szCs w:val="16"/>
        </w:rPr>
        <w:t xml:space="preserve">Re-admission or any other matters referred to in this document </w:t>
      </w:r>
      <w:r w:rsidR="00F86019">
        <w:rPr>
          <w:rFonts w:asciiTheme="majorHAnsi" w:hAnsiTheme="majorHAnsi" w:cstheme="majorHAnsi"/>
          <w:sz w:val="16"/>
          <w:szCs w:val="16"/>
        </w:rPr>
        <w:t xml:space="preserve">or the Original Prospectus </w:t>
      </w:r>
      <w:r w:rsidRPr="007D6590">
        <w:rPr>
          <w:rFonts w:asciiTheme="majorHAnsi" w:hAnsiTheme="majorHAnsi" w:cstheme="majorHAnsi"/>
          <w:sz w:val="16"/>
          <w:szCs w:val="16"/>
        </w:rPr>
        <w:t xml:space="preserve">and will not be responsible for providing the protections afforded to its clients nor for giving advice in relation to the contents of </w:t>
      </w:r>
      <w:r w:rsidR="00E5149B">
        <w:rPr>
          <w:rFonts w:asciiTheme="majorHAnsi" w:hAnsiTheme="majorHAnsi" w:cstheme="majorHAnsi"/>
          <w:sz w:val="16"/>
          <w:szCs w:val="16"/>
        </w:rPr>
        <w:t>this document</w:t>
      </w:r>
      <w:r w:rsidR="00F86019">
        <w:rPr>
          <w:rFonts w:asciiTheme="majorHAnsi" w:hAnsiTheme="majorHAnsi" w:cstheme="majorHAnsi"/>
          <w:sz w:val="16"/>
          <w:szCs w:val="16"/>
        </w:rPr>
        <w:t>,</w:t>
      </w:r>
      <w:r w:rsidR="00E5149B">
        <w:rPr>
          <w:rFonts w:asciiTheme="majorHAnsi" w:hAnsiTheme="majorHAnsi" w:cstheme="majorHAnsi"/>
          <w:sz w:val="16"/>
          <w:szCs w:val="16"/>
        </w:rPr>
        <w:t xml:space="preserve"> </w:t>
      </w:r>
      <w:r w:rsidR="00B07D12">
        <w:rPr>
          <w:rFonts w:asciiTheme="majorHAnsi" w:hAnsiTheme="majorHAnsi" w:cstheme="majorHAnsi"/>
          <w:sz w:val="16"/>
          <w:szCs w:val="16"/>
        </w:rPr>
        <w:t xml:space="preserve">the </w:t>
      </w:r>
      <w:r w:rsidR="00F86019">
        <w:rPr>
          <w:rFonts w:asciiTheme="majorHAnsi" w:hAnsiTheme="majorHAnsi" w:cstheme="majorHAnsi"/>
          <w:sz w:val="16"/>
          <w:szCs w:val="16"/>
        </w:rPr>
        <w:t xml:space="preserve">Original </w:t>
      </w:r>
      <w:r w:rsidR="00B07D12">
        <w:rPr>
          <w:rFonts w:asciiTheme="majorHAnsi" w:hAnsiTheme="majorHAnsi" w:cstheme="majorHAnsi"/>
          <w:sz w:val="16"/>
          <w:szCs w:val="16"/>
        </w:rPr>
        <w:t>Prospectus, Re-admission</w:t>
      </w:r>
      <w:r w:rsidRPr="007D6590">
        <w:rPr>
          <w:rFonts w:asciiTheme="majorHAnsi" w:hAnsiTheme="majorHAnsi" w:cstheme="majorHAnsi"/>
          <w:sz w:val="16"/>
          <w:szCs w:val="16"/>
        </w:rPr>
        <w:t xml:space="preserve"> or any other matter or arrangement referred to in this document</w:t>
      </w:r>
      <w:r w:rsidR="00F86019">
        <w:rPr>
          <w:rFonts w:asciiTheme="majorHAnsi" w:hAnsiTheme="majorHAnsi" w:cstheme="majorHAnsi"/>
          <w:sz w:val="16"/>
          <w:szCs w:val="16"/>
        </w:rPr>
        <w:t xml:space="preserve"> or the Original Prospectus</w:t>
      </w:r>
      <w:r w:rsidRPr="007D6590">
        <w:rPr>
          <w:rFonts w:asciiTheme="majorHAnsi" w:hAnsiTheme="majorHAnsi" w:cstheme="majorHAnsi"/>
          <w:sz w:val="16"/>
          <w:szCs w:val="16"/>
        </w:rPr>
        <w:t xml:space="preserve">. </w:t>
      </w:r>
    </w:p>
    <w:p w14:paraId="52D05727" w14:textId="3696CB64" w:rsidR="00DE5AF2" w:rsidRPr="007D6590" w:rsidRDefault="00DE5AF2" w:rsidP="00396E87">
      <w:pPr>
        <w:pStyle w:val="NormalOCAshurst"/>
        <w:rPr>
          <w:rFonts w:asciiTheme="majorHAnsi" w:hAnsiTheme="majorHAnsi" w:cstheme="majorHAnsi"/>
          <w:sz w:val="16"/>
        </w:rPr>
      </w:pPr>
      <w:r w:rsidRPr="007D6590">
        <w:rPr>
          <w:rFonts w:asciiTheme="majorHAnsi" w:hAnsiTheme="majorHAnsi" w:cstheme="majorHAnsi"/>
          <w:sz w:val="16"/>
        </w:rPr>
        <w:t>Apart from the responsibilities and liabilities, if any, which may be imposed upon J.P. Morgan Cazenove by the FSMA or the regulatory regime established thereunder, J.P. Morgan Cazenove do</w:t>
      </w:r>
      <w:r w:rsidR="000E1897">
        <w:rPr>
          <w:rFonts w:asciiTheme="majorHAnsi" w:hAnsiTheme="majorHAnsi" w:cstheme="majorHAnsi"/>
          <w:sz w:val="16"/>
        </w:rPr>
        <w:t>es</w:t>
      </w:r>
      <w:r w:rsidRPr="007D6590">
        <w:rPr>
          <w:rFonts w:asciiTheme="majorHAnsi" w:hAnsiTheme="majorHAnsi" w:cstheme="majorHAnsi"/>
          <w:sz w:val="16"/>
        </w:rPr>
        <w:t xml:space="preserve"> not accept any responsibility and disclaim</w:t>
      </w:r>
      <w:r w:rsidR="00FB6CC4">
        <w:rPr>
          <w:rFonts w:asciiTheme="majorHAnsi" w:hAnsiTheme="majorHAnsi" w:cstheme="majorHAnsi"/>
          <w:sz w:val="16"/>
        </w:rPr>
        <w:t>s</w:t>
      </w:r>
      <w:r w:rsidRPr="007D6590">
        <w:rPr>
          <w:rFonts w:asciiTheme="majorHAnsi" w:hAnsiTheme="majorHAnsi" w:cstheme="majorHAnsi"/>
          <w:sz w:val="16"/>
        </w:rPr>
        <w:t xml:space="preserve"> any liability for the accuracy, completeness or verification, or concerning any other statement made or purported to be made by it, or on its behalf, in connection with the Company, the Ordinary Shares, </w:t>
      </w:r>
      <w:r w:rsidR="00B07D12">
        <w:rPr>
          <w:rFonts w:asciiTheme="majorHAnsi" w:hAnsiTheme="majorHAnsi" w:cstheme="majorHAnsi"/>
          <w:sz w:val="16"/>
        </w:rPr>
        <w:t>or</w:t>
      </w:r>
      <w:r w:rsidRPr="007D6590">
        <w:rPr>
          <w:rFonts w:asciiTheme="majorHAnsi" w:hAnsiTheme="majorHAnsi" w:cstheme="majorHAnsi"/>
          <w:sz w:val="16"/>
        </w:rPr>
        <w:t xml:space="preserve"> </w:t>
      </w:r>
      <w:r w:rsidR="00B07D12">
        <w:rPr>
          <w:rFonts w:asciiTheme="majorHAnsi" w:hAnsiTheme="majorHAnsi" w:cstheme="majorHAnsi"/>
          <w:sz w:val="16"/>
        </w:rPr>
        <w:t>Re-a</w:t>
      </w:r>
      <w:r w:rsidRPr="007D6590">
        <w:rPr>
          <w:rFonts w:asciiTheme="majorHAnsi" w:hAnsiTheme="majorHAnsi" w:cstheme="majorHAnsi"/>
          <w:sz w:val="16"/>
        </w:rPr>
        <w:t>dmission in this document. No representation or warranty, express or implied, is made by J.P. Morgan Cazenove as to the accuracy, completeness or verification of the information set forth in this document and nothing in this document is, or shall be relied upon as, a promise or representation in this respect, whether as to the past or future. J.P. Morgan Cazenove accordingly disclaims to the fullest extent permitted by applicable law all and any responsibility and liability whether arising in tort, contract or otherwise (save as referred to herein) which it might otherwise have in respect of this document or any such statement.</w:t>
      </w:r>
    </w:p>
    <w:p w14:paraId="1DAC5B8C" w14:textId="0B1A0325" w:rsidR="00DE5AF2" w:rsidRPr="007D6590" w:rsidRDefault="00DE5AF2" w:rsidP="00396E87">
      <w:pPr>
        <w:pStyle w:val="NormalOCAshurst"/>
        <w:rPr>
          <w:rFonts w:asciiTheme="majorHAnsi" w:hAnsiTheme="majorHAnsi" w:cstheme="majorHAnsi"/>
          <w:sz w:val="16"/>
        </w:rPr>
      </w:pPr>
      <w:r w:rsidRPr="007D6590">
        <w:rPr>
          <w:rFonts w:asciiTheme="majorHAnsi" w:hAnsiTheme="majorHAnsi" w:cstheme="majorHAnsi"/>
          <w:sz w:val="16"/>
        </w:rPr>
        <w:t>In making an investment decision, each investor must rely on its own examination, analysis and enquiry of the Company, including the merits and risks involved.</w:t>
      </w:r>
    </w:p>
    <w:p w14:paraId="7840BE4E" w14:textId="77777777" w:rsidR="00DE5AF2" w:rsidRPr="007D6590" w:rsidRDefault="00DE5AF2" w:rsidP="00396E87">
      <w:pPr>
        <w:pStyle w:val="NormalOCAshurst"/>
        <w:rPr>
          <w:rFonts w:asciiTheme="majorHAnsi" w:hAnsiTheme="majorHAnsi" w:cstheme="majorHAnsi"/>
          <w:b/>
          <w:sz w:val="16"/>
        </w:rPr>
      </w:pPr>
      <w:r w:rsidRPr="007D6590">
        <w:rPr>
          <w:rFonts w:asciiTheme="majorHAnsi" w:hAnsiTheme="majorHAnsi" w:cstheme="majorHAnsi"/>
          <w:b/>
          <w:sz w:val="16"/>
        </w:rPr>
        <w:t>Overseas Territories</w:t>
      </w:r>
    </w:p>
    <w:p w14:paraId="66D1BC3B" w14:textId="58FA59BF" w:rsidR="00DE5AF2" w:rsidRPr="007D6590" w:rsidRDefault="00DE5AF2" w:rsidP="00396E87">
      <w:pPr>
        <w:pStyle w:val="NormalOCAshurst"/>
        <w:rPr>
          <w:rFonts w:asciiTheme="majorHAnsi" w:hAnsiTheme="majorHAnsi" w:cstheme="majorHAnsi"/>
          <w:sz w:val="16"/>
        </w:rPr>
      </w:pPr>
      <w:r w:rsidRPr="007D6590">
        <w:rPr>
          <w:rFonts w:asciiTheme="majorHAnsi" w:hAnsiTheme="majorHAnsi" w:cstheme="majorHAnsi"/>
          <w:sz w:val="16"/>
        </w:rPr>
        <w:t xml:space="preserve">SUBJECT TO CERTAIN EXCEPTIONS, THIS DOCUMENT IS NOT BEING </w:t>
      </w:r>
      <w:r w:rsidR="00D046D4">
        <w:rPr>
          <w:rFonts w:asciiTheme="majorHAnsi" w:hAnsiTheme="majorHAnsi" w:cstheme="majorHAnsi"/>
          <w:sz w:val="16"/>
        </w:rPr>
        <w:t>DISTRIBUTED</w:t>
      </w:r>
      <w:r w:rsidR="00D046D4" w:rsidRPr="007D6590">
        <w:rPr>
          <w:rFonts w:asciiTheme="majorHAnsi" w:hAnsiTheme="majorHAnsi" w:cstheme="majorHAnsi"/>
          <w:sz w:val="16"/>
        </w:rPr>
        <w:t xml:space="preserve"> </w:t>
      </w:r>
      <w:r w:rsidRPr="007D6590">
        <w:rPr>
          <w:rFonts w:asciiTheme="majorHAnsi" w:hAnsiTheme="majorHAnsi" w:cstheme="majorHAnsi"/>
          <w:sz w:val="16"/>
        </w:rPr>
        <w:t>TO SHAREHOLDERS OR INVESTORS IN THE UNITED STATES OR ANY EXCLUDED TERRITORY. Neither this document</w:t>
      </w:r>
      <w:r w:rsidR="00F27421">
        <w:rPr>
          <w:rFonts w:asciiTheme="majorHAnsi" w:hAnsiTheme="majorHAnsi" w:cstheme="majorHAnsi"/>
          <w:sz w:val="16"/>
        </w:rPr>
        <w:t xml:space="preserve"> nor</w:t>
      </w:r>
      <w:r w:rsidR="00D046D4">
        <w:rPr>
          <w:rFonts w:asciiTheme="majorHAnsi" w:hAnsiTheme="majorHAnsi" w:cstheme="majorHAnsi"/>
          <w:sz w:val="16"/>
        </w:rPr>
        <w:t xml:space="preserve"> the Original Prospectus</w:t>
      </w:r>
      <w:r w:rsidRPr="007D6590">
        <w:rPr>
          <w:rFonts w:asciiTheme="majorHAnsi" w:hAnsiTheme="majorHAnsi" w:cstheme="majorHAnsi"/>
          <w:sz w:val="16"/>
        </w:rPr>
        <w:t xml:space="preserve"> constitutes or forms part of any offer to sell or issue, or any solicitation of any offer to acquire, the Ordinary Shares offered to any person with a registered address, or who is resident or located in, any jurisdiction in which such an offer or solicitation is unlawful. </w:t>
      </w:r>
    </w:p>
    <w:p w14:paraId="172F140E" w14:textId="449FB6CB" w:rsidR="00DE5AF2" w:rsidRPr="007D6590" w:rsidRDefault="00DE5AF2" w:rsidP="00396E87">
      <w:pPr>
        <w:pStyle w:val="NormalOCAshurst"/>
        <w:rPr>
          <w:rFonts w:asciiTheme="majorHAnsi" w:hAnsiTheme="majorHAnsi" w:cstheme="majorHAnsi"/>
          <w:sz w:val="16"/>
        </w:rPr>
      </w:pPr>
      <w:r w:rsidRPr="007D6590">
        <w:rPr>
          <w:rFonts w:asciiTheme="majorHAnsi" w:hAnsiTheme="majorHAnsi" w:cstheme="majorHAnsi"/>
          <w:sz w:val="16"/>
        </w:rPr>
        <w:t xml:space="preserve">The Ordinary Shares </w:t>
      </w:r>
      <w:r w:rsidR="00F27421">
        <w:rPr>
          <w:rFonts w:asciiTheme="majorHAnsi" w:hAnsiTheme="majorHAnsi" w:cstheme="majorHAnsi"/>
          <w:sz w:val="16"/>
        </w:rPr>
        <w:t>have</w:t>
      </w:r>
      <w:r w:rsidR="00D046D4">
        <w:rPr>
          <w:rFonts w:asciiTheme="majorHAnsi" w:hAnsiTheme="majorHAnsi" w:cstheme="majorHAnsi"/>
          <w:sz w:val="16"/>
        </w:rPr>
        <w:t xml:space="preserve"> not</w:t>
      </w:r>
      <w:r w:rsidRPr="007D6590">
        <w:rPr>
          <w:rFonts w:asciiTheme="majorHAnsi" w:hAnsiTheme="majorHAnsi" w:cstheme="majorHAnsi"/>
          <w:sz w:val="16"/>
        </w:rPr>
        <w:t xml:space="preserve"> and will not be registered under the applicable securities laws of any Excluded Territory. There will be no public offer of the Ordinary Shares in any of the Excluded Territories, including Sweden. </w:t>
      </w:r>
    </w:p>
    <w:p w14:paraId="038DD59A" w14:textId="5AF76D15" w:rsidR="00DE5AF2" w:rsidRPr="007D6590" w:rsidRDefault="00DE5AF2" w:rsidP="00396E87">
      <w:pPr>
        <w:pStyle w:val="NormalOCAshurst"/>
        <w:rPr>
          <w:rFonts w:asciiTheme="majorHAnsi" w:hAnsiTheme="majorHAnsi" w:cstheme="majorHAnsi"/>
          <w:sz w:val="16"/>
        </w:rPr>
      </w:pPr>
      <w:r w:rsidRPr="007D6590">
        <w:rPr>
          <w:rFonts w:asciiTheme="majorHAnsi" w:hAnsiTheme="majorHAnsi" w:cstheme="majorHAnsi"/>
          <w:sz w:val="16"/>
        </w:rPr>
        <w:t xml:space="preserve">Subject to certain exceptions, this document should not be distributed, forwarded or transmitted in or into the United States or the Excluded Territories or in or into any jurisdiction or to any person where </w:t>
      </w:r>
      <w:r w:rsidR="00D046D4">
        <w:rPr>
          <w:rFonts w:asciiTheme="majorHAnsi" w:hAnsiTheme="majorHAnsi" w:cstheme="majorHAnsi"/>
          <w:sz w:val="16"/>
        </w:rPr>
        <w:t>doing so</w:t>
      </w:r>
      <w:r w:rsidRPr="007D6590">
        <w:rPr>
          <w:rFonts w:asciiTheme="majorHAnsi" w:hAnsiTheme="majorHAnsi" w:cstheme="majorHAnsi"/>
          <w:sz w:val="16"/>
        </w:rPr>
        <w:t xml:space="preserve"> would breach any applicable law.</w:t>
      </w:r>
    </w:p>
    <w:p w14:paraId="73481B9B" w14:textId="536D7839" w:rsidR="00DE5AF2" w:rsidRPr="007D6590" w:rsidRDefault="00DE5AF2" w:rsidP="00396E87">
      <w:pPr>
        <w:pStyle w:val="NormalOCAshurst"/>
        <w:rPr>
          <w:rFonts w:asciiTheme="majorHAnsi" w:hAnsiTheme="majorHAnsi" w:cstheme="majorHAnsi"/>
          <w:sz w:val="16"/>
        </w:rPr>
      </w:pPr>
      <w:r w:rsidRPr="007D6590">
        <w:rPr>
          <w:rFonts w:asciiTheme="majorHAnsi" w:hAnsiTheme="majorHAnsi" w:cstheme="majorHAnsi"/>
          <w:sz w:val="16"/>
        </w:rPr>
        <w:t>The Ordinary Shares have not been and will not be registered under the US Securities Act of 1933, as amended (the "</w:t>
      </w:r>
      <w:r w:rsidRPr="007D6590">
        <w:rPr>
          <w:rFonts w:asciiTheme="majorHAnsi" w:hAnsiTheme="majorHAnsi" w:cstheme="majorHAnsi"/>
          <w:b/>
          <w:bCs/>
          <w:sz w:val="16"/>
        </w:rPr>
        <w:t>US Securities Act</w:t>
      </w:r>
      <w:r w:rsidRPr="007D6590">
        <w:rPr>
          <w:rFonts w:asciiTheme="majorHAnsi" w:hAnsiTheme="majorHAnsi" w:cstheme="majorHAnsi"/>
          <w:sz w:val="16"/>
        </w:rPr>
        <w:t xml:space="preserve">"), or under the securities laws of any state or other jurisdiction of the United States and, subject to certain exceptions, may not be offered, sold, resold, taken up, transferred, delivered or distributed, directly or indirectly, in, into or within the United States. There will be no public offer of the Ordinary Shares in the United States. </w:t>
      </w:r>
    </w:p>
    <w:p w14:paraId="3ADF4A71" w14:textId="5C7CE0B0" w:rsidR="00DE5AF2" w:rsidRPr="007D6590" w:rsidRDefault="00DE5AF2" w:rsidP="00396E87">
      <w:pPr>
        <w:pStyle w:val="NormalOCAshurst"/>
        <w:rPr>
          <w:rFonts w:asciiTheme="majorHAnsi" w:hAnsiTheme="majorHAnsi" w:cstheme="majorHAnsi"/>
          <w:sz w:val="16"/>
        </w:rPr>
      </w:pPr>
      <w:r w:rsidRPr="007D6590">
        <w:rPr>
          <w:rFonts w:asciiTheme="majorHAnsi" w:hAnsiTheme="majorHAnsi" w:cstheme="majorHAnsi"/>
          <w:sz w:val="16"/>
        </w:rPr>
        <w:t>The Ordinary Shares have not been approved or disapproved by the United States Securities and Exchange Commission, any state securities commission in the United States or any US regulatory authority, nor have any of the foregoing authorities passed upon or endorsed the merits of the offering of the Ordinary Shares or the accuracy or adequacy of this document. Any representation to the contrary is a criminal offence in the United States.</w:t>
      </w:r>
    </w:p>
    <w:p w14:paraId="2AD750AA" w14:textId="77777777" w:rsidR="00DE5AF2" w:rsidRPr="007D6590" w:rsidRDefault="00DE5AF2" w:rsidP="00396E87">
      <w:pPr>
        <w:pStyle w:val="NormalOCAshurst"/>
        <w:keepNext/>
        <w:rPr>
          <w:rFonts w:asciiTheme="majorHAnsi" w:hAnsiTheme="majorHAnsi" w:cstheme="majorHAnsi"/>
          <w:b/>
          <w:sz w:val="16"/>
        </w:rPr>
      </w:pPr>
      <w:r w:rsidRPr="007D6590">
        <w:rPr>
          <w:rFonts w:asciiTheme="majorHAnsi" w:hAnsiTheme="majorHAnsi" w:cstheme="majorHAnsi"/>
          <w:b/>
          <w:sz w:val="16"/>
        </w:rPr>
        <w:t>General Notice</w:t>
      </w:r>
    </w:p>
    <w:p w14:paraId="3A429352" w14:textId="02592871" w:rsidR="00DE5AF2" w:rsidRDefault="00DE5AF2" w:rsidP="00396E87">
      <w:pPr>
        <w:pStyle w:val="NormalOCAshurst"/>
        <w:rPr>
          <w:rFonts w:asciiTheme="majorHAnsi" w:hAnsiTheme="majorHAnsi" w:cstheme="majorHAnsi"/>
          <w:sz w:val="16"/>
        </w:rPr>
      </w:pPr>
      <w:r w:rsidRPr="007D6590">
        <w:rPr>
          <w:rFonts w:asciiTheme="majorHAnsi" w:hAnsiTheme="majorHAnsi" w:cstheme="majorHAnsi"/>
          <w:sz w:val="16"/>
        </w:rPr>
        <w:t>Subject to the FSMA, the Listing Rules, the UK Prospectus Regulation Rules, and the DTRs the delivery of this document shall</w:t>
      </w:r>
      <w:r w:rsidR="00240B9C">
        <w:rPr>
          <w:rFonts w:asciiTheme="majorHAnsi" w:hAnsiTheme="majorHAnsi" w:cstheme="majorHAnsi"/>
          <w:sz w:val="16"/>
        </w:rPr>
        <w:t xml:space="preserve"> not</w:t>
      </w:r>
      <w:r w:rsidRPr="007D6590">
        <w:rPr>
          <w:rFonts w:asciiTheme="majorHAnsi" w:hAnsiTheme="majorHAnsi" w:cstheme="majorHAnsi"/>
          <w:sz w:val="16"/>
        </w:rPr>
        <w:t>, under any circumstances, create any implication that there has been no change in the affairs of the Company since the date of this document or that the information in this document is correct as at any time after this date.</w:t>
      </w:r>
    </w:p>
    <w:p w14:paraId="6517F7FA" w14:textId="345B74DF" w:rsidR="00B573D8" w:rsidRPr="007D6590" w:rsidRDefault="00B573D8" w:rsidP="00396E87">
      <w:pPr>
        <w:pStyle w:val="NormalOCAshurst"/>
        <w:rPr>
          <w:rFonts w:asciiTheme="majorHAnsi" w:hAnsiTheme="majorHAnsi" w:cstheme="majorHAnsi"/>
          <w:sz w:val="16"/>
        </w:rPr>
      </w:pPr>
      <w:r w:rsidRPr="00B573D8">
        <w:rPr>
          <w:rFonts w:asciiTheme="majorHAnsi" w:hAnsiTheme="majorHAnsi" w:cstheme="majorHAnsi"/>
          <w:sz w:val="16"/>
        </w:rPr>
        <w:t>The Company will publish a</w:t>
      </w:r>
      <w:r w:rsidR="00722F2D">
        <w:rPr>
          <w:rFonts w:asciiTheme="majorHAnsi" w:hAnsiTheme="majorHAnsi" w:cstheme="majorHAnsi"/>
          <w:sz w:val="16"/>
        </w:rPr>
        <w:t xml:space="preserve"> further</w:t>
      </w:r>
      <w:r w:rsidRPr="00B573D8">
        <w:rPr>
          <w:rFonts w:asciiTheme="majorHAnsi" w:hAnsiTheme="majorHAnsi" w:cstheme="majorHAnsi"/>
          <w:sz w:val="16"/>
        </w:rPr>
        <w:t xml:space="preserve"> supplement to </w:t>
      </w:r>
      <w:r w:rsidR="00722F2D">
        <w:rPr>
          <w:rFonts w:asciiTheme="majorHAnsi" w:hAnsiTheme="majorHAnsi" w:cstheme="majorHAnsi"/>
          <w:sz w:val="16"/>
        </w:rPr>
        <w:t xml:space="preserve">the </w:t>
      </w:r>
      <w:r w:rsidR="000E1897">
        <w:rPr>
          <w:rFonts w:asciiTheme="majorHAnsi" w:hAnsiTheme="majorHAnsi" w:cstheme="majorHAnsi"/>
          <w:sz w:val="16"/>
        </w:rPr>
        <w:t xml:space="preserve">Original </w:t>
      </w:r>
      <w:r w:rsidR="00722F2D">
        <w:rPr>
          <w:rFonts w:asciiTheme="majorHAnsi" w:hAnsiTheme="majorHAnsi" w:cstheme="majorHAnsi"/>
          <w:sz w:val="16"/>
        </w:rPr>
        <w:t>Prospectus</w:t>
      </w:r>
      <w:r w:rsidRPr="00B573D8">
        <w:rPr>
          <w:rFonts w:asciiTheme="majorHAnsi" w:hAnsiTheme="majorHAnsi" w:cstheme="majorHAnsi"/>
          <w:sz w:val="16"/>
        </w:rPr>
        <w:t xml:space="preserve"> if a significant new factor, material mistake or material inaccuracy relating to the information</w:t>
      </w:r>
      <w:r>
        <w:rPr>
          <w:rFonts w:asciiTheme="majorHAnsi" w:hAnsiTheme="majorHAnsi" w:cstheme="majorHAnsi"/>
          <w:sz w:val="16"/>
        </w:rPr>
        <w:t xml:space="preserve"> </w:t>
      </w:r>
      <w:r w:rsidRPr="00B573D8">
        <w:rPr>
          <w:rFonts w:asciiTheme="majorHAnsi" w:hAnsiTheme="majorHAnsi" w:cstheme="majorHAnsi"/>
          <w:sz w:val="16"/>
        </w:rPr>
        <w:t>in th</w:t>
      </w:r>
      <w:r w:rsidR="00A57C4E">
        <w:rPr>
          <w:rFonts w:asciiTheme="majorHAnsi" w:hAnsiTheme="majorHAnsi" w:cstheme="majorHAnsi"/>
          <w:sz w:val="16"/>
        </w:rPr>
        <w:t xml:space="preserve">e </w:t>
      </w:r>
      <w:r w:rsidR="000E1897">
        <w:rPr>
          <w:rFonts w:asciiTheme="majorHAnsi" w:hAnsiTheme="majorHAnsi" w:cstheme="majorHAnsi"/>
          <w:sz w:val="16"/>
        </w:rPr>
        <w:t xml:space="preserve">Original </w:t>
      </w:r>
      <w:r w:rsidR="00A57C4E">
        <w:rPr>
          <w:rFonts w:asciiTheme="majorHAnsi" w:hAnsiTheme="majorHAnsi" w:cstheme="majorHAnsi"/>
          <w:sz w:val="16"/>
        </w:rPr>
        <w:t>Prospectus</w:t>
      </w:r>
      <w:r w:rsidRPr="00B573D8">
        <w:rPr>
          <w:rFonts w:asciiTheme="majorHAnsi" w:hAnsiTheme="majorHAnsi" w:cstheme="majorHAnsi"/>
          <w:sz w:val="16"/>
        </w:rPr>
        <w:t xml:space="preserve"> that may affect the assessment of the securities and which arises or is noted between the time when this </w:t>
      </w:r>
      <w:r w:rsidR="00A57C4E">
        <w:rPr>
          <w:rFonts w:asciiTheme="majorHAnsi" w:hAnsiTheme="majorHAnsi" w:cstheme="majorHAnsi"/>
          <w:sz w:val="16"/>
        </w:rPr>
        <w:t>Supplementary Prospectus</w:t>
      </w:r>
      <w:r w:rsidRPr="00B573D8">
        <w:rPr>
          <w:rFonts w:asciiTheme="majorHAnsi" w:hAnsiTheme="majorHAnsi" w:cstheme="majorHAnsi"/>
          <w:sz w:val="16"/>
        </w:rPr>
        <w:t xml:space="preserve"> was approved and</w:t>
      </w:r>
      <w:r>
        <w:rPr>
          <w:rFonts w:asciiTheme="majorHAnsi" w:hAnsiTheme="majorHAnsi" w:cstheme="majorHAnsi"/>
          <w:sz w:val="16"/>
        </w:rPr>
        <w:t xml:space="preserve"> </w:t>
      </w:r>
      <w:r w:rsidR="00F27421">
        <w:rPr>
          <w:rFonts w:asciiTheme="majorHAnsi" w:hAnsiTheme="majorHAnsi" w:cstheme="majorHAnsi"/>
          <w:sz w:val="16"/>
        </w:rPr>
        <w:t>Re-admission</w:t>
      </w:r>
      <w:r w:rsidRPr="00B573D8">
        <w:rPr>
          <w:rFonts w:asciiTheme="majorHAnsi" w:hAnsiTheme="majorHAnsi" w:cstheme="majorHAnsi"/>
          <w:sz w:val="16"/>
        </w:rPr>
        <w:t xml:space="preserve">. </w:t>
      </w:r>
      <w:r w:rsidR="000E1897">
        <w:rPr>
          <w:rFonts w:asciiTheme="majorHAnsi" w:hAnsiTheme="majorHAnsi" w:cstheme="majorHAnsi"/>
          <w:sz w:val="16"/>
        </w:rPr>
        <w:t xml:space="preserve">In particular, it is now expected that Completion will take place </w:t>
      </w:r>
      <w:r w:rsidR="00E27CCA">
        <w:rPr>
          <w:rFonts w:asciiTheme="majorHAnsi" w:hAnsiTheme="majorHAnsi" w:cstheme="majorHAnsi"/>
          <w:sz w:val="16"/>
        </w:rPr>
        <w:t>by</w:t>
      </w:r>
      <w:r w:rsidR="00295226">
        <w:rPr>
          <w:rFonts w:asciiTheme="majorHAnsi" w:hAnsiTheme="majorHAnsi" w:cstheme="majorHAnsi"/>
          <w:sz w:val="16"/>
        </w:rPr>
        <w:t xml:space="preserve"> the </w:t>
      </w:r>
      <w:r w:rsidR="00062E8E">
        <w:rPr>
          <w:rFonts w:asciiTheme="majorHAnsi" w:hAnsiTheme="majorHAnsi" w:cstheme="majorHAnsi"/>
          <w:sz w:val="16"/>
        </w:rPr>
        <w:t>beginning</w:t>
      </w:r>
      <w:r w:rsidR="00295226">
        <w:rPr>
          <w:rFonts w:asciiTheme="majorHAnsi" w:hAnsiTheme="majorHAnsi" w:cstheme="majorHAnsi"/>
          <w:sz w:val="16"/>
        </w:rPr>
        <w:t xml:space="preserve"> of</w:t>
      </w:r>
      <w:r w:rsidR="000E1897">
        <w:rPr>
          <w:rFonts w:asciiTheme="majorHAnsi" w:hAnsiTheme="majorHAnsi" w:cstheme="majorHAnsi"/>
          <w:sz w:val="16"/>
        </w:rPr>
        <w:t xml:space="preserve"> </w:t>
      </w:r>
      <w:r w:rsidR="00062E8E">
        <w:rPr>
          <w:rFonts w:asciiTheme="majorHAnsi" w:hAnsiTheme="majorHAnsi" w:cstheme="majorHAnsi"/>
          <w:sz w:val="16"/>
        </w:rPr>
        <w:t>November</w:t>
      </w:r>
      <w:r w:rsidR="00295226">
        <w:rPr>
          <w:rFonts w:asciiTheme="majorHAnsi" w:hAnsiTheme="majorHAnsi" w:cstheme="majorHAnsi"/>
          <w:sz w:val="16"/>
        </w:rPr>
        <w:t xml:space="preserve"> </w:t>
      </w:r>
      <w:r w:rsidR="000E1897">
        <w:rPr>
          <w:rFonts w:asciiTheme="majorHAnsi" w:hAnsiTheme="majorHAnsi" w:cstheme="majorHAnsi"/>
          <w:sz w:val="16"/>
        </w:rPr>
        <w:t xml:space="preserve">2021 and accordingly the Company will be required to publish a further supplementary prospectus in due course containing additional financial information on the Golden Eagle Asset. </w:t>
      </w:r>
      <w:r w:rsidRPr="00B573D8">
        <w:rPr>
          <w:rFonts w:asciiTheme="majorHAnsi" w:hAnsiTheme="majorHAnsi" w:cstheme="majorHAnsi"/>
          <w:sz w:val="16"/>
        </w:rPr>
        <w:t xml:space="preserve">This document and any </w:t>
      </w:r>
      <w:r w:rsidR="000E1897">
        <w:rPr>
          <w:rFonts w:asciiTheme="majorHAnsi" w:hAnsiTheme="majorHAnsi" w:cstheme="majorHAnsi"/>
          <w:sz w:val="16"/>
        </w:rPr>
        <w:t xml:space="preserve">further </w:t>
      </w:r>
      <w:r w:rsidRPr="00B573D8">
        <w:rPr>
          <w:rFonts w:asciiTheme="majorHAnsi" w:hAnsiTheme="majorHAnsi" w:cstheme="majorHAnsi"/>
          <w:sz w:val="16"/>
        </w:rPr>
        <w:t xml:space="preserve">supplement will be made public in accordance with the </w:t>
      </w:r>
      <w:r>
        <w:rPr>
          <w:rFonts w:asciiTheme="majorHAnsi" w:hAnsiTheme="majorHAnsi" w:cstheme="majorHAnsi"/>
          <w:sz w:val="16"/>
        </w:rPr>
        <w:t xml:space="preserve">UK </w:t>
      </w:r>
      <w:r w:rsidRPr="00B573D8">
        <w:rPr>
          <w:rFonts w:asciiTheme="majorHAnsi" w:hAnsiTheme="majorHAnsi" w:cstheme="majorHAnsi"/>
          <w:sz w:val="16"/>
        </w:rPr>
        <w:t>Prospectus Regulation by</w:t>
      </w:r>
      <w:r>
        <w:rPr>
          <w:rFonts w:asciiTheme="majorHAnsi" w:hAnsiTheme="majorHAnsi" w:cstheme="majorHAnsi"/>
          <w:sz w:val="16"/>
        </w:rPr>
        <w:t xml:space="preserve"> </w:t>
      </w:r>
      <w:r w:rsidRPr="00B573D8">
        <w:rPr>
          <w:rFonts w:asciiTheme="majorHAnsi" w:hAnsiTheme="majorHAnsi" w:cstheme="majorHAnsi"/>
          <w:sz w:val="16"/>
        </w:rPr>
        <w:t xml:space="preserve">publication on the Company’s website at </w:t>
      </w:r>
      <w:r w:rsidRPr="00A222B2">
        <w:rPr>
          <w:rFonts w:asciiTheme="majorHAnsi" w:hAnsiTheme="majorHAnsi" w:cstheme="majorHAnsi"/>
          <w:i/>
          <w:iCs/>
          <w:sz w:val="16"/>
        </w:rPr>
        <w:t>https://www.enquest.com/investors/</w:t>
      </w:r>
      <w:r w:rsidRPr="00B573D8">
        <w:rPr>
          <w:rFonts w:asciiTheme="majorHAnsi" w:hAnsiTheme="majorHAnsi" w:cstheme="majorHAnsi"/>
          <w:sz w:val="16"/>
        </w:rPr>
        <w:t xml:space="preserve">. </w:t>
      </w:r>
    </w:p>
    <w:p w14:paraId="3EB04B9C" w14:textId="2300EB2E"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sz w:val="16"/>
        </w:rPr>
        <w:t xml:space="preserve">This document is dated </w:t>
      </w:r>
      <w:r w:rsidR="006D1B33">
        <w:rPr>
          <w:rFonts w:asciiTheme="majorHAnsi" w:hAnsiTheme="majorHAnsi" w:cstheme="majorHAnsi"/>
          <w:sz w:val="16"/>
        </w:rPr>
        <w:t>5</w:t>
      </w:r>
      <w:r w:rsidR="00BB28EF">
        <w:rPr>
          <w:rFonts w:asciiTheme="majorHAnsi" w:hAnsiTheme="majorHAnsi" w:cstheme="majorHAnsi"/>
          <w:sz w:val="16"/>
        </w:rPr>
        <w:t xml:space="preserve"> </w:t>
      </w:r>
      <w:r w:rsidR="00225053">
        <w:rPr>
          <w:rFonts w:asciiTheme="majorHAnsi" w:hAnsiTheme="majorHAnsi" w:cstheme="majorHAnsi"/>
          <w:sz w:val="16"/>
        </w:rPr>
        <w:t>October</w:t>
      </w:r>
      <w:r w:rsidR="00D046D4">
        <w:rPr>
          <w:rFonts w:asciiTheme="majorHAnsi" w:hAnsiTheme="majorHAnsi" w:cstheme="majorHAnsi"/>
          <w:sz w:val="16"/>
        </w:rPr>
        <w:t xml:space="preserve"> </w:t>
      </w:r>
      <w:r w:rsidRPr="007D6590">
        <w:rPr>
          <w:rFonts w:asciiTheme="majorHAnsi" w:hAnsiTheme="majorHAnsi" w:cstheme="majorHAnsi"/>
          <w:sz w:val="16"/>
        </w:rPr>
        <w:t>2021.</w:t>
      </w:r>
    </w:p>
    <w:p w14:paraId="0C5187D3" w14:textId="77777777" w:rsidR="00DE5AF2" w:rsidRPr="007D6590" w:rsidRDefault="00DE5AF2" w:rsidP="00396E87">
      <w:pPr>
        <w:pStyle w:val="NormalOCAshurst"/>
        <w:rPr>
          <w:rFonts w:asciiTheme="majorHAnsi" w:hAnsiTheme="majorHAnsi" w:cstheme="majorHAnsi"/>
        </w:rPr>
        <w:sectPr w:rsidR="00DE5AF2" w:rsidRPr="007D6590" w:rsidSect="00DE5AF2">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709" w:footer="709" w:gutter="0"/>
          <w:paperSrc w:first="265" w:other="265"/>
          <w:pgNumType w:fmt="lowerRoman" w:start="1"/>
          <w:cols w:space="708"/>
          <w:docGrid w:linePitch="360"/>
        </w:sectPr>
      </w:pPr>
    </w:p>
    <w:p w14:paraId="2ED46F90" w14:textId="77777777" w:rsidR="00DE5AF2" w:rsidRPr="007D6590" w:rsidRDefault="00DE5AF2" w:rsidP="00396E87">
      <w:pPr>
        <w:pStyle w:val="NormalOCAshurst"/>
        <w:jc w:val="center"/>
        <w:rPr>
          <w:rFonts w:asciiTheme="majorHAnsi" w:hAnsiTheme="majorHAnsi" w:cstheme="majorHAnsi"/>
          <w:b/>
          <w:sz w:val="18"/>
          <w:szCs w:val="18"/>
        </w:rPr>
      </w:pPr>
      <w:r w:rsidRPr="007D6590">
        <w:rPr>
          <w:rFonts w:asciiTheme="majorHAnsi" w:hAnsiTheme="majorHAnsi" w:cstheme="majorHAnsi"/>
          <w:b/>
          <w:sz w:val="18"/>
          <w:szCs w:val="18"/>
        </w:rPr>
        <w:lastRenderedPageBreak/>
        <w:t>TABLE OF CONTENTS</w:t>
      </w:r>
    </w:p>
    <w:p w14:paraId="26C8ACD9" w14:textId="77777777" w:rsidR="00DE5AF2" w:rsidRPr="007D6590" w:rsidRDefault="00DE5AF2" w:rsidP="00396E87">
      <w:pPr>
        <w:pStyle w:val="NormalOCAshurst"/>
        <w:spacing w:after="0"/>
        <w:ind w:right="85"/>
        <w:jc w:val="right"/>
        <w:rPr>
          <w:rFonts w:asciiTheme="majorHAnsi" w:hAnsiTheme="majorHAnsi" w:cstheme="majorHAnsi"/>
          <w:b/>
          <w:sz w:val="18"/>
          <w:szCs w:val="18"/>
        </w:rPr>
      </w:pPr>
      <w:r w:rsidRPr="007D6590">
        <w:rPr>
          <w:rFonts w:asciiTheme="majorHAnsi" w:hAnsiTheme="majorHAnsi" w:cstheme="majorHAnsi"/>
          <w:b/>
          <w:sz w:val="18"/>
          <w:szCs w:val="18"/>
        </w:rPr>
        <w:tab/>
        <w:t>Page</w:t>
      </w:r>
    </w:p>
    <w:p w14:paraId="71E56236" w14:textId="7CFC33FD" w:rsidR="002D487F" w:rsidRPr="002D487F" w:rsidRDefault="00DE5AF2">
      <w:pPr>
        <w:pStyle w:val="TOC1"/>
        <w:rPr>
          <w:rFonts w:eastAsiaTheme="minorEastAsia" w:cstheme="minorBidi"/>
          <w:caps w:val="0"/>
          <w:noProof/>
          <w:sz w:val="22"/>
          <w:szCs w:val="22"/>
          <w:lang w:eastAsia="zh-CN"/>
        </w:rPr>
      </w:pPr>
      <w:r w:rsidRPr="002D487F">
        <w:rPr>
          <w:rFonts w:asciiTheme="majorHAnsi" w:hAnsiTheme="majorHAnsi" w:cstheme="majorHAnsi"/>
        </w:rPr>
        <w:fldChar w:fldCharType="begin"/>
      </w:r>
      <w:r w:rsidR="002D487F">
        <w:rPr>
          <w:rFonts w:asciiTheme="majorHAnsi" w:hAnsiTheme="majorHAnsi" w:cstheme="majorHAnsi"/>
        </w:rPr>
        <w:instrText xml:space="preserve"> TOC \T "MAINHEADINGOCASHURST,1,SCHEDULEASHURST,1"  TOC \T "MAINHEADINGOCASHURST,1,SCHEDULEASHURST,1"  TOC \T "MAINHEADINGOCASHURST,1,SCHEDULEASHURST,1"  TOC \T "MAINHEADINGOCASHURST,1,SCHEDULEASHURST,1"  TOC \T "MAINHEADINGOCASHURST,1,SCHEDULEASHURST,1"  TOC \T "MAINHEADINGOCASHURST,1,SCHEDULEASHURST,1"  TOC \T "MAINHEADINGOCASHURST,1,SCHEDULEASHURST,1"  TOC \T "MAINHEADINGOCASHURST,1,SCHEDULEASHURST,1"  TOC \T "MAINHEADINGOCASHURST,1,SCHEDULEASHURST,1"  TOC \T "MAINHEADINGOCASHURST,1,SCHEDULEASHURST,1"  TOC \T "MAINHEADINGOCASHURST,1,SCHEDULEASHURST,1"  TOC \T "MAINHEADINGOCASHURST,1,SCHEDULEASHURST,1"  TOC \T "MAINHEADINGOCASHURST,1,SCHEDULEASHURST,1"  TOC \T "MAINHEADINGOCASHURST,1,SCHEDULEASHURST,1"  TOC \T "MAINHEADINGOCASHURST,1,SCHEDULEASHURST,1"  TOC \T "MAINHEADINGOCASHURST,1,SCHEDULEASHURST,1" </w:instrText>
      </w:r>
      <w:r w:rsidRPr="002D487F">
        <w:rPr>
          <w:rFonts w:asciiTheme="majorHAnsi" w:hAnsiTheme="majorHAnsi" w:cstheme="majorHAnsi"/>
        </w:rPr>
        <w:fldChar w:fldCharType="separate"/>
      </w:r>
      <w:r w:rsidR="002D487F" w:rsidRPr="002D487F">
        <w:rPr>
          <w:rFonts w:asciiTheme="majorHAnsi" w:hAnsiTheme="majorHAnsi" w:cstheme="majorHAnsi"/>
          <w:noProof/>
        </w:rPr>
        <w:t>Part 1 ‒ SUPPLEMENTARY INFORMATION</w:t>
      </w:r>
      <w:r w:rsidR="002D487F" w:rsidRPr="002D487F">
        <w:rPr>
          <w:noProof/>
        </w:rPr>
        <w:tab/>
      </w:r>
      <w:r w:rsidR="002D487F" w:rsidRPr="002D487F">
        <w:rPr>
          <w:noProof/>
        </w:rPr>
        <w:fldChar w:fldCharType="begin"/>
      </w:r>
      <w:r w:rsidR="002D487F" w:rsidRPr="002D487F">
        <w:rPr>
          <w:noProof/>
        </w:rPr>
        <w:instrText xml:space="preserve"> PAGEREF _Toc83904472 \h </w:instrText>
      </w:r>
      <w:r w:rsidR="002D487F" w:rsidRPr="002D487F">
        <w:rPr>
          <w:noProof/>
        </w:rPr>
      </w:r>
      <w:r w:rsidR="002D487F" w:rsidRPr="002D487F">
        <w:rPr>
          <w:noProof/>
        </w:rPr>
        <w:fldChar w:fldCharType="separate"/>
      </w:r>
      <w:r w:rsidR="002D487F" w:rsidRPr="002D487F">
        <w:rPr>
          <w:noProof/>
        </w:rPr>
        <w:t>4</w:t>
      </w:r>
      <w:r w:rsidR="002D487F" w:rsidRPr="002D487F">
        <w:rPr>
          <w:noProof/>
        </w:rPr>
        <w:fldChar w:fldCharType="end"/>
      </w:r>
    </w:p>
    <w:p w14:paraId="07F5A084" w14:textId="1293F403" w:rsidR="002D487F" w:rsidRPr="002D487F" w:rsidRDefault="002D487F">
      <w:pPr>
        <w:pStyle w:val="TOC1"/>
        <w:rPr>
          <w:rFonts w:eastAsiaTheme="minorEastAsia" w:cstheme="minorBidi"/>
          <w:caps w:val="0"/>
          <w:noProof/>
          <w:sz w:val="22"/>
          <w:szCs w:val="22"/>
          <w:lang w:eastAsia="zh-CN"/>
        </w:rPr>
      </w:pPr>
      <w:r w:rsidRPr="002D487F">
        <w:rPr>
          <w:rFonts w:asciiTheme="majorHAnsi" w:hAnsiTheme="majorHAnsi" w:cstheme="majorHAnsi"/>
          <w:noProof/>
        </w:rPr>
        <w:t>Part 2 – SUPPLEMENTAL unaudited pro forma financial information</w:t>
      </w:r>
      <w:r w:rsidRPr="002D487F">
        <w:rPr>
          <w:noProof/>
        </w:rPr>
        <w:tab/>
      </w:r>
      <w:r w:rsidRPr="002D487F">
        <w:rPr>
          <w:noProof/>
        </w:rPr>
        <w:fldChar w:fldCharType="begin"/>
      </w:r>
      <w:r w:rsidRPr="002D487F">
        <w:rPr>
          <w:noProof/>
        </w:rPr>
        <w:instrText xml:space="preserve"> PAGEREF _Toc83904473 \h </w:instrText>
      </w:r>
      <w:r w:rsidRPr="002D487F">
        <w:rPr>
          <w:noProof/>
        </w:rPr>
      </w:r>
      <w:r w:rsidRPr="002D487F">
        <w:rPr>
          <w:noProof/>
        </w:rPr>
        <w:fldChar w:fldCharType="separate"/>
      </w:r>
      <w:r w:rsidRPr="002D487F">
        <w:rPr>
          <w:noProof/>
        </w:rPr>
        <w:t>11</w:t>
      </w:r>
      <w:r w:rsidRPr="002D487F">
        <w:rPr>
          <w:noProof/>
        </w:rPr>
        <w:fldChar w:fldCharType="end"/>
      </w:r>
    </w:p>
    <w:p w14:paraId="751B94D5" w14:textId="3BE2A802" w:rsidR="002D487F" w:rsidRPr="002D487F" w:rsidRDefault="002D487F">
      <w:pPr>
        <w:pStyle w:val="TOC1"/>
        <w:rPr>
          <w:rFonts w:eastAsiaTheme="minorEastAsia" w:cstheme="minorBidi"/>
          <w:caps w:val="0"/>
          <w:noProof/>
          <w:sz w:val="22"/>
          <w:szCs w:val="22"/>
          <w:lang w:eastAsia="zh-CN"/>
        </w:rPr>
      </w:pPr>
      <w:r w:rsidRPr="002D487F">
        <w:rPr>
          <w:rFonts w:asciiTheme="majorHAnsi" w:hAnsiTheme="majorHAnsi" w:cstheme="majorHAnsi"/>
          <w:noProof/>
        </w:rPr>
        <w:t>Part 3 ‒ ADDITIONAL INFORMATION</w:t>
      </w:r>
      <w:r w:rsidRPr="002D487F">
        <w:rPr>
          <w:noProof/>
        </w:rPr>
        <w:tab/>
      </w:r>
      <w:r w:rsidRPr="002D487F">
        <w:rPr>
          <w:noProof/>
        </w:rPr>
        <w:fldChar w:fldCharType="begin"/>
      </w:r>
      <w:r w:rsidRPr="002D487F">
        <w:rPr>
          <w:noProof/>
        </w:rPr>
        <w:instrText xml:space="preserve"> PAGEREF _Toc83904474 \h </w:instrText>
      </w:r>
      <w:r w:rsidRPr="002D487F">
        <w:rPr>
          <w:noProof/>
        </w:rPr>
      </w:r>
      <w:r w:rsidRPr="002D487F">
        <w:rPr>
          <w:noProof/>
        </w:rPr>
        <w:fldChar w:fldCharType="separate"/>
      </w:r>
      <w:r w:rsidRPr="002D487F">
        <w:rPr>
          <w:noProof/>
        </w:rPr>
        <w:t>19</w:t>
      </w:r>
      <w:r w:rsidRPr="002D487F">
        <w:rPr>
          <w:noProof/>
        </w:rPr>
        <w:fldChar w:fldCharType="end"/>
      </w:r>
    </w:p>
    <w:p w14:paraId="28D855C5" w14:textId="3E29A804" w:rsidR="00DE5AF2" w:rsidRPr="007D6590" w:rsidRDefault="00DE5AF2" w:rsidP="00396E87">
      <w:pPr>
        <w:pStyle w:val="NormalOCAshurst"/>
        <w:tabs>
          <w:tab w:val="right" w:leader="dot" w:pos="8080"/>
          <w:tab w:val="right" w:leader="dot" w:pos="8222"/>
        </w:tabs>
        <w:rPr>
          <w:rFonts w:asciiTheme="majorHAnsi" w:hAnsiTheme="majorHAnsi" w:cstheme="majorHAnsi"/>
          <w:sz w:val="18"/>
          <w:szCs w:val="18"/>
        </w:rPr>
      </w:pPr>
      <w:r w:rsidRPr="002D487F">
        <w:rPr>
          <w:rFonts w:asciiTheme="majorHAnsi" w:eastAsia="Times New Roman" w:hAnsiTheme="majorHAnsi" w:cstheme="majorHAnsi"/>
        </w:rPr>
        <w:fldChar w:fldCharType="end"/>
      </w:r>
    </w:p>
    <w:p w14:paraId="0E5F3458" w14:textId="77777777" w:rsidR="00DE5AF2" w:rsidRPr="007D6590" w:rsidRDefault="00DE5AF2" w:rsidP="00396E87">
      <w:pPr>
        <w:pStyle w:val="NormalOCAshurst"/>
        <w:tabs>
          <w:tab w:val="right" w:leader="dot" w:pos="8222"/>
        </w:tabs>
        <w:rPr>
          <w:rFonts w:asciiTheme="majorHAnsi" w:hAnsiTheme="majorHAnsi" w:cstheme="majorHAnsi"/>
        </w:rPr>
        <w:sectPr w:rsidR="00DE5AF2" w:rsidRPr="007D6590" w:rsidSect="00DE5AF2">
          <w:footerReference w:type="default" r:id="rId15"/>
          <w:pgSz w:w="11907" w:h="16839"/>
          <w:pgMar w:top="1440" w:right="1800" w:bottom="1440" w:left="1800" w:header="708" w:footer="708" w:gutter="0"/>
          <w:paperSrc w:first="265" w:other="265"/>
          <w:pgNumType w:fmt="lowerRoman"/>
          <w:cols w:space="708"/>
          <w:docGrid w:linePitch="360"/>
        </w:sectPr>
      </w:pPr>
    </w:p>
    <w:p w14:paraId="0197840D" w14:textId="1AAFE57E" w:rsidR="00DE5AF2" w:rsidRPr="007D6590" w:rsidRDefault="00DE5AF2" w:rsidP="00396E87">
      <w:pPr>
        <w:rPr>
          <w:rFonts w:asciiTheme="majorHAnsi" w:hAnsiTheme="majorHAnsi" w:cstheme="majorHAnsi"/>
          <w:sz w:val="16"/>
          <w:szCs w:val="16"/>
          <w:lang w:eastAsia="en-GB"/>
        </w:rPr>
      </w:pPr>
    </w:p>
    <w:p w14:paraId="6508A593" w14:textId="7B716D96" w:rsidR="00EA1356" w:rsidRDefault="00DE5AF2" w:rsidP="00396E87">
      <w:pPr>
        <w:pStyle w:val="SCHEDULEAshurst"/>
        <w:ind w:left="0"/>
        <w:rPr>
          <w:rFonts w:asciiTheme="majorHAnsi" w:hAnsiTheme="majorHAnsi" w:cstheme="majorHAnsi"/>
        </w:rPr>
      </w:pPr>
      <w:bookmarkStart w:id="0" w:name="_Toc363147212"/>
      <w:bookmarkStart w:id="1" w:name="_Toc461544633"/>
      <w:bookmarkStart w:id="2" w:name="_Toc462299957"/>
      <w:bookmarkStart w:id="3" w:name="_Ref65876868"/>
      <w:bookmarkStart w:id="4" w:name="_Ref65879566"/>
      <w:bookmarkStart w:id="5" w:name="_Ref65879863"/>
      <w:bookmarkStart w:id="6" w:name="_Ref65880657"/>
      <w:bookmarkStart w:id="7" w:name="_Ref66307116"/>
      <w:bookmarkStart w:id="8" w:name="_Ref67135669"/>
      <w:bookmarkStart w:id="9" w:name="_Ref67135688"/>
      <w:bookmarkStart w:id="10" w:name="_Ref67658098"/>
      <w:bookmarkStart w:id="11" w:name="_Ref67658102"/>
      <w:bookmarkStart w:id="12" w:name="_Ref69125939"/>
      <w:bookmarkStart w:id="13" w:name="_Ref69860815"/>
      <w:bookmarkStart w:id="14" w:name="_Ref69861045"/>
      <w:bookmarkStart w:id="15" w:name="_Ref74782766"/>
      <w:r w:rsidRPr="007D6590">
        <w:rPr>
          <w:rFonts w:asciiTheme="majorHAnsi" w:hAnsiTheme="majorHAnsi" w:cstheme="majorHAnsi"/>
        </w:rPr>
        <w:t xml:space="preserve"> </w:t>
      </w:r>
      <w:bookmarkStart w:id="16" w:name="_Ref64021993"/>
      <w:bookmarkStart w:id="17" w:name="_Ref64022076"/>
      <w:bookmarkStart w:id="18" w:name="_Ref64023325"/>
      <w:bookmarkStart w:id="19" w:name="_Ref64023392"/>
      <w:bookmarkStart w:id="20" w:name="_Ref81837180"/>
      <w:bookmarkStart w:id="21" w:name="_Toc83904472"/>
      <w:r w:rsidRPr="007D6590">
        <w:rPr>
          <w:rFonts w:asciiTheme="majorHAnsi" w:hAnsiTheme="majorHAnsi" w:cstheme="majorHAnsi"/>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680608">
        <w:rPr>
          <w:rFonts w:asciiTheme="majorHAnsi" w:hAnsiTheme="majorHAnsi" w:cstheme="majorHAnsi"/>
        </w:rPr>
        <w:t>SUPPLEMENTARY INFORMATION</w:t>
      </w:r>
      <w:bookmarkEnd w:id="20"/>
      <w:bookmarkEnd w:id="21"/>
    </w:p>
    <w:p w14:paraId="06BDD6CC" w14:textId="03A737CE" w:rsidR="00186BEA" w:rsidRPr="00186BEA" w:rsidRDefault="00186BEA" w:rsidP="00396E87">
      <w:pPr>
        <w:pStyle w:val="Body1OCAshurst"/>
        <w:ind w:left="0"/>
        <w:rPr>
          <w:i/>
          <w:iCs/>
        </w:rPr>
      </w:pPr>
      <w:r w:rsidRPr="00186BEA">
        <w:rPr>
          <w:i/>
          <w:iCs/>
        </w:rPr>
        <w:t>This Supplementary Prospectus is supplemental to, and should be read in conjunction with the Original Prospectus. To the extent that there is any inconsistency between a statement in this Supplementary Prospectus and a statement contained in the Original Prospectus, the statement in this Supplementary Prospectus will prevail. Any decision to invest in the Ordinary Shares should be based on consideration of the Original Prospectus, as supplemented by this Supplementary Prospectus</w:t>
      </w:r>
      <w:r w:rsidR="000E1897">
        <w:rPr>
          <w:i/>
          <w:iCs/>
        </w:rPr>
        <w:t xml:space="preserve"> and any further supplementary prospectus</w:t>
      </w:r>
      <w:r w:rsidRPr="00186BEA">
        <w:rPr>
          <w:i/>
          <w:iCs/>
        </w:rPr>
        <w:t xml:space="preserve">, as a whole. This Supplementary Prospectus has been prepared in accordance with section 87G of FSMA and the </w:t>
      </w:r>
      <w:r>
        <w:rPr>
          <w:i/>
          <w:iCs/>
        </w:rPr>
        <w:t xml:space="preserve">UK </w:t>
      </w:r>
      <w:r w:rsidRPr="00186BEA">
        <w:rPr>
          <w:i/>
          <w:iCs/>
        </w:rPr>
        <w:t>Prospectus</w:t>
      </w:r>
      <w:r>
        <w:rPr>
          <w:i/>
          <w:iCs/>
        </w:rPr>
        <w:t xml:space="preserve"> Regulation</w:t>
      </w:r>
      <w:r w:rsidRPr="00186BEA">
        <w:rPr>
          <w:i/>
          <w:iCs/>
        </w:rPr>
        <w:t xml:space="preserve"> Rules.</w:t>
      </w:r>
    </w:p>
    <w:p w14:paraId="5AABFC11" w14:textId="169F7072" w:rsidR="0071469A" w:rsidRDefault="00474B67" w:rsidP="0071469A">
      <w:pPr>
        <w:pStyle w:val="H1OCAshurst"/>
      </w:pPr>
      <w:bookmarkStart w:id="22" w:name="_Ref82166240"/>
      <w:r>
        <w:t>Background</w:t>
      </w:r>
      <w:bookmarkEnd w:id="22"/>
      <w:r w:rsidR="0071469A">
        <w:t xml:space="preserve"> </w:t>
      </w:r>
    </w:p>
    <w:p w14:paraId="4057C333" w14:textId="275D1251" w:rsidR="0071469A" w:rsidRPr="0071469A" w:rsidRDefault="0071469A" w:rsidP="001E486A">
      <w:pPr>
        <w:pStyle w:val="H2OCAshurst"/>
      </w:pPr>
      <w:r w:rsidRPr="0071469A">
        <w:t xml:space="preserve">Deferred </w:t>
      </w:r>
      <w:r w:rsidR="005E5A28">
        <w:t>t</w:t>
      </w:r>
      <w:r w:rsidRPr="0071469A">
        <w:t xml:space="preserve">ax </w:t>
      </w:r>
      <w:r w:rsidR="005E5A28">
        <w:t>a</w:t>
      </w:r>
      <w:r w:rsidRPr="0071469A">
        <w:t xml:space="preserve">sset </w:t>
      </w:r>
      <w:r w:rsidR="005E5A28">
        <w:t>a</w:t>
      </w:r>
      <w:r w:rsidRPr="0071469A">
        <w:t>djustment of the EnQuest Group's 2020 Financial Statements</w:t>
      </w:r>
    </w:p>
    <w:p w14:paraId="50D492CC" w14:textId="3CEE72B7" w:rsidR="00BA4DB2" w:rsidRPr="003A3C32" w:rsidRDefault="00BA4DB2" w:rsidP="00396E87">
      <w:pPr>
        <w:pStyle w:val="H3OCAshurst"/>
        <w:numPr>
          <w:ilvl w:val="0"/>
          <w:numId w:val="0"/>
        </w:numPr>
        <w:ind w:left="709"/>
      </w:pPr>
      <w:r>
        <w:t xml:space="preserve">Subsequent to the publication of the </w:t>
      </w:r>
      <w:r w:rsidR="000F0304">
        <w:t>Original Prospectus</w:t>
      </w:r>
      <w:r w:rsidR="00DE406E">
        <w:t xml:space="preserve"> and</w:t>
      </w:r>
      <w:r>
        <w:t xml:space="preserve"> as part of the preparation of the EnQuest Group's </w:t>
      </w:r>
      <w:r w:rsidRPr="00BA4DB2">
        <w:t xml:space="preserve">interim condensed consolidated financial statements of the </w:t>
      </w:r>
      <w:r>
        <w:t xml:space="preserve">EnQuest </w:t>
      </w:r>
      <w:r w:rsidRPr="00BA4DB2">
        <w:t>Group for the six months ended 30 June 2021</w:t>
      </w:r>
      <w:r w:rsidR="00964000">
        <w:t xml:space="preserve"> (the "</w:t>
      </w:r>
      <w:r w:rsidR="00964000" w:rsidRPr="001E486A">
        <w:rPr>
          <w:b/>
          <w:bCs/>
        </w:rPr>
        <w:t>EnQuest 2021 Half Year Results</w:t>
      </w:r>
      <w:r w:rsidR="00964000">
        <w:t>")</w:t>
      </w:r>
      <w:r>
        <w:t>, the EnQuest Group</w:t>
      </w:r>
      <w:r w:rsidR="000F0304">
        <w:t xml:space="preserve"> </w:t>
      </w:r>
      <w:r>
        <w:t>determined</w:t>
      </w:r>
      <w:r w:rsidR="0071469A">
        <w:t xml:space="preserve"> that</w:t>
      </w:r>
      <w:r>
        <w:t xml:space="preserve"> there was an inconsistency in the calculation of the deferred tax asset recognised on the balance sheet associated with the Magnus Contingent Consideration</w:t>
      </w:r>
      <w:r w:rsidR="000F0304">
        <w:rPr>
          <w:rStyle w:val="FootnoteReference"/>
        </w:rPr>
        <w:footnoteReference w:id="1"/>
      </w:r>
      <w:r>
        <w:t xml:space="preserve"> and the relevant estimated future cash flows used in the calculation of future taxable profits to support the recognition of this deferred tax asset and the deferred tax asset associated with other available tax losses.</w:t>
      </w:r>
    </w:p>
    <w:p w14:paraId="256FE15F" w14:textId="7C51DA44" w:rsidR="00BA4DB2" w:rsidRDefault="00DA0DBD" w:rsidP="00396E87">
      <w:pPr>
        <w:pStyle w:val="H3OCAshurst"/>
        <w:numPr>
          <w:ilvl w:val="0"/>
          <w:numId w:val="0"/>
        </w:numPr>
        <w:ind w:left="709"/>
      </w:pPr>
      <w:bookmarkStart w:id="23" w:name="_Hlk83046679"/>
      <w:r w:rsidRPr="00DA0DBD">
        <w:t>This inconsistency resulted in excess deferred tax being derecognised within Remeasurements and exceptional items of $155.9 million as at and for the year ended 31 December 2020</w:t>
      </w:r>
      <w:r>
        <w:t xml:space="preserve"> </w:t>
      </w:r>
      <w:r w:rsidR="00CF2145">
        <w:t>(the "</w:t>
      </w:r>
      <w:r w:rsidR="00CF2145" w:rsidRPr="00186BEA">
        <w:rPr>
          <w:b/>
          <w:bCs/>
        </w:rPr>
        <w:t xml:space="preserve">Deferred Tax Asset </w:t>
      </w:r>
      <w:r w:rsidR="008F1F44">
        <w:rPr>
          <w:b/>
          <w:bCs/>
        </w:rPr>
        <w:t>Adjustment</w:t>
      </w:r>
      <w:r w:rsidR="00CF2145">
        <w:t>")</w:t>
      </w:r>
      <w:r w:rsidR="00170A4C">
        <w:t xml:space="preserve">. </w:t>
      </w:r>
      <w:bookmarkEnd w:id="23"/>
    </w:p>
    <w:p w14:paraId="033BCF28" w14:textId="11635CF9" w:rsidR="00964000" w:rsidRDefault="00BA4DB2" w:rsidP="00B954D3">
      <w:pPr>
        <w:pStyle w:val="H3OCAshurst"/>
        <w:numPr>
          <w:ilvl w:val="0"/>
          <w:numId w:val="0"/>
        </w:numPr>
        <w:ind w:left="709"/>
      </w:pPr>
      <w:r>
        <w:t xml:space="preserve">There are no changes to the underlying amounts recognised in relation to </w:t>
      </w:r>
      <w:r w:rsidR="00F86019">
        <w:t xml:space="preserve">the </w:t>
      </w:r>
      <w:r w:rsidR="00E26DD3">
        <w:t xml:space="preserve">Magnus Contingent Consideration </w:t>
      </w:r>
      <w:r>
        <w:t xml:space="preserve">or to amounts recognised in respect of deferred tax in </w:t>
      </w:r>
      <w:r w:rsidR="00134F8F">
        <w:t>the 2019 Financial Statements or 2018 Financial Statements</w:t>
      </w:r>
      <w:r>
        <w:t>.</w:t>
      </w:r>
    </w:p>
    <w:p w14:paraId="29431BDE" w14:textId="4DFF5B67" w:rsidR="00997093" w:rsidRDefault="00F86019" w:rsidP="001E486A">
      <w:pPr>
        <w:pStyle w:val="H2OCAshurst"/>
      </w:pPr>
      <w:r>
        <w:t>D</w:t>
      </w:r>
      <w:r w:rsidR="00997093">
        <w:t>isclosure of the Deferred Tax Asset Adjustment in the EnQuest 2021 Half Year Results</w:t>
      </w:r>
    </w:p>
    <w:p w14:paraId="617EF7B2" w14:textId="772866C6" w:rsidR="00997093" w:rsidRDefault="00997093" w:rsidP="00B954D3">
      <w:pPr>
        <w:pStyle w:val="H3OCAshurst"/>
        <w:numPr>
          <w:ilvl w:val="0"/>
          <w:numId w:val="0"/>
        </w:numPr>
        <w:ind w:left="709"/>
      </w:pPr>
      <w:r>
        <w:t xml:space="preserve">The Deferred Tax Asset Adjustment </w:t>
      </w:r>
      <w:r w:rsidR="00F86019">
        <w:t>was</w:t>
      </w:r>
      <w:r w:rsidR="00BD62E9">
        <w:t xml:space="preserve"> </w:t>
      </w:r>
      <w:r>
        <w:t xml:space="preserve">disclosed in </w:t>
      </w:r>
      <w:r w:rsidR="007B611D">
        <w:t xml:space="preserve">Note 2 of </w:t>
      </w:r>
      <w:r>
        <w:t>the EnQuest 2021 Half Year Results published on 2 September 2021</w:t>
      </w:r>
      <w:r w:rsidR="007B611D">
        <w:t xml:space="preserve">, </w:t>
      </w:r>
      <w:r w:rsidR="000C7034">
        <w:t xml:space="preserve">which included </w:t>
      </w:r>
      <w:r w:rsidR="007B611D">
        <w:t>the following restatements reflecting:</w:t>
      </w:r>
    </w:p>
    <w:p w14:paraId="1964D78C" w14:textId="163489E2" w:rsidR="007B611D" w:rsidRPr="001E486A" w:rsidRDefault="007B611D" w:rsidP="001E486A">
      <w:pPr>
        <w:pStyle w:val="DefSubOCAshurst"/>
        <w:tabs>
          <w:tab w:val="clear" w:pos="709"/>
        </w:tabs>
        <w:ind w:left="1418"/>
      </w:pPr>
      <w:r>
        <w:t xml:space="preserve">the </w:t>
      </w:r>
      <w:r w:rsidRPr="001E486A">
        <w:t>six month impact of the Deferred Tax Asset</w:t>
      </w:r>
      <w:r w:rsidR="000C7034">
        <w:t xml:space="preserve"> Adjustment</w:t>
      </w:r>
      <w:r w:rsidRPr="001E486A">
        <w:t xml:space="preserve"> on the Group Income Statement for the </w:t>
      </w:r>
      <w:r w:rsidR="00240B9C">
        <w:t xml:space="preserve">six month comparative period </w:t>
      </w:r>
      <w:r w:rsidRPr="001E486A">
        <w:t xml:space="preserve">ended </w:t>
      </w:r>
      <w:r w:rsidR="00240B9C">
        <w:t xml:space="preserve">30 June </w:t>
      </w:r>
      <w:r w:rsidRPr="001E486A">
        <w:t>2020; and</w:t>
      </w:r>
    </w:p>
    <w:p w14:paraId="5A92A934" w14:textId="2D97E6A8" w:rsidR="000C7034" w:rsidRDefault="007B611D" w:rsidP="001E486A">
      <w:pPr>
        <w:pStyle w:val="DefSubOCAshurst"/>
        <w:tabs>
          <w:tab w:val="clear" w:pos="709"/>
          <w:tab w:val="num" w:pos="1418"/>
        </w:tabs>
        <w:ind w:left="1418"/>
      </w:pPr>
      <w:r w:rsidRPr="001E486A">
        <w:t xml:space="preserve">the </w:t>
      </w:r>
      <w:r>
        <w:t>impact of the Deferred Tax Asset</w:t>
      </w:r>
      <w:r w:rsidR="000C7034">
        <w:t xml:space="preserve"> Adjustment</w:t>
      </w:r>
      <w:r>
        <w:t xml:space="preserve"> on the Group Balance Sheet as at 31 December 2020</w:t>
      </w:r>
      <w:r w:rsidR="000C7034">
        <w:t>.</w:t>
      </w:r>
    </w:p>
    <w:p w14:paraId="57DE63E0" w14:textId="5D4F3ADF" w:rsidR="00DD2A66" w:rsidRDefault="005666DD" w:rsidP="000C7034">
      <w:pPr>
        <w:pStyle w:val="H1OCAshurst"/>
        <w:keepNext/>
        <w:keepLines/>
      </w:pPr>
      <w:r>
        <w:lastRenderedPageBreak/>
        <w:t>Supplementary Information</w:t>
      </w:r>
    </w:p>
    <w:p w14:paraId="439260AB" w14:textId="7A360604" w:rsidR="000A0D20" w:rsidRDefault="000A0D20" w:rsidP="000C7034">
      <w:pPr>
        <w:pStyle w:val="H2OCAshurst"/>
        <w:keepNext/>
        <w:keepLines/>
      </w:pPr>
      <w:bookmarkStart w:id="24" w:name="_Ref81909867"/>
      <w:r>
        <w:t>Restatement of the EnQuest Group's 2020 Financial Statements</w:t>
      </w:r>
      <w:bookmarkEnd w:id="24"/>
    </w:p>
    <w:p w14:paraId="01AF1686" w14:textId="3FEE8E17" w:rsidR="00B954D3" w:rsidRPr="00134F8F" w:rsidRDefault="00B954D3" w:rsidP="000C7034">
      <w:pPr>
        <w:pStyle w:val="H3OCAshurst"/>
        <w:keepNext/>
        <w:keepLines/>
        <w:numPr>
          <w:ilvl w:val="0"/>
          <w:numId w:val="0"/>
        </w:numPr>
      </w:pPr>
      <w:r>
        <w:t xml:space="preserve">The tables below </w:t>
      </w:r>
      <w:r w:rsidR="00F57F41">
        <w:t>set out</w:t>
      </w:r>
      <w:r>
        <w:t xml:space="preserve"> the corrections to the 2020 Financial Statements</w:t>
      </w:r>
      <w:r w:rsidR="00997093">
        <w:t>, reflecting the impact of the Deferred Tax Asset Adjustment on (a) the Group Income Statement for the year ended 31 December 2020</w:t>
      </w:r>
      <w:r w:rsidR="007B611D">
        <w:t>,</w:t>
      </w:r>
      <w:r w:rsidR="00997093">
        <w:t xml:space="preserve"> and (b) the Group Balance Sheet as at 31 December 2020</w:t>
      </w:r>
      <w:r>
        <w:t>:</w:t>
      </w:r>
    </w:p>
    <w:p w14:paraId="34FFCBB3" w14:textId="394C70B5" w:rsidR="00B954D3" w:rsidRPr="001E486A" w:rsidRDefault="00B954D3" w:rsidP="000C7034">
      <w:pPr>
        <w:pStyle w:val="H3OCAshurst"/>
        <w:keepNext/>
        <w:keepLines/>
        <w:rPr>
          <w:b/>
          <w:bCs/>
        </w:rPr>
      </w:pPr>
      <w:bookmarkStart w:id="25" w:name="_Ref83024359"/>
      <w:r w:rsidRPr="001E486A">
        <w:rPr>
          <w:b/>
          <w:bCs/>
        </w:rPr>
        <w:t>2020 Financial Statements – Group Income Statement (Restated)</w:t>
      </w:r>
      <w:bookmarkEnd w:id="25"/>
      <w:r w:rsidRPr="001E486A">
        <w:rPr>
          <w:b/>
          <w:bCs/>
        </w:rPr>
        <w:t xml:space="preserve"> </w:t>
      </w:r>
    </w:p>
    <w:tbl>
      <w:tblPr>
        <w:tblStyle w:val="TableGrid"/>
        <w:tblW w:w="8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86"/>
        <w:gridCol w:w="1243"/>
        <w:gridCol w:w="776"/>
        <w:gridCol w:w="963"/>
        <w:gridCol w:w="986"/>
        <w:gridCol w:w="1243"/>
        <w:gridCol w:w="1056"/>
      </w:tblGrid>
      <w:tr w:rsidR="00B954D3" w:rsidRPr="00D13F28" w14:paraId="0377B3DE" w14:textId="77777777" w:rsidTr="001E486A">
        <w:tc>
          <w:tcPr>
            <w:tcW w:w="1276" w:type="dxa"/>
          </w:tcPr>
          <w:p w14:paraId="543674A2" w14:textId="77777777" w:rsidR="00B954D3" w:rsidRPr="00D13F28" w:rsidRDefault="00B954D3" w:rsidP="001E486A">
            <w:pPr>
              <w:pStyle w:val="StandardOCAshurst"/>
              <w:keepNext/>
              <w:keepLines/>
              <w:spacing w:before="6"/>
              <w:rPr>
                <w:sz w:val="14"/>
                <w:szCs w:val="14"/>
              </w:rPr>
            </w:pPr>
          </w:p>
        </w:tc>
        <w:tc>
          <w:tcPr>
            <w:tcW w:w="3005" w:type="dxa"/>
            <w:gridSpan w:val="3"/>
            <w:vAlign w:val="bottom"/>
          </w:tcPr>
          <w:p w14:paraId="48255D31" w14:textId="1D49146D" w:rsidR="00B954D3" w:rsidRPr="00D13F28" w:rsidRDefault="00B954D3" w:rsidP="001E486A">
            <w:pPr>
              <w:pStyle w:val="StandardOCAshurst"/>
              <w:keepNext/>
              <w:keepLines/>
              <w:pBdr>
                <w:bottom w:val="single" w:sz="4" w:space="1" w:color="auto"/>
              </w:pBdr>
              <w:spacing w:before="6"/>
              <w:jc w:val="center"/>
              <w:rPr>
                <w:b/>
                <w:bCs/>
                <w:sz w:val="14"/>
                <w:szCs w:val="14"/>
              </w:rPr>
            </w:pPr>
            <w:r>
              <w:rPr>
                <w:b/>
                <w:bCs/>
                <w:sz w:val="14"/>
                <w:szCs w:val="14"/>
              </w:rPr>
              <w:t xml:space="preserve">For the year </w:t>
            </w:r>
            <w:r w:rsidR="00997093">
              <w:rPr>
                <w:b/>
                <w:bCs/>
                <w:sz w:val="14"/>
                <w:szCs w:val="14"/>
              </w:rPr>
              <w:t>ended</w:t>
            </w:r>
            <w:r>
              <w:rPr>
                <w:b/>
                <w:bCs/>
                <w:sz w:val="14"/>
                <w:szCs w:val="14"/>
              </w:rPr>
              <w:t xml:space="preserve"> 31 December </w:t>
            </w:r>
            <w:r w:rsidRPr="00D13F28">
              <w:rPr>
                <w:b/>
                <w:bCs/>
                <w:sz w:val="14"/>
                <w:szCs w:val="14"/>
              </w:rPr>
              <w:t>2020 (As previously reported)</w:t>
            </w:r>
          </w:p>
        </w:tc>
        <w:tc>
          <w:tcPr>
            <w:tcW w:w="963" w:type="dxa"/>
            <w:shd w:val="clear" w:color="auto" w:fill="F2F2F2" w:themeFill="background1" w:themeFillShade="F2"/>
            <w:vAlign w:val="center"/>
          </w:tcPr>
          <w:p w14:paraId="5C7501AF" w14:textId="77777777" w:rsidR="00B954D3" w:rsidRPr="00D13F28" w:rsidRDefault="00B954D3" w:rsidP="001E486A">
            <w:pPr>
              <w:pStyle w:val="StandardOCAshurst"/>
              <w:keepNext/>
              <w:keepLines/>
              <w:pBdr>
                <w:bottom w:val="single" w:sz="4" w:space="1" w:color="auto"/>
              </w:pBdr>
              <w:spacing w:before="6"/>
              <w:jc w:val="center"/>
              <w:rPr>
                <w:b/>
                <w:bCs/>
                <w:sz w:val="14"/>
                <w:szCs w:val="14"/>
              </w:rPr>
            </w:pPr>
            <w:r w:rsidRPr="00D13F28">
              <w:rPr>
                <w:b/>
                <w:bCs/>
                <w:sz w:val="14"/>
                <w:szCs w:val="14"/>
              </w:rPr>
              <w:t>Restatement adjustment</w:t>
            </w:r>
          </w:p>
        </w:tc>
        <w:tc>
          <w:tcPr>
            <w:tcW w:w="3285" w:type="dxa"/>
            <w:gridSpan w:val="3"/>
            <w:vAlign w:val="bottom"/>
          </w:tcPr>
          <w:p w14:paraId="0FCE6B19" w14:textId="501B4EC1" w:rsidR="00B954D3" w:rsidRDefault="00B954D3" w:rsidP="001E486A">
            <w:pPr>
              <w:pStyle w:val="StandardOCAshurst"/>
              <w:keepNext/>
              <w:keepLines/>
              <w:pBdr>
                <w:bottom w:val="single" w:sz="4" w:space="1" w:color="auto"/>
              </w:pBdr>
              <w:spacing w:before="6"/>
              <w:jc w:val="center"/>
              <w:rPr>
                <w:b/>
                <w:bCs/>
                <w:sz w:val="14"/>
                <w:szCs w:val="14"/>
              </w:rPr>
            </w:pPr>
            <w:r w:rsidRPr="00B954D3">
              <w:rPr>
                <w:b/>
                <w:bCs/>
                <w:sz w:val="14"/>
                <w:szCs w:val="14"/>
              </w:rPr>
              <w:t xml:space="preserve">For the year </w:t>
            </w:r>
            <w:r w:rsidR="00997093">
              <w:rPr>
                <w:b/>
                <w:bCs/>
                <w:sz w:val="14"/>
                <w:szCs w:val="14"/>
              </w:rPr>
              <w:t>ended</w:t>
            </w:r>
            <w:r w:rsidRPr="00B954D3">
              <w:rPr>
                <w:b/>
                <w:bCs/>
                <w:sz w:val="14"/>
                <w:szCs w:val="14"/>
              </w:rPr>
              <w:t xml:space="preserve"> 31 December </w:t>
            </w:r>
            <w:r w:rsidRPr="00D13F28">
              <w:rPr>
                <w:b/>
                <w:bCs/>
                <w:sz w:val="14"/>
                <w:szCs w:val="14"/>
              </w:rPr>
              <w:t xml:space="preserve">2020 </w:t>
            </w:r>
          </w:p>
          <w:p w14:paraId="7CEF4D5C" w14:textId="77777777" w:rsidR="00B954D3" w:rsidRPr="00D13F28" w:rsidRDefault="00B954D3" w:rsidP="001E486A">
            <w:pPr>
              <w:pStyle w:val="StandardOCAshurst"/>
              <w:keepNext/>
              <w:keepLines/>
              <w:pBdr>
                <w:bottom w:val="single" w:sz="4" w:space="1" w:color="auto"/>
              </w:pBdr>
              <w:spacing w:before="6"/>
              <w:jc w:val="center"/>
              <w:rPr>
                <w:b/>
                <w:bCs/>
                <w:sz w:val="14"/>
                <w:szCs w:val="14"/>
              </w:rPr>
            </w:pPr>
            <w:r>
              <w:rPr>
                <w:b/>
                <w:bCs/>
                <w:sz w:val="14"/>
                <w:szCs w:val="14"/>
              </w:rPr>
              <w:t>(</w:t>
            </w:r>
            <w:r w:rsidRPr="00D13F28">
              <w:rPr>
                <w:b/>
                <w:bCs/>
                <w:sz w:val="14"/>
                <w:szCs w:val="14"/>
              </w:rPr>
              <w:t>restated</w:t>
            </w:r>
            <w:r>
              <w:rPr>
                <w:b/>
                <w:bCs/>
                <w:sz w:val="14"/>
                <w:szCs w:val="14"/>
              </w:rPr>
              <w:t>)</w:t>
            </w:r>
          </w:p>
        </w:tc>
      </w:tr>
      <w:tr w:rsidR="00B954D3" w:rsidRPr="00D13F28" w14:paraId="2059C1C2" w14:textId="77777777" w:rsidTr="001E486A">
        <w:tc>
          <w:tcPr>
            <w:tcW w:w="1276" w:type="dxa"/>
          </w:tcPr>
          <w:p w14:paraId="223BFF6D" w14:textId="77777777" w:rsidR="00B954D3" w:rsidRPr="00D13F28" w:rsidRDefault="00B954D3" w:rsidP="001E486A">
            <w:pPr>
              <w:pStyle w:val="StandardOCAshurst"/>
              <w:keepNext/>
              <w:keepLines/>
              <w:spacing w:before="6"/>
              <w:rPr>
                <w:sz w:val="14"/>
                <w:szCs w:val="14"/>
              </w:rPr>
            </w:pPr>
          </w:p>
        </w:tc>
        <w:tc>
          <w:tcPr>
            <w:tcW w:w="986" w:type="dxa"/>
            <w:vAlign w:val="bottom"/>
          </w:tcPr>
          <w:p w14:paraId="72C2BFC7" w14:textId="77777777" w:rsidR="00B954D3" w:rsidRPr="00D13F28" w:rsidRDefault="00B954D3" w:rsidP="001E486A">
            <w:pPr>
              <w:pStyle w:val="StandardOCAshurst"/>
              <w:keepNext/>
              <w:keepLines/>
              <w:spacing w:before="6"/>
              <w:jc w:val="right"/>
              <w:rPr>
                <w:b/>
                <w:bCs/>
                <w:sz w:val="14"/>
                <w:szCs w:val="14"/>
              </w:rPr>
            </w:pPr>
          </w:p>
          <w:p w14:paraId="34442490" w14:textId="77777777" w:rsidR="00B954D3" w:rsidRPr="00D13F28" w:rsidRDefault="00B954D3" w:rsidP="001E486A">
            <w:pPr>
              <w:pStyle w:val="StandardOCAshurst"/>
              <w:keepNext/>
              <w:keepLines/>
              <w:spacing w:before="6"/>
              <w:jc w:val="right"/>
              <w:rPr>
                <w:b/>
                <w:bCs/>
                <w:sz w:val="14"/>
                <w:szCs w:val="14"/>
              </w:rPr>
            </w:pPr>
            <w:r w:rsidRPr="00D13F28">
              <w:rPr>
                <w:b/>
                <w:bCs/>
                <w:sz w:val="14"/>
                <w:szCs w:val="14"/>
              </w:rPr>
              <w:t>Business performance $'000</w:t>
            </w:r>
          </w:p>
        </w:tc>
        <w:tc>
          <w:tcPr>
            <w:tcW w:w="1243" w:type="dxa"/>
            <w:vAlign w:val="bottom"/>
          </w:tcPr>
          <w:p w14:paraId="353B781D" w14:textId="77777777" w:rsidR="00B954D3" w:rsidRPr="00D13F28" w:rsidRDefault="00B954D3" w:rsidP="001E486A">
            <w:pPr>
              <w:pStyle w:val="StandardOCAshurst"/>
              <w:keepNext/>
              <w:keepLines/>
              <w:spacing w:before="6"/>
              <w:jc w:val="right"/>
              <w:rPr>
                <w:b/>
                <w:bCs/>
                <w:sz w:val="14"/>
                <w:szCs w:val="14"/>
              </w:rPr>
            </w:pPr>
            <w:r w:rsidRPr="00D13F28">
              <w:rPr>
                <w:b/>
                <w:bCs/>
                <w:sz w:val="14"/>
                <w:szCs w:val="14"/>
              </w:rPr>
              <w:t>Remeasurements and exceptional items  $'000</w:t>
            </w:r>
          </w:p>
        </w:tc>
        <w:tc>
          <w:tcPr>
            <w:tcW w:w="776" w:type="dxa"/>
            <w:vAlign w:val="bottom"/>
          </w:tcPr>
          <w:p w14:paraId="457BB52B" w14:textId="77777777" w:rsidR="00B954D3" w:rsidRPr="00D13F28" w:rsidRDefault="00B954D3" w:rsidP="001E486A">
            <w:pPr>
              <w:pStyle w:val="StandardOCAshurst"/>
              <w:keepNext/>
              <w:keepLines/>
              <w:spacing w:before="6"/>
              <w:jc w:val="right"/>
              <w:rPr>
                <w:b/>
                <w:bCs/>
                <w:sz w:val="14"/>
                <w:szCs w:val="14"/>
              </w:rPr>
            </w:pPr>
          </w:p>
          <w:p w14:paraId="35E21B26" w14:textId="77777777" w:rsidR="00B954D3" w:rsidRPr="00D13F28" w:rsidRDefault="00B954D3" w:rsidP="001E486A">
            <w:pPr>
              <w:pStyle w:val="StandardOCAshurst"/>
              <w:keepNext/>
              <w:keepLines/>
              <w:spacing w:before="6"/>
              <w:jc w:val="right"/>
              <w:rPr>
                <w:b/>
                <w:bCs/>
                <w:sz w:val="14"/>
                <w:szCs w:val="14"/>
              </w:rPr>
            </w:pPr>
            <w:r w:rsidRPr="00D13F28">
              <w:rPr>
                <w:b/>
                <w:bCs/>
                <w:sz w:val="14"/>
                <w:szCs w:val="14"/>
              </w:rPr>
              <w:t>Reported in year $'000</w:t>
            </w:r>
          </w:p>
        </w:tc>
        <w:tc>
          <w:tcPr>
            <w:tcW w:w="963" w:type="dxa"/>
            <w:shd w:val="clear" w:color="auto" w:fill="F2F2F2" w:themeFill="background1" w:themeFillShade="F2"/>
            <w:vAlign w:val="bottom"/>
          </w:tcPr>
          <w:p w14:paraId="3E384331" w14:textId="77777777" w:rsidR="00B954D3" w:rsidRPr="00D13F28" w:rsidRDefault="00B954D3" w:rsidP="001E486A">
            <w:pPr>
              <w:pStyle w:val="StandardOCAshurst"/>
              <w:keepNext/>
              <w:keepLines/>
              <w:spacing w:before="6"/>
              <w:jc w:val="right"/>
              <w:rPr>
                <w:b/>
                <w:bCs/>
                <w:sz w:val="14"/>
                <w:szCs w:val="14"/>
              </w:rPr>
            </w:pPr>
          </w:p>
          <w:p w14:paraId="0F768618" w14:textId="77777777" w:rsidR="00B954D3" w:rsidRPr="00D13F28" w:rsidRDefault="00B954D3" w:rsidP="001E486A">
            <w:pPr>
              <w:pStyle w:val="StandardOCAshurst"/>
              <w:keepNext/>
              <w:keepLines/>
              <w:spacing w:before="6"/>
              <w:jc w:val="right"/>
              <w:rPr>
                <w:b/>
                <w:bCs/>
                <w:sz w:val="14"/>
                <w:szCs w:val="14"/>
              </w:rPr>
            </w:pPr>
          </w:p>
        </w:tc>
        <w:tc>
          <w:tcPr>
            <w:tcW w:w="986" w:type="dxa"/>
            <w:vAlign w:val="bottom"/>
          </w:tcPr>
          <w:p w14:paraId="510311A5" w14:textId="77777777" w:rsidR="00B954D3" w:rsidRPr="00D13F28" w:rsidRDefault="00B954D3" w:rsidP="001E486A">
            <w:pPr>
              <w:pStyle w:val="StandardOCAshurst"/>
              <w:keepNext/>
              <w:keepLines/>
              <w:spacing w:before="6"/>
              <w:jc w:val="right"/>
              <w:rPr>
                <w:b/>
                <w:bCs/>
                <w:sz w:val="14"/>
                <w:szCs w:val="14"/>
              </w:rPr>
            </w:pPr>
            <w:r w:rsidRPr="00D13F28">
              <w:rPr>
                <w:b/>
                <w:bCs/>
                <w:sz w:val="14"/>
                <w:szCs w:val="14"/>
              </w:rPr>
              <w:t>Business performance $'000</w:t>
            </w:r>
          </w:p>
        </w:tc>
        <w:tc>
          <w:tcPr>
            <w:tcW w:w="1243" w:type="dxa"/>
            <w:vAlign w:val="bottom"/>
          </w:tcPr>
          <w:p w14:paraId="7DC8D95A" w14:textId="77777777" w:rsidR="00B954D3" w:rsidRPr="00D13F28" w:rsidRDefault="00B954D3" w:rsidP="001E486A">
            <w:pPr>
              <w:pStyle w:val="StandardOCAshurst"/>
              <w:keepNext/>
              <w:keepLines/>
              <w:spacing w:before="6"/>
              <w:jc w:val="right"/>
              <w:rPr>
                <w:b/>
                <w:bCs/>
                <w:sz w:val="14"/>
                <w:szCs w:val="14"/>
              </w:rPr>
            </w:pPr>
            <w:r w:rsidRPr="00D13F28">
              <w:rPr>
                <w:b/>
                <w:bCs/>
                <w:sz w:val="14"/>
                <w:szCs w:val="14"/>
              </w:rPr>
              <w:t>Remeasurements and exceptional items $'000</w:t>
            </w:r>
          </w:p>
        </w:tc>
        <w:tc>
          <w:tcPr>
            <w:tcW w:w="1056" w:type="dxa"/>
            <w:vAlign w:val="bottom"/>
          </w:tcPr>
          <w:p w14:paraId="1D475FE9" w14:textId="77777777" w:rsidR="00B954D3" w:rsidRPr="00D13F28" w:rsidRDefault="00B954D3" w:rsidP="001E486A">
            <w:pPr>
              <w:pStyle w:val="StandardOCAshurst"/>
              <w:keepNext/>
              <w:keepLines/>
              <w:spacing w:before="6"/>
              <w:jc w:val="right"/>
              <w:rPr>
                <w:b/>
                <w:bCs/>
                <w:sz w:val="14"/>
                <w:szCs w:val="14"/>
              </w:rPr>
            </w:pPr>
          </w:p>
          <w:p w14:paraId="56373E31" w14:textId="77777777" w:rsidR="00B954D3" w:rsidRPr="00D13F28" w:rsidRDefault="00B954D3" w:rsidP="001E486A">
            <w:pPr>
              <w:pStyle w:val="StandardOCAshurst"/>
              <w:keepNext/>
              <w:keepLines/>
              <w:spacing w:before="6"/>
              <w:jc w:val="right"/>
              <w:rPr>
                <w:b/>
                <w:bCs/>
                <w:sz w:val="14"/>
                <w:szCs w:val="14"/>
              </w:rPr>
            </w:pPr>
            <w:r w:rsidRPr="00D13F28">
              <w:rPr>
                <w:b/>
                <w:bCs/>
                <w:sz w:val="14"/>
                <w:szCs w:val="14"/>
              </w:rPr>
              <w:t>Reported in year $'000</w:t>
            </w:r>
          </w:p>
        </w:tc>
      </w:tr>
      <w:tr w:rsidR="00B954D3" w:rsidRPr="00D13F28" w14:paraId="4AEB33EF" w14:textId="77777777" w:rsidTr="001E486A">
        <w:tc>
          <w:tcPr>
            <w:tcW w:w="1276" w:type="dxa"/>
          </w:tcPr>
          <w:p w14:paraId="2E6AEECB" w14:textId="77777777" w:rsidR="00B954D3" w:rsidRPr="00D13F28" w:rsidRDefault="00B954D3" w:rsidP="001E486A">
            <w:pPr>
              <w:pStyle w:val="StandardOCAshurst"/>
              <w:keepNext/>
              <w:keepLines/>
              <w:spacing w:before="6"/>
              <w:jc w:val="left"/>
              <w:rPr>
                <w:b/>
                <w:bCs/>
                <w:sz w:val="14"/>
                <w:szCs w:val="14"/>
              </w:rPr>
            </w:pPr>
            <w:r w:rsidRPr="00D13F28">
              <w:rPr>
                <w:b/>
                <w:bCs/>
                <w:sz w:val="14"/>
                <w:szCs w:val="14"/>
              </w:rPr>
              <w:t xml:space="preserve">Profit/(loss) before tax </w:t>
            </w:r>
          </w:p>
        </w:tc>
        <w:tc>
          <w:tcPr>
            <w:tcW w:w="986" w:type="dxa"/>
            <w:vAlign w:val="bottom"/>
          </w:tcPr>
          <w:p w14:paraId="5757A7E1"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(198,666)</w:t>
            </w:r>
          </w:p>
        </w:tc>
        <w:tc>
          <w:tcPr>
            <w:tcW w:w="1243" w:type="dxa"/>
            <w:vAlign w:val="bottom"/>
          </w:tcPr>
          <w:p w14:paraId="58D03D2D"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(367,309)</w:t>
            </w:r>
          </w:p>
        </w:tc>
        <w:tc>
          <w:tcPr>
            <w:tcW w:w="776" w:type="dxa"/>
            <w:vAlign w:val="bottom"/>
          </w:tcPr>
          <w:p w14:paraId="47C7CA67"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(565,975)</w:t>
            </w:r>
          </w:p>
        </w:tc>
        <w:tc>
          <w:tcPr>
            <w:tcW w:w="963" w:type="dxa"/>
            <w:shd w:val="clear" w:color="auto" w:fill="F2F2F2" w:themeFill="background1" w:themeFillShade="F2"/>
            <w:vAlign w:val="bottom"/>
          </w:tcPr>
          <w:p w14:paraId="56ACB034" w14:textId="77777777" w:rsidR="00B954D3" w:rsidRPr="00D13F28" w:rsidRDefault="00B954D3" w:rsidP="001E486A">
            <w:pPr>
              <w:pStyle w:val="StandardOCAshurst"/>
              <w:keepNext/>
              <w:keepLines/>
              <w:spacing w:before="6"/>
              <w:jc w:val="right"/>
              <w:rPr>
                <w:sz w:val="14"/>
                <w:szCs w:val="14"/>
              </w:rPr>
            </w:pPr>
          </w:p>
        </w:tc>
        <w:tc>
          <w:tcPr>
            <w:tcW w:w="986" w:type="dxa"/>
            <w:vAlign w:val="bottom"/>
          </w:tcPr>
          <w:p w14:paraId="39F08C1D"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(198,666)</w:t>
            </w:r>
          </w:p>
        </w:tc>
        <w:tc>
          <w:tcPr>
            <w:tcW w:w="1243" w:type="dxa"/>
            <w:vAlign w:val="bottom"/>
          </w:tcPr>
          <w:p w14:paraId="5C3C0A7A"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(367,309)</w:t>
            </w:r>
          </w:p>
        </w:tc>
        <w:tc>
          <w:tcPr>
            <w:tcW w:w="1056" w:type="dxa"/>
            <w:vAlign w:val="bottom"/>
          </w:tcPr>
          <w:p w14:paraId="066AD147"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(565,975)</w:t>
            </w:r>
          </w:p>
        </w:tc>
      </w:tr>
      <w:tr w:rsidR="00B954D3" w:rsidRPr="00D13F28" w14:paraId="6A1282BA" w14:textId="77777777" w:rsidTr="001E486A">
        <w:tc>
          <w:tcPr>
            <w:tcW w:w="1276" w:type="dxa"/>
          </w:tcPr>
          <w:p w14:paraId="3C3438EF" w14:textId="77777777" w:rsidR="00B954D3" w:rsidRPr="00D13F28" w:rsidRDefault="00B954D3" w:rsidP="001E486A">
            <w:pPr>
              <w:pStyle w:val="StandardOCAshurst"/>
              <w:keepNext/>
              <w:keepLines/>
              <w:spacing w:before="6"/>
              <w:jc w:val="left"/>
              <w:rPr>
                <w:sz w:val="14"/>
                <w:szCs w:val="14"/>
              </w:rPr>
            </w:pPr>
            <w:r w:rsidRPr="00D13F28">
              <w:rPr>
                <w:sz w:val="14"/>
                <w:szCs w:val="14"/>
              </w:rPr>
              <w:t>Income Tax</w:t>
            </w:r>
          </w:p>
        </w:tc>
        <w:tc>
          <w:tcPr>
            <w:tcW w:w="986" w:type="dxa"/>
            <w:vAlign w:val="bottom"/>
          </w:tcPr>
          <w:p w14:paraId="3A78EBE3"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172,479</w:t>
            </w:r>
          </w:p>
        </w:tc>
        <w:tc>
          <w:tcPr>
            <w:tcW w:w="1243" w:type="dxa"/>
            <w:vAlign w:val="bottom"/>
          </w:tcPr>
          <w:p w14:paraId="4BFE2CBF"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(232,306)</w:t>
            </w:r>
          </w:p>
        </w:tc>
        <w:tc>
          <w:tcPr>
            <w:tcW w:w="776" w:type="dxa"/>
            <w:vAlign w:val="bottom"/>
          </w:tcPr>
          <w:p w14:paraId="71076796"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(59,827)</w:t>
            </w:r>
          </w:p>
        </w:tc>
        <w:tc>
          <w:tcPr>
            <w:tcW w:w="963" w:type="dxa"/>
            <w:shd w:val="clear" w:color="auto" w:fill="F2F2F2" w:themeFill="background1" w:themeFillShade="F2"/>
            <w:vAlign w:val="bottom"/>
          </w:tcPr>
          <w:p w14:paraId="441DDB48"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155,857</w:t>
            </w:r>
          </w:p>
        </w:tc>
        <w:tc>
          <w:tcPr>
            <w:tcW w:w="986" w:type="dxa"/>
            <w:vAlign w:val="bottom"/>
          </w:tcPr>
          <w:p w14:paraId="48722150"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172,479</w:t>
            </w:r>
          </w:p>
        </w:tc>
        <w:tc>
          <w:tcPr>
            <w:tcW w:w="1243" w:type="dxa"/>
            <w:vAlign w:val="bottom"/>
          </w:tcPr>
          <w:p w14:paraId="5D74D0D4"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(76,449)</w:t>
            </w:r>
          </w:p>
        </w:tc>
        <w:tc>
          <w:tcPr>
            <w:tcW w:w="1056" w:type="dxa"/>
            <w:vAlign w:val="bottom"/>
          </w:tcPr>
          <w:p w14:paraId="657C3BE4"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96,030</w:t>
            </w:r>
          </w:p>
        </w:tc>
      </w:tr>
      <w:tr w:rsidR="00B954D3" w:rsidRPr="00D13F28" w14:paraId="17AA6F66" w14:textId="77777777" w:rsidTr="001E486A">
        <w:tc>
          <w:tcPr>
            <w:tcW w:w="1276" w:type="dxa"/>
          </w:tcPr>
          <w:p w14:paraId="632DFECC" w14:textId="77777777" w:rsidR="00B954D3" w:rsidRPr="00D13F28" w:rsidRDefault="00B954D3" w:rsidP="001E486A">
            <w:pPr>
              <w:pStyle w:val="StandardOCAshurst"/>
              <w:keepNext/>
              <w:keepLines/>
              <w:spacing w:before="6"/>
              <w:jc w:val="left"/>
              <w:rPr>
                <w:b/>
                <w:bCs/>
                <w:sz w:val="14"/>
                <w:szCs w:val="14"/>
              </w:rPr>
            </w:pPr>
            <w:r w:rsidRPr="00D13F28">
              <w:rPr>
                <w:b/>
                <w:bCs/>
                <w:sz w:val="14"/>
                <w:szCs w:val="14"/>
              </w:rPr>
              <w:t>Profit/(loss) for the year attributable to owners of the parent</w:t>
            </w:r>
          </w:p>
        </w:tc>
        <w:tc>
          <w:tcPr>
            <w:tcW w:w="986" w:type="dxa"/>
            <w:vAlign w:val="bottom"/>
          </w:tcPr>
          <w:p w14:paraId="7694C128"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(26,187)</w:t>
            </w:r>
          </w:p>
        </w:tc>
        <w:tc>
          <w:tcPr>
            <w:tcW w:w="1243" w:type="dxa"/>
            <w:vAlign w:val="bottom"/>
          </w:tcPr>
          <w:p w14:paraId="43C30EB2"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(599,615)</w:t>
            </w:r>
          </w:p>
        </w:tc>
        <w:tc>
          <w:tcPr>
            <w:tcW w:w="776" w:type="dxa"/>
            <w:vAlign w:val="bottom"/>
          </w:tcPr>
          <w:p w14:paraId="2D17A38C"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(625,802)</w:t>
            </w:r>
          </w:p>
        </w:tc>
        <w:tc>
          <w:tcPr>
            <w:tcW w:w="963" w:type="dxa"/>
            <w:shd w:val="clear" w:color="auto" w:fill="F2F2F2" w:themeFill="background1" w:themeFillShade="F2"/>
            <w:vAlign w:val="bottom"/>
          </w:tcPr>
          <w:p w14:paraId="7EEA0660"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155,857</w:t>
            </w:r>
          </w:p>
        </w:tc>
        <w:tc>
          <w:tcPr>
            <w:tcW w:w="986" w:type="dxa"/>
            <w:vAlign w:val="bottom"/>
          </w:tcPr>
          <w:p w14:paraId="73038CE1"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(26,187)</w:t>
            </w:r>
          </w:p>
        </w:tc>
        <w:tc>
          <w:tcPr>
            <w:tcW w:w="1243" w:type="dxa"/>
            <w:vAlign w:val="bottom"/>
          </w:tcPr>
          <w:p w14:paraId="6A408541"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(443,758)</w:t>
            </w:r>
          </w:p>
        </w:tc>
        <w:tc>
          <w:tcPr>
            <w:tcW w:w="1056" w:type="dxa"/>
            <w:vAlign w:val="bottom"/>
          </w:tcPr>
          <w:p w14:paraId="4844EFA5"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(469,945)</w:t>
            </w:r>
          </w:p>
        </w:tc>
      </w:tr>
      <w:tr w:rsidR="00B954D3" w:rsidRPr="00D13F28" w14:paraId="5CB94356" w14:textId="77777777" w:rsidTr="001E486A">
        <w:tc>
          <w:tcPr>
            <w:tcW w:w="1276" w:type="dxa"/>
          </w:tcPr>
          <w:p w14:paraId="00806976" w14:textId="77777777" w:rsidR="00B954D3" w:rsidRPr="00D13F28" w:rsidRDefault="00B954D3" w:rsidP="001E486A">
            <w:pPr>
              <w:pStyle w:val="StandardOCAshurst"/>
              <w:keepNext/>
              <w:keepLines/>
              <w:spacing w:before="6"/>
              <w:rPr>
                <w:b/>
                <w:bCs/>
                <w:sz w:val="14"/>
                <w:szCs w:val="14"/>
              </w:rPr>
            </w:pPr>
            <w:r w:rsidRPr="00D13F28">
              <w:rPr>
                <w:b/>
                <w:bCs/>
                <w:sz w:val="14"/>
                <w:szCs w:val="14"/>
              </w:rPr>
              <w:t>Total comprehensive profit/(loss) for the period, attributable to owners of the parent</w:t>
            </w:r>
          </w:p>
        </w:tc>
        <w:tc>
          <w:tcPr>
            <w:tcW w:w="986" w:type="dxa"/>
            <w:vAlign w:val="bottom"/>
          </w:tcPr>
          <w:p w14:paraId="595A7955"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w:t>
            </w:r>
          </w:p>
        </w:tc>
        <w:tc>
          <w:tcPr>
            <w:tcW w:w="1243" w:type="dxa"/>
            <w:vAlign w:val="bottom"/>
          </w:tcPr>
          <w:p w14:paraId="7EED84D2"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w:t>
            </w:r>
          </w:p>
        </w:tc>
        <w:tc>
          <w:tcPr>
            <w:tcW w:w="776" w:type="dxa"/>
            <w:vAlign w:val="bottom"/>
          </w:tcPr>
          <w:p w14:paraId="790D7AE0"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(625,802)</w:t>
            </w:r>
          </w:p>
        </w:tc>
        <w:tc>
          <w:tcPr>
            <w:tcW w:w="963" w:type="dxa"/>
            <w:shd w:val="clear" w:color="auto" w:fill="F2F2F2" w:themeFill="background1" w:themeFillShade="F2"/>
            <w:vAlign w:val="bottom"/>
          </w:tcPr>
          <w:p w14:paraId="152FD6B1"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155,857</w:t>
            </w:r>
          </w:p>
        </w:tc>
        <w:tc>
          <w:tcPr>
            <w:tcW w:w="986" w:type="dxa"/>
            <w:vAlign w:val="bottom"/>
          </w:tcPr>
          <w:p w14:paraId="674C0CC1"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w:t>
            </w:r>
          </w:p>
        </w:tc>
        <w:tc>
          <w:tcPr>
            <w:tcW w:w="1243" w:type="dxa"/>
            <w:vAlign w:val="bottom"/>
          </w:tcPr>
          <w:p w14:paraId="6B923AC0"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w:t>
            </w:r>
          </w:p>
        </w:tc>
        <w:tc>
          <w:tcPr>
            <w:tcW w:w="1056" w:type="dxa"/>
            <w:vAlign w:val="bottom"/>
          </w:tcPr>
          <w:p w14:paraId="63E4D481"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(469,945)</w:t>
            </w:r>
          </w:p>
        </w:tc>
      </w:tr>
      <w:tr w:rsidR="00B954D3" w:rsidRPr="00D13F28" w14:paraId="529F1F7A" w14:textId="77777777" w:rsidTr="001E486A">
        <w:tc>
          <w:tcPr>
            <w:tcW w:w="1276" w:type="dxa"/>
          </w:tcPr>
          <w:p w14:paraId="4A59185A" w14:textId="77777777" w:rsidR="00B954D3" w:rsidRPr="00D13F28" w:rsidRDefault="00B954D3" w:rsidP="001E486A">
            <w:pPr>
              <w:pStyle w:val="StandardOCAshurst"/>
              <w:keepNext/>
              <w:keepLines/>
              <w:spacing w:before="6"/>
              <w:rPr>
                <w:sz w:val="14"/>
                <w:szCs w:val="14"/>
              </w:rPr>
            </w:pPr>
          </w:p>
        </w:tc>
        <w:tc>
          <w:tcPr>
            <w:tcW w:w="986" w:type="dxa"/>
          </w:tcPr>
          <w:p w14:paraId="570813EE" w14:textId="77777777" w:rsidR="00B954D3" w:rsidRPr="00D13F28" w:rsidRDefault="00B954D3" w:rsidP="001E486A">
            <w:pPr>
              <w:pStyle w:val="StandardOCAshurst"/>
              <w:keepNext/>
              <w:keepLines/>
              <w:spacing w:before="6"/>
              <w:jc w:val="center"/>
              <w:rPr>
                <w:sz w:val="14"/>
                <w:szCs w:val="14"/>
              </w:rPr>
            </w:pPr>
          </w:p>
        </w:tc>
        <w:tc>
          <w:tcPr>
            <w:tcW w:w="1243" w:type="dxa"/>
          </w:tcPr>
          <w:p w14:paraId="6BF16621" w14:textId="77777777" w:rsidR="00B954D3" w:rsidRPr="00D13F28" w:rsidRDefault="00B954D3" w:rsidP="001E486A">
            <w:pPr>
              <w:pStyle w:val="StandardOCAshurst"/>
              <w:keepNext/>
              <w:keepLines/>
              <w:spacing w:before="6"/>
              <w:jc w:val="center"/>
              <w:rPr>
                <w:sz w:val="14"/>
                <w:szCs w:val="14"/>
              </w:rPr>
            </w:pPr>
          </w:p>
        </w:tc>
        <w:tc>
          <w:tcPr>
            <w:tcW w:w="776" w:type="dxa"/>
          </w:tcPr>
          <w:p w14:paraId="26E7E392" w14:textId="77777777" w:rsidR="00B954D3" w:rsidRPr="00D13F28" w:rsidRDefault="00B954D3" w:rsidP="001E486A">
            <w:pPr>
              <w:pStyle w:val="StandardOCAshurst"/>
              <w:keepNext/>
              <w:keepLines/>
              <w:spacing w:before="6"/>
              <w:jc w:val="center"/>
              <w:rPr>
                <w:sz w:val="14"/>
                <w:szCs w:val="14"/>
              </w:rPr>
            </w:pPr>
          </w:p>
        </w:tc>
        <w:tc>
          <w:tcPr>
            <w:tcW w:w="963" w:type="dxa"/>
          </w:tcPr>
          <w:p w14:paraId="29121AF4" w14:textId="77777777" w:rsidR="00B954D3" w:rsidRPr="00D13F28" w:rsidRDefault="00B954D3" w:rsidP="001E486A">
            <w:pPr>
              <w:pStyle w:val="StandardOCAshurst"/>
              <w:keepNext/>
              <w:keepLines/>
              <w:spacing w:before="6"/>
              <w:jc w:val="center"/>
              <w:rPr>
                <w:sz w:val="14"/>
                <w:szCs w:val="14"/>
              </w:rPr>
            </w:pPr>
          </w:p>
        </w:tc>
        <w:tc>
          <w:tcPr>
            <w:tcW w:w="986" w:type="dxa"/>
          </w:tcPr>
          <w:p w14:paraId="36A0BDFC" w14:textId="77777777" w:rsidR="00B954D3" w:rsidRPr="00D13F28" w:rsidRDefault="00B954D3" w:rsidP="001E486A">
            <w:pPr>
              <w:pStyle w:val="StandardOCAshurst"/>
              <w:keepNext/>
              <w:keepLines/>
              <w:spacing w:before="6"/>
              <w:jc w:val="center"/>
              <w:rPr>
                <w:sz w:val="14"/>
                <w:szCs w:val="14"/>
              </w:rPr>
            </w:pPr>
          </w:p>
        </w:tc>
        <w:tc>
          <w:tcPr>
            <w:tcW w:w="1243" w:type="dxa"/>
          </w:tcPr>
          <w:p w14:paraId="4FA540FE" w14:textId="77777777" w:rsidR="00B954D3" w:rsidRPr="00D13F28" w:rsidRDefault="00B954D3" w:rsidP="001E486A">
            <w:pPr>
              <w:pStyle w:val="StandardOCAshurst"/>
              <w:keepNext/>
              <w:keepLines/>
              <w:spacing w:before="6"/>
              <w:jc w:val="center"/>
              <w:rPr>
                <w:sz w:val="14"/>
                <w:szCs w:val="14"/>
              </w:rPr>
            </w:pPr>
          </w:p>
        </w:tc>
        <w:tc>
          <w:tcPr>
            <w:tcW w:w="1056" w:type="dxa"/>
          </w:tcPr>
          <w:p w14:paraId="11BB1EF4" w14:textId="77777777" w:rsidR="00B954D3" w:rsidRPr="00D13F28" w:rsidRDefault="00B954D3" w:rsidP="001E486A">
            <w:pPr>
              <w:pStyle w:val="StandardOCAshurst"/>
              <w:keepNext/>
              <w:keepLines/>
              <w:spacing w:before="6"/>
              <w:jc w:val="center"/>
              <w:rPr>
                <w:sz w:val="14"/>
                <w:szCs w:val="14"/>
              </w:rPr>
            </w:pPr>
          </w:p>
        </w:tc>
      </w:tr>
    </w:tbl>
    <w:p w14:paraId="3D8764EF" w14:textId="77777777" w:rsidR="00B954D3" w:rsidRPr="00D13F28" w:rsidRDefault="00B954D3" w:rsidP="001E486A">
      <w:pPr>
        <w:keepNext/>
        <w:keepLines/>
        <w:rPr>
          <w:sz w:val="14"/>
          <w:szCs w:val="14"/>
        </w:rPr>
      </w:pPr>
    </w:p>
    <w:tbl>
      <w:tblPr>
        <w:tblStyle w:val="TableGrid"/>
        <w:tblW w:w="83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678"/>
        <w:gridCol w:w="1015"/>
        <w:gridCol w:w="992"/>
        <w:gridCol w:w="1814"/>
        <w:gridCol w:w="1447"/>
      </w:tblGrid>
      <w:tr w:rsidR="00B954D3" w:rsidRPr="00D13F28" w14:paraId="13A9EF3F" w14:textId="77777777" w:rsidTr="001E486A">
        <w:tc>
          <w:tcPr>
            <w:tcW w:w="1418" w:type="dxa"/>
          </w:tcPr>
          <w:p w14:paraId="0E3807F5" w14:textId="77777777" w:rsidR="00B954D3" w:rsidRPr="00D13F28" w:rsidRDefault="00B954D3" w:rsidP="001E486A">
            <w:pPr>
              <w:pStyle w:val="StandardOCAshurst"/>
              <w:keepNext/>
              <w:keepLines/>
              <w:spacing w:before="6"/>
              <w:rPr>
                <w:sz w:val="14"/>
                <w:szCs w:val="14"/>
              </w:rPr>
            </w:pPr>
          </w:p>
        </w:tc>
        <w:tc>
          <w:tcPr>
            <w:tcW w:w="2693" w:type="dxa"/>
            <w:gridSpan w:val="2"/>
            <w:vAlign w:val="bottom"/>
          </w:tcPr>
          <w:p w14:paraId="16960165" w14:textId="77777777" w:rsidR="00B954D3" w:rsidRPr="00D13F28" w:rsidRDefault="00B954D3" w:rsidP="001E486A">
            <w:pPr>
              <w:pStyle w:val="StandardOCAshurst"/>
              <w:keepNext/>
              <w:keepLines/>
              <w:pBdr>
                <w:bottom w:val="single" w:sz="4" w:space="1" w:color="auto"/>
              </w:pBdr>
              <w:spacing w:before="6"/>
              <w:jc w:val="center"/>
              <w:rPr>
                <w:sz w:val="14"/>
                <w:szCs w:val="14"/>
              </w:rPr>
            </w:pPr>
            <w:r w:rsidRPr="00D13F28">
              <w:rPr>
                <w:b/>
                <w:bCs/>
                <w:sz w:val="14"/>
                <w:szCs w:val="14"/>
              </w:rPr>
              <w:t>2020 (As previously reported)</w:t>
            </w:r>
          </w:p>
        </w:tc>
        <w:tc>
          <w:tcPr>
            <w:tcW w:w="992" w:type="dxa"/>
            <w:shd w:val="clear" w:color="auto" w:fill="F2F2F2" w:themeFill="background1" w:themeFillShade="F2"/>
            <w:vAlign w:val="bottom"/>
          </w:tcPr>
          <w:p w14:paraId="13C04CCC" w14:textId="77777777" w:rsidR="00B954D3" w:rsidRPr="00D13F28" w:rsidRDefault="00B954D3" w:rsidP="001E486A">
            <w:pPr>
              <w:pStyle w:val="StandardOCAshurst"/>
              <w:keepNext/>
              <w:keepLines/>
              <w:pBdr>
                <w:bottom w:val="single" w:sz="4" w:space="1" w:color="auto"/>
              </w:pBdr>
              <w:spacing w:before="6"/>
              <w:jc w:val="center"/>
              <w:rPr>
                <w:b/>
                <w:bCs/>
                <w:sz w:val="14"/>
                <w:szCs w:val="14"/>
              </w:rPr>
            </w:pPr>
            <w:r w:rsidRPr="00D13F28">
              <w:rPr>
                <w:b/>
                <w:bCs/>
                <w:sz w:val="14"/>
                <w:szCs w:val="14"/>
              </w:rPr>
              <w:t>Restatement adjustment</w:t>
            </w:r>
          </w:p>
        </w:tc>
        <w:tc>
          <w:tcPr>
            <w:tcW w:w="3261" w:type="dxa"/>
            <w:gridSpan w:val="2"/>
            <w:vAlign w:val="bottom"/>
          </w:tcPr>
          <w:p w14:paraId="534EDE10" w14:textId="339F075D" w:rsidR="00B954D3" w:rsidRPr="00D13F28" w:rsidRDefault="00B954D3" w:rsidP="001E486A">
            <w:pPr>
              <w:pStyle w:val="StandardOCAshurst"/>
              <w:keepNext/>
              <w:keepLines/>
              <w:pBdr>
                <w:bottom w:val="single" w:sz="4" w:space="1" w:color="auto"/>
              </w:pBdr>
              <w:spacing w:before="6"/>
              <w:jc w:val="center"/>
              <w:rPr>
                <w:sz w:val="14"/>
                <w:szCs w:val="14"/>
              </w:rPr>
            </w:pPr>
            <w:r w:rsidRPr="00D13F28">
              <w:rPr>
                <w:b/>
                <w:bCs/>
                <w:sz w:val="14"/>
                <w:szCs w:val="14"/>
              </w:rPr>
              <w:t xml:space="preserve">2020 </w:t>
            </w:r>
            <w:r w:rsidR="00022B51">
              <w:rPr>
                <w:b/>
                <w:bCs/>
                <w:sz w:val="14"/>
                <w:szCs w:val="14"/>
              </w:rPr>
              <w:t>(</w:t>
            </w:r>
            <w:r w:rsidRPr="00D13F28">
              <w:rPr>
                <w:b/>
                <w:bCs/>
                <w:sz w:val="14"/>
                <w:szCs w:val="14"/>
              </w:rPr>
              <w:t>restated</w:t>
            </w:r>
            <w:r w:rsidR="00022B51">
              <w:rPr>
                <w:b/>
                <w:bCs/>
                <w:sz w:val="14"/>
                <w:szCs w:val="14"/>
              </w:rPr>
              <w:t>)</w:t>
            </w:r>
          </w:p>
        </w:tc>
      </w:tr>
      <w:tr w:rsidR="00B954D3" w:rsidRPr="00D13F28" w14:paraId="09022AEA" w14:textId="77777777" w:rsidTr="001E486A">
        <w:tc>
          <w:tcPr>
            <w:tcW w:w="1418" w:type="dxa"/>
          </w:tcPr>
          <w:p w14:paraId="794BF8C8" w14:textId="77777777" w:rsidR="00B954D3" w:rsidRPr="00D13F28" w:rsidRDefault="00B954D3" w:rsidP="001E486A">
            <w:pPr>
              <w:pStyle w:val="StandardOCAshurst"/>
              <w:keepNext/>
              <w:keepLines/>
              <w:spacing w:before="6"/>
              <w:rPr>
                <w:sz w:val="14"/>
                <w:szCs w:val="14"/>
              </w:rPr>
            </w:pPr>
          </w:p>
        </w:tc>
        <w:tc>
          <w:tcPr>
            <w:tcW w:w="1678" w:type="dxa"/>
          </w:tcPr>
          <w:p w14:paraId="729419FF" w14:textId="77777777" w:rsidR="00B954D3" w:rsidRPr="00D13F28" w:rsidRDefault="00B954D3" w:rsidP="001E486A">
            <w:pPr>
              <w:pStyle w:val="StandardOCAshurst"/>
              <w:keepNext/>
              <w:keepLines/>
              <w:spacing w:before="6"/>
              <w:jc w:val="right"/>
              <w:rPr>
                <w:b/>
                <w:bCs/>
                <w:sz w:val="14"/>
                <w:szCs w:val="14"/>
              </w:rPr>
            </w:pPr>
            <w:r w:rsidRPr="00D13F28">
              <w:rPr>
                <w:b/>
                <w:bCs/>
                <w:sz w:val="14"/>
                <w:szCs w:val="14"/>
              </w:rPr>
              <w:t>(excluding remeasurements and exceptional items)</w:t>
            </w:r>
          </w:p>
        </w:tc>
        <w:tc>
          <w:tcPr>
            <w:tcW w:w="1015" w:type="dxa"/>
          </w:tcPr>
          <w:p w14:paraId="36B649E4" w14:textId="77777777" w:rsidR="00B954D3" w:rsidRPr="00D13F28" w:rsidRDefault="00B954D3" w:rsidP="001E486A">
            <w:pPr>
              <w:pStyle w:val="StandardOCAshurst"/>
              <w:keepNext/>
              <w:keepLines/>
              <w:spacing w:before="6"/>
              <w:jc w:val="right"/>
              <w:rPr>
                <w:sz w:val="14"/>
                <w:szCs w:val="14"/>
              </w:rPr>
            </w:pPr>
          </w:p>
        </w:tc>
        <w:tc>
          <w:tcPr>
            <w:tcW w:w="992" w:type="dxa"/>
            <w:shd w:val="clear" w:color="auto" w:fill="F2F2F2" w:themeFill="background1" w:themeFillShade="F2"/>
          </w:tcPr>
          <w:p w14:paraId="0A3D8C38" w14:textId="77777777" w:rsidR="00B954D3" w:rsidRPr="00D13F28" w:rsidRDefault="00B954D3" w:rsidP="001E486A">
            <w:pPr>
              <w:pStyle w:val="StandardOCAshurst"/>
              <w:keepNext/>
              <w:keepLines/>
              <w:spacing w:before="6"/>
              <w:jc w:val="center"/>
              <w:rPr>
                <w:b/>
                <w:bCs/>
                <w:sz w:val="14"/>
                <w:szCs w:val="14"/>
              </w:rPr>
            </w:pPr>
          </w:p>
        </w:tc>
        <w:tc>
          <w:tcPr>
            <w:tcW w:w="1814" w:type="dxa"/>
          </w:tcPr>
          <w:p w14:paraId="7638F265" w14:textId="77777777" w:rsidR="00B954D3" w:rsidRPr="00D13F28" w:rsidRDefault="00B954D3" w:rsidP="001E486A">
            <w:pPr>
              <w:pStyle w:val="StandardOCAshurst"/>
              <w:keepNext/>
              <w:keepLines/>
              <w:spacing w:before="6"/>
              <w:jc w:val="right"/>
              <w:rPr>
                <w:sz w:val="14"/>
                <w:szCs w:val="14"/>
              </w:rPr>
            </w:pPr>
            <w:r w:rsidRPr="00D13F28">
              <w:rPr>
                <w:b/>
                <w:bCs/>
                <w:sz w:val="14"/>
                <w:szCs w:val="14"/>
              </w:rPr>
              <w:t>(excluding remeasurements and exceptional items)</w:t>
            </w:r>
          </w:p>
        </w:tc>
        <w:tc>
          <w:tcPr>
            <w:tcW w:w="1447" w:type="dxa"/>
          </w:tcPr>
          <w:p w14:paraId="01B7F36C" w14:textId="77777777" w:rsidR="00B954D3" w:rsidRPr="00D13F28" w:rsidRDefault="00B954D3" w:rsidP="001E486A">
            <w:pPr>
              <w:pStyle w:val="StandardOCAshurst"/>
              <w:keepNext/>
              <w:keepLines/>
              <w:spacing w:before="6"/>
              <w:jc w:val="right"/>
              <w:rPr>
                <w:sz w:val="14"/>
                <w:szCs w:val="14"/>
              </w:rPr>
            </w:pPr>
          </w:p>
        </w:tc>
      </w:tr>
      <w:tr w:rsidR="00B954D3" w:rsidRPr="00D13F28" w14:paraId="358455E3" w14:textId="77777777" w:rsidTr="001E486A">
        <w:tc>
          <w:tcPr>
            <w:tcW w:w="1418" w:type="dxa"/>
          </w:tcPr>
          <w:p w14:paraId="3334FAB9" w14:textId="77777777" w:rsidR="00B954D3" w:rsidRPr="00D13F28" w:rsidRDefault="00B954D3" w:rsidP="001E486A">
            <w:pPr>
              <w:pStyle w:val="StandardOCAshurst"/>
              <w:keepNext/>
              <w:keepLines/>
              <w:spacing w:before="6"/>
              <w:jc w:val="left"/>
              <w:rPr>
                <w:b/>
                <w:bCs/>
                <w:sz w:val="14"/>
                <w:szCs w:val="14"/>
              </w:rPr>
            </w:pPr>
            <w:r w:rsidRPr="00D13F28">
              <w:rPr>
                <w:b/>
                <w:bCs/>
                <w:sz w:val="14"/>
                <w:szCs w:val="14"/>
              </w:rPr>
              <w:t>Earnings per share</w:t>
            </w:r>
          </w:p>
        </w:tc>
        <w:tc>
          <w:tcPr>
            <w:tcW w:w="1678" w:type="dxa"/>
          </w:tcPr>
          <w:p w14:paraId="12836005" w14:textId="77777777" w:rsidR="00B954D3" w:rsidRPr="00D13F28" w:rsidRDefault="00B954D3" w:rsidP="001E486A">
            <w:pPr>
              <w:pStyle w:val="StandardOCAshurst"/>
              <w:keepNext/>
              <w:keepLines/>
              <w:spacing w:before="6"/>
              <w:jc w:val="right"/>
              <w:rPr>
                <w:b/>
                <w:bCs/>
                <w:sz w:val="14"/>
                <w:szCs w:val="14"/>
              </w:rPr>
            </w:pPr>
            <w:r w:rsidRPr="00D13F28">
              <w:rPr>
                <w:b/>
                <w:bCs/>
                <w:sz w:val="14"/>
                <w:szCs w:val="14"/>
              </w:rPr>
              <w:t>$</w:t>
            </w:r>
          </w:p>
        </w:tc>
        <w:tc>
          <w:tcPr>
            <w:tcW w:w="1015" w:type="dxa"/>
          </w:tcPr>
          <w:p w14:paraId="55075BB8" w14:textId="77777777" w:rsidR="00B954D3" w:rsidRPr="00D13F28" w:rsidRDefault="00B954D3" w:rsidP="001E486A">
            <w:pPr>
              <w:pStyle w:val="StandardOCAshurst"/>
              <w:keepNext/>
              <w:keepLines/>
              <w:spacing w:before="6"/>
              <w:jc w:val="right"/>
              <w:rPr>
                <w:sz w:val="14"/>
                <w:szCs w:val="14"/>
              </w:rPr>
            </w:pPr>
            <w:r w:rsidRPr="00D13F28">
              <w:rPr>
                <w:b/>
                <w:bCs/>
                <w:sz w:val="14"/>
                <w:szCs w:val="14"/>
              </w:rPr>
              <w:t>$</w:t>
            </w:r>
          </w:p>
        </w:tc>
        <w:tc>
          <w:tcPr>
            <w:tcW w:w="992" w:type="dxa"/>
            <w:shd w:val="clear" w:color="auto" w:fill="F2F2F2" w:themeFill="background1" w:themeFillShade="F2"/>
          </w:tcPr>
          <w:p w14:paraId="1656975F" w14:textId="77777777" w:rsidR="00B954D3" w:rsidRPr="00D13F28" w:rsidRDefault="00B954D3" w:rsidP="001E486A">
            <w:pPr>
              <w:pStyle w:val="StandardOCAshurst"/>
              <w:keepNext/>
              <w:keepLines/>
              <w:spacing w:before="6"/>
              <w:jc w:val="center"/>
              <w:rPr>
                <w:sz w:val="14"/>
                <w:szCs w:val="14"/>
              </w:rPr>
            </w:pPr>
          </w:p>
        </w:tc>
        <w:tc>
          <w:tcPr>
            <w:tcW w:w="1814" w:type="dxa"/>
          </w:tcPr>
          <w:p w14:paraId="12F9DA80" w14:textId="77777777" w:rsidR="00B954D3" w:rsidRPr="00D13F28" w:rsidRDefault="00B954D3" w:rsidP="001E486A">
            <w:pPr>
              <w:pStyle w:val="StandardOCAshurst"/>
              <w:keepNext/>
              <w:keepLines/>
              <w:spacing w:before="6"/>
              <w:jc w:val="right"/>
              <w:rPr>
                <w:sz w:val="14"/>
                <w:szCs w:val="14"/>
              </w:rPr>
            </w:pPr>
            <w:r w:rsidRPr="00D13F28">
              <w:rPr>
                <w:b/>
                <w:bCs/>
                <w:sz w:val="14"/>
                <w:szCs w:val="14"/>
              </w:rPr>
              <w:t>$</w:t>
            </w:r>
          </w:p>
        </w:tc>
        <w:tc>
          <w:tcPr>
            <w:tcW w:w="1447" w:type="dxa"/>
          </w:tcPr>
          <w:p w14:paraId="164022D0" w14:textId="77777777" w:rsidR="00B954D3" w:rsidRPr="00D13F28" w:rsidRDefault="00B954D3" w:rsidP="001E486A">
            <w:pPr>
              <w:pStyle w:val="StandardOCAshurst"/>
              <w:keepNext/>
              <w:keepLines/>
              <w:spacing w:before="6"/>
              <w:jc w:val="right"/>
              <w:rPr>
                <w:sz w:val="14"/>
                <w:szCs w:val="14"/>
              </w:rPr>
            </w:pPr>
            <w:r w:rsidRPr="00D13F28">
              <w:rPr>
                <w:b/>
                <w:bCs/>
                <w:sz w:val="14"/>
                <w:szCs w:val="14"/>
              </w:rPr>
              <w:t>$</w:t>
            </w:r>
          </w:p>
        </w:tc>
      </w:tr>
      <w:tr w:rsidR="00B954D3" w:rsidRPr="00D13F28" w14:paraId="0CF600A0" w14:textId="77777777" w:rsidTr="001E486A">
        <w:tc>
          <w:tcPr>
            <w:tcW w:w="1418" w:type="dxa"/>
          </w:tcPr>
          <w:p w14:paraId="30DFB484" w14:textId="77777777" w:rsidR="00B954D3" w:rsidRPr="00D13F28" w:rsidRDefault="00B954D3" w:rsidP="001E486A">
            <w:pPr>
              <w:pStyle w:val="StandardOCAshurst"/>
              <w:keepNext/>
              <w:keepLines/>
              <w:spacing w:before="6"/>
              <w:rPr>
                <w:sz w:val="14"/>
                <w:szCs w:val="14"/>
              </w:rPr>
            </w:pPr>
            <w:r w:rsidRPr="00D13F28">
              <w:rPr>
                <w:sz w:val="14"/>
                <w:szCs w:val="14"/>
              </w:rPr>
              <w:t>Basic</w:t>
            </w:r>
          </w:p>
        </w:tc>
        <w:tc>
          <w:tcPr>
            <w:tcW w:w="1678" w:type="dxa"/>
          </w:tcPr>
          <w:p w14:paraId="111CF7A2"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(0.016)</w:t>
            </w:r>
          </w:p>
        </w:tc>
        <w:tc>
          <w:tcPr>
            <w:tcW w:w="1015" w:type="dxa"/>
          </w:tcPr>
          <w:p w14:paraId="1F54C6DD"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(0.378)</w:t>
            </w:r>
          </w:p>
        </w:tc>
        <w:tc>
          <w:tcPr>
            <w:tcW w:w="992" w:type="dxa"/>
            <w:shd w:val="clear" w:color="auto" w:fill="F2F2F2" w:themeFill="background1" w:themeFillShade="F2"/>
          </w:tcPr>
          <w:p w14:paraId="125DCAEE"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0.094</w:t>
            </w:r>
          </w:p>
        </w:tc>
        <w:tc>
          <w:tcPr>
            <w:tcW w:w="1814" w:type="dxa"/>
          </w:tcPr>
          <w:p w14:paraId="333EBA3E"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(0.016)</w:t>
            </w:r>
          </w:p>
        </w:tc>
        <w:tc>
          <w:tcPr>
            <w:tcW w:w="1447" w:type="dxa"/>
          </w:tcPr>
          <w:p w14:paraId="087BB5B1"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(0.284)</w:t>
            </w:r>
          </w:p>
        </w:tc>
      </w:tr>
      <w:tr w:rsidR="00B954D3" w:rsidRPr="00D13F28" w14:paraId="73C7D8BB" w14:textId="77777777" w:rsidTr="001E486A">
        <w:tc>
          <w:tcPr>
            <w:tcW w:w="1418" w:type="dxa"/>
          </w:tcPr>
          <w:p w14:paraId="5482ABE0" w14:textId="77777777" w:rsidR="00B954D3" w:rsidRPr="00D13F28" w:rsidRDefault="00B954D3" w:rsidP="001E486A">
            <w:pPr>
              <w:pStyle w:val="StandardOCAshurst"/>
              <w:keepNext/>
              <w:keepLines/>
              <w:spacing w:before="6"/>
              <w:rPr>
                <w:sz w:val="14"/>
                <w:szCs w:val="14"/>
              </w:rPr>
            </w:pPr>
            <w:r w:rsidRPr="00D13F28">
              <w:rPr>
                <w:sz w:val="14"/>
                <w:szCs w:val="14"/>
              </w:rPr>
              <w:t>Diluted</w:t>
            </w:r>
          </w:p>
        </w:tc>
        <w:tc>
          <w:tcPr>
            <w:tcW w:w="1678" w:type="dxa"/>
          </w:tcPr>
          <w:p w14:paraId="3408A198"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(0.016)</w:t>
            </w:r>
          </w:p>
        </w:tc>
        <w:tc>
          <w:tcPr>
            <w:tcW w:w="1015" w:type="dxa"/>
          </w:tcPr>
          <w:p w14:paraId="4A2C094D"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(0.378)</w:t>
            </w:r>
          </w:p>
        </w:tc>
        <w:tc>
          <w:tcPr>
            <w:tcW w:w="992" w:type="dxa"/>
            <w:shd w:val="clear" w:color="auto" w:fill="F2F2F2" w:themeFill="background1" w:themeFillShade="F2"/>
          </w:tcPr>
          <w:p w14:paraId="166DBAF2"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0.094</w:t>
            </w:r>
          </w:p>
        </w:tc>
        <w:tc>
          <w:tcPr>
            <w:tcW w:w="1814" w:type="dxa"/>
          </w:tcPr>
          <w:p w14:paraId="0AA9A5F1"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(0.016)</w:t>
            </w:r>
          </w:p>
        </w:tc>
        <w:tc>
          <w:tcPr>
            <w:tcW w:w="1447" w:type="dxa"/>
          </w:tcPr>
          <w:p w14:paraId="294FC1BB" w14:textId="77777777" w:rsidR="00B954D3" w:rsidRPr="00D13F28" w:rsidRDefault="00B954D3" w:rsidP="001E486A">
            <w:pPr>
              <w:pStyle w:val="StandardOCAshurst"/>
              <w:keepNext/>
              <w:keepLines/>
              <w:pBdr>
                <w:bottom w:val="single" w:sz="4" w:space="1" w:color="auto"/>
              </w:pBdr>
              <w:spacing w:before="6"/>
              <w:jc w:val="right"/>
              <w:rPr>
                <w:sz w:val="14"/>
                <w:szCs w:val="14"/>
              </w:rPr>
            </w:pPr>
            <w:r w:rsidRPr="00D13F28">
              <w:rPr>
                <w:sz w:val="14"/>
                <w:szCs w:val="14"/>
              </w:rPr>
              <w:t>(0.284)</w:t>
            </w:r>
          </w:p>
        </w:tc>
      </w:tr>
    </w:tbl>
    <w:p w14:paraId="54D267CE" w14:textId="77777777" w:rsidR="00B954D3" w:rsidRDefault="00B954D3" w:rsidP="00B954D3">
      <w:pPr>
        <w:pStyle w:val="H3OCAshurst"/>
        <w:numPr>
          <w:ilvl w:val="0"/>
          <w:numId w:val="0"/>
        </w:numPr>
        <w:ind w:left="709"/>
        <w:rPr>
          <w:b/>
          <w:bCs/>
        </w:rPr>
      </w:pPr>
    </w:p>
    <w:p w14:paraId="26E53D01" w14:textId="77777777" w:rsidR="00B954D3" w:rsidRPr="001E486A" w:rsidRDefault="00B954D3" w:rsidP="001E486A">
      <w:pPr>
        <w:pStyle w:val="H3OCAshurst"/>
        <w:rPr>
          <w:b/>
          <w:bCs/>
        </w:rPr>
      </w:pPr>
      <w:bookmarkStart w:id="26" w:name="_Ref83026479"/>
      <w:r w:rsidRPr="001E486A">
        <w:rPr>
          <w:b/>
          <w:bCs/>
        </w:rPr>
        <w:t>2020 Financial Statements – Group Balance Sheet (Restated)</w:t>
      </w:r>
      <w:bookmarkEnd w:id="26"/>
    </w:p>
    <w:tbl>
      <w:tblPr>
        <w:tblStyle w:val="TableGrid"/>
        <w:tblW w:w="766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246"/>
        <w:gridCol w:w="963"/>
        <w:gridCol w:w="1227"/>
      </w:tblGrid>
      <w:tr w:rsidR="00B954D3" w:rsidRPr="00A45357" w14:paraId="5537377F" w14:textId="77777777" w:rsidTr="00F86019">
        <w:tc>
          <w:tcPr>
            <w:tcW w:w="4230" w:type="dxa"/>
          </w:tcPr>
          <w:p w14:paraId="436209CF" w14:textId="77777777" w:rsidR="00B954D3" w:rsidRPr="00D13F28" w:rsidRDefault="00B954D3" w:rsidP="00F86019">
            <w:pPr>
              <w:pStyle w:val="StandardOCAshurst"/>
              <w:spacing w:before="6"/>
              <w:jc w:val="left"/>
              <w:rPr>
                <w:sz w:val="14"/>
                <w:szCs w:val="14"/>
              </w:rPr>
            </w:pPr>
          </w:p>
        </w:tc>
        <w:tc>
          <w:tcPr>
            <w:tcW w:w="1246" w:type="dxa"/>
            <w:vAlign w:val="bottom"/>
          </w:tcPr>
          <w:p w14:paraId="5FBC10B0" w14:textId="77777777" w:rsidR="007B611D" w:rsidRDefault="00B954D3" w:rsidP="00F86019">
            <w:pPr>
              <w:pStyle w:val="StandardOCAshurst"/>
              <w:pBdr>
                <w:bottom w:val="single" w:sz="4" w:space="1" w:color="auto"/>
              </w:pBdr>
              <w:spacing w:before="6"/>
              <w:jc w:val="right"/>
              <w:rPr>
                <w:b/>
                <w:bCs/>
                <w:sz w:val="14"/>
                <w:szCs w:val="14"/>
              </w:rPr>
            </w:pPr>
            <w:r>
              <w:rPr>
                <w:b/>
                <w:bCs/>
                <w:sz w:val="14"/>
                <w:szCs w:val="14"/>
              </w:rPr>
              <w:t xml:space="preserve">As at 31 December </w:t>
            </w:r>
            <w:r w:rsidRPr="00D13F28">
              <w:rPr>
                <w:b/>
                <w:bCs/>
                <w:sz w:val="14"/>
                <w:szCs w:val="14"/>
              </w:rPr>
              <w:t>2020 (As previously reported</w:t>
            </w:r>
            <w:r>
              <w:rPr>
                <w:b/>
                <w:bCs/>
                <w:sz w:val="14"/>
                <w:szCs w:val="14"/>
              </w:rPr>
              <w:t>)</w:t>
            </w:r>
            <w:r w:rsidRPr="00D13F28">
              <w:rPr>
                <w:b/>
                <w:bCs/>
                <w:sz w:val="14"/>
                <w:szCs w:val="14"/>
              </w:rPr>
              <w:t xml:space="preserve"> </w:t>
            </w:r>
          </w:p>
          <w:p w14:paraId="3FD14C83" w14:textId="77777777" w:rsidR="007B611D" w:rsidRDefault="007B611D" w:rsidP="00F86019">
            <w:pPr>
              <w:pStyle w:val="StandardOCAshurst"/>
              <w:pBdr>
                <w:bottom w:val="single" w:sz="4" w:space="1" w:color="auto"/>
              </w:pBdr>
              <w:spacing w:before="6"/>
              <w:jc w:val="right"/>
              <w:rPr>
                <w:b/>
                <w:bCs/>
                <w:sz w:val="14"/>
                <w:szCs w:val="14"/>
              </w:rPr>
            </w:pPr>
          </w:p>
          <w:p w14:paraId="231F17C1" w14:textId="4CD91A43" w:rsidR="00B954D3" w:rsidRPr="00D13F28" w:rsidRDefault="00B954D3" w:rsidP="00F86019">
            <w:pPr>
              <w:pStyle w:val="StandardOCAshurst"/>
              <w:pBdr>
                <w:bottom w:val="single" w:sz="4" w:space="1" w:color="auto"/>
              </w:pBdr>
              <w:spacing w:before="6"/>
              <w:jc w:val="right"/>
              <w:rPr>
                <w:b/>
                <w:bCs/>
                <w:sz w:val="14"/>
                <w:szCs w:val="14"/>
              </w:rPr>
            </w:pPr>
            <w:r w:rsidRPr="00D13F28">
              <w:rPr>
                <w:b/>
                <w:bCs/>
                <w:sz w:val="14"/>
                <w:szCs w:val="14"/>
              </w:rPr>
              <w:t>$'000</w:t>
            </w:r>
          </w:p>
        </w:tc>
        <w:tc>
          <w:tcPr>
            <w:tcW w:w="963" w:type="dxa"/>
            <w:shd w:val="clear" w:color="auto" w:fill="F2F2F2" w:themeFill="background1" w:themeFillShade="F2"/>
            <w:vAlign w:val="bottom"/>
          </w:tcPr>
          <w:p w14:paraId="573D64A8" w14:textId="77777777" w:rsidR="00B954D3" w:rsidRPr="00D13F28" w:rsidRDefault="00B954D3" w:rsidP="00F86019">
            <w:pPr>
              <w:pStyle w:val="StandardOCAshurst"/>
              <w:pBdr>
                <w:bottom w:val="single" w:sz="4" w:space="1" w:color="auto"/>
              </w:pBdr>
              <w:spacing w:before="6"/>
              <w:jc w:val="right"/>
              <w:rPr>
                <w:b/>
                <w:bCs/>
                <w:sz w:val="14"/>
                <w:szCs w:val="14"/>
              </w:rPr>
            </w:pPr>
            <w:r w:rsidRPr="00D13F28">
              <w:rPr>
                <w:b/>
                <w:bCs/>
                <w:sz w:val="14"/>
                <w:szCs w:val="14"/>
              </w:rPr>
              <w:t>Restatement adjustment</w:t>
            </w:r>
          </w:p>
        </w:tc>
        <w:tc>
          <w:tcPr>
            <w:tcW w:w="1227" w:type="dxa"/>
            <w:vAlign w:val="bottom"/>
          </w:tcPr>
          <w:p w14:paraId="694B5E9D" w14:textId="77777777" w:rsidR="00B954D3" w:rsidRPr="00D13F28" w:rsidRDefault="00B954D3" w:rsidP="00F86019">
            <w:pPr>
              <w:pStyle w:val="StandardOCAshurst"/>
              <w:pBdr>
                <w:bottom w:val="single" w:sz="4" w:space="1" w:color="auto"/>
              </w:pBdr>
              <w:spacing w:before="6"/>
              <w:jc w:val="right"/>
              <w:rPr>
                <w:b/>
                <w:bCs/>
                <w:sz w:val="14"/>
                <w:szCs w:val="14"/>
              </w:rPr>
            </w:pPr>
          </w:p>
          <w:p w14:paraId="1EA7D119" w14:textId="77777777" w:rsidR="007B611D" w:rsidRDefault="00B954D3" w:rsidP="00F86019">
            <w:pPr>
              <w:pStyle w:val="StandardOCAshurst"/>
              <w:pBdr>
                <w:bottom w:val="single" w:sz="4" w:space="1" w:color="auto"/>
              </w:pBdr>
              <w:spacing w:before="6"/>
              <w:jc w:val="right"/>
              <w:rPr>
                <w:b/>
                <w:bCs/>
                <w:sz w:val="14"/>
                <w:szCs w:val="14"/>
              </w:rPr>
            </w:pPr>
            <w:r w:rsidRPr="00B954D3">
              <w:rPr>
                <w:b/>
                <w:bCs/>
                <w:sz w:val="14"/>
                <w:szCs w:val="14"/>
              </w:rPr>
              <w:t xml:space="preserve">As at 31 December </w:t>
            </w:r>
            <w:r w:rsidRPr="00D13F28">
              <w:rPr>
                <w:b/>
                <w:bCs/>
                <w:sz w:val="14"/>
                <w:szCs w:val="14"/>
              </w:rPr>
              <w:t xml:space="preserve">2020 </w:t>
            </w:r>
            <w:r>
              <w:rPr>
                <w:b/>
                <w:bCs/>
                <w:sz w:val="14"/>
                <w:szCs w:val="14"/>
              </w:rPr>
              <w:t>(</w:t>
            </w:r>
            <w:r w:rsidRPr="00D13F28">
              <w:rPr>
                <w:b/>
                <w:bCs/>
                <w:sz w:val="14"/>
                <w:szCs w:val="14"/>
              </w:rPr>
              <w:t>restated</w:t>
            </w:r>
            <w:r>
              <w:rPr>
                <w:b/>
                <w:bCs/>
                <w:sz w:val="14"/>
                <w:szCs w:val="14"/>
              </w:rPr>
              <w:t>)</w:t>
            </w:r>
          </w:p>
          <w:p w14:paraId="499BA5A7" w14:textId="77777777" w:rsidR="007B611D" w:rsidRDefault="007B611D" w:rsidP="00F86019">
            <w:pPr>
              <w:pStyle w:val="StandardOCAshurst"/>
              <w:pBdr>
                <w:bottom w:val="single" w:sz="4" w:space="1" w:color="auto"/>
              </w:pBdr>
              <w:spacing w:before="6"/>
              <w:jc w:val="right"/>
              <w:rPr>
                <w:b/>
                <w:bCs/>
                <w:sz w:val="14"/>
                <w:szCs w:val="14"/>
              </w:rPr>
            </w:pPr>
          </w:p>
          <w:p w14:paraId="0B79A839" w14:textId="270D7058" w:rsidR="00B954D3" w:rsidRPr="00D13F28" w:rsidRDefault="00B954D3" w:rsidP="00F86019">
            <w:pPr>
              <w:pStyle w:val="StandardOCAshurst"/>
              <w:pBdr>
                <w:bottom w:val="single" w:sz="4" w:space="1" w:color="auto"/>
              </w:pBdr>
              <w:spacing w:before="6"/>
              <w:jc w:val="right"/>
              <w:rPr>
                <w:b/>
                <w:bCs/>
                <w:sz w:val="14"/>
                <w:szCs w:val="14"/>
              </w:rPr>
            </w:pPr>
            <w:r w:rsidRPr="00D13F28">
              <w:rPr>
                <w:b/>
                <w:bCs/>
                <w:sz w:val="14"/>
                <w:szCs w:val="14"/>
              </w:rPr>
              <w:t xml:space="preserve"> $'000</w:t>
            </w:r>
          </w:p>
        </w:tc>
      </w:tr>
      <w:tr w:rsidR="00B954D3" w:rsidRPr="00A45357" w14:paraId="0DB938DB" w14:textId="77777777" w:rsidTr="00F86019">
        <w:tc>
          <w:tcPr>
            <w:tcW w:w="4230" w:type="dxa"/>
            <w:vAlign w:val="bottom"/>
          </w:tcPr>
          <w:p w14:paraId="4258E418" w14:textId="77777777" w:rsidR="00B954D3" w:rsidRPr="00D13F28" w:rsidRDefault="00B954D3" w:rsidP="00F86019">
            <w:pPr>
              <w:pStyle w:val="StandardOCAshurst"/>
              <w:spacing w:before="6"/>
              <w:jc w:val="left"/>
              <w:rPr>
                <w:b/>
                <w:bCs/>
                <w:sz w:val="14"/>
                <w:szCs w:val="14"/>
              </w:rPr>
            </w:pPr>
            <w:r w:rsidRPr="00D13F28">
              <w:rPr>
                <w:b/>
                <w:bCs/>
                <w:sz w:val="14"/>
                <w:szCs w:val="14"/>
              </w:rPr>
              <w:t>Assets</w:t>
            </w:r>
          </w:p>
        </w:tc>
        <w:tc>
          <w:tcPr>
            <w:tcW w:w="1246" w:type="dxa"/>
            <w:vAlign w:val="bottom"/>
          </w:tcPr>
          <w:p w14:paraId="67334834" w14:textId="77777777" w:rsidR="00B954D3" w:rsidRPr="00D13F28" w:rsidRDefault="00B954D3" w:rsidP="00F86019">
            <w:pPr>
              <w:pStyle w:val="StandardOCAshurst"/>
              <w:spacing w:before="6"/>
              <w:jc w:val="right"/>
              <w:rPr>
                <w:sz w:val="14"/>
                <w:szCs w:val="14"/>
              </w:rPr>
            </w:pPr>
          </w:p>
        </w:tc>
        <w:tc>
          <w:tcPr>
            <w:tcW w:w="963" w:type="dxa"/>
            <w:shd w:val="clear" w:color="auto" w:fill="F2F2F2" w:themeFill="background1" w:themeFillShade="F2"/>
            <w:vAlign w:val="bottom"/>
          </w:tcPr>
          <w:p w14:paraId="3565EAC7" w14:textId="77777777" w:rsidR="00B954D3" w:rsidRPr="00D13F28" w:rsidRDefault="00B954D3" w:rsidP="00F86019">
            <w:pPr>
              <w:pStyle w:val="StandardOCAshurst"/>
              <w:spacing w:before="6"/>
              <w:jc w:val="right"/>
              <w:rPr>
                <w:sz w:val="14"/>
                <w:szCs w:val="14"/>
              </w:rPr>
            </w:pPr>
          </w:p>
        </w:tc>
        <w:tc>
          <w:tcPr>
            <w:tcW w:w="1227" w:type="dxa"/>
            <w:vAlign w:val="bottom"/>
          </w:tcPr>
          <w:p w14:paraId="21EC9FBF" w14:textId="77777777" w:rsidR="00B954D3" w:rsidRPr="00D13F28" w:rsidRDefault="00B954D3" w:rsidP="00F86019">
            <w:pPr>
              <w:pStyle w:val="StandardOCAshurst"/>
              <w:spacing w:before="6"/>
              <w:jc w:val="right"/>
              <w:rPr>
                <w:sz w:val="14"/>
                <w:szCs w:val="14"/>
              </w:rPr>
            </w:pPr>
          </w:p>
        </w:tc>
      </w:tr>
      <w:tr w:rsidR="00B954D3" w:rsidRPr="00A45357" w14:paraId="09858BEA" w14:textId="77777777" w:rsidTr="00F86019">
        <w:tc>
          <w:tcPr>
            <w:tcW w:w="4230" w:type="dxa"/>
            <w:vAlign w:val="bottom"/>
          </w:tcPr>
          <w:p w14:paraId="15C6F491" w14:textId="77777777" w:rsidR="00B954D3" w:rsidRPr="00D13F28" w:rsidRDefault="00B954D3" w:rsidP="00F86019">
            <w:pPr>
              <w:pStyle w:val="StandardOCAshurst"/>
              <w:spacing w:before="6"/>
              <w:jc w:val="left"/>
              <w:rPr>
                <w:b/>
                <w:bCs/>
                <w:sz w:val="14"/>
                <w:szCs w:val="14"/>
              </w:rPr>
            </w:pPr>
            <w:r w:rsidRPr="00D13F28">
              <w:rPr>
                <w:b/>
                <w:bCs/>
                <w:sz w:val="14"/>
                <w:szCs w:val="14"/>
              </w:rPr>
              <w:t>Non-Current Assets</w:t>
            </w:r>
          </w:p>
        </w:tc>
        <w:tc>
          <w:tcPr>
            <w:tcW w:w="1246" w:type="dxa"/>
            <w:vAlign w:val="bottom"/>
          </w:tcPr>
          <w:p w14:paraId="0CA10B56" w14:textId="77777777" w:rsidR="00B954D3" w:rsidRPr="00D13F28" w:rsidRDefault="00B954D3" w:rsidP="00F86019">
            <w:pPr>
              <w:pStyle w:val="StandardOCAshurst"/>
              <w:spacing w:before="6"/>
              <w:jc w:val="right"/>
              <w:rPr>
                <w:sz w:val="14"/>
                <w:szCs w:val="14"/>
              </w:rPr>
            </w:pPr>
          </w:p>
        </w:tc>
        <w:tc>
          <w:tcPr>
            <w:tcW w:w="963" w:type="dxa"/>
            <w:shd w:val="clear" w:color="auto" w:fill="F2F2F2" w:themeFill="background1" w:themeFillShade="F2"/>
            <w:vAlign w:val="bottom"/>
          </w:tcPr>
          <w:p w14:paraId="193C9F9C" w14:textId="77777777" w:rsidR="00B954D3" w:rsidRPr="00D13F28" w:rsidRDefault="00B954D3" w:rsidP="00F86019">
            <w:pPr>
              <w:pStyle w:val="StandardOCAshurst"/>
              <w:spacing w:before="6"/>
              <w:jc w:val="right"/>
              <w:rPr>
                <w:sz w:val="14"/>
                <w:szCs w:val="14"/>
              </w:rPr>
            </w:pPr>
          </w:p>
        </w:tc>
        <w:tc>
          <w:tcPr>
            <w:tcW w:w="1227" w:type="dxa"/>
            <w:vAlign w:val="bottom"/>
          </w:tcPr>
          <w:p w14:paraId="45C3F472" w14:textId="77777777" w:rsidR="00B954D3" w:rsidRPr="00D13F28" w:rsidRDefault="00B954D3" w:rsidP="00F86019">
            <w:pPr>
              <w:pStyle w:val="StandardOCAshurst"/>
              <w:spacing w:before="6"/>
              <w:jc w:val="right"/>
              <w:rPr>
                <w:sz w:val="14"/>
                <w:szCs w:val="14"/>
              </w:rPr>
            </w:pPr>
          </w:p>
        </w:tc>
      </w:tr>
      <w:tr w:rsidR="00B954D3" w:rsidRPr="00A45357" w14:paraId="2631675A" w14:textId="77777777" w:rsidTr="00F86019">
        <w:tc>
          <w:tcPr>
            <w:tcW w:w="4230" w:type="dxa"/>
            <w:vAlign w:val="bottom"/>
          </w:tcPr>
          <w:p w14:paraId="635542F5" w14:textId="77777777" w:rsidR="00B954D3" w:rsidRPr="00D13F28" w:rsidRDefault="00B954D3" w:rsidP="00F86019">
            <w:pPr>
              <w:pStyle w:val="StandardOCAshurst"/>
              <w:spacing w:before="6"/>
              <w:jc w:val="left"/>
              <w:rPr>
                <w:sz w:val="14"/>
                <w:szCs w:val="14"/>
              </w:rPr>
            </w:pPr>
            <w:r w:rsidRPr="00D13F28">
              <w:rPr>
                <w:sz w:val="14"/>
                <w:szCs w:val="14"/>
              </w:rPr>
              <w:t xml:space="preserve">Deferred </w:t>
            </w:r>
            <w:r>
              <w:rPr>
                <w:sz w:val="14"/>
                <w:szCs w:val="14"/>
              </w:rPr>
              <w:t>t</w:t>
            </w:r>
            <w:r w:rsidRPr="00D13F28">
              <w:rPr>
                <w:sz w:val="14"/>
                <w:szCs w:val="14"/>
              </w:rPr>
              <w:t xml:space="preserve">ax </w:t>
            </w:r>
            <w:r>
              <w:rPr>
                <w:sz w:val="14"/>
                <w:szCs w:val="14"/>
              </w:rPr>
              <w:t>a</w:t>
            </w:r>
            <w:r w:rsidRPr="00D13F28">
              <w:rPr>
                <w:sz w:val="14"/>
                <w:szCs w:val="14"/>
              </w:rPr>
              <w:t>ssets……………………………………………………</w:t>
            </w:r>
          </w:p>
        </w:tc>
        <w:tc>
          <w:tcPr>
            <w:tcW w:w="1246" w:type="dxa"/>
            <w:vAlign w:val="bottom"/>
          </w:tcPr>
          <w:p w14:paraId="58F69E9F" w14:textId="77777777" w:rsidR="00B954D3" w:rsidRPr="00D13F28" w:rsidRDefault="00B954D3" w:rsidP="00F86019">
            <w:pPr>
              <w:pStyle w:val="StandardOCAshurst"/>
              <w:pBdr>
                <w:bottom w:val="single" w:sz="4" w:space="1" w:color="auto"/>
              </w:pBdr>
              <w:spacing w:before="6"/>
              <w:jc w:val="right"/>
              <w:rPr>
                <w:sz w:val="14"/>
                <w:szCs w:val="14"/>
              </w:rPr>
            </w:pPr>
            <w:r w:rsidRPr="00D13F28">
              <w:rPr>
                <w:sz w:val="14"/>
                <w:szCs w:val="14"/>
              </w:rPr>
              <w:t>503,946</w:t>
            </w:r>
          </w:p>
        </w:tc>
        <w:tc>
          <w:tcPr>
            <w:tcW w:w="963" w:type="dxa"/>
            <w:shd w:val="clear" w:color="auto" w:fill="F2F2F2" w:themeFill="background1" w:themeFillShade="F2"/>
            <w:vAlign w:val="bottom"/>
          </w:tcPr>
          <w:p w14:paraId="08303001" w14:textId="77777777" w:rsidR="00B954D3" w:rsidRPr="00D13F28" w:rsidRDefault="00B954D3" w:rsidP="00F86019">
            <w:pPr>
              <w:pStyle w:val="StandardOCAshurst"/>
              <w:pBdr>
                <w:bottom w:val="single" w:sz="4" w:space="1" w:color="auto"/>
              </w:pBdr>
              <w:spacing w:before="6"/>
              <w:jc w:val="right"/>
              <w:rPr>
                <w:sz w:val="14"/>
                <w:szCs w:val="14"/>
              </w:rPr>
            </w:pPr>
            <w:r w:rsidRPr="00D13F28">
              <w:rPr>
                <w:sz w:val="14"/>
                <w:szCs w:val="14"/>
              </w:rPr>
              <w:t>155,857</w:t>
            </w:r>
          </w:p>
        </w:tc>
        <w:tc>
          <w:tcPr>
            <w:tcW w:w="1227" w:type="dxa"/>
            <w:vAlign w:val="bottom"/>
          </w:tcPr>
          <w:p w14:paraId="3BAE3B9A" w14:textId="77777777" w:rsidR="00B954D3" w:rsidRPr="00D13F28" w:rsidRDefault="00B954D3" w:rsidP="00F86019">
            <w:pPr>
              <w:pStyle w:val="StandardOCAshurst"/>
              <w:pBdr>
                <w:bottom w:val="single" w:sz="4" w:space="1" w:color="auto"/>
              </w:pBdr>
              <w:spacing w:before="6"/>
              <w:jc w:val="right"/>
              <w:rPr>
                <w:sz w:val="14"/>
                <w:szCs w:val="14"/>
              </w:rPr>
            </w:pPr>
            <w:r w:rsidRPr="00D13F28">
              <w:rPr>
                <w:sz w:val="14"/>
                <w:szCs w:val="14"/>
              </w:rPr>
              <w:t>659,803</w:t>
            </w:r>
          </w:p>
        </w:tc>
      </w:tr>
      <w:tr w:rsidR="00B954D3" w:rsidRPr="00A45357" w14:paraId="732350E4" w14:textId="77777777" w:rsidTr="00F86019">
        <w:tc>
          <w:tcPr>
            <w:tcW w:w="4230" w:type="dxa"/>
            <w:vAlign w:val="bottom"/>
          </w:tcPr>
          <w:p w14:paraId="5056AA75" w14:textId="77777777" w:rsidR="00B954D3" w:rsidRPr="00D13F28" w:rsidRDefault="00B954D3" w:rsidP="00F86019">
            <w:pPr>
              <w:pStyle w:val="StandardOCAshurst"/>
              <w:spacing w:before="6"/>
              <w:jc w:val="left"/>
              <w:rPr>
                <w:b/>
                <w:bCs/>
                <w:sz w:val="14"/>
                <w:szCs w:val="14"/>
              </w:rPr>
            </w:pPr>
            <w:r w:rsidRPr="00D13F28">
              <w:rPr>
                <w:b/>
                <w:bCs/>
                <w:sz w:val="14"/>
                <w:szCs w:val="14"/>
              </w:rPr>
              <w:t>Total Assets</w:t>
            </w:r>
            <w:r w:rsidRPr="00D13F28">
              <w:rPr>
                <w:sz w:val="14"/>
                <w:szCs w:val="14"/>
              </w:rPr>
              <w:t>……………………………………………………………………</w:t>
            </w:r>
          </w:p>
        </w:tc>
        <w:tc>
          <w:tcPr>
            <w:tcW w:w="1246" w:type="dxa"/>
            <w:vAlign w:val="bottom"/>
          </w:tcPr>
          <w:p w14:paraId="27D61E47" w14:textId="77777777" w:rsidR="00B954D3" w:rsidRPr="00D13F28" w:rsidRDefault="00B954D3" w:rsidP="00F86019">
            <w:pPr>
              <w:pStyle w:val="StandardOCAshurst"/>
              <w:pBdr>
                <w:bottom w:val="single" w:sz="4" w:space="1" w:color="auto"/>
              </w:pBdr>
              <w:spacing w:before="6"/>
              <w:jc w:val="right"/>
              <w:rPr>
                <w:sz w:val="14"/>
                <w:szCs w:val="14"/>
              </w:rPr>
            </w:pPr>
            <w:r w:rsidRPr="00D13F28">
              <w:rPr>
                <w:sz w:val="14"/>
                <w:szCs w:val="14"/>
              </w:rPr>
              <w:t>3,706,746</w:t>
            </w:r>
          </w:p>
        </w:tc>
        <w:tc>
          <w:tcPr>
            <w:tcW w:w="963" w:type="dxa"/>
            <w:shd w:val="clear" w:color="auto" w:fill="F2F2F2" w:themeFill="background1" w:themeFillShade="F2"/>
            <w:vAlign w:val="bottom"/>
          </w:tcPr>
          <w:p w14:paraId="5C54401D" w14:textId="77777777" w:rsidR="00B954D3" w:rsidRPr="00D13F28" w:rsidRDefault="00B954D3" w:rsidP="00F86019">
            <w:pPr>
              <w:pStyle w:val="StandardOCAshurst"/>
              <w:pBdr>
                <w:bottom w:val="single" w:sz="4" w:space="1" w:color="auto"/>
              </w:pBdr>
              <w:spacing w:before="6"/>
              <w:jc w:val="right"/>
              <w:rPr>
                <w:sz w:val="14"/>
                <w:szCs w:val="14"/>
              </w:rPr>
            </w:pPr>
            <w:r w:rsidRPr="00D13F28">
              <w:rPr>
                <w:sz w:val="14"/>
                <w:szCs w:val="14"/>
              </w:rPr>
              <w:t>155,857</w:t>
            </w:r>
          </w:p>
        </w:tc>
        <w:tc>
          <w:tcPr>
            <w:tcW w:w="1227" w:type="dxa"/>
            <w:vAlign w:val="bottom"/>
          </w:tcPr>
          <w:p w14:paraId="272C8CD3" w14:textId="77777777" w:rsidR="00B954D3" w:rsidRPr="00D13F28" w:rsidRDefault="00B954D3" w:rsidP="00F86019">
            <w:pPr>
              <w:pStyle w:val="StandardOCAshurst"/>
              <w:pBdr>
                <w:bottom w:val="single" w:sz="4" w:space="1" w:color="auto"/>
              </w:pBdr>
              <w:spacing w:before="6"/>
              <w:jc w:val="right"/>
              <w:rPr>
                <w:sz w:val="14"/>
                <w:szCs w:val="14"/>
              </w:rPr>
            </w:pPr>
            <w:r w:rsidRPr="00D13F28">
              <w:rPr>
                <w:sz w:val="14"/>
                <w:szCs w:val="14"/>
              </w:rPr>
              <w:t>3,862,603</w:t>
            </w:r>
          </w:p>
        </w:tc>
      </w:tr>
      <w:tr w:rsidR="00B954D3" w:rsidRPr="00A45357" w14:paraId="462DCA8D" w14:textId="77777777" w:rsidTr="00F86019">
        <w:tc>
          <w:tcPr>
            <w:tcW w:w="4230" w:type="dxa"/>
            <w:vAlign w:val="bottom"/>
          </w:tcPr>
          <w:p w14:paraId="2CE33DA8" w14:textId="77777777" w:rsidR="00B954D3" w:rsidRPr="00D13F28" w:rsidRDefault="00B954D3" w:rsidP="00F86019">
            <w:pPr>
              <w:pStyle w:val="StandardOCAshurst"/>
              <w:spacing w:before="6"/>
              <w:jc w:val="left"/>
              <w:rPr>
                <w:b/>
                <w:bCs/>
                <w:sz w:val="14"/>
                <w:szCs w:val="14"/>
              </w:rPr>
            </w:pPr>
            <w:r w:rsidRPr="00D13F28">
              <w:rPr>
                <w:b/>
                <w:bCs/>
                <w:sz w:val="14"/>
                <w:szCs w:val="14"/>
              </w:rPr>
              <w:t>Equity And Liabilities</w:t>
            </w:r>
          </w:p>
        </w:tc>
        <w:tc>
          <w:tcPr>
            <w:tcW w:w="1246" w:type="dxa"/>
            <w:vAlign w:val="bottom"/>
          </w:tcPr>
          <w:p w14:paraId="24C10F34" w14:textId="77777777" w:rsidR="00B954D3" w:rsidRPr="00D13F28" w:rsidRDefault="00B954D3" w:rsidP="00F86019">
            <w:pPr>
              <w:pStyle w:val="StandardOCAshurst"/>
              <w:spacing w:before="6"/>
              <w:jc w:val="right"/>
              <w:rPr>
                <w:sz w:val="14"/>
                <w:szCs w:val="14"/>
              </w:rPr>
            </w:pPr>
          </w:p>
        </w:tc>
        <w:tc>
          <w:tcPr>
            <w:tcW w:w="963" w:type="dxa"/>
            <w:shd w:val="clear" w:color="auto" w:fill="F2F2F2" w:themeFill="background1" w:themeFillShade="F2"/>
            <w:vAlign w:val="bottom"/>
          </w:tcPr>
          <w:p w14:paraId="1D710812" w14:textId="77777777" w:rsidR="00B954D3" w:rsidRPr="00D13F28" w:rsidRDefault="00B954D3" w:rsidP="00F86019">
            <w:pPr>
              <w:pStyle w:val="StandardOCAshurst"/>
              <w:spacing w:before="6"/>
              <w:jc w:val="right"/>
              <w:rPr>
                <w:sz w:val="14"/>
                <w:szCs w:val="14"/>
              </w:rPr>
            </w:pPr>
          </w:p>
        </w:tc>
        <w:tc>
          <w:tcPr>
            <w:tcW w:w="1227" w:type="dxa"/>
            <w:vAlign w:val="bottom"/>
          </w:tcPr>
          <w:p w14:paraId="144F6DA3" w14:textId="77777777" w:rsidR="00B954D3" w:rsidRPr="00D13F28" w:rsidRDefault="00B954D3" w:rsidP="00F86019">
            <w:pPr>
              <w:pStyle w:val="StandardOCAshurst"/>
              <w:spacing w:before="6"/>
              <w:jc w:val="right"/>
              <w:rPr>
                <w:sz w:val="14"/>
                <w:szCs w:val="14"/>
              </w:rPr>
            </w:pPr>
          </w:p>
        </w:tc>
      </w:tr>
      <w:tr w:rsidR="00B954D3" w:rsidRPr="00A45357" w14:paraId="333DA7D1" w14:textId="77777777" w:rsidTr="00F86019">
        <w:tc>
          <w:tcPr>
            <w:tcW w:w="4230" w:type="dxa"/>
            <w:vAlign w:val="bottom"/>
          </w:tcPr>
          <w:p w14:paraId="65C04FDF" w14:textId="77777777" w:rsidR="00B954D3" w:rsidRPr="00D13F28" w:rsidRDefault="00B954D3" w:rsidP="00F86019">
            <w:pPr>
              <w:pStyle w:val="StandardOCAshurst"/>
              <w:spacing w:before="6"/>
              <w:jc w:val="left"/>
              <w:rPr>
                <w:b/>
                <w:bCs/>
                <w:sz w:val="14"/>
                <w:szCs w:val="14"/>
              </w:rPr>
            </w:pPr>
            <w:r w:rsidRPr="00D13F28">
              <w:rPr>
                <w:b/>
                <w:bCs/>
                <w:sz w:val="14"/>
                <w:szCs w:val="14"/>
              </w:rPr>
              <w:t>Equity</w:t>
            </w:r>
          </w:p>
        </w:tc>
        <w:tc>
          <w:tcPr>
            <w:tcW w:w="1246" w:type="dxa"/>
            <w:vAlign w:val="bottom"/>
          </w:tcPr>
          <w:p w14:paraId="1DC51740" w14:textId="77777777" w:rsidR="00B954D3" w:rsidRPr="00D13F28" w:rsidRDefault="00B954D3" w:rsidP="00F86019">
            <w:pPr>
              <w:pStyle w:val="StandardOCAshurst"/>
              <w:spacing w:before="6"/>
              <w:jc w:val="right"/>
              <w:rPr>
                <w:sz w:val="14"/>
                <w:szCs w:val="14"/>
              </w:rPr>
            </w:pPr>
          </w:p>
        </w:tc>
        <w:tc>
          <w:tcPr>
            <w:tcW w:w="963" w:type="dxa"/>
            <w:shd w:val="clear" w:color="auto" w:fill="F2F2F2" w:themeFill="background1" w:themeFillShade="F2"/>
            <w:vAlign w:val="bottom"/>
          </w:tcPr>
          <w:p w14:paraId="2D19A1AE" w14:textId="77777777" w:rsidR="00B954D3" w:rsidRPr="00D13F28" w:rsidRDefault="00B954D3" w:rsidP="00F86019">
            <w:pPr>
              <w:pStyle w:val="StandardOCAshurst"/>
              <w:spacing w:before="6"/>
              <w:jc w:val="right"/>
              <w:rPr>
                <w:sz w:val="14"/>
                <w:szCs w:val="14"/>
              </w:rPr>
            </w:pPr>
          </w:p>
        </w:tc>
        <w:tc>
          <w:tcPr>
            <w:tcW w:w="1227" w:type="dxa"/>
            <w:vAlign w:val="bottom"/>
          </w:tcPr>
          <w:p w14:paraId="4B5C693A" w14:textId="77777777" w:rsidR="00B954D3" w:rsidRPr="00D13F28" w:rsidRDefault="00B954D3" w:rsidP="00F86019">
            <w:pPr>
              <w:pStyle w:val="StandardOCAshurst"/>
              <w:spacing w:before="6"/>
              <w:jc w:val="right"/>
              <w:rPr>
                <w:sz w:val="14"/>
                <w:szCs w:val="14"/>
              </w:rPr>
            </w:pPr>
          </w:p>
        </w:tc>
      </w:tr>
      <w:tr w:rsidR="00B954D3" w:rsidRPr="00A45357" w14:paraId="48E0B1D1" w14:textId="77777777" w:rsidTr="00F86019">
        <w:tc>
          <w:tcPr>
            <w:tcW w:w="4230" w:type="dxa"/>
            <w:vAlign w:val="bottom"/>
          </w:tcPr>
          <w:p w14:paraId="5F5BDD48" w14:textId="77777777" w:rsidR="00B954D3" w:rsidRPr="00D13F28" w:rsidRDefault="00B954D3" w:rsidP="00F86019">
            <w:pPr>
              <w:pStyle w:val="StandardOCAshurst"/>
              <w:spacing w:before="6"/>
              <w:jc w:val="left"/>
              <w:rPr>
                <w:sz w:val="14"/>
                <w:szCs w:val="14"/>
              </w:rPr>
            </w:pPr>
            <w:r w:rsidRPr="00D13F28">
              <w:rPr>
                <w:sz w:val="14"/>
                <w:szCs w:val="14"/>
              </w:rPr>
              <w:t xml:space="preserve">Retained </w:t>
            </w:r>
            <w:r>
              <w:rPr>
                <w:sz w:val="14"/>
                <w:szCs w:val="14"/>
              </w:rPr>
              <w:t>e</w:t>
            </w:r>
            <w:r w:rsidRPr="00D13F28">
              <w:rPr>
                <w:sz w:val="14"/>
                <w:szCs w:val="14"/>
              </w:rPr>
              <w:t>arnings……………………………………………………..</w:t>
            </w:r>
          </w:p>
        </w:tc>
        <w:tc>
          <w:tcPr>
            <w:tcW w:w="1246" w:type="dxa"/>
            <w:vAlign w:val="bottom"/>
          </w:tcPr>
          <w:p w14:paraId="6245039F" w14:textId="77777777" w:rsidR="00B954D3" w:rsidRPr="00D13F28" w:rsidRDefault="00B954D3" w:rsidP="00F86019">
            <w:pPr>
              <w:pStyle w:val="StandardOCAshurst"/>
              <w:pBdr>
                <w:bottom w:val="single" w:sz="4" w:space="1" w:color="auto"/>
              </w:pBdr>
              <w:spacing w:before="6"/>
              <w:jc w:val="right"/>
              <w:rPr>
                <w:sz w:val="14"/>
                <w:szCs w:val="14"/>
              </w:rPr>
            </w:pPr>
            <w:r w:rsidRPr="00D13F28">
              <w:rPr>
                <w:sz w:val="14"/>
                <w:szCs w:val="14"/>
              </w:rPr>
              <w:t>(411,076)</w:t>
            </w:r>
          </w:p>
        </w:tc>
        <w:tc>
          <w:tcPr>
            <w:tcW w:w="963" w:type="dxa"/>
            <w:shd w:val="clear" w:color="auto" w:fill="F2F2F2" w:themeFill="background1" w:themeFillShade="F2"/>
            <w:vAlign w:val="bottom"/>
          </w:tcPr>
          <w:p w14:paraId="0CA8DD41" w14:textId="77777777" w:rsidR="00B954D3" w:rsidRPr="00D13F28" w:rsidRDefault="00B954D3" w:rsidP="00F86019">
            <w:pPr>
              <w:pStyle w:val="StandardOCAshurst"/>
              <w:pBdr>
                <w:bottom w:val="single" w:sz="4" w:space="1" w:color="auto"/>
              </w:pBdr>
              <w:spacing w:before="6"/>
              <w:jc w:val="right"/>
              <w:rPr>
                <w:sz w:val="14"/>
                <w:szCs w:val="14"/>
              </w:rPr>
            </w:pPr>
            <w:r w:rsidRPr="00D13F28">
              <w:rPr>
                <w:sz w:val="14"/>
                <w:szCs w:val="14"/>
              </w:rPr>
              <w:t>155,857</w:t>
            </w:r>
          </w:p>
        </w:tc>
        <w:tc>
          <w:tcPr>
            <w:tcW w:w="1227" w:type="dxa"/>
            <w:vAlign w:val="bottom"/>
          </w:tcPr>
          <w:p w14:paraId="453CCF12" w14:textId="77777777" w:rsidR="00B954D3" w:rsidRPr="00D13F28" w:rsidRDefault="00B954D3" w:rsidP="00F86019">
            <w:pPr>
              <w:pStyle w:val="StandardOCAshurst"/>
              <w:pBdr>
                <w:bottom w:val="single" w:sz="4" w:space="1" w:color="auto"/>
              </w:pBdr>
              <w:spacing w:before="6"/>
              <w:jc w:val="right"/>
              <w:rPr>
                <w:sz w:val="14"/>
                <w:szCs w:val="14"/>
              </w:rPr>
            </w:pPr>
            <w:r w:rsidRPr="00D13F28">
              <w:rPr>
                <w:sz w:val="14"/>
                <w:szCs w:val="14"/>
              </w:rPr>
              <w:t>(255,219)</w:t>
            </w:r>
          </w:p>
        </w:tc>
      </w:tr>
      <w:tr w:rsidR="00B954D3" w:rsidRPr="00A45357" w14:paraId="66990FBD" w14:textId="77777777" w:rsidTr="00F86019">
        <w:tc>
          <w:tcPr>
            <w:tcW w:w="4230" w:type="dxa"/>
            <w:vAlign w:val="bottom"/>
          </w:tcPr>
          <w:p w14:paraId="6F127551" w14:textId="77777777" w:rsidR="00B954D3" w:rsidRPr="00D13F28" w:rsidRDefault="00B954D3" w:rsidP="00F86019">
            <w:pPr>
              <w:pStyle w:val="StandardOCAshurst"/>
              <w:spacing w:before="6"/>
              <w:jc w:val="left"/>
              <w:rPr>
                <w:b/>
                <w:bCs/>
                <w:sz w:val="14"/>
                <w:szCs w:val="14"/>
              </w:rPr>
            </w:pPr>
            <w:r w:rsidRPr="00D13F28">
              <w:rPr>
                <w:b/>
                <w:bCs/>
                <w:sz w:val="14"/>
                <w:szCs w:val="14"/>
              </w:rPr>
              <w:t>Total Equity</w:t>
            </w:r>
            <w:r w:rsidRPr="00D13F28">
              <w:rPr>
                <w:sz w:val="14"/>
                <w:szCs w:val="14"/>
              </w:rPr>
              <w:t>…………………………………………………………...</w:t>
            </w:r>
          </w:p>
        </w:tc>
        <w:tc>
          <w:tcPr>
            <w:tcW w:w="1246" w:type="dxa"/>
            <w:vAlign w:val="bottom"/>
          </w:tcPr>
          <w:p w14:paraId="322B8ED3" w14:textId="77777777" w:rsidR="00B954D3" w:rsidRPr="00D13F28" w:rsidRDefault="00B954D3" w:rsidP="00F86019">
            <w:pPr>
              <w:pStyle w:val="StandardOCAshurst"/>
              <w:pBdr>
                <w:bottom w:val="single" w:sz="4" w:space="1" w:color="auto"/>
              </w:pBdr>
              <w:spacing w:before="6"/>
              <w:jc w:val="right"/>
              <w:rPr>
                <w:sz w:val="14"/>
                <w:szCs w:val="14"/>
              </w:rPr>
            </w:pPr>
            <w:r w:rsidRPr="00D13F28">
              <w:rPr>
                <w:sz w:val="14"/>
                <w:szCs w:val="14"/>
              </w:rPr>
              <w:t>(64,640)</w:t>
            </w:r>
          </w:p>
        </w:tc>
        <w:tc>
          <w:tcPr>
            <w:tcW w:w="963" w:type="dxa"/>
            <w:shd w:val="clear" w:color="auto" w:fill="F2F2F2" w:themeFill="background1" w:themeFillShade="F2"/>
            <w:vAlign w:val="bottom"/>
          </w:tcPr>
          <w:p w14:paraId="4C130BCB" w14:textId="77777777" w:rsidR="00B954D3" w:rsidRPr="00D13F28" w:rsidRDefault="00B954D3" w:rsidP="00F86019">
            <w:pPr>
              <w:pStyle w:val="StandardOCAshurst"/>
              <w:pBdr>
                <w:bottom w:val="single" w:sz="4" w:space="1" w:color="auto"/>
              </w:pBdr>
              <w:spacing w:before="6"/>
              <w:jc w:val="right"/>
              <w:rPr>
                <w:sz w:val="14"/>
                <w:szCs w:val="14"/>
              </w:rPr>
            </w:pPr>
            <w:r w:rsidRPr="00D13F28">
              <w:rPr>
                <w:sz w:val="14"/>
                <w:szCs w:val="14"/>
              </w:rPr>
              <w:t>155,857</w:t>
            </w:r>
          </w:p>
        </w:tc>
        <w:tc>
          <w:tcPr>
            <w:tcW w:w="1227" w:type="dxa"/>
            <w:vAlign w:val="bottom"/>
          </w:tcPr>
          <w:p w14:paraId="11B84E1B" w14:textId="77777777" w:rsidR="00B954D3" w:rsidRPr="00D13F28" w:rsidRDefault="00B954D3" w:rsidP="00F86019">
            <w:pPr>
              <w:pStyle w:val="StandardOCAshurst"/>
              <w:pBdr>
                <w:bottom w:val="single" w:sz="4" w:space="1" w:color="auto"/>
              </w:pBdr>
              <w:spacing w:before="6"/>
              <w:jc w:val="right"/>
              <w:rPr>
                <w:sz w:val="14"/>
                <w:szCs w:val="14"/>
              </w:rPr>
            </w:pPr>
            <w:r w:rsidRPr="00D13F28">
              <w:rPr>
                <w:sz w:val="14"/>
                <w:szCs w:val="14"/>
              </w:rPr>
              <w:t>91,217</w:t>
            </w:r>
          </w:p>
        </w:tc>
      </w:tr>
      <w:tr w:rsidR="00B954D3" w:rsidRPr="00A45357" w14:paraId="57C4EE95" w14:textId="77777777" w:rsidTr="00F86019">
        <w:tc>
          <w:tcPr>
            <w:tcW w:w="4230" w:type="dxa"/>
            <w:vAlign w:val="bottom"/>
          </w:tcPr>
          <w:p w14:paraId="18FDACC4" w14:textId="77777777" w:rsidR="00B954D3" w:rsidRPr="00D13F28" w:rsidRDefault="00B954D3" w:rsidP="00F86019">
            <w:pPr>
              <w:pStyle w:val="StandardOCAshurst"/>
              <w:spacing w:before="6"/>
              <w:jc w:val="left"/>
              <w:rPr>
                <w:b/>
                <w:bCs/>
                <w:sz w:val="14"/>
                <w:szCs w:val="14"/>
              </w:rPr>
            </w:pPr>
            <w:r w:rsidRPr="00D13F28">
              <w:rPr>
                <w:b/>
                <w:bCs/>
                <w:sz w:val="14"/>
                <w:szCs w:val="14"/>
              </w:rPr>
              <w:t>Total Equity And Liabilities</w:t>
            </w:r>
            <w:r w:rsidRPr="00D13F28">
              <w:rPr>
                <w:sz w:val="14"/>
                <w:szCs w:val="14"/>
              </w:rPr>
              <w:t>……………………...………………….</w:t>
            </w:r>
          </w:p>
        </w:tc>
        <w:tc>
          <w:tcPr>
            <w:tcW w:w="1246" w:type="dxa"/>
            <w:vAlign w:val="bottom"/>
          </w:tcPr>
          <w:p w14:paraId="56D98C48" w14:textId="77777777" w:rsidR="00B954D3" w:rsidRPr="00D13F28" w:rsidRDefault="00B954D3" w:rsidP="00F86019">
            <w:pPr>
              <w:pStyle w:val="StandardOCAshurst"/>
              <w:pBdr>
                <w:bottom w:val="single" w:sz="4" w:space="1" w:color="auto"/>
              </w:pBdr>
              <w:spacing w:before="6"/>
              <w:jc w:val="right"/>
              <w:rPr>
                <w:sz w:val="14"/>
                <w:szCs w:val="14"/>
              </w:rPr>
            </w:pPr>
            <w:r w:rsidRPr="00D13F28">
              <w:rPr>
                <w:sz w:val="14"/>
                <w:szCs w:val="14"/>
              </w:rPr>
              <w:t>3,706,746</w:t>
            </w:r>
          </w:p>
        </w:tc>
        <w:tc>
          <w:tcPr>
            <w:tcW w:w="963" w:type="dxa"/>
            <w:shd w:val="clear" w:color="auto" w:fill="F2F2F2" w:themeFill="background1" w:themeFillShade="F2"/>
            <w:vAlign w:val="bottom"/>
          </w:tcPr>
          <w:p w14:paraId="72E77F05" w14:textId="77777777" w:rsidR="00B954D3" w:rsidRPr="00D13F28" w:rsidRDefault="00B954D3" w:rsidP="00F86019">
            <w:pPr>
              <w:pStyle w:val="StandardOCAshurst"/>
              <w:pBdr>
                <w:bottom w:val="single" w:sz="4" w:space="1" w:color="auto"/>
              </w:pBdr>
              <w:spacing w:before="6"/>
              <w:jc w:val="right"/>
              <w:rPr>
                <w:sz w:val="14"/>
                <w:szCs w:val="14"/>
              </w:rPr>
            </w:pPr>
            <w:r w:rsidRPr="00D13F28">
              <w:rPr>
                <w:sz w:val="14"/>
                <w:szCs w:val="14"/>
              </w:rPr>
              <w:t>155,857</w:t>
            </w:r>
          </w:p>
        </w:tc>
        <w:tc>
          <w:tcPr>
            <w:tcW w:w="1227" w:type="dxa"/>
            <w:vAlign w:val="bottom"/>
          </w:tcPr>
          <w:p w14:paraId="3600CCFE" w14:textId="77777777" w:rsidR="00B954D3" w:rsidRPr="00D13F28" w:rsidRDefault="00B954D3" w:rsidP="00F86019">
            <w:pPr>
              <w:pStyle w:val="StandardOCAshurst"/>
              <w:pBdr>
                <w:bottom w:val="single" w:sz="4" w:space="1" w:color="auto"/>
              </w:pBdr>
              <w:spacing w:before="6"/>
              <w:jc w:val="right"/>
              <w:rPr>
                <w:sz w:val="14"/>
                <w:szCs w:val="14"/>
              </w:rPr>
            </w:pPr>
            <w:r w:rsidRPr="00D13F28">
              <w:rPr>
                <w:sz w:val="14"/>
                <w:szCs w:val="14"/>
              </w:rPr>
              <w:t>3,862,603</w:t>
            </w:r>
          </w:p>
        </w:tc>
      </w:tr>
    </w:tbl>
    <w:p w14:paraId="3901C0D1" w14:textId="77777777" w:rsidR="00B954D3" w:rsidRDefault="00B954D3" w:rsidP="00B954D3">
      <w:pPr>
        <w:pStyle w:val="H3OCAshurst"/>
        <w:numPr>
          <w:ilvl w:val="0"/>
          <w:numId w:val="0"/>
        </w:numPr>
        <w:ind w:left="709"/>
      </w:pPr>
    </w:p>
    <w:p w14:paraId="14F80388" w14:textId="041B1218" w:rsidR="00B954D3" w:rsidRDefault="00B954D3" w:rsidP="001E486A">
      <w:pPr>
        <w:pStyle w:val="Body1OCAshurst"/>
        <w:ind w:left="0"/>
      </w:pPr>
      <w:r>
        <w:t>Consequently, the unaudited pro forma financial information set out in Part 9 ("</w:t>
      </w:r>
      <w:r>
        <w:rPr>
          <w:i/>
          <w:iCs/>
        </w:rPr>
        <w:t>Unaudited Pro Forma Financial Information</w:t>
      </w:r>
      <w:r>
        <w:t xml:space="preserve">") of the Original Prospectus, which extracts information from the 2020 Financial Statements, has been </w:t>
      </w:r>
      <w:r w:rsidR="006F65C4">
        <w:t>updated</w:t>
      </w:r>
      <w:r>
        <w:t xml:space="preserve"> as set out at paragraph </w:t>
      </w:r>
      <w:r>
        <w:fldChar w:fldCharType="begin"/>
      </w:r>
      <w:r>
        <w:instrText xml:space="preserve"> REF _Ref81909293 \r \h </w:instrText>
      </w:r>
      <w:r>
        <w:fldChar w:fldCharType="separate"/>
      </w:r>
      <w:r w:rsidR="002D487F">
        <w:rPr>
          <w:cs/>
        </w:rPr>
        <w:t>‎</w:t>
      </w:r>
      <w:r w:rsidR="002D487F">
        <w:t>2.2</w:t>
      </w:r>
      <w:r>
        <w:fldChar w:fldCharType="end"/>
      </w:r>
      <w:r>
        <w:t xml:space="preserve"> below.</w:t>
      </w:r>
    </w:p>
    <w:p w14:paraId="0941899D" w14:textId="799CA447" w:rsidR="00411462" w:rsidRDefault="00367B64" w:rsidP="001E486A">
      <w:pPr>
        <w:pStyle w:val="Body1OCAshurst"/>
        <w:ind w:left="0"/>
      </w:pPr>
      <w:bookmarkStart w:id="27" w:name="_Hlk84002252"/>
      <w:r w:rsidRPr="00367B64">
        <w:t>As a result of the corrections made to the Group Income Statement and Group Balance Sheet in this Supplementary Prospectus, those notes to the 2020 Financial Statements (which are incorporated by reference in Part 5 ("</w:t>
      </w:r>
      <w:r w:rsidRPr="0024664C">
        <w:rPr>
          <w:i/>
          <w:iCs/>
        </w:rPr>
        <w:t>Financial Information of the EnQuest Group</w:t>
      </w:r>
      <w:r w:rsidRPr="00367B64">
        <w:t xml:space="preserve">") of the Original Prospectus) that refer to or </w:t>
      </w:r>
      <w:r>
        <w:t>relate to</w:t>
      </w:r>
      <w:r w:rsidRPr="00367B64">
        <w:t xml:space="preserve"> line items that have been restated are </w:t>
      </w:r>
      <w:r w:rsidR="00626462">
        <w:t>consequentially</w:t>
      </w:r>
      <w:r w:rsidR="00626462" w:rsidRPr="00367B64">
        <w:t xml:space="preserve"> </w:t>
      </w:r>
      <w:r w:rsidRPr="00367B64">
        <w:t>impacted</w:t>
      </w:r>
      <w:r w:rsidR="00626462">
        <w:t xml:space="preserve"> (any such impact solely consequential of the </w:t>
      </w:r>
      <w:r w:rsidR="00C45D06">
        <w:t>restatements disclosed herein</w:t>
      </w:r>
      <w:r w:rsidR="00626462">
        <w:t>)</w:t>
      </w:r>
      <w:r w:rsidRPr="00367B64">
        <w:t xml:space="preserve">. Other than as disclosed herein, there are no </w:t>
      </w:r>
      <w:r w:rsidRPr="00367B64">
        <w:lastRenderedPageBreak/>
        <w:t>corrections required to be made to the 2020 Financial Statements for the purposes of this Supplementary Prospectus.</w:t>
      </w:r>
    </w:p>
    <w:bookmarkEnd w:id="27"/>
    <w:p w14:paraId="5910AB34" w14:textId="4638ADAB" w:rsidR="008870C6" w:rsidRPr="001E486A" w:rsidRDefault="008870C6" w:rsidP="001E486A">
      <w:pPr>
        <w:pStyle w:val="H2OCAshurst"/>
        <w:numPr>
          <w:ilvl w:val="0"/>
          <w:numId w:val="0"/>
        </w:numPr>
        <w:rPr>
          <w:b w:val="0"/>
          <w:bCs/>
        </w:rPr>
      </w:pPr>
      <w:r w:rsidRPr="001E486A">
        <w:rPr>
          <w:b w:val="0"/>
          <w:bCs/>
        </w:rPr>
        <w:t>The information referred to above supplements</w:t>
      </w:r>
      <w:r w:rsidR="0071469A" w:rsidRPr="001E486A">
        <w:rPr>
          <w:b w:val="0"/>
          <w:bCs/>
        </w:rPr>
        <w:t>, modifies and supersedes</w:t>
      </w:r>
      <w:r w:rsidRPr="001E486A">
        <w:rPr>
          <w:b w:val="0"/>
          <w:bCs/>
        </w:rPr>
        <w:t xml:space="preserve"> the information set out in:</w:t>
      </w:r>
    </w:p>
    <w:p w14:paraId="47430F61" w14:textId="5D9F0BED" w:rsidR="00F4393F" w:rsidRDefault="008870C6" w:rsidP="001E486A">
      <w:pPr>
        <w:pStyle w:val="H4OCAshurst"/>
      </w:pPr>
      <w:r>
        <w:t xml:space="preserve">Part </w:t>
      </w:r>
      <w:r w:rsidR="00AD23AB">
        <w:t>4</w:t>
      </w:r>
      <w:r>
        <w:t xml:space="preserve"> ("</w:t>
      </w:r>
      <w:r w:rsidR="00AD23AB">
        <w:rPr>
          <w:i/>
          <w:iCs/>
        </w:rPr>
        <w:t>Operating and Financial Review of the EnQuest Group</w:t>
      </w:r>
      <w:r>
        <w:t>") of the Original Prospectus</w:t>
      </w:r>
      <w:r w:rsidR="00EC3D40">
        <w:t xml:space="preserve"> by </w:t>
      </w:r>
      <w:r w:rsidR="00EC3D40" w:rsidRPr="00EC3D40">
        <w:t>deleting and replacing</w:t>
      </w:r>
      <w:r w:rsidR="00F4393F">
        <w:t>:</w:t>
      </w:r>
    </w:p>
    <w:p w14:paraId="6F84C1DB" w14:textId="230CC36B" w:rsidR="008870C6" w:rsidRDefault="00F4393F" w:rsidP="001E486A">
      <w:pPr>
        <w:pStyle w:val="H5OCAshurst"/>
      </w:pPr>
      <w:r>
        <w:t>the table in paragraph 2.11 of Part 4 ("</w:t>
      </w:r>
      <w:r>
        <w:rPr>
          <w:i/>
          <w:iCs/>
        </w:rPr>
        <w:t>Operating and Financial Review of the EnQuest Group</w:t>
      </w:r>
      <w:r>
        <w:t>") of the Original Prospectus with the following table:</w:t>
      </w:r>
    </w:p>
    <w:tbl>
      <w:tblPr>
        <w:tblStyle w:val="TableGrid"/>
        <w:tblW w:w="731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068"/>
        <w:gridCol w:w="1068"/>
        <w:gridCol w:w="1063"/>
        <w:gridCol w:w="6"/>
      </w:tblGrid>
      <w:tr w:rsidR="00F4393F" w:rsidRPr="007D6590" w14:paraId="7E7C5D77" w14:textId="77777777" w:rsidTr="00F4393F">
        <w:trPr>
          <w:gridAfter w:val="1"/>
          <w:wAfter w:w="6" w:type="dxa"/>
        </w:trPr>
        <w:tc>
          <w:tcPr>
            <w:tcW w:w="4111" w:type="dxa"/>
          </w:tcPr>
          <w:p w14:paraId="00711C40" w14:textId="77777777" w:rsidR="00F4393F" w:rsidRPr="007D6590" w:rsidRDefault="00F4393F" w:rsidP="00F4393F">
            <w:pPr>
              <w:pStyle w:val="StandardOCAshurst"/>
              <w:keepNext/>
              <w:rPr>
                <w:sz w:val="16"/>
                <w:szCs w:val="16"/>
              </w:rPr>
            </w:pPr>
          </w:p>
        </w:tc>
        <w:tc>
          <w:tcPr>
            <w:tcW w:w="3199" w:type="dxa"/>
            <w:gridSpan w:val="3"/>
          </w:tcPr>
          <w:p w14:paraId="0E556E7D" w14:textId="77777777" w:rsidR="00F4393F" w:rsidRPr="007D6590" w:rsidRDefault="00F4393F" w:rsidP="00F4393F">
            <w:pPr>
              <w:pStyle w:val="StandardOCAshurst"/>
              <w:pBdr>
                <w:bottom w:val="single" w:sz="4" w:space="1" w:color="auto"/>
              </w:pBdr>
              <w:jc w:val="center"/>
              <w:rPr>
                <w:b/>
                <w:bCs/>
                <w:sz w:val="16"/>
                <w:szCs w:val="16"/>
              </w:rPr>
            </w:pPr>
            <w:r w:rsidRPr="007D6590">
              <w:rPr>
                <w:b/>
                <w:bCs/>
                <w:sz w:val="16"/>
                <w:szCs w:val="16"/>
              </w:rPr>
              <w:t>Year ended 31 December</w:t>
            </w:r>
          </w:p>
        </w:tc>
      </w:tr>
      <w:tr w:rsidR="00F4393F" w:rsidRPr="007D6590" w14:paraId="44BDCADD" w14:textId="77777777" w:rsidTr="00043857">
        <w:tc>
          <w:tcPr>
            <w:tcW w:w="4111" w:type="dxa"/>
          </w:tcPr>
          <w:p w14:paraId="041AA272" w14:textId="77777777" w:rsidR="00F4393F" w:rsidRPr="007D6590" w:rsidRDefault="00F4393F" w:rsidP="00F4393F">
            <w:pPr>
              <w:pStyle w:val="StandardOCAshurst"/>
              <w:keepNext/>
              <w:rPr>
                <w:b/>
                <w:bCs/>
                <w:sz w:val="16"/>
                <w:szCs w:val="16"/>
              </w:rPr>
            </w:pPr>
            <w:r w:rsidRPr="007D6590">
              <w:rPr>
                <w:b/>
                <w:bCs/>
                <w:sz w:val="16"/>
                <w:szCs w:val="16"/>
              </w:rPr>
              <w:t>(in millions of $)</w:t>
            </w:r>
          </w:p>
        </w:tc>
        <w:tc>
          <w:tcPr>
            <w:tcW w:w="1068" w:type="dxa"/>
            <w:vAlign w:val="bottom"/>
          </w:tcPr>
          <w:p w14:paraId="0CD6A331" w14:textId="77777777" w:rsidR="00F4393F" w:rsidRPr="007D6590" w:rsidRDefault="00F4393F" w:rsidP="00043857">
            <w:pPr>
              <w:pStyle w:val="StandardOCAshurst"/>
              <w:pBdr>
                <w:bottom w:val="single" w:sz="4" w:space="1" w:color="auto"/>
              </w:pBdr>
              <w:jc w:val="center"/>
              <w:rPr>
                <w:b/>
                <w:bCs/>
                <w:sz w:val="16"/>
                <w:szCs w:val="16"/>
              </w:rPr>
            </w:pPr>
            <w:r w:rsidRPr="007D6590">
              <w:rPr>
                <w:b/>
                <w:bCs/>
                <w:sz w:val="16"/>
                <w:szCs w:val="16"/>
              </w:rPr>
              <w:t>2018</w:t>
            </w:r>
          </w:p>
        </w:tc>
        <w:tc>
          <w:tcPr>
            <w:tcW w:w="1068" w:type="dxa"/>
            <w:vAlign w:val="bottom"/>
          </w:tcPr>
          <w:p w14:paraId="213F55FC" w14:textId="77777777" w:rsidR="00F4393F" w:rsidRPr="007D6590" w:rsidRDefault="00F4393F" w:rsidP="00043857">
            <w:pPr>
              <w:pStyle w:val="StandardOCAshurst"/>
              <w:pBdr>
                <w:bottom w:val="single" w:sz="4" w:space="1" w:color="auto"/>
              </w:pBdr>
              <w:jc w:val="center"/>
              <w:rPr>
                <w:b/>
                <w:bCs/>
                <w:sz w:val="16"/>
                <w:szCs w:val="16"/>
              </w:rPr>
            </w:pPr>
            <w:r w:rsidRPr="007D6590">
              <w:rPr>
                <w:b/>
                <w:bCs/>
                <w:sz w:val="16"/>
                <w:szCs w:val="16"/>
              </w:rPr>
              <w:t>2019</w:t>
            </w:r>
          </w:p>
        </w:tc>
        <w:tc>
          <w:tcPr>
            <w:tcW w:w="1069" w:type="dxa"/>
            <w:gridSpan w:val="2"/>
            <w:vAlign w:val="bottom"/>
          </w:tcPr>
          <w:p w14:paraId="15D26D74" w14:textId="7F870CF5" w:rsidR="00F4393F" w:rsidRPr="007D6590" w:rsidRDefault="00F4393F" w:rsidP="00043857">
            <w:pPr>
              <w:pStyle w:val="StandardOCAshurst"/>
              <w:pBdr>
                <w:bottom w:val="single" w:sz="4" w:space="1" w:color="auto"/>
              </w:pBdr>
              <w:jc w:val="center"/>
              <w:rPr>
                <w:b/>
                <w:bCs/>
                <w:sz w:val="16"/>
                <w:szCs w:val="16"/>
              </w:rPr>
            </w:pPr>
            <w:r w:rsidRPr="007D6590">
              <w:rPr>
                <w:b/>
                <w:bCs/>
                <w:sz w:val="16"/>
                <w:szCs w:val="16"/>
              </w:rPr>
              <w:t>2020</w:t>
            </w:r>
            <w:r>
              <w:rPr>
                <w:b/>
                <w:bCs/>
                <w:sz w:val="16"/>
                <w:szCs w:val="16"/>
              </w:rPr>
              <w:t xml:space="preserve"> (restated)</w:t>
            </w:r>
          </w:p>
        </w:tc>
      </w:tr>
      <w:tr w:rsidR="00F4393F" w:rsidRPr="007D6590" w14:paraId="392F2D02" w14:textId="77777777" w:rsidTr="00043857">
        <w:tc>
          <w:tcPr>
            <w:tcW w:w="4111" w:type="dxa"/>
          </w:tcPr>
          <w:p w14:paraId="401C6451" w14:textId="77777777" w:rsidR="00F4393F" w:rsidRPr="007D6590" w:rsidRDefault="00F4393F" w:rsidP="00F4393F">
            <w:pPr>
              <w:pStyle w:val="StandardOCAshurst"/>
              <w:jc w:val="left"/>
              <w:rPr>
                <w:i/>
                <w:iCs/>
                <w:sz w:val="16"/>
                <w:szCs w:val="16"/>
              </w:rPr>
            </w:pPr>
            <w:r w:rsidRPr="007D6590">
              <w:rPr>
                <w:i/>
                <w:iCs/>
                <w:sz w:val="16"/>
                <w:szCs w:val="16"/>
              </w:rPr>
              <w:t>Recognised in arriving at profit from operations before tax and net finance costs:</w:t>
            </w:r>
          </w:p>
        </w:tc>
        <w:tc>
          <w:tcPr>
            <w:tcW w:w="1068" w:type="dxa"/>
          </w:tcPr>
          <w:p w14:paraId="1C413DB6" w14:textId="77777777" w:rsidR="00F4393F" w:rsidRPr="007D6590" w:rsidRDefault="00F4393F" w:rsidP="00F4393F">
            <w:pPr>
              <w:pStyle w:val="StandardOCAshurst"/>
              <w:rPr>
                <w:sz w:val="16"/>
                <w:szCs w:val="16"/>
              </w:rPr>
            </w:pPr>
          </w:p>
        </w:tc>
        <w:tc>
          <w:tcPr>
            <w:tcW w:w="1068" w:type="dxa"/>
          </w:tcPr>
          <w:p w14:paraId="0DE93122" w14:textId="77777777" w:rsidR="00F4393F" w:rsidRPr="007D6590" w:rsidRDefault="00F4393F" w:rsidP="00F4393F">
            <w:pPr>
              <w:pStyle w:val="StandardOCAshurst"/>
              <w:rPr>
                <w:sz w:val="16"/>
                <w:szCs w:val="16"/>
              </w:rPr>
            </w:pPr>
          </w:p>
        </w:tc>
        <w:tc>
          <w:tcPr>
            <w:tcW w:w="1069" w:type="dxa"/>
            <w:gridSpan w:val="2"/>
          </w:tcPr>
          <w:p w14:paraId="460E99CD" w14:textId="77777777" w:rsidR="00F4393F" w:rsidRPr="007D6590" w:rsidRDefault="00F4393F" w:rsidP="00F4393F">
            <w:pPr>
              <w:pStyle w:val="StandardOCAshurst"/>
              <w:rPr>
                <w:sz w:val="16"/>
                <w:szCs w:val="16"/>
              </w:rPr>
            </w:pPr>
          </w:p>
        </w:tc>
      </w:tr>
      <w:tr w:rsidR="00F4393F" w:rsidRPr="007D6590" w14:paraId="759DF707" w14:textId="77777777" w:rsidTr="00043857">
        <w:tc>
          <w:tcPr>
            <w:tcW w:w="4111" w:type="dxa"/>
          </w:tcPr>
          <w:p w14:paraId="61DE6FE7" w14:textId="77777777" w:rsidR="00F4393F" w:rsidRPr="007D6590" w:rsidRDefault="00F4393F" w:rsidP="00F4393F">
            <w:pPr>
              <w:pStyle w:val="StandardOCAshurst"/>
              <w:tabs>
                <w:tab w:val="left" w:leader="dot" w:pos="3863"/>
              </w:tabs>
              <w:jc w:val="left"/>
              <w:rPr>
                <w:sz w:val="16"/>
                <w:szCs w:val="16"/>
              </w:rPr>
            </w:pPr>
            <w:r w:rsidRPr="007D6590">
              <w:rPr>
                <w:sz w:val="16"/>
                <w:szCs w:val="16"/>
              </w:rPr>
              <w:t>Fair value remeasurements</w:t>
            </w:r>
            <w:r w:rsidRPr="007D6590">
              <w:rPr>
                <w:sz w:val="16"/>
                <w:szCs w:val="16"/>
              </w:rPr>
              <w:tab/>
            </w:r>
          </w:p>
        </w:tc>
        <w:tc>
          <w:tcPr>
            <w:tcW w:w="1068" w:type="dxa"/>
          </w:tcPr>
          <w:p w14:paraId="2D77EA61" w14:textId="77777777" w:rsidR="00F4393F" w:rsidRPr="007D6590" w:rsidRDefault="00F4393F" w:rsidP="00F4393F">
            <w:pPr>
              <w:pStyle w:val="StandardOCAshurst"/>
              <w:jc w:val="right"/>
              <w:rPr>
                <w:sz w:val="16"/>
                <w:szCs w:val="16"/>
              </w:rPr>
            </w:pPr>
            <w:r w:rsidRPr="007D6590">
              <w:rPr>
                <w:sz w:val="16"/>
                <w:szCs w:val="16"/>
              </w:rPr>
              <w:t>90.2</w:t>
            </w:r>
          </w:p>
        </w:tc>
        <w:tc>
          <w:tcPr>
            <w:tcW w:w="1068" w:type="dxa"/>
          </w:tcPr>
          <w:p w14:paraId="6C674F92" w14:textId="77777777" w:rsidR="00F4393F" w:rsidRPr="007D6590" w:rsidRDefault="00F4393F" w:rsidP="00F4393F">
            <w:pPr>
              <w:pStyle w:val="StandardOCAshurst"/>
              <w:jc w:val="right"/>
              <w:rPr>
                <w:sz w:val="16"/>
                <w:szCs w:val="16"/>
              </w:rPr>
            </w:pPr>
            <w:r w:rsidRPr="007D6590">
              <w:rPr>
                <w:sz w:val="16"/>
                <w:szCs w:val="16"/>
              </w:rPr>
              <w:t>(81.3)</w:t>
            </w:r>
          </w:p>
        </w:tc>
        <w:tc>
          <w:tcPr>
            <w:tcW w:w="1069" w:type="dxa"/>
            <w:gridSpan w:val="2"/>
          </w:tcPr>
          <w:p w14:paraId="5264870E" w14:textId="77777777" w:rsidR="00F4393F" w:rsidRPr="007D6590" w:rsidRDefault="00F4393F" w:rsidP="00F4393F">
            <w:pPr>
              <w:pStyle w:val="StandardOCAshurst"/>
              <w:jc w:val="right"/>
              <w:rPr>
                <w:sz w:val="16"/>
                <w:szCs w:val="16"/>
              </w:rPr>
            </w:pPr>
            <w:r w:rsidRPr="007D6590">
              <w:rPr>
                <w:sz w:val="16"/>
                <w:szCs w:val="16"/>
              </w:rPr>
              <w:t>145.1</w:t>
            </w:r>
          </w:p>
        </w:tc>
      </w:tr>
      <w:tr w:rsidR="00F4393F" w:rsidRPr="007D6590" w14:paraId="0D08AA6E" w14:textId="77777777" w:rsidTr="00043857">
        <w:tc>
          <w:tcPr>
            <w:tcW w:w="4111" w:type="dxa"/>
          </w:tcPr>
          <w:p w14:paraId="481ACAAB" w14:textId="77777777" w:rsidR="00F4393F" w:rsidRPr="007D6590" w:rsidRDefault="00F4393F" w:rsidP="00F4393F">
            <w:pPr>
              <w:pStyle w:val="StandardOCAshurst"/>
              <w:tabs>
                <w:tab w:val="left" w:leader="dot" w:pos="3863"/>
              </w:tabs>
              <w:jc w:val="left"/>
              <w:rPr>
                <w:sz w:val="16"/>
                <w:szCs w:val="16"/>
              </w:rPr>
            </w:pPr>
            <w:r w:rsidRPr="007D6590">
              <w:rPr>
                <w:sz w:val="16"/>
                <w:szCs w:val="16"/>
              </w:rPr>
              <w:t>Impairments and write-offs</w:t>
            </w:r>
            <w:r w:rsidRPr="007D6590">
              <w:rPr>
                <w:sz w:val="16"/>
                <w:szCs w:val="16"/>
              </w:rPr>
              <w:tab/>
            </w:r>
          </w:p>
        </w:tc>
        <w:tc>
          <w:tcPr>
            <w:tcW w:w="1068" w:type="dxa"/>
          </w:tcPr>
          <w:p w14:paraId="46DDD72A" w14:textId="77777777" w:rsidR="00F4393F" w:rsidRPr="007D6590" w:rsidRDefault="00F4393F" w:rsidP="00F4393F">
            <w:pPr>
              <w:pStyle w:val="StandardOCAshurst"/>
              <w:jc w:val="right"/>
              <w:rPr>
                <w:sz w:val="16"/>
                <w:szCs w:val="16"/>
              </w:rPr>
            </w:pPr>
            <w:r w:rsidRPr="007D6590">
              <w:rPr>
                <w:sz w:val="16"/>
                <w:szCs w:val="16"/>
              </w:rPr>
              <w:t>(128.2)</w:t>
            </w:r>
          </w:p>
        </w:tc>
        <w:tc>
          <w:tcPr>
            <w:tcW w:w="1068" w:type="dxa"/>
          </w:tcPr>
          <w:p w14:paraId="47944651" w14:textId="77777777" w:rsidR="00F4393F" w:rsidRPr="007D6590" w:rsidRDefault="00F4393F" w:rsidP="00F4393F">
            <w:pPr>
              <w:pStyle w:val="StandardOCAshurst"/>
              <w:jc w:val="right"/>
              <w:rPr>
                <w:sz w:val="16"/>
                <w:szCs w:val="16"/>
              </w:rPr>
            </w:pPr>
            <w:r w:rsidRPr="007D6590">
              <w:rPr>
                <w:sz w:val="16"/>
                <w:szCs w:val="16"/>
              </w:rPr>
              <w:t>(812.6)</w:t>
            </w:r>
          </w:p>
        </w:tc>
        <w:tc>
          <w:tcPr>
            <w:tcW w:w="1069" w:type="dxa"/>
            <w:gridSpan w:val="2"/>
          </w:tcPr>
          <w:p w14:paraId="1E5A6606" w14:textId="77777777" w:rsidR="00F4393F" w:rsidRPr="007D6590" w:rsidRDefault="00F4393F" w:rsidP="00F4393F">
            <w:pPr>
              <w:pStyle w:val="StandardOCAshurst"/>
              <w:jc w:val="right"/>
              <w:rPr>
                <w:sz w:val="16"/>
                <w:szCs w:val="16"/>
              </w:rPr>
            </w:pPr>
            <w:r w:rsidRPr="007D6590">
              <w:rPr>
                <w:sz w:val="16"/>
                <w:szCs w:val="16"/>
              </w:rPr>
              <w:t>(422.5)</w:t>
            </w:r>
          </w:p>
        </w:tc>
      </w:tr>
      <w:tr w:rsidR="00F4393F" w:rsidRPr="007D6590" w14:paraId="5C763713" w14:textId="77777777" w:rsidTr="00043857">
        <w:tc>
          <w:tcPr>
            <w:tcW w:w="4111" w:type="dxa"/>
          </w:tcPr>
          <w:p w14:paraId="207F04EC" w14:textId="77777777" w:rsidR="00F4393F" w:rsidRPr="007D6590" w:rsidRDefault="00F4393F" w:rsidP="00F4393F">
            <w:pPr>
              <w:pStyle w:val="StandardOCAshurst"/>
              <w:tabs>
                <w:tab w:val="left" w:leader="dot" w:pos="3863"/>
              </w:tabs>
              <w:jc w:val="left"/>
              <w:rPr>
                <w:sz w:val="16"/>
                <w:szCs w:val="16"/>
              </w:rPr>
            </w:pPr>
            <w:r w:rsidRPr="007D6590">
              <w:rPr>
                <w:sz w:val="16"/>
                <w:szCs w:val="16"/>
              </w:rPr>
              <w:t>Other</w:t>
            </w:r>
            <w:r w:rsidRPr="007D6590">
              <w:rPr>
                <w:sz w:val="16"/>
                <w:szCs w:val="16"/>
              </w:rPr>
              <w:tab/>
            </w:r>
          </w:p>
        </w:tc>
        <w:tc>
          <w:tcPr>
            <w:tcW w:w="1068" w:type="dxa"/>
          </w:tcPr>
          <w:p w14:paraId="43EC85BC" w14:textId="77777777" w:rsidR="00F4393F" w:rsidRPr="007D6590" w:rsidRDefault="00F4393F" w:rsidP="00F4393F">
            <w:pPr>
              <w:pStyle w:val="StandardOCAshurst"/>
              <w:jc w:val="right"/>
              <w:rPr>
                <w:sz w:val="16"/>
                <w:szCs w:val="16"/>
              </w:rPr>
            </w:pPr>
            <w:r w:rsidRPr="007D6590">
              <w:rPr>
                <w:sz w:val="16"/>
                <w:szCs w:val="16"/>
              </w:rPr>
              <w:t>74.7</w:t>
            </w:r>
          </w:p>
        </w:tc>
        <w:tc>
          <w:tcPr>
            <w:tcW w:w="1068" w:type="dxa"/>
          </w:tcPr>
          <w:p w14:paraId="63D35962" w14:textId="77777777" w:rsidR="00F4393F" w:rsidRPr="007D6590" w:rsidRDefault="00F4393F" w:rsidP="00F4393F">
            <w:pPr>
              <w:pStyle w:val="StandardOCAshurst"/>
              <w:jc w:val="right"/>
              <w:rPr>
                <w:sz w:val="16"/>
                <w:szCs w:val="16"/>
              </w:rPr>
            </w:pPr>
            <w:r w:rsidRPr="007D6590">
              <w:rPr>
                <w:sz w:val="16"/>
                <w:szCs w:val="16"/>
              </w:rPr>
              <w:t>(73.2)</w:t>
            </w:r>
          </w:p>
        </w:tc>
        <w:tc>
          <w:tcPr>
            <w:tcW w:w="1069" w:type="dxa"/>
            <w:gridSpan w:val="2"/>
          </w:tcPr>
          <w:p w14:paraId="3E18E782" w14:textId="77777777" w:rsidR="00F4393F" w:rsidRPr="007D6590" w:rsidRDefault="00F4393F" w:rsidP="00F4393F">
            <w:pPr>
              <w:pStyle w:val="StandardOCAshurst"/>
              <w:jc w:val="right"/>
              <w:rPr>
                <w:sz w:val="16"/>
                <w:szCs w:val="16"/>
              </w:rPr>
            </w:pPr>
            <w:r w:rsidRPr="007D6590">
              <w:rPr>
                <w:sz w:val="16"/>
                <w:szCs w:val="16"/>
              </w:rPr>
              <w:t>(89.9)</w:t>
            </w:r>
          </w:p>
        </w:tc>
      </w:tr>
      <w:tr w:rsidR="00F4393F" w:rsidRPr="007D6590" w14:paraId="3A8063F8" w14:textId="77777777" w:rsidTr="00043857">
        <w:tc>
          <w:tcPr>
            <w:tcW w:w="4111" w:type="dxa"/>
          </w:tcPr>
          <w:p w14:paraId="3E2BAD5E" w14:textId="77777777" w:rsidR="00F4393F" w:rsidRPr="007D6590" w:rsidRDefault="00F4393F" w:rsidP="00F4393F">
            <w:pPr>
              <w:pStyle w:val="StandardOCAshurst"/>
              <w:tabs>
                <w:tab w:val="left" w:leader="dot" w:pos="3863"/>
              </w:tabs>
              <w:jc w:val="left"/>
              <w:rPr>
                <w:sz w:val="16"/>
                <w:szCs w:val="16"/>
              </w:rPr>
            </w:pPr>
            <w:r w:rsidRPr="007D6590">
              <w:rPr>
                <w:sz w:val="16"/>
                <w:szCs w:val="16"/>
              </w:rPr>
              <w:t>Tax on items above</w:t>
            </w:r>
            <w:r w:rsidRPr="007D6590">
              <w:rPr>
                <w:sz w:val="16"/>
                <w:szCs w:val="16"/>
              </w:rPr>
              <w:tab/>
            </w:r>
          </w:p>
        </w:tc>
        <w:tc>
          <w:tcPr>
            <w:tcW w:w="1068" w:type="dxa"/>
          </w:tcPr>
          <w:p w14:paraId="2CA6C458" w14:textId="77777777" w:rsidR="00F4393F" w:rsidRPr="007D6590" w:rsidRDefault="00F4393F" w:rsidP="00F4393F">
            <w:pPr>
              <w:pStyle w:val="StandardOCAshurst"/>
              <w:jc w:val="right"/>
              <w:rPr>
                <w:sz w:val="16"/>
                <w:szCs w:val="16"/>
              </w:rPr>
            </w:pPr>
            <w:r w:rsidRPr="007D6590">
              <w:rPr>
                <w:sz w:val="16"/>
                <w:szCs w:val="16"/>
              </w:rPr>
              <w:t>12.4</w:t>
            </w:r>
          </w:p>
        </w:tc>
        <w:tc>
          <w:tcPr>
            <w:tcW w:w="1068" w:type="dxa"/>
          </w:tcPr>
          <w:p w14:paraId="14C72B9A" w14:textId="77777777" w:rsidR="00F4393F" w:rsidRPr="007D6590" w:rsidRDefault="00F4393F" w:rsidP="00F4393F">
            <w:pPr>
              <w:pStyle w:val="StandardOCAshurst"/>
              <w:jc w:val="right"/>
              <w:rPr>
                <w:sz w:val="16"/>
                <w:szCs w:val="16"/>
              </w:rPr>
            </w:pPr>
            <w:r w:rsidRPr="007D6590">
              <w:rPr>
                <w:sz w:val="16"/>
                <w:szCs w:val="16"/>
              </w:rPr>
              <w:t>303.5</w:t>
            </w:r>
          </w:p>
        </w:tc>
        <w:tc>
          <w:tcPr>
            <w:tcW w:w="1069" w:type="dxa"/>
            <w:gridSpan w:val="2"/>
          </w:tcPr>
          <w:p w14:paraId="37E07F4C" w14:textId="77777777" w:rsidR="00F4393F" w:rsidRPr="007D6590" w:rsidRDefault="00F4393F" w:rsidP="00F4393F">
            <w:pPr>
              <w:pStyle w:val="StandardOCAshurst"/>
              <w:jc w:val="right"/>
              <w:rPr>
                <w:sz w:val="16"/>
                <w:szCs w:val="16"/>
              </w:rPr>
            </w:pPr>
            <w:r w:rsidRPr="007D6590">
              <w:rPr>
                <w:sz w:val="16"/>
                <w:szCs w:val="16"/>
              </w:rPr>
              <w:t>138.8</w:t>
            </w:r>
          </w:p>
        </w:tc>
      </w:tr>
      <w:tr w:rsidR="00F4393F" w:rsidRPr="007D6590" w14:paraId="58FCDBF1" w14:textId="77777777" w:rsidTr="00043857">
        <w:tc>
          <w:tcPr>
            <w:tcW w:w="4111" w:type="dxa"/>
          </w:tcPr>
          <w:p w14:paraId="6A88075E" w14:textId="77777777" w:rsidR="00F4393F" w:rsidRPr="007D6590" w:rsidRDefault="00F4393F" w:rsidP="00F4393F">
            <w:pPr>
              <w:pStyle w:val="StandardOCAshurst"/>
              <w:tabs>
                <w:tab w:val="left" w:leader="dot" w:pos="3863"/>
              </w:tabs>
              <w:jc w:val="left"/>
              <w:rPr>
                <w:sz w:val="16"/>
                <w:szCs w:val="16"/>
              </w:rPr>
            </w:pPr>
            <w:r w:rsidRPr="007D6590">
              <w:rPr>
                <w:sz w:val="16"/>
                <w:szCs w:val="16"/>
              </w:rPr>
              <w:t>Other tax exceptional items</w:t>
            </w:r>
            <w:r w:rsidRPr="007D6590">
              <w:rPr>
                <w:sz w:val="16"/>
                <w:szCs w:val="16"/>
              </w:rPr>
              <w:tab/>
            </w:r>
          </w:p>
        </w:tc>
        <w:tc>
          <w:tcPr>
            <w:tcW w:w="1068" w:type="dxa"/>
          </w:tcPr>
          <w:p w14:paraId="7F8F9F06" w14:textId="77777777" w:rsidR="00F4393F" w:rsidRPr="007D6590" w:rsidRDefault="00F4393F" w:rsidP="00F4393F">
            <w:pPr>
              <w:pStyle w:val="StandardOCAshurst"/>
              <w:pBdr>
                <w:bottom w:val="single" w:sz="4" w:space="1" w:color="auto"/>
              </w:pBdr>
              <w:jc w:val="right"/>
              <w:rPr>
                <w:sz w:val="16"/>
                <w:szCs w:val="16"/>
              </w:rPr>
            </w:pPr>
            <w:r w:rsidRPr="007D6590">
              <w:rPr>
                <w:sz w:val="16"/>
                <w:szCs w:val="16"/>
              </w:rPr>
              <w:t>—</w:t>
            </w:r>
          </w:p>
        </w:tc>
        <w:tc>
          <w:tcPr>
            <w:tcW w:w="1068" w:type="dxa"/>
          </w:tcPr>
          <w:p w14:paraId="43D4AF60" w14:textId="77777777" w:rsidR="00F4393F" w:rsidRPr="007D6590" w:rsidRDefault="00F4393F" w:rsidP="00F4393F">
            <w:pPr>
              <w:pStyle w:val="StandardOCAshurst"/>
              <w:pBdr>
                <w:bottom w:val="single" w:sz="4" w:space="1" w:color="auto"/>
              </w:pBdr>
              <w:jc w:val="right"/>
              <w:rPr>
                <w:sz w:val="16"/>
                <w:szCs w:val="16"/>
              </w:rPr>
            </w:pPr>
            <w:r w:rsidRPr="007D6590">
              <w:rPr>
                <w:sz w:val="16"/>
                <w:szCs w:val="16"/>
              </w:rPr>
              <w:t>—</w:t>
            </w:r>
          </w:p>
        </w:tc>
        <w:tc>
          <w:tcPr>
            <w:tcW w:w="1069" w:type="dxa"/>
            <w:gridSpan w:val="2"/>
          </w:tcPr>
          <w:p w14:paraId="5158DC00" w14:textId="66A703FC" w:rsidR="00F4393F" w:rsidRPr="007D6590" w:rsidRDefault="00F4393F" w:rsidP="00F4393F">
            <w:pPr>
              <w:pStyle w:val="StandardOCAshurst"/>
              <w:pBdr>
                <w:bottom w:val="single" w:sz="4" w:space="1" w:color="auto"/>
              </w:pBdr>
              <w:jc w:val="right"/>
              <w:rPr>
                <w:sz w:val="16"/>
                <w:szCs w:val="16"/>
              </w:rPr>
            </w:pPr>
            <w:r w:rsidRPr="007D6590">
              <w:rPr>
                <w:sz w:val="16"/>
                <w:szCs w:val="16"/>
              </w:rPr>
              <w:t>(</w:t>
            </w:r>
            <w:r>
              <w:rPr>
                <w:sz w:val="16"/>
                <w:szCs w:val="16"/>
              </w:rPr>
              <w:t>215.3</w:t>
            </w:r>
            <w:r w:rsidRPr="007D6590">
              <w:rPr>
                <w:sz w:val="16"/>
                <w:szCs w:val="16"/>
              </w:rPr>
              <w:t>)</w:t>
            </w:r>
          </w:p>
        </w:tc>
      </w:tr>
      <w:tr w:rsidR="00F4393F" w:rsidRPr="007D6590" w14:paraId="5DA21A99" w14:textId="77777777" w:rsidTr="00043857">
        <w:tc>
          <w:tcPr>
            <w:tcW w:w="4111" w:type="dxa"/>
          </w:tcPr>
          <w:p w14:paraId="778E94A0" w14:textId="77777777" w:rsidR="00F4393F" w:rsidRPr="007D6590" w:rsidRDefault="00F4393F" w:rsidP="00F4393F">
            <w:pPr>
              <w:pStyle w:val="StandardOCAshurst"/>
              <w:tabs>
                <w:tab w:val="left" w:leader="dot" w:pos="3863"/>
              </w:tabs>
              <w:jc w:val="left"/>
              <w:rPr>
                <w:b/>
                <w:bCs/>
                <w:sz w:val="16"/>
                <w:szCs w:val="16"/>
              </w:rPr>
            </w:pPr>
            <w:r w:rsidRPr="007D6590">
              <w:rPr>
                <w:b/>
                <w:bCs/>
                <w:sz w:val="16"/>
                <w:szCs w:val="16"/>
              </w:rPr>
              <w:t>Total</w:t>
            </w:r>
            <w:r w:rsidRPr="005E5A28">
              <w:rPr>
                <w:sz w:val="16"/>
                <w:szCs w:val="16"/>
              </w:rPr>
              <w:tab/>
            </w:r>
          </w:p>
        </w:tc>
        <w:tc>
          <w:tcPr>
            <w:tcW w:w="1068" w:type="dxa"/>
          </w:tcPr>
          <w:p w14:paraId="33E8A36E" w14:textId="77777777" w:rsidR="00F4393F" w:rsidRPr="007D6590" w:rsidRDefault="00F4393F" w:rsidP="00F4393F">
            <w:pPr>
              <w:pStyle w:val="StandardOCAshurst"/>
              <w:jc w:val="right"/>
              <w:rPr>
                <w:b/>
                <w:bCs/>
                <w:sz w:val="16"/>
                <w:szCs w:val="16"/>
              </w:rPr>
            </w:pPr>
            <w:r w:rsidRPr="007D6590">
              <w:rPr>
                <w:b/>
                <w:bCs/>
                <w:sz w:val="16"/>
                <w:szCs w:val="16"/>
              </w:rPr>
              <w:t>49.1</w:t>
            </w:r>
          </w:p>
        </w:tc>
        <w:tc>
          <w:tcPr>
            <w:tcW w:w="1068" w:type="dxa"/>
          </w:tcPr>
          <w:p w14:paraId="7ED27C9D" w14:textId="77777777" w:rsidR="00F4393F" w:rsidRPr="007D6590" w:rsidRDefault="00F4393F" w:rsidP="00F4393F">
            <w:pPr>
              <w:pStyle w:val="StandardOCAshurst"/>
              <w:jc w:val="right"/>
              <w:rPr>
                <w:b/>
                <w:bCs/>
                <w:sz w:val="16"/>
                <w:szCs w:val="16"/>
              </w:rPr>
            </w:pPr>
            <w:r w:rsidRPr="007D6590">
              <w:rPr>
                <w:b/>
                <w:bCs/>
                <w:sz w:val="16"/>
                <w:szCs w:val="16"/>
              </w:rPr>
              <w:t>(663.6)</w:t>
            </w:r>
          </w:p>
        </w:tc>
        <w:tc>
          <w:tcPr>
            <w:tcW w:w="1069" w:type="dxa"/>
            <w:gridSpan w:val="2"/>
          </w:tcPr>
          <w:p w14:paraId="6C038214" w14:textId="1C063227" w:rsidR="00F4393F" w:rsidRPr="007D6590" w:rsidRDefault="00F4393F" w:rsidP="00F4393F">
            <w:pPr>
              <w:pStyle w:val="StandardOCAshurst"/>
              <w:jc w:val="right"/>
              <w:rPr>
                <w:b/>
                <w:bCs/>
                <w:sz w:val="16"/>
                <w:szCs w:val="16"/>
              </w:rPr>
            </w:pPr>
            <w:r w:rsidRPr="007D6590">
              <w:rPr>
                <w:b/>
                <w:bCs/>
                <w:sz w:val="16"/>
                <w:szCs w:val="16"/>
              </w:rPr>
              <w:t>(</w:t>
            </w:r>
            <w:r>
              <w:rPr>
                <w:b/>
                <w:bCs/>
                <w:sz w:val="16"/>
                <w:szCs w:val="16"/>
              </w:rPr>
              <w:t>443.8</w:t>
            </w:r>
            <w:r w:rsidRPr="007D6590">
              <w:rPr>
                <w:b/>
                <w:bCs/>
                <w:sz w:val="16"/>
                <w:szCs w:val="16"/>
              </w:rPr>
              <w:t>)</w:t>
            </w:r>
          </w:p>
        </w:tc>
      </w:tr>
    </w:tbl>
    <w:p w14:paraId="0885649A" w14:textId="77777777" w:rsidR="00F4393F" w:rsidRDefault="00F4393F" w:rsidP="00F4393F">
      <w:pPr>
        <w:pStyle w:val="H5OCAshurst"/>
        <w:numPr>
          <w:ilvl w:val="0"/>
          <w:numId w:val="0"/>
        </w:numPr>
        <w:ind w:left="1843"/>
      </w:pPr>
    </w:p>
    <w:p w14:paraId="678CA5E1" w14:textId="28C753FA" w:rsidR="00F4393F" w:rsidRDefault="00EC3D40" w:rsidP="001E486A">
      <w:pPr>
        <w:pStyle w:val="H5OCAshurst"/>
      </w:pPr>
      <w:r>
        <w:t>t</w:t>
      </w:r>
      <w:r w:rsidR="00F4393F">
        <w:t>he table in paragraph 6.1 of Part 4 ("</w:t>
      </w:r>
      <w:r w:rsidR="00F4393F">
        <w:rPr>
          <w:i/>
          <w:iCs/>
        </w:rPr>
        <w:t>Operating and Financial Review of the EnQuest Group</w:t>
      </w:r>
      <w:r w:rsidR="00F4393F">
        <w:t>") of the Original Prospectus with the following table:</w:t>
      </w:r>
    </w:p>
    <w:tbl>
      <w:tblPr>
        <w:tblStyle w:val="TableGrid"/>
        <w:tblW w:w="8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939"/>
        <w:gridCol w:w="1214"/>
        <w:gridCol w:w="905"/>
        <w:gridCol w:w="990"/>
        <w:gridCol w:w="1214"/>
        <w:gridCol w:w="874"/>
      </w:tblGrid>
      <w:tr w:rsidR="00F4393F" w:rsidRPr="007D6590" w14:paraId="2E288415" w14:textId="77777777" w:rsidTr="001E486A">
        <w:tc>
          <w:tcPr>
            <w:tcW w:w="2291" w:type="dxa"/>
            <w:tcMar>
              <w:left w:w="57" w:type="dxa"/>
              <w:right w:w="57" w:type="dxa"/>
            </w:tcMar>
          </w:tcPr>
          <w:p w14:paraId="7BB0FBA8" w14:textId="77777777" w:rsidR="00F4393F" w:rsidRPr="007D6590" w:rsidRDefault="00F4393F" w:rsidP="005E5A28">
            <w:pPr>
              <w:pStyle w:val="StandardOCAshurst"/>
              <w:keepNext/>
              <w:keepLines/>
              <w:rPr>
                <w:sz w:val="15"/>
                <w:szCs w:val="15"/>
              </w:rPr>
            </w:pPr>
          </w:p>
        </w:tc>
        <w:tc>
          <w:tcPr>
            <w:tcW w:w="6136" w:type="dxa"/>
            <w:gridSpan w:val="6"/>
            <w:tcMar>
              <w:left w:w="57" w:type="dxa"/>
              <w:right w:w="57" w:type="dxa"/>
            </w:tcMar>
          </w:tcPr>
          <w:p w14:paraId="4FB3574A" w14:textId="77777777" w:rsidR="00F4393F" w:rsidRPr="007D6590" w:rsidRDefault="00F4393F" w:rsidP="005E5A28">
            <w:pPr>
              <w:pStyle w:val="StandardOCAshurst"/>
              <w:keepNext/>
              <w:keepLines/>
              <w:pBdr>
                <w:bottom w:val="single" w:sz="4" w:space="1" w:color="auto"/>
              </w:pBdr>
              <w:jc w:val="center"/>
              <w:rPr>
                <w:b/>
                <w:bCs/>
                <w:sz w:val="15"/>
                <w:szCs w:val="15"/>
              </w:rPr>
            </w:pPr>
            <w:r w:rsidRPr="007D6590">
              <w:rPr>
                <w:b/>
                <w:bCs/>
                <w:sz w:val="15"/>
                <w:szCs w:val="15"/>
              </w:rPr>
              <w:t>For the year ended 31 December</w:t>
            </w:r>
          </w:p>
        </w:tc>
      </w:tr>
      <w:tr w:rsidR="00F4393F" w:rsidRPr="007D6590" w14:paraId="2730003F" w14:textId="77777777" w:rsidTr="001E486A">
        <w:tc>
          <w:tcPr>
            <w:tcW w:w="2291" w:type="dxa"/>
            <w:tcMar>
              <w:left w:w="57" w:type="dxa"/>
              <w:right w:w="57" w:type="dxa"/>
            </w:tcMar>
          </w:tcPr>
          <w:p w14:paraId="635FD711" w14:textId="77777777" w:rsidR="00F4393F" w:rsidRPr="007D6590" w:rsidRDefault="00F4393F" w:rsidP="005E5A28">
            <w:pPr>
              <w:pStyle w:val="StandardOCAshurst"/>
              <w:keepNext/>
              <w:keepLines/>
              <w:rPr>
                <w:sz w:val="15"/>
                <w:szCs w:val="15"/>
              </w:rPr>
            </w:pPr>
          </w:p>
        </w:tc>
        <w:tc>
          <w:tcPr>
            <w:tcW w:w="3058" w:type="dxa"/>
            <w:gridSpan w:val="3"/>
            <w:tcMar>
              <w:left w:w="57" w:type="dxa"/>
              <w:right w:w="57" w:type="dxa"/>
            </w:tcMar>
          </w:tcPr>
          <w:p w14:paraId="6ECAA547" w14:textId="77777777" w:rsidR="00F4393F" w:rsidRPr="007D6590" w:rsidRDefault="00F4393F" w:rsidP="005E5A28">
            <w:pPr>
              <w:pStyle w:val="StandardOCAshurst"/>
              <w:keepNext/>
              <w:keepLines/>
              <w:pBdr>
                <w:bottom w:val="single" w:sz="4" w:space="1" w:color="auto"/>
              </w:pBdr>
              <w:jc w:val="center"/>
              <w:rPr>
                <w:b/>
                <w:bCs/>
                <w:sz w:val="15"/>
                <w:szCs w:val="15"/>
              </w:rPr>
            </w:pPr>
            <w:r w:rsidRPr="007D6590">
              <w:rPr>
                <w:b/>
                <w:bCs/>
                <w:sz w:val="15"/>
                <w:szCs w:val="15"/>
              </w:rPr>
              <w:t>2019</w:t>
            </w:r>
          </w:p>
        </w:tc>
        <w:tc>
          <w:tcPr>
            <w:tcW w:w="3078" w:type="dxa"/>
            <w:gridSpan w:val="3"/>
            <w:tcMar>
              <w:left w:w="57" w:type="dxa"/>
              <w:right w:w="57" w:type="dxa"/>
            </w:tcMar>
          </w:tcPr>
          <w:p w14:paraId="6F338987" w14:textId="631FA585" w:rsidR="00F4393F" w:rsidRPr="007D6590" w:rsidRDefault="00F4393F" w:rsidP="005E5A28">
            <w:pPr>
              <w:pStyle w:val="StandardOCAshurst"/>
              <w:keepNext/>
              <w:keepLines/>
              <w:pBdr>
                <w:bottom w:val="single" w:sz="4" w:space="1" w:color="auto"/>
              </w:pBdr>
              <w:jc w:val="center"/>
              <w:rPr>
                <w:b/>
                <w:bCs/>
                <w:sz w:val="15"/>
                <w:szCs w:val="15"/>
              </w:rPr>
            </w:pPr>
            <w:r w:rsidRPr="007D6590">
              <w:rPr>
                <w:b/>
                <w:bCs/>
                <w:sz w:val="15"/>
                <w:szCs w:val="15"/>
              </w:rPr>
              <w:t>2020</w:t>
            </w:r>
            <w:r>
              <w:rPr>
                <w:b/>
                <w:bCs/>
                <w:sz w:val="15"/>
                <w:szCs w:val="15"/>
              </w:rPr>
              <w:t xml:space="preserve"> (restated)</w:t>
            </w:r>
          </w:p>
        </w:tc>
      </w:tr>
      <w:tr w:rsidR="00F4393F" w:rsidRPr="007D6590" w14:paraId="2E91AA1B" w14:textId="77777777" w:rsidTr="001E486A">
        <w:tc>
          <w:tcPr>
            <w:tcW w:w="2291" w:type="dxa"/>
            <w:tcMar>
              <w:left w:w="57" w:type="dxa"/>
              <w:right w:w="57" w:type="dxa"/>
            </w:tcMar>
          </w:tcPr>
          <w:p w14:paraId="778642A1" w14:textId="77777777" w:rsidR="00F4393F" w:rsidRPr="007D6590" w:rsidRDefault="00F4393F" w:rsidP="005E5A28">
            <w:pPr>
              <w:pStyle w:val="StandardOCAshurst"/>
              <w:keepNext/>
              <w:keepLines/>
              <w:rPr>
                <w:sz w:val="15"/>
                <w:szCs w:val="15"/>
              </w:rPr>
            </w:pPr>
          </w:p>
        </w:tc>
        <w:tc>
          <w:tcPr>
            <w:tcW w:w="939" w:type="dxa"/>
            <w:tcMar>
              <w:left w:w="57" w:type="dxa"/>
              <w:right w:w="57" w:type="dxa"/>
            </w:tcMar>
            <w:vAlign w:val="bottom"/>
          </w:tcPr>
          <w:p w14:paraId="74B72135" w14:textId="77777777" w:rsidR="00F4393F" w:rsidRPr="007D6590" w:rsidRDefault="00F4393F" w:rsidP="005E5A28">
            <w:pPr>
              <w:pStyle w:val="StandardOCAshurst"/>
              <w:keepNext/>
              <w:keepLines/>
              <w:pBdr>
                <w:bottom w:val="single" w:sz="4" w:space="1" w:color="auto"/>
              </w:pBdr>
              <w:jc w:val="center"/>
              <w:rPr>
                <w:b/>
                <w:bCs/>
                <w:sz w:val="15"/>
                <w:szCs w:val="15"/>
              </w:rPr>
            </w:pPr>
            <w:r w:rsidRPr="007D6590">
              <w:rPr>
                <w:b/>
                <w:bCs/>
                <w:sz w:val="15"/>
                <w:szCs w:val="15"/>
              </w:rPr>
              <w:t>Business performance</w:t>
            </w:r>
          </w:p>
        </w:tc>
        <w:tc>
          <w:tcPr>
            <w:tcW w:w="1214" w:type="dxa"/>
            <w:tcMar>
              <w:left w:w="57" w:type="dxa"/>
              <w:right w:w="57" w:type="dxa"/>
            </w:tcMar>
            <w:vAlign w:val="bottom"/>
          </w:tcPr>
          <w:p w14:paraId="3081DEDF" w14:textId="77777777" w:rsidR="00F4393F" w:rsidRPr="007D6590" w:rsidRDefault="00F4393F" w:rsidP="005E5A28">
            <w:pPr>
              <w:pStyle w:val="StandardOCAshurst"/>
              <w:keepNext/>
              <w:keepLines/>
              <w:pBdr>
                <w:bottom w:val="single" w:sz="4" w:space="1" w:color="auto"/>
              </w:pBdr>
              <w:jc w:val="center"/>
              <w:rPr>
                <w:b/>
                <w:bCs/>
                <w:sz w:val="15"/>
                <w:szCs w:val="15"/>
              </w:rPr>
            </w:pPr>
            <w:r w:rsidRPr="007D6590">
              <w:rPr>
                <w:b/>
                <w:bCs/>
                <w:sz w:val="15"/>
                <w:szCs w:val="15"/>
              </w:rPr>
              <w:t>Remeasurements and exceptional items</w:t>
            </w:r>
          </w:p>
        </w:tc>
        <w:tc>
          <w:tcPr>
            <w:tcW w:w="905" w:type="dxa"/>
            <w:tcMar>
              <w:left w:w="57" w:type="dxa"/>
              <w:right w:w="57" w:type="dxa"/>
            </w:tcMar>
            <w:vAlign w:val="bottom"/>
          </w:tcPr>
          <w:p w14:paraId="014FEB28" w14:textId="77777777" w:rsidR="00F4393F" w:rsidRPr="007D6590" w:rsidRDefault="00F4393F" w:rsidP="005E5A28">
            <w:pPr>
              <w:pStyle w:val="StandardOCAshurst"/>
              <w:keepNext/>
              <w:keepLines/>
              <w:pBdr>
                <w:bottom w:val="single" w:sz="4" w:space="1" w:color="auto"/>
              </w:pBdr>
              <w:jc w:val="center"/>
              <w:rPr>
                <w:b/>
                <w:bCs/>
                <w:sz w:val="15"/>
                <w:szCs w:val="15"/>
              </w:rPr>
            </w:pPr>
            <w:r w:rsidRPr="007D6590">
              <w:rPr>
                <w:b/>
                <w:bCs/>
                <w:sz w:val="15"/>
                <w:szCs w:val="15"/>
              </w:rPr>
              <w:t>Reported in year</w:t>
            </w:r>
          </w:p>
        </w:tc>
        <w:tc>
          <w:tcPr>
            <w:tcW w:w="990" w:type="dxa"/>
            <w:tcMar>
              <w:left w:w="57" w:type="dxa"/>
              <w:right w:w="57" w:type="dxa"/>
            </w:tcMar>
            <w:vAlign w:val="bottom"/>
          </w:tcPr>
          <w:p w14:paraId="71FCFE59" w14:textId="77777777" w:rsidR="00F4393F" w:rsidRPr="007D6590" w:rsidRDefault="00F4393F" w:rsidP="005E5A28">
            <w:pPr>
              <w:pStyle w:val="StandardOCAshurst"/>
              <w:keepNext/>
              <w:keepLines/>
              <w:pBdr>
                <w:bottom w:val="single" w:sz="4" w:space="1" w:color="auto"/>
              </w:pBdr>
              <w:jc w:val="center"/>
              <w:rPr>
                <w:b/>
                <w:bCs/>
                <w:sz w:val="15"/>
                <w:szCs w:val="15"/>
              </w:rPr>
            </w:pPr>
            <w:r w:rsidRPr="007D6590">
              <w:rPr>
                <w:b/>
                <w:bCs/>
                <w:sz w:val="15"/>
                <w:szCs w:val="15"/>
              </w:rPr>
              <w:t>Business performance</w:t>
            </w:r>
          </w:p>
        </w:tc>
        <w:tc>
          <w:tcPr>
            <w:tcW w:w="1214" w:type="dxa"/>
            <w:tcMar>
              <w:left w:w="57" w:type="dxa"/>
              <w:right w:w="57" w:type="dxa"/>
            </w:tcMar>
            <w:vAlign w:val="bottom"/>
          </w:tcPr>
          <w:p w14:paraId="11B68B9B" w14:textId="77777777" w:rsidR="00F4393F" w:rsidRPr="007D6590" w:rsidRDefault="00F4393F" w:rsidP="005E5A28">
            <w:pPr>
              <w:pStyle w:val="StandardOCAshurst"/>
              <w:keepNext/>
              <w:keepLines/>
              <w:pBdr>
                <w:bottom w:val="single" w:sz="4" w:space="1" w:color="auto"/>
              </w:pBdr>
              <w:jc w:val="center"/>
              <w:rPr>
                <w:b/>
                <w:bCs/>
                <w:sz w:val="15"/>
                <w:szCs w:val="15"/>
              </w:rPr>
            </w:pPr>
            <w:r w:rsidRPr="007D6590">
              <w:rPr>
                <w:b/>
                <w:bCs/>
                <w:sz w:val="15"/>
                <w:szCs w:val="15"/>
              </w:rPr>
              <w:t>Remeasurements and exceptional items</w:t>
            </w:r>
          </w:p>
        </w:tc>
        <w:tc>
          <w:tcPr>
            <w:tcW w:w="874" w:type="dxa"/>
            <w:tcMar>
              <w:left w:w="57" w:type="dxa"/>
              <w:right w:w="57" w:type="dxa"/>
            </w:tcMar>
            <w:vAlign w:val="bottom"/>
          </w:tcPr>
          <w:p w14:paraId="23166E49" w14:textId="77777777" w:rsidR="00F4393F" w:rsidRPr="007D6590" w:rsidRDefault="00F4393F" w:rsidP="005E5A28">
            <w:pPr>
              <w:pStyle w:val="StandardOCAshurst"/>
              <w:keepNext/>
              <w:keepLines/>
              <w:pBdr>
                <w:bottom w:val="single" w:sz="4" w:space="1" w:color="auto"/>
              </w:pBdr>
              <w:jc w:val="center"/>
              <w:rPr>
                <w:b/>
                <w:bCs/>
                <w:sz w:val="15"/>
                <w:szCs w:val="15"/>
              </w:rPr>
            </w:pPr>
            <w:r w:rsidRPr="007D6590">
              <w:rPr>
                <w:b/>
                <w:bCs/>
                <w:sz w:val="15"/>
                <w:szCs w:val="15"/>
              </w:rPr>
              <w:t>Reported in year</w:t>
            </w:r>
          </w:p>
        </w:tc>
      </w:tr>
      <w:tr w:rsidR="00F4393F" w:rsidRPr="007D6590" w14:paraId="2598D12D" w14:textId="77777777" w:rsidTr="001E486A">
        <w:tc>
          <w:tcPr>
            <w:tcW w:w="2291" w:type="dxa"/>
            <w:tcMar>
              <w:left w:w="57" w:type="dxa"/>
              <w:right w:w="57" w:type="dxa"/>
            </w:tcMar>
          </w:tcPr>
          <w:p w14:paraId="2537A181" w14:textId="77777777" w:rsidR="00F4393F" w:rsidRPr="007D6590" w:rsidRDefault="00F4393F" w:rsidP="005E5A28">
            <w:pPr>
              <w:pStyle w:val="StandardOCAshurst"/>
              <w:keepNext/>
              <w:keepLines/>
              <w:rPr>
                <w:sz w:val="15"/>
                <w:szCs w:val="15"/>
              </w:rPr>
            </w:pPr>
          </w:p>
        </w:tc>
        <w:tc>
          <w:tcPr>
            <w:tcW w:w="6136" w:type="dxa"/>
            <w:gridSpan w:val="6"/>
            <w:tcMar>
              <w:left w:w="57" w:type="dxa"/>
              <w:right w:w="57" w:type="dxa"/>
            </w:tcMar>
          </w:tcPr>
          <w:p w14:paraId="623BA794" w14:textId="77777777" w:rsidR="00F4393F" w:rsidRPr="007D6590" w:rsidRDefault="00F4393F" w:rsidP="005E5A28">
            <w:pPr>
              <w:pStyle w:val="StandardOCAshurst"/>
              <w:keepNext/>
              <w:keepLines/>
              <w:pBdr>
                <w:bottom w:val="single" w:sz="4" w:space="1" w:color="auto"/>
              </w:pBdr>
              <w:jc w:val="center"/>
              <w:rPr>
                <w:i/>
                <w:iCs/>
                <w:sz w:val="15"/>
                <w:szCs w:val="15"/>
              </w:rPr>
            </w:pPr>
            <w:r w:rsidRPr="007D6590">
              <w:rPr>
                <w:i/>
                <w:iCs/>
                <w:sz w:val="15"/>
                <w:szCs w:val="15"/>
              </w:rPr>
              <w:t>(in USD millions)</w:t>
            </w:r>
          </w:p>
        </w:tc>
      </w:tr>
      <w:tr w:rsidR="00F4393F" w:rsidRPr="007D6590" w14:paraId="5163CA37" w14:textId="77777777" w:rsidTr="001E486A">
        <w:tc>
          <w:tcPr>
            <w:tcW w:w="2291" w:type="dxa"/>
            <w:tcMar>
              <w:left w:w="57" w:type="dxa"/>
              <w:right w:w="57" w:type="dxa"/>
            </w:tcMar>
          </w:tcPr>
          <w:p w14:paraId="729D8136" w14:textId="6A826195" w:rsidR="00F4393F" w:rsidRPr="007D6590" w:rsidRDefault="00F4393F" w:rsidP="00043857">
            <w:pPr>
              <w:pStyle w:val="StandardOCAshurst"/>
              <w:keepNext/>
              <w:keepLines/>
              <w:tabs>
                <w:tab w:val="left" w:leader="dot" w:pos="2140"/>
              </w:tabs>
              <w:ind w:left="138" w:hanging="138"/>
              <w:jc w:val="left"/>
              <w:rPr>
                <w:sz w:val="15"/>
                <w:szCs w:val="15"/>
              </w:rPr>
            </w:pPr>
            <w:r w:rsidRPr="007D6590">
              <w:rPr>
                <w:sz w:val="15"/>
                <w:szCs w:val="15"/>
              </w:rPr>
              <w:t>Revenue and other operating income</w:t>
            </w:r>
            <w:r w:rsidR="00E26DD3">
              <w:rPr>
                <w:sz w:val="15"/>
                <w:szCs w:val="15"/>
              </w:rPr>
              <w:t xml:space="preserve"> </w:t>
            </w:r>
            <w:r w:rsidRPr="007D6590">
              <w:rPr>
                <w:sz w:val="15"/>
                <w:szCs w:val="15"/>
              </w:rPr>
              <w:tab/>
            </w:r>
          </w:p>
        </w:tc>
        <w:tc>
          <w:tcPr>
            <w:tcW w:w="939" w:type="dxa"/>
            <w:tcMar>
              <w:left w:w="57" w:type="dxa"/>
              <w:right w:w="57" w:type="dxa"/>
            </w:tcMar>
            <w:vAlign w:val="bottom"/>
          </w:tcPr>
          <w:p w14:paraId="1F72FAF7" w14:textId="438B39EF" w:rsidR="00F4393F" w:rsidRPr="007D6590" w:rsidRDefault="00F4393F" w:rsidP="005E5A28">
            <w:pPr>
              <w:pStyle w:val="StandardOCAshurst"/>
              <w:keepNext/>
              <w:keepLines/>
              <w:jc w:val="right"/>
              <w:rPr>
                <w:sz w:val="15"/>
                <w:szCs w:val="15"/>
              </w:rPr>
            </w:pPr>
            <w:r w:rsidRPr="007D6590">
              <w:rPr>
                <w:sz w:val="15"/>
                <w:szCs w:val="15"/>
              </w:rPr>
              <w:t>1,71</w:t>
            </w:r>
            <w:r w:rsidR="00CC515C">
              <w:rPr>
                <w:sz w:val="15"/>
                <w:szCs w:val="15"/>
              </w:rPr>
              <w:t>1.8</w:t>
            </w:r>
          </w:p>
        </w:tc>
        <w:tc>
          <w:tcPr>
            <w:tcW w:w="1214" w:type="dxa"/>
            <w:tcMar>
              <w:left w:w="57" w:type="dxa"/>
              <w:right w:w="57" w:type="dxa"/>
            </w:tcMar>
            <w:vAlign w:val="bottom"/>
          </w:tcPr>
          <w:p w14:paraId="1912A36F" w14:textId="77777777" w:rsidR="00F4393F" w:rsidRPr="007D6590" w:rsidRDefault="00F4393F" w:rsidP="005E5A28">
            <w:pPr>
              <w:pStyle w:val="StandardOCAshurst"/>
              <w:keepNext/>
              <w:keepLines/>
              <w:jc w:val="right"/>
              <w:rPr>
                <w:sz w:val="15"/>
                <w:szCs w:val="15"/>
              </w:rPr>
            </w:pPr>
            <w:r w:rsidRPr="007D6590">
              <w:rPr>
                <w:sz w:val="15"/>
                <w:szCs w:val="15"/>
              </w:rPr>
              <w:t>(65.4)</w:t>
            </w:r>
          </w:p>
        </w:tc>
        <w:tc>
          <w:tcPr>
            <w:tcW w:w="905" w:type="dxa"/>
            <w:tcMar>
              <w:left w:w="57" w:type="dxa"/>
              <w:right w:w="57" w:type="dxa"/>
            </w:tcMar>
            <w:vAlign w:val="bottom"/>
          </w:tcPr>
          <w:p w14:paraId="7B149AA9" w14:textId="608983BB" w:rsidR="00F4393F" w:rsidRPr="007D6590" w:rsidRDefault="00F4393F" w:rsidP="005E5A28">
            <w:pPr>
              <w:pStyle w:val="StandardOCAshurst"/>
              <w:keepNext/>
              <w:keepLines/>
              <w:jc w:val="right"/>
              <w:rPr>
                <w:sz w:val="15"/>
                <w:szCs w:val="15"/>
              </w:rPr>
            </w:pPr>
            <w:r w:rsidRPr="007D6590">
              <w:rPr>
                <w:sz w:val="15"/>
                <w:szCs w:val="15"/>
              </w:rPr>
              <w:t>1,64</w:t>
            </w:r>
            <w:r w:rsidR="00CC515C">
              <w:rPr>
                <w:sz w:val="15"/>
                <w:szCs w:val="15"/>
              </w:rPr>
              <w:t>6.4</w:t>
            </w:r>
          </w:p>
        </w:tc>
        <w:tc>
          <w:tcPr>
            <w:tcW w:w="990" w:type="dxa"/>
            <w:tcMar>
              <w:left w:w="57" w:type="dxa"/>
              <w:right w:w="57" w:type="dxa"/>
            </w:tcMar>
            <w:vAlign w:val="bottom"/>
          </w:tcPr>
          <w:p w14:paraId="607E2E38" w14:textId="356F0020" w:rsidR="00F4393F" w:rsidRPr="007D6590" w:rsidRDefault="00F4393F" w:rsidP="005E5A28">
            <w:pPr>
              <w:pStyle w:val="StandardOCAshurst"/>
              <w:keepNext/>
              <w:keepLines/>
              <w:jc w:val="right"/>
              <w:rPr>
                <w:sz w:val="15"/>
                <w:szCs w:val="15"/>
              </w:rPr>
            </w:pPr>
            <w:r w:rsidRPr="007D6590">
              <w:rPr>
                <w:sz w:val="15"/>
                <w:szCs w:val="15"/>
              </w:rPr>
              <w:t>85</w:t>
            </w:r>
            <w:r w:rsidR="00145FA3">
              <w:rPr>
                <w:sz w:val="15"/>
                <w:szCs w:val="15"/>
              </w:rPr>
              <w:t>5</w:t>
            </w:r>
            <w:r w:rsidRPr="007D6590">
              <w:rPr>
                <w:sz w:val="15"/>
                <w:szCs w:val="15"/>
              </w:rPr>
              <w:t>.</w:t>
            </w:r>
            <w:r w:rsidR="00145FA3">
              <w:rPr>
                <w:sz w:val="15"/>
                <w:szCs w:val="15"/>
              </w:rPr>
              <w:t>1</w:t>
            </w:r>
            <w:r w:rsidR="00CC515C" w:rsidRPr="00C5357C">
              <w:rPr>
                <w:sz w:val="15"/>
                <w:szCs w:val="15"/>
                <w:vertAlign w:val="superscript"/>
              </w:rPr>
              <w:t>(1)</w:t>
            </w:r>
          </w:p>
        </w:tc>
        <w:tc>
          <w:tcPr>
            <w:tcW w:w="1214" w:type="dxa"/>
            <w:tcMar>
              <w:left w:w="57" w:type="dxa"/>
              <w:right w:w="57" w:type="dxa"/>
            </w:tcMar>
            <w:vAlign w:val="bottom"/>
          </w:tcPr>
          <w:p w14:paraId="63BFF8AD" w14:textId="77777777" w:rsidR="00F4393F" w:rsidRPr="007D6590" w:rsidRDefault="00F4393F" w:rsidP="005E5A28">
            <w:pPr>
              <w:pStyle w:val="StandardOCAshurst"/>
              <w:keepNext/>
              <w:keepLines/>
              <w:jc w:val="right"/>
              <w:rPr>
                <w:sz w:val="15"/>
                <w:szCs w:val="15"/>
              </w:rPr>
            </w:pPr>
            <w:r w:rsidRPr="007D6590">
              <w:rPr>
                <w:sz w:val="15"/>
                <w:szCs w:val="15"/>
              </w:rPr>
              <w:t>8.8</w:t>
            </w:r>
          </w:p>
        </w:tc>
        <w:tc>
          <w:tcPr>
            <w:tcW w:w="874" w:type="dxa"/>
            <w:tcMar>
              <w:left w:w="57" w:type="dxa"/>
              <w:right w:w="57" w:type="dxa"/>
            </w:tcMar>
            <w:vAlign w:val="bottom"/>
          </w:tcPr>
          <w:p w14:paraId="56B3F8FC" w14:textId="1892A9F9" w:rsidR="00F4393F" w:rsidRPr="007D6590" w:rsidRDefault="00F4393F" w:rsidP="005E5A28">
            <w:pPr>
              <w:pStyle w:val="StandardOCAshurst"/>
              <w:keepNext/>
              <w:keepLines/>
              <w:jc w:val="right"/>
              <w:rPr>
                <w:sz w:val="15"/>
                <w:szCs w:val="15"/>
              </w:rPr>
            </w:pPr>
            <w:r w:rsidRPr="007D6590">
              <w:rPr>
                <w:sz w:val="15"/>
                <w:szCs w:val="15"/>
              </w:rPr>
              <w:t>86</w:t>
            </w:r>
            <w:r w:rsidR="00145FA3">
              <w:rPr>
                <w:sz w:val="15"/>
                <w:szCs w:val="15"/>
              </w:rPr>
              <w:t>3</w:t>
            </w:r>
            <w:r w:rsidRPr="007D6590">
              <w:rPr>
                <w:sz w:val="15"/>
                <w:szCs w:val="15"/>
              </w:rPr>
              <w:t>.</w:t>
            </w:r>
            <w:r w:rsidR="00145FA3">
              <w:rPr>
                <w:sz w:val="15"/>
                <w:szCs w:val="15"/>
              </w:rPr>
              <w:t>9</w:t>
            </w:r>
          </w:p>
        </w:tc>
      </w:tr>
      <w:tr w:rsidR="00F4393F" w:rsidRPr="007D6590" w14:paraId="087E2E78" w14:textId="77777777" w:rsidTr="001E486A">
        <w:tc>
          <w:tcPr>
            <w:tcW w:w="2291" w:type="dxa"/>
            <w:tcMar>
              <w:left w:w="57" w:type="dxa"/>
              <w:right w:w="57" w:type="dxa"/>
            </w:tcMar>
          </w:tcPr>
          <w:p w14:paraId="7C5184AE" w14:textId="77777777" w:rsidR="00F4393F" w:rsidRPr="007D6590" w:rsidRDefault="00F4393F" w:rsidP="00043857">
            <w:pPr>
              <w:pStyle w:val="StandardOCAshurst"/>
              <w:keepNext/>
              <w:keepLines/>
              <w:tabs>
                <w:tab w:val="left" w:leader="dot" w:pos="2140"/>
              </w:tabs>
              <w:ind w:left="138" w:hanging="138"/>
              <w:jc w:val="left"/>
              <w:rPr>
                <w:sz w:val="15"/>
                <w:szCs w:val="15"/>
              </w:rPr>
            </w:pPr>
            <w:r w:rsidRPr="007D6590">
              <w:rPr>
                <w:sz w:val="15"/>
                <w:szCs w:val="15"/>
              </w:rPr>
              <w:t>Cost of sales</w:t>
            </w:r>
            <w:r w:rsidRPr="007D6590">
              <w:rPr>
                <w:sz w:val="15"/>
                <w:szCs w:val="15"/>
              </w:rPr>
              <w:tab/>
            </w:r>
          </w:p>
        </w:tc>
        <w:tc>
          <w:tcPr>
            <w:tcW w:w="939" w:type="dxa"/>
            <w:tcMar>
              <w:left w:w="57" w:type="dxa"/>
              <w:right w:w="57" w:type="dxa"/>
            </w:tcMar>
            <w:vAlign w:val="bottom"/>
          </w:tcPr>
          <w:p w14:paraId="5E5C0C35" w14:textId="77777777" w:rsidR="00F4393F" w:rsidRPr="007D6590" w:rsidRDefault="00F4393F" w:rsidP="005E5A28">
            <w:pPr>
              <w:pStyle w:val="StandardOCAshurst"/>
              <w:keepNext/>
              <w:keepLines/>
              <w:jc w:val="right"/>
              <w:rPr>
                <w:sz w:val="15"/>
                <w:szCs w:val="15"/>
              </w:rPr>
            </w:pPr>
            <w:r w:rsidRPr="007D6590">
              <w:rPr>
                <w:sz w:val="15"/>
                <w:szCs w:val="15"/>
              </w:rPr>
              <w:t>(1,243.6)</w:t>
            </w:r>
          </w:p>
        </w:tc>
        <w:tc>
          <w:tcPr>
            <w:tcW w:w="1214" w:type="dxa"/>
            <w:tcMar>
              <w:left w:w="57" w:type="dxa"/>
              <w:right w:w="57" w:type="dxa"/>
            </w:tcMar>
            <w:vAlign w:val="bottom"/>
          </w:tcPr>
          <w:p w14:paraId="0C4D36FB" w14:textId="77777777" w:rsidR="00F4393F" w:rsidRPr="007D6590" w:rsidRDefault="00F4393F" w:rsidP="005E5A28">
            <w:pPr>
              <w:pStyle w:val="StandardOCAshurst"/>
              <w:keepNext/>
              <w:keepLines/>
              <w:jc w:val="right"/>
              <w:rPr>
                <w:sz w:val="15"/>
                <w:szCs w:val="15"/>
              </w:rPr>
            </w:pPr>
            <w:r w:rsidRPr="007D6590">
              <w:rPr>
                <w:sz w:val="15"/>
                <w:szCs w:val="15"/>
              </w:rPr>
              <w:t>(0.4)</w:t>
            </w:r>
          </w:p>
        </w:tc>
        <w:tc>
          <w:tcPr>
            <w:tcW w:w="905" w:type="dxa"/>
            <w:tcMar>
              <w:left w:w="57" w:type="dxa"/>
              <w:right w:w="57" w:type="dxa"/>
            </w:tcMar>
            <w:vAlign w:val="bottom"/>
          </w:tcPr>
          <w:p w14:paraId="0942F9FA" w14:textId="77777777" w:rsidR="00F4393F" w:rsidRPr="007D6590" w:rsidRDefault="00F4393F" w:rsidP="005E5A28">
            <w:pPr>
              <w:pStyle w:val="StandardOCAshurst"/>
              <w:keepNext/>
              <w:keepLines/>
              <w:jc w:val="right"/>
              <w:rPr>
                <w:sz w:val="15"/>
                <w:szCs w:val="15"/>
              </w:rPr>
            </w:pPr>
            <w:r w:rsidRPr="007D6590">
              <w:rPr>
                <w:sz w:val="15"/>
                <w:szCs w:val="15"/>
              </w:rPr>
              <w:t>(1,243.9)</w:t>
            </w:r>
          </w:p>
        </w:tc>
        <w:tc>
          <w:tcPr>
            <w:tcW w:w="990" w:type="dxa"/>
            <w:tcMar>
              <w:left w:w="57" w:type="dxa"/>
              <w:right w:w="57" w:type="dxa"/>
            </w:tcMar>
            <w:vAlign w:val="bottom"/>
          </w:tcPr>
          <w:p w14:paraId="697CA789" w14:textId="77777777" w:rsidR="00F4393F" w:rsidRPr="007D6590" w:rsidRDefault="00F4393F" w:rsidP="005E5A28">
            <w:pPr>
              <w:pStyle w:val="StandardOCAshurst"/>
              <w:keepNext/>
              <w:keepLines/>
              <w:jc w:val="right"/>
              <w:rPr>
                <w:sz w:val="15"/>
                <w:szCs w:val="15"/>
              </w:rPr>
            </w:pPr>
            <w:r w:rsidRPr="007D6590">
              <w:rPr>
                <w:sz w:val="15"/>
                <w:szCs w:val="15"/>
              </w:rPr>
              <w:t>(785.5)</w:t>
            </w:r>
          </w:p>
        </w:tc>
        <w:tc>
          <w:tcPr>
            <w:tcW w:w="1214" w:type="dxa"/>
            <w:tcMar>
              <w:left w:w="57" w:type="dxa"/>
              <w:right w:w="57" w:type="dxa"/>
            </w:tcMar>
            <w:vAlign w:val="bottom"/>
          </w:tcPr>
          <w:p w14:paraId="6E342A0E" w14:textId="77777777" w:rsidR="00F4393F" w:rsidRPr="007D6590" w:rsidRDefault="00F4393F" w:rsidP="005E5A28">
            <w:pPr>
              <w:pStyle w:val="StandardOCAshurst"/>
              <w:keepNext/>
              <w:keepLines/>
              <w:jc w:val="right"/>
              <w:rPr>
                <w:sz w:val="15"/>
                <w:szCs w:val="15"/>
              </w:rPr>
            </w:pPr>
            <w:r w:rsidRPr="007D6590">
              <w:rPr>
                <w:sz w:val="15"/>
                <w:szCs w:val="15"/>
              </w:rPr>
              <w:t>(13.6)</w:t>
            </w:r>
          </w:p>
        </w:tc>
        <w:tc>
          <w:tcPr>
            <w:tcW w:w="874" w:type="dxa"/>
            <w:tcMar>
              <w:left w:w="57" w:type="dxa"/>
              <w:right w:w="57" w:type="dxa"/>
            </w:tcMar>
            <w:vAlign w:val="bottom"/>
          </w:tcPr>
          <w:p w14:paraId="623E3B84" w14:textId="77777777" w:rsidR="00F4393F" w:rsidRPr="007D6590" w:rsidRDefault="00F4393F" w:rsidP="005E5A28">
            <w:pPr>
              <w:pStyle w:val="StandardOCAshurst"/>
              <w:keepNext/>
              <w:keepLines/>
              <w:jc w:val="right"/>
              <w:rPr>
                <w:sz w:val="15"/>
                <w:szCs w:val="15"/>
              </w:rPr>
            </w:pPr>
            <w:r w:rsidRPr="007D6590">
              <w:rPr>
                <w:sz w:val="15"/>
                <w:szCs w:val="15"/>
              </w:rPr>
              <w:t>(799.1)</w:t>
            </w:r>
          </w:p>
        </w:tc>
      </w:tr>
      <w:tr w:rsidR="00F4393F" w:rsidRPr="007D6590" w14:paraId="072B56F1" w14:textId="77777777" w:rsidTr="001E486A">
        <w:tc>
          <w:tcPr>
            <w:tcW w:w="2291" w:type="dxa"/>
            <w:tcMar>
              <w:left w:w="57" w:type="dxa"/>
              <w:right w:w="57" w:type="dxa"/>
            </w:tcMar>
          </w:tcPr>
          <w:p w14:paraId="6BC95A34" w14:textId="77777777" w:rsidR="00F4393F" w:rsidRPr="007D6590" w:rsidRDefault="00F4393F" w:rsidP="00043857">
            <w:pPr>
              <w:pStyle w:val="StandardOCAshurst"/>
              <w:keepNext/>
              <w:keepLines/>
              <w:tabs>
                <w:tab w:val="left" w:leader="dot" w:pos="2140"/>
              </w:tabs>
              <w:ind w:left="138" w:hanging="138"/>
              <w:jc w:val="left"/>
              <w:rPr>
                <w:b/>
                <w:bCs/>
                <w:sz w:val="15"/>
                <w:szCs w:val="15"/>
              </w:rPr>
            </w:pPr>
            <w:r w:rsidRPr="007D6590">
              <w:rPr>
                <w:b/>
                <w:bCs/>
                <w:sz w:val="15"/>
                <w:szCs w:val="15"/>
              </w:rPr>
              <w:t>Gross profit/(loss)</w:t>
            </w:r>
            <w:r w:rsidRPr="007D6590">
              <w:rPr>
                <w:sz w:val="15"/>
                <w:szCs w:val="15"/>
              </w:rPr>
              <w:tab/>
            </w:r>
          </w:p>
        </w:tc>
        <w:tc>
          <w:tcPr>
            <w:tcW w:w="939" w:type="dxa"/>
            <w:tcMar>
              <w:left w:w="57" w:type="dxa"/>
              <w:right w:w="57" w:type="dxa"/>
            </w:tcMar>
            <w:vAlign w:val="bottom"/>
          </w:tcPr>
          <w:p w14:paraId="269667F7" w14:textId="5A7BD12D"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46</w:t>
            </w:r>
            <w:r w:rsidR="00CC515C">
              <w:rPr>
                <w:b/>
                <w:bCs/>
                <w:sz w:val="15"/>
                <w:szCs w:val="15"/>
              </w:rPr>
              <w:t>8.3</w:t>
            </w:r>
          </w:p>
        </w:tc>
        <w:tc>
          <w:tcPr>
            <w:tcW w:w="1214" w:type="dxa"/>
            <w:tcMar>
              <w:left w:w="57" w:type="dxa"/>
              <w:right w:w="57" w:type="dxa"/>
            </w:tcMar>
            <w:vAlign w:val="bottom"/>
          </w:tcPr>
          <w:p w14:paraId="731F37EF"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(65.8)</w:t>
            </w:r>
          </w:p>
        </w:tc>
        <w:tc>
          <w:tcPr>
            <w:tcW w:w="905" w:type="dxa"/>
            <w:tcMar>
              <w:left w:w="57" w:type="dxa"/>
              <w:right w:w="57" w:type="dxa"/>
            </w:tcMar>
            <w:vAlign w:val="bottom"/>
          </w:tcPr>
          <w:p w14:paraId="0FB1B76D" w14:textId="68F442AB"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40</w:t>
            </w:r>
            <w:r w:rsidR="00CC515C">
              <w:rPr>
                <w:b/>
                <w:bCs/>
                <w:sz w:val="15"/>
                <w:szCs w:val="15"/>
              </w:rPr>
              <w:t>2.5</w:t>
            </w:r>
          </w:p>
        </w:tc>
        <w:tc>
          <w:tcPr>
            <w:tcW w:w="990" w:type="dxa"/>
            <w:tcMar>
              <w:left w:w="57" w:type="dxa"/>
              <w:right w:w="57" w:type="dxa"/>
            </w:tcMar>
            <w:vAlign w:val="bottom"/>
          </w:tcPr>
          <w:p w14:paraId="2FD67DC8" w14:textId="6BEA63E0" w:rsidR="00F4393F" w:rsidRPr="007D6590" w:rsidRDefault="00145FA3" w:rsidP="005E5A28">
            <w:pPr>
              <w:pStyle w:val="StandardOCAshurst"/>
              <w:keepNext/>
              <w:keepLines/>
              <w:pBdr>
                <w:bottom w:val="single" w:sz="4" w:space="1" w:color="auto"/>
              </w:pBdr>
              <w:jc w:val="right"/>
              <w:rPr>
                <w:b/>
                <w:bCs/>
                <w:sz w:val="15"/>
                <w:szCs w:val="15"/>
              </w:rPr>
            </w:pPr>
            <w:r>
              <w:rPr>
                <w:b/>
                <w:bCs/>
                <w:sz w:val="15"/>
                <w:szCs w:val="15"/>
              </w:rPr>
              <w:t>69.6</w:t>
            </w:r>
          </w:p>
        </w:tc>
        <w:tc>
          <w:tcPr>
            <w:tcW w:w="1214" w:type="dxa"/>
            <w:tcMar>
              <w:left w:w="57" w:type="dxa"/>
              <w:right w:w="57" w:type="dxa"/>
            </w:tcMar>
            <w:vAlign w:val="bottom"/>
          </w:tcPr>
          <w:p w14:paraId="52A42970" w14:textId="7DAE815E"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(4.</w:t>
            </w:r>
            <w:r w:rsidR="00CC515C">
              <w:rPr>
                <w:b/>
                <w:bCs/>
                <w:sz w:val="15"/>
                <w:szCs w:val="15"/>
              </w:rPr>
              <w:t>8</w:t>
            </w:r>
            <w:r w:rsidRPr="007D6590">
              <w:rPr>
                <w:b/>
                <w:bCs/>
                <w:sz w:val="15"/>
                <w:szCs w:val="15"/>
              </w:rPr>
              <w:t>)</w:t>
            </w:r>
          </w:p>
        </w:tc>
        <w:tc>
          <w:tcPr>
            <w:tcW w:w="874" w:type="dxa"/>
            <w:tcMar>
              <w:left w:w="57" w:type="dxa"/>
              <w:right w:w="57" w:type="dxa"/>
            </w:tcMar>
            <w:vAlign w:val="bottom"/>
          </w:tcPr>
          <w:p w14:paraId="7ED687F9" w14:textId="1A067E3D" w:rsidR="00F4393F" w:rsidRPr="007D6590" w:rsidRDefault="00145FA3" w:rsidP="005E5A28">
            <w:pPr>
              <w:pStyle w:val="StandardOCAshurst"/>
              <w:keepNext/>
              <w:keepLines/>
              <w:pBdr>
                <w:bottom w:val="single" w:sz="4" w:space="1" w:color="auto"/>
              </w:pBdr>
              <w:jc w:val="right"/>
              <w:rPr>
                <w:b/>
                <w:bCs/>
                <w:sz w:val="15"/>
                <w:szCs w:val="15"/>
              </w:rPr>
            </w:pPr>
            <w:r>
              <w:rPr>
                <w:b/>
                <w:bCs/>
                <w:sz w:val="15"/>
                <w:szCs w:val="15"/>
              </w:rPr>
              <w:t>64.8</w:t>
            </w:r>
          </w:p>
        </w:tc>
      </w:tr>
      <w:tr w:rsidR="00F4393F" w:rsidRPr="007D6590" w14:paraId="19FB70E2" w14:textId="77777777" w:rsidTr="001E486A">
        <w:tc>
          <w:tcPr>
            <w:tcW w:w="2291" w:type="dxa"/>
            <w:tcMar>
              <w:left w:w="57" w:type="dxa"/>
              <w:right w:w="57" w:type="dxa"/>
            </w:tcMar>
          </w:tcPr>
          <w:p w14:paraId="24B31C37" w14:textId="77777777" w:rsidR="00F4393F" w:rsidRPr="007D6590" w:rsidRDefault="00F4393F" w:rsidP="00043857">
            <w:pPr>
              <w:pStyle w:val="StandardOCAshurst"/>
              <w:keepNext/>
              <w:keepLines/>
              <w:tabs>
                <w:tab w:val="left" w:leader="dot" w:pos="2140"/>
              </w:tabs>
              <w:ind w:left="138" w:hanging="138"/>
              <w:jc w:val="left"/>
              <w:rPr>
                <w:sz w:val="15"/>
                <w:szCs w:val="15"/>
              </w:rPr>
            </w:pPr>
            <w:r w:rsidRPr="007D6590">
              <w:rPr>
                <w:sz w:val="15"/>
                <w:szCs w:val="15"/>
              </w:rPr>
              <w:t>Net impairment (charge)/reversal to oil and gas assets</w:t>
            </w:r>
            <w:r w:rsidRPr="007D6590">
              <w:rPr>
                <w:sz w:val="15"/>
                <w:szCs w:val="15"/>
              </w:rPr>
              <w:tab/>
            </w:r>
          </w:p>
        </w:tc>
        <w:tc>
          <w:tcPr>
            <w:tcW w:w="939" w:type="dxa"/>
            <w:tcMar>
              <w:left w:w="57" w:type="dxa"/>
              <w:right w:w="57" w:type="dxa"/>
            </w:tcMar>
            <w:vAlign w:val="bottom"/>
          </w:tcPr>
          <w:p w14:paraId="064E3A75" w14:textId="77777777" w:rsidR="00F4393F" w:rsidRPr="007D6590" w:rsidRDefault="00F4393F" w:rsidP="005E5A28">
            <w:pPr>
              <w:pStyle w:val="StandardOCAshurst"/>
              <w:keepNext/>
              <w:keepLines/>
              <w:jc w:val="right"/>
              <w:rPr>
                <w:sz w:val="15"/>
                <w:szCs w:val="15"/>
              </w:rPr>
            </w:pPr>
            <w:r w:rsidRPr="007D6590">
              <w:rPr>
                <w:sz w:val="15"/>
                <w:szCs w:val="15"/>
              </w:rPr>
              <w:t>—</w:t>
            </w:r>
          </w:p>
        </w:tc>
        <w:tc>
          <w:tcPr>
            <w:tcW w:w="1214" w:type="dxa"/>
            <w:tcMar>
              <w:left w:w="57" w:type="dxa"/>
              <w:right w:w="57" w:type="dxa"/>
            </w:tcMar>
            <w:vAlign w:val="bottom"/>
          </w:tcPr>
          <w:p w14:paraId="02255121" w14:textId="77777777" w:rsidR="00F4393F" w:rsidRPr="007D6590" w:rsidRDefault="00F4393F" w:rsidP="005E5A28">
            <w:pPr>
              <w:pStyle w:val="StandardOCAshurst"/>
              <w:keepNext/>
              <w:keepLines/>
              <w:jc w:val="right"/>
              <w:rPr>
                <w:sz w:val="15"/>
                <w:szCs w:val="15"/>
              </w:rPr>
            </w:pPr>
            <w:r w:rsidRPr="007D6590">
              <w:rPr>
                <w:sz w:val="15"/>
                <w:szCs w:val="15"/>
              </w:rPr>
              <w:t>(812.4)</w:t>
            </w:r>
          </w:p>
        </w:tc>
        <w:tc>
          <w:tcPr>
            <w:tcW w:w="905" w:type="dxa"/>
            <w:tcMar>
              <w:left w:w="57" w:type="dxa"/>
              <w:right w:w="57" w:type="dxa"/>
            </w:tcMar>
            <w:vAlign w:val="bottom"/>
          </w:tcPr>
          <w:p w14:paraId="6CA6226C" w14:textId="77777777" w:rsidR="00F4393F" w:rsidRPr="007D6590" w:rsidRDefault="00F4393F" w:rsidP="005E5A28">
            <w:pPr>
              <w:pStyle w:val="StandardOCAshurst"/>
              <w:keepNext/>
              <w:keepLines/>
              <w:jc w:val="right"/>
              <w:rPr>
                <w:sz w:val="15"/>
                <w:szCs w:val="15"/>
              </w:rPr>
            </w:pPr>
            <w:r w:rsidRPr="007D6590">
              <w:rPr>
                <w:sz w:val="15"/>
                <w:szCs w:val="15"/>
              </w:rPr>
              <w:t>(812.4)</w:t>
            </w:r>
          </w:p>
        </w:tc>
        <w:tc>
          <w:tcPr>
            <w:tcW w:w="990" w:type="dxa"/>
            <w:tcMar>
              <w:left w:w="57" w:type="dxa"/>
              <w:right w:w="57" w:type="dxa"/>
            </w:tcMar>
            <w:vAlign w:val="bottom"/>
          </w:tcPr>
          <w:p w14:paraId="3C83755C" w14:textId="77777777" w:rsidR="00F4393F" w:rsidRPr="007D6590" w:rsidRDefault="00F4393F" w:rsidP="005E5A28">
            <w:pPr>
              <w:pStyle w:val="StandardOCAshurst"/>
              <w:keepNext/>
              <w:keepLines/>
              <w:jc w:val="right"/>
              <w:rPr>
                <w:sz w:val="15"/>
                <w:szCs w:val="15"/>
              </w:rPr>
            </w:pPr>
            <w:r w:rsidRPr="007D6590">
              <w:rPr>
                <w:sz w:val="15"/>
                <w:szCs w:val="15"/>
              </w:rPr>
              <w:t>—</w:t>
            </w:r>
          </w:p>
        </w:tc>
        <w:tc>
          <w:tcPr>
            <w:tcW w:w="1214" w:type="dxa"/>
            <w:tcMar>
              <w:left w:w="57" w:type="dxa"/>
              <w:right w:w="57" w:type="dxa"/>
            </w:tcMar>
            <w:vAlign w:val="bottom"/>
          </w:tcPr>
          <w:p w14:paraId="1A3A1906" w14:textId="77777777" w:rsidR="00F4393F" w:rsidRPr="007D6590" w:rsidRDefault="00F4393F" w:rsidP="005E5A28">
            <w:pPr>
              <w:pStyle w:val="StandardOCAshurst"/>
              <w:keepNext/>
              <w:keepLines/>
              <w:jc w:val="right"/>
              <w:rPr>
                <w:sz w:val="15"/>
                <w:szCs w:val="15"/>
              </w:rPr>
            </w:pPr>
            <w:r w:rsidRPr="007D6590">
              <w:rPr>
                <w:sz w:val="15"/>
                <w:szCs w:val="15"/>
              </w:rPr>
              <w:t>(422.5)</w:t>
            </w:r>
          </w:p>
        </w:tc>
        <w:tc>
          <w:tcPr>
            <w:tcW w:w="874" w:type="dxa"/>
            <w:tcMar>
              <w:left w:w="57" w:type="dxa"/>
              <w:right w:w="57" w:type="dxa"/>
            </w:tcMar>
            <w:vAlign w:val="bottom"/>
          </w:tcPr>
          <w:p w14:paraId="41DEC369" w14:textId="77777777" w:rsidR="00F4393F" w:rsidRPr="007D6590" w:rsidRDefault="00F4393F" w:rsidP="005E5A28">
            <w:pPr>
              <w:pStyle w:val="StandardOCAshurst"/>
              <w:keepNext/>
              <w:keepLines/>
              <w:jc w:val="right"/>
              <w:rPr>
                <w:sz w:val="15"/>
                <w:szCs w:val="15"/>
              </w:rPr>
            </w:pPr>
            <w:r w:rsidRPr="007D6590">
              <w:rPr>
                <w:sz w:val="15"/>
                <w:szCs w:val="15"/>
              </w:rPr>
              <w:t>(422.5)</w:t>
            </w:r>
          </w:p>
        </w:tc>
      </w:tr>
      <w:tr w:rsidR="00F4393F" w:rsidRPr="007D6590" w14:paraId="43999C65" w14:textId="77777777" w:rsidTr="001E486A">
        <w:tc>
          <w:tcPr>
            <w:tcW w:w="2291" w:type="dxa"/>
            <w:tcMar>
              <w:left w:w="57" w:type="dxa"/>
              <w:right w:w="57" w:type="dxa"/>
            </w:tcMar>
          </w:tcPr>
          <w:p w14:paraId="5E264A7E" w14:textId="77777777" w:rsidR="00F4393F" w:rsidRPr="007D6590" w:rsidRDefault="00F4393F" w:rsidP="00043857">
            <w:pPr>
              <w:pStyle w:val="StandardOCAshurst"/>
              <w:keepNext/>
              <w:keepLines/>
              <w:tabs>
                <w:tab w:val="left" w:leader="dot" w:pos="2140"/>
              </w:tabs>
              <w:ind w:left="138" w:hanging="138"/>
              <w:jc w:val="left"/>
              <w:rPr>
                <w:sz w:val="15"/>
                <w:szCs w:val="15"/>
              </w:rPr>
            </w:pPr>
            <w:r w:rsidRPr="007D6590">
              <w:rPr>
                <w:sz w:val="15"/>
                <w:szCs w:val="15"/>
              </w:rPr>
              <w:t>General and administration expenses</w:t>
            </w:r>
            <w:r w:rsidRPr="007D6590">
              <w:rPr>
                <w:sz w:val="15"/>
                <w:szCs w:val="15"/>
              </w:rPr>
              <w:tab/>
            </w:r>
          </w:p>
        </w:tc>
        <w:tc>
          <w:tcPr>
            <w:tcW w:w="939" w:type="dxa"/>
            <w:tcMar>
              <w:left w:w="57" w:type="dxa"/>
              <w:right w:w="57" w:type="dxa"/>
            </w:tcMar>
            <w:vAlign w:val="bottom"/>
          </w:tcPr>
          <w:p w14:paraId="7E04AD0B" w14:textId="77777777" w:rsidR="00F4393F" w:rsidRPr="007D6590" w:rsidRDefault="00F4393F" w:rsidP="005E5A28">
            <w:pPr>
              <w:pStyle w:val="StandardOCAshurst"/>
              <w:keepNext/>
              <w:keepLines/>
              <w:jc w:val="right"/>
              <w:rPr>
                <w:sz w:val="15"/>
                <w:szCs w:val="15"/>
              </w:rPr>
            </w:pPr>
            <w:r w:rsidRPr="007D6590">
              <w:rPr>
                <w:sz w:val="15"/>
                <w:szCs w:val="15"/>
              </w:rPr>
              <w:t>(7.7)</w:t>
            </w:r>
          </w:p>
        </w:tc>
        <w:tc>
          <w:tcPr>
            <w:tcW w:w="1214" w:type="dxa"/>
            <w:tcMar>
              <w:left w:w="57" w:type="dxa"/>
              <w:right w:w="57" w:type="dxa"/>
            </w:tcMar>
            <w:vAlign w:val="bottom"/>
          </w:tcPr>
          <w:p w14:paraId="146F8712" w14:textId="77777777" w:rsidR="00F4393F" w:rsidRPr="007D6590" w:rsidRDefault="00F4393F" w:rsidP="005E5A28">
            <w:pPr>
              <w:pStyle w:val="StandardOCAshurst"/>
              <w:keepNext/>
              <w:keepLines/>
              <w:jc w:val="right"/>
              <w:rPr>
                <w:sz w:val="15"/>
                <w:szCs w:val="15"/>
              </w:rPr>
            </w:pPr>
            <w:r w:rsidRPr="007D6590">
              <w:rPr>
                <w:sz w:val="15"/>
                <w:szCs w:val="15"/>
              </w:rPr>
              <w:t>—</w:t>
            </w:r>
          </w:p>
        </w:tc>
        <w:tc>
          <w:tcPr>
            <w:tcW w:w="905" w:type="dxa"/>
            <w:tcMar>
              <w:left w:w="57" w:type="dxa"/>
              <w:right w:w="57" w:type="dxa"/>
            </w:tcMar>
            <w:vAlign w:val="bottom"/>
          </w:tcPr>
          <w:p w14:paraId="159D6B9F" w14:textId="77777777" w:rsidR="00F4393F" w:rsidRPr="007D6590" w:rsidRDefault="00F4393F" w:rsidP="005E5A28">
            <w:pPr>
              <w:pStyle w:val="StandardOCAshurst"/>
              <w:keepNext/>
              <w:keepLines/>
              <w:jc w:val="right"/>
              <w:rPr>
                <w:sz w:val="15"/>
                <w:szCs w:val="15"/>
              </w:rPr>
            </w:pPr>
            <w:r w:rsidRPr="007D6590">
              <w:rPr>
                <w:sz w:val="15"/>
                <w:szCs w:val="15"/>
              </w:rPr>
              <w:t>(7.7)</w:t>
            </w:r>
          </w:p>
        </w:tc>
        <w:tc>
          <w:tcPr>
            <w:tcW w:w="990" w:type="dxa"/>
            <w:tcMar>
              <w:left w:w="57" w:type="dxa"/>
              <w:right w:w="57" w:type="dxa"/>
            </w:tcMar>
            <w:vAlign w:val="bottom"/>
          </w:tcPr>
          <w:p w14:paraId="53368170" w14:textId="77777777" w:rsidR="00F4393F" w:rsidRPr="007D6590" w:rsidRDefault="00F4393F" w:rsidP="005E5A28">
            <w:pPr>
              <w:pStyle w:val="StandardOCAshurst"/>
              <w:keepNext/>
              <w:keepLines/>
              <w:jc w:val="right"/>
              <w:rPr>
                <w:sz w:val="15"/>
                <w:szCs w:val="15"/>
              </w:rPr>
            </w:pPr>
            <w:r w:rsidRPr="007D6590">
              <w:rPr>
                <w:sz w:val="15"/>
                <w:szCs w:val="15"/>
              </w:rPr>
              <w:t>(6.1)</w:t>
            </w:r>
          </w:p>
        </w:tc>
        <w:tc>
          <w:tcPr>
            <w:tcW w:w="1214" w:type="dxa"/>
            <w:tcMar>
              <w:left w:w="57" w:type="dxa"/>
              <w:right w:w="57" w:type="dxa"/>
            </w:tcMar>
            <w:vAlign w:val="bottom"/>
          </w:tcPr>
          <w:p w14:paraId="6D1074E2" w14:textId="77777777" w:rsidR="00F4393F" w:rsidRPr="007D6590" w:rsidRDefault="00F4393F" w:rsidP="005E5A28">
            <w:pPr>
              <w:pStyle w:val="StandardOCAshurst"/>
              <w:keepNext/>
              <w:keepLines/>
              <w:jc w:val="right"/>
              <w:rPr>
                <w:sz w:val="15"/>
                <w:szCs w:val="15"/>
              </w:rPr>
            </w:pPr>
            <w:r w:rsidRPr="007D6590">
              <w:rPr>
                <w:sz w:val="15"/>
                <w:szCs w:val="15"/>
              </w:rPr>
              <w:t>—</w:t>
            </w:r>
          </w:p>
        </w:tc>
        <w:tc>
          <w:tcPr>
            <w:tcW w:w="874" w:type="dxa"/>
            <w:tcMar>
              <w:left w:w="57" w:type="dxa"/>
              <w:right w:w="57" w:type="dxa"/>
            </w:tcMar>
            <w:vAlign w:val="bottom"/>
          </w:tcPr>
          <w:p w14:paraId="2B610215" w14:textId="77777777" w:rsidR="00F4393F" w:rsidRPr="007D6590" w:rsidRDefault="00F4393F" w:rsidP="005E5A28">
            <w:pPr>
              <w:pStyle w:val="StandardOCAshurst"/>
              <w:keepNext/>
              <w:keepLines/>
              <w:jc w:val="right"/>
              <w:rPr>
                <w:sz w:val="15"/>
                <w:szCs w:val="15"/>
              </w:rPr>
            </w:pPr>
            <w:r w:rsidRPr="007D6590">
              <w:rPr>
                <w:sz w:val="15"/>
                <w:szCs w:val="15"/>
              </w:rPr>
              <w:t>(6.1)</w:t>
            </w:r>
          </w:p>
        </w:tc>
      </w:tr>
      <w:tr w:rsidR="00F4393F" w:rsidRPr="007D6590" w14:paraId="0B28799D" w14:textId="77777777" w:rsidTr="001E486A">
        <w:tc>
          <w:tcPr>
            <w:tcW w:w="2291" w:type="dxa"/>
            <w:tcMar>
              <w:left w:w="57" w:type="dxa"/>
              <w:right w:w="57" w:type="dxa"/>
            </w:tcMar>
          </w:tcPr>
          <w:p w14:paraId="7711B471" w14:textId="2AA5FEE4" w:rsidR="00F4393F" w:rsidRPr="007D6590" w:rsidRDefault="00F4393F" w:rsidP="00043857">
            <w:pPr>
              <w:pStyle w:val="StandardOCAshurst"/>
              <w:keepNext/>
              <w:keepLines/>
              <w:tabs>
                <w:tab w:val="left" w:leader="dot" w:pos="2140"/>
              </w:tabs>
              <w:ind w:left="138" w:hanging="138"/>
              <w:jc w:val="left"/>
              <w:rPr>
                <w:sz w:val="15"/>
                <w:szCs w:val="15"/>
              </w:rPr>
            </w:pPr>
            <w:r w:rsidRPr="007D6590">
              <w:rPr>
                <w:sz w:val="15"/>
                <w:szCs w:val="15"/>
              </w:rPr>
              <w:t>Other income</w:t>
            </w:r>
            <w:r w:rsidRPr="007D6590">
              <w:rPr>
                <w:sz w:val="15"/>
                <w:szCs w:val="15"/>
              </w:rPr>
              <w:tab/>
            </w:r>
          </w:p>
        </w:tc>
        <w:tc>
          <w:tcPr>
            <w:tcW w:w="939" w:type="dxa"/>
            <w:tcMar>
              <w:left w:w="57" w:type="dxa"/>
              <w:right w:w="57" w:type="dxa"/>
            </w:tcMar>
            <w:vAlign w:val="bottom"/>
          </w:tcPr>
          <w:p w14:paraId="7D444683" w14:textId="5570CC7F" w:rsidR="00F4393F" w:rsidRPr="007D6590" w:rsidRDefault="00412499" w:rsidP="005E5A28">
            <w:pPr>
              <w:pStyle w:val="StandardOCAshurst"/>
              <w:keepNext/>
              <w:keepLines/>
              <w:jc w:val="right"/>
              <w:rPr>
                <w:sz w:val="15"/>
                <w:szCs w:val="15"/>
              </w:rPr>
            </w:pPr>
            <w:r>
              <w:rPr>
                <w:sz w:val="15"/>
                <w:szCs w:val="15"/>
              </w:rPr>
              <w:t>3.4</w:t>
            </w:r>
          </w:p>
        </w:tc>
        <w:tc>
          <w:tcPr>
            <w:tcW w:w="1214" w:type="dxa"/>
            <w:tcMar>
              <w:left w:w="57" w:type="dxa"/>
              <w:right w:w="57" w:type="dxa"/>
            </w:tcMar>
            <w:vAlign w:val="bottom"/>
          </w:tcPr>
          <w:p w14:paraId="3F520C59" w14:textId="77777777" w:rsidR="00F4393F" w:rsidRPr="007D6590" w:rsidRDefault="00F4393F" w:rsidP="005E5A28">
            <w:pPr>
              <w:pStyle w:val="StandardOCAshurst"/>
              <w:keepNext/>
              <w:keepLines/>
              <w:jc w:val="right"/>
              <w:rPr>
                <w:sz w:val="15"/>
                <w:szCs w:val="15"/>
              </w:rPr>
            </w:pPr>
            <w:r w:rsidRPr="007D6590">
              <w:rPr>
                <w:sz w:val="15"/>
                <w:szCs w:val="15"/>
              </w:rPr>
              <w:t>—</w:t>
            </w:r>
          </w:p>
        </w:tc>
        <w:tc>
          <w:tcPr>
            <w:tcW w:w="905" w:type="dxa"/>
            <w:tcMar>
              <w:left w:w="57" w:type="dxa"/>
              <w:right w:w="57" w:type="dxa"/>
            </w:tcMar>
            <w:vAlign w:val="bottom"/>
          </w:tcPr>
          <w:p w14:paraId="49B07671" w14:textId="6361FAD4" w:rsidR="00F4393F" w:rsidRPr="007D6590" w:rsidRDefault="00412499" w:rsidP="005E5A28">
            <w:pPr>
              <w:pStyle w:val="StandardOCAshurst"/>
              <w:keepNext/>
              <w:keepLines/>
              <w:jc w:val="right"/>
              <w:rPr>
                <w:sz w:val="15"/>
                <w:szCs w:val="15"/>
              </w:rPr>
            </w:pPr>
            <w:r>
              <w:rPr>
                <w:sz w:val="15"/>
                <w:szCs w:val="15"/>
              </w:rPr>
              <w:t>3.4</w:t>
            </w:r>
          </w:p>
        </w:tc>
        <w:tc>
          <w:tcPr>
            <w:tcW w:w="990" w:type="dxa"/>
            <w:tcMar>
              <w:left w:w="57" w:type="dxa"/>
              <w:right w:w="57" w:type="dxa"/>
            </w:tcMar>
            <w:vAlign w:val="bottom"/>
          </w:tcPr>
          <w:p w14:paraId="11BCAB2A" w14:textId="69B90366" w:rsidR="00F4393F" w:rsidRPr="007D6590" w:rsidRDefault="00145FA3" w:rsidP="005E5A28">
            <w:pPr>
              <w:pStyle w:val="StandardOCAshurst"/>
              <w:keepNext/>
              <w:keepLines/>
              <w:jc w:val="right"/>
              <w:rPr>
                <w:sz w:val="15"/>
                <w:szCs w:val="15"/>
              </w:rPr>
            </w:pPr>
            <w:r>
              <w:rPr>
                <w:sz w:val="15"/>
                <w:szCs w:val="15"/>
              </w:rPr>
              <w:t>18.1</w:t>
            </w:r>
            <w:r w:rsidR="00CC515C" w:rsidRPr="00C5357C">
              <w:rPr>
                <w:sz w:val="15"/>
                <w:szCs w:val="15"/>
                <w:vertAlign w:val="superscript"/>
              </w:rPr>
              <w:t>(1)</w:t>
            </w:r>
          </w:p>
        </w:tc>
        <w:tc>
          <w:tcPr>
            <w:tcW w:w="1214" w:type="dxa"/>
            <w:tcMar>
              <w:left w:w="57" w:type="dxa"/>
              <w:right w:w="57" w:type="dxa"/>
            </w:tcMar>
            <w:vAlign w:val="bottom"/>
          </w:tcPr>
          <w:p w14:paraId="0DFF2322" w14:textId="77777777" w:rsidR="00F4393F" w:rsidRPr="007D6590" w:rsidRDefault="00F4393F" w:rsidP="005E5A28">
            <w:pPr>
              <w:pStyle w:val="StandardOCAshurst"/>
              <w:keepNext/>
              <w:keepLines/>
              <w:jc w:val="right"/>
              <w:rPr>
                <w:sz w:val="15"/>
                <w:szCs w:val="15"/>
              </w:rPr>
            </w:pPr>
            <w:r w:rsidRPr="007D6590">
              <w:rPr>
                <w:sz w:val="15"/>
                <w:szCs w:val="15"/>
              </w:rPr>
              <w:t>138.2</w:t>
            </w:r>
          </w:p>
        </w:tc>
        <w:tc>
          <w:tcPr>
            <w:tcW w:w="874" w:type="dxa"/>
            <w:tcMar>
              <w:left w:w="57" w:type="dxa"/>
              <w:right w:w="57" w:type="dxa"/>
            </w:tcMar>
            <w:vAlign w:val="bottom"/>
          </w:tcPr>
          <w:p w14:paraId="0FF37DA9" w14:textId="3D304187" w:rsidR="00F4393F" w:rsidRPr="007D6590" w:rsidRDefault="00F4393F" w:rsidP="005E5A28">
            <w:pPr>
              <w:pStyle w:val="StandardOCAshurst"/>
              <w:keepNext/>
              <w:keepLines/>
              <w:jc w:val="right"/>
              <w:rPr>
                <w:sz w:val="15"/>
                <w:szCs w:val="15"/>
              </w:rPr>
            </w:pPr>
            <w:r w:rsidRPr="007D6590">
              <w:rPr>
                <w:sz w:val="15"/>
                <w:szCs w:val="15"/>
              </w:rPr>
              <w:t>15</w:t>
            </w:r>
            <w:r w:rsidR="00145FA3">
              <w:rPr>
                <w:sz w:val="15"/>
                <w:szCs w:val="15"/>
              </w:rPr>
              <w:t>6</w:t>
            </w:r>
            <w:r w:rsidRPr="007D6590">
              <w:rPr>
                <w:sz w:val="15"/>
                <w:szCs w:val="15"/>
              </w:rPr>
              <w:t>.</w:t>
            </w:r>
            <w:r w:rsidR="00CC515C">
              <w:rPr>
                <w:sz w:val="15"/>
                <w:szCs w:val="15"/>
              </w:rPr>
              <w:t>3</w:t>
            </w:r>
          </w:p>
        </w:tc>
      </w:tr>
      <w:tr w:rsidR="00F4393F" w:rsidRPr="007D6590" w14:paraId="58DD49AA" w14:textId="77777777" w:rsidTr="001E486A">
        <w:tc>
          <w:tcPr>
            <w:tcW w:w="2291" w:type="dxa"/>
            <w:tcMar>
              <w:left w:w="57" w:type="dxa"/>
              <w:right w:w="57" w:type="dxa"/>
            </w:tcMar>
          </w:tcPr>
          <w:p w14:paraId="2ACE3EDF" w14:textId="77777777" w:rsidR="00F4393F" w:rsidRPr="007D6590" w:rsidRDefault="00F4393F" w:rsidP="00043857">
            <w:pPr>
              <w:pStyle w:val="StandardOCAshurst"/>
              <w:keepNext/>
              <w:keepLines/>
              <w:tabs>
                <w:tab w:val="left" w:leader="dot" w:pos="2140"/>
              </w:tabs>
              <w:ind w:left="138" w:hanging="138"/>
              <w:jc w:val="left"/>
              <w:rPr>
                <w:sz w:val="15"/>
                <w:szCs w:val="15"/>
              </w:rPr>
            </w:pPr>
            <w:r w:rsidRPr="007D6590">
              <w:rPr>
                <w:sz w:val="15"/>
                <w:szCs w:val="15"/>
              </w:rPr>
              <w:t>Other expenses</w:t>
            </w:r>
            <w:r w:rsidRPr="007D6590">
              <w:rPr>
                <w:sz w:val="15"/>
                <w:szCs w:val="15"/>
              </w:rPr>
              <w:tab/>
            </w:r>
          </w:p>
        </w:tc>
        <w:tc>
          <w:tcPr>
            <w:tcW w:w="939" w:type="dxa"/>
            <w:tcMar>
              <w:left w:w="57" w:type="dxa"/>
              <w:right w:w="57" w:type="dxa"/>
            </w:tcMar>
            <w:vAlign w:val="bottom"/>
          </w:tcPr>
          <w:p w14:paraId="454ECBC0" w14:textId="77777777" w:rsidR="00F4393F" w:rsidRPr="007D6590" w:rsidRDefault="00F4393F" w:rsidP="005E5A28">
            <w:pPr>
              <w:pStyle w:val="StandardOCAshurst"/>
              <w:keepNext/>
              <w:keepLines/>
              <w:jc w:val="right"/>
              <w:rPr>
                <w:sz w:val="15"/>
                <w:szCs w:val="15"/>
              </w:rPr>
            </w:pPr>
            <w:r w:rsidRPr="007D6590">
              <w:rPr>
                <w:sz w:val="15"/>
                <w:szCs w:val="15"/>
              </w:rPr>
              <w:t>(21.9)</w:t>
            </w:r>
          </w:p>
        </w:tc>
        <w:tc>
          <w:tcPr>
            <w:tcW w:w="1214" w:type="dxa"/>
            <w:tcMar>
              <w:left w:w="57" w:type="dxa"/>
              <w:right w:w="57" w:type="dxa"/>
            </w:tcMar>
            <w:vAlign w:val="bottom"/>
          </w:tcPr>
          <w:p w14:paraId="7AEB5D50" w14:textId="77777777" w:rsidR="00F4393F" w:rsidRPr="007D6590" w:rsidRDefault="00F4393F" w:rsidP="005E5A28">
            <w:pPr>
              <w:pStyle w:val="StandardOCAshurst"/>
              <w:keepNext/>
              <w:keepLines/>
              <w:jc w:val="right"/>
              <w:rPr>
                <w:sz w:val="15"/>
                <w:szCs w:val="15"/>
              </w:rPr>
            </w:pPr>
            <w:r w:rsidRPr="007D6590">
              <w:rPr>
                <w:sz w:val="15"/>
                <w:szCs w:val="15"/>
              </w:rPr>
              <w:t>(31.7)</w:t>
            </w:r>
          </w:p>
        </w:tc>
        <w:tc>
          <w:tcPr>
            <w:tcW w:w="905" w:type="dxa"/>
            <w:tcMar>
              <w:left w:w="57" w:type="dxa"/>
              <w:right w:w="57" w:type="dxa"/>
            </w:tcMar>
            <w:vAlign w:val="bottom"/>
          </w:tcPr>
          <w:p w14:paraId="3267BABA" w14:textId="77777777" w:rsidR="00F4393F" w:rsidRPr="007D6590" w:rsidRDefault="00F4393F" w:rsidP="005E5A28">
            <w:pPr>
              <w:pStyle w:val="StandardOCAshurst"/>
              <w:keepNext/>
              <w:keepLines/>
              <w:jc w:val="right"/>
              <w:rPr>
                <w:sz w:val="15"/>
                <w:szCs w:val="15"/>
              </w:rPr>
            </w:pPr>
            <w:r w:rsidRPr="007D6590">
              <w:rPr>
                <w:sz w:val="15"/>
                <w:szCs w:val="15"/>
              </w:rPr>
              <w:t>(53.6)</w:t>
            </w:r>
          </w:p>
        </w:tc>
        <w:tc>
          <w:tcPr>
            <w:tcW w:w="990" w:type="dxa"/>
            <w:tcMar>
              <w:left w:w="57" w:type="dxa"/>
              <w:right w:w="57" w:type="dxa"/>
            </w:tcMar>
            <w:vAlign w:val="bottom"/>
          </w:tcPr>
          <w:p w14:paraId="5073445E" w14:textId="77777777" w:rsidR="00F4393F" w:rsidRPr="007D6590" w:rsidRDefault="00F4393F" w:rsidP="005E5A28">
            <w:pPr>
              <w:pStyle w:val="StandardOCAshurst"/>
              <w:keepNext/>
              <w:keepLines/>
              <w:jc w:val="right"/>
              <w:rPr>
                <w:sz w:val="15"/>
                <w:szCs w:val="15"/>
              </w:rPr>
            </w:pPr>
            <w:r w:rsidRPr="007D6590">
              <w:rPr>
                <w:sz w:val="15"/>
                <w:szCs w:val="15"/>
              </w:rPr>
              <w:t>(101.6)</w:t>
            </w:r>
          </w:p>
        </w:tc>
        <w:tc>
          <w:tcPr>
            <w:tcW w:w="1214" w:type="dxa"/>
            <w:tcMar>
              <w:left w:w="57" w:type="dxa"/>
              <w:right w:w="57" w:type="dxa"/>
            </w:tcMar>
            <w:vAlign w:val="bottom"/>
          </w:tcPr>
          <w:p w14:paraId="711298F8" w14:textId="77777777" w:rsidR="00F4393F" w:rsidRPr="007D6590" w:rsidRDefault="00F4393F" w:rsidP="005E5A28">
            <w:pPr>
              <w:pStyle w:val="StandardOCAshurst"/>
              <w:keepNext/>
              <w:keepLines/>
              <w:jc w:val="right"/>
              <w:rPr>
                <w:sz w:val="15"/>
                <w:szCs w:val="15"/>
              </w:rPr>
            </w:pPr>
            <w:r w:rsidRPr="007D6590">
              <w:rPr>
                <w:sz w:val="15"/>
                <w:szCs w:val="15"/>
              </w:rPr>
              <w:t>(1.0)</w:t>
            </w:r>
          </w:p>
        </w:tc>
        <w:tc>
          <w:tcPr>
            <w:tcW w:w="874" w:type="dxa"/>
            <w:tcMar>
              <w:left w:w="57" w:type="dxa"/>
              <w:right w:w="57" w:type="dxa"/>
            </w:tcMar>
            <w:vAlign w:val="bottom"/>
          </w:tcPr>
          <w:p w14:paraId="71836597" w14:textId="77777777" w:rsidR="00F4393F" w:rsidRPr="007D6590" w:rsidRDefault="00F4393F" w:rsidP="005E5A28">
            <w:pPr>
              <w:pStyle w:val="StandardOCAshurst"/>
              <w:keepNext/>
              <w:keepLines/>
              <w:jc w:val="right"/>
              <w:rPr>
                <w:sz w:val="15"/>
                <w:szCs w:val="15"/>
              </w:rPr>
            </w:pPr>
            <w:r w:rsidRPr="007D6590">
              <w:rPr>
                <w:sz w:val="15"/>
                <w:szCs w:val="15"/>
              </w:rPr>
              <w:t>(102.6)</w:t>
            </w:r>
          </w:p>
        </w:tc>
      </w:tr>
      <w:tr w:rsidR="00F4393F" w:rsidRPr="007D6590" w14:paraId="091A2B6E" w14:textId="77777777" w:rsidTr="001E486A">
        <w:tc>
          <w:tcPr>
            <w:tcW w:w="2291" w:type="dxa"/>
            <w:tcMar>
              <w:left w:w="57" w:type="dxa"/>
              <w:right w:w="57" w:type="dxa"/>
            </w:tcMar>
          </w:tcPr>
          <w:p w14:paraId="3C5FE9AE" w14:textId="77777777" w:rsidR="00F4393F" w:rsidRPr="007D6590" w:rsidRDefault="00F4393F" w:rsidP="00043857">
            <w:pPr>
              <w:pStyle w:val="StandardOCAshurst"/>
              <w:keepNext/>
              <w:keepLines/>
              <w:tabs>
                <w:tab w:val="left" w:leader="dot" w:pos="2140"/>
              </w:tabs>
              <w:ind w:left="138" w:hanging="138"/>
              <w:jc w:val="left"/>
              <w:rPr>
                <w:b/>
                <w:bCs/>
                <w:sz w:val="15"/>
                <w:szCs w:val="15"/>
              </w:rPr>
            </w:pPr>
            <w:r w:rsidRPr="007D6590">
              <w:rPr>
                <w:b/>
                <w:bCs/>
                <w:sz w:val="15"/>
                <w:szCs w:val="15"/>
              </w:rPr>
              <w:t>Profit/(loss) from operations before tax and finance income/(costs)</w:t>
            </w:r>
            <w:r w:rsidRPr="007D6590">
              <w:rPr>
                <w:sz w:val="15"/>
                <w:szCs w:val="15"/>
              </w:rPr>
              <w:tab/>
            </w:r>
          </w:p>
        </w:tc>
        <w:tc>
          <w:tcPr>
            <w:tcW w:w="939" w:type="dxa"/>
            <w:tcMar>
              <w:left w:w="57" w:type="dxa"/>
              <w:right w:w="57" w:type="dxa"/>
            </w:tcMar>
            <w:vAlign w:val="bottom"/>
          </w:tcPr>
          <w:p w14:paraId="469499C4"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442.2</w:t>
            </w:r>
          </w:p>
        </w:tc>
        <w:tc>
          <w:tcPr>
            <w:tcW w:w="1214" w:type="dxa"/>
            <w:tcMar>
              <w:left w:w="57" w:type="dxa"/>
              <w:right w:w="57" w:type="dxa"/>
            </w:tcMar>
            <w:vAlign w:val="bottom"/>
          </w:tcPr>
          <w:p w14:paraId="4DDBE113"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(909.9)</w:t>
            </w:r>
          </w:p>
        </w:tc>
        <w:tc>
          <w:tcPr>
            <w:tcW w:w="905" w:type="dxa"/>
            <w:tcMar>
              <w:left w:w="57" w:type="dxa"/>
              <w:right w:w="57" w:type="dxa"/>
            </w:tcMar>
            <w:vAlign w:val="bottom"/>
          </w:tcPr>
          <w:p w14:paraId="07566CD3"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(467.8)</w:t>
            </w:r>
          </w:p>
        </w:tc>
        <w:tc>
          <w:tcPr>
            <w:tcW w:w="990" w:type="dxa"/>
            <w:tcMar>
              <w:left w:w="57" w:type="dxa"/>
              <w:right w:w="57" w:type="dxa"/>
            </w:tcMar>
            <w:vAlign w:val="bottom"/>
          </w:tcPr>
          <w:p w14:paraId="199982BE"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(20.0)</w:t>
            </w:r>
          </w:p>
        </w:tc>
        <w:tc>
          <w:tcPr>
            <w:tcW w:w="1214" w:type="dxa"/>
            <w:tcMar>
              <w:left w:w="57" w:type="dxa"/>
              <w:right w:w="57" w:type="dxa"/>
            </w:tcMar>
            <w:vAlign w:val="bottom"/>
          </w:tcPr>
          <w:p w14:paraId="31396D52"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(290.1)</w:t>
            </w:r>
          </w:p>
        </w:tc>
        <w:tc>
          <w:tcPr>
            <w:tcW w:w="874" w:type="dxa"/>
            <w:tcMar>
              <w:left w:w="57" w:type="dxa"/>
              <w:right w:w="57" w:type="dxa"/>
            </w:tcMar>
            <w:vAlign w:val="bottom"/>
          </w:tcPr>
          <w:p w14:paraId="0323A268"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(310.1)</w:t>
            </w:r>
          </w:p>
        </w:tc>
      </w:tr>
      <w:tr w:rsidR="00F4393F" w:rsidRPr="007D6590" w14:paraId="0C29407B" w14:textId="77777777" w:rsidTr="001E486A">
        <w:tc>
          <w:tcPr>
            <w:tcW w:w="2291" w:type="dxa"/>
            <w:tcMar>
              <w:left w:w="57" w:type="dxa"/>
              <w:right w:w="57" w:type="dxa"/>
            </w:tcMar>
          </w:tcPr>
          <w:p w14:paraId="4C00BE8E" w14:textId="77777777" w:rsidR="00F4393F" w:rsidRPr="007D6590" w:rsidRDefault="00F4393F" w:rsidP="00043857">
            <w:pPr>
              <w:pStyle w:val="StandardOCAshurst"/>
              <w:keepNext/>
              <w:keepLines/>
              <w:tabs>
                <w:tab w:val="left" w:leader="dot" w:pos="2140"/>
              </w:tabs>
              <w:ind w:left="138" w:hanging="138"/>
              <w:jc w:val="left"/>
              <w:rPr>
                <w:sz w:val="15"/>
                <w:szCs w:val="15"/>
              </w:rPr>
            </w:pPr>
            <w:r w:rsidRPr="007D6590">
              <w:rPr>
                <w:sz w:val="15"/>
                <w:szCs w:val="15"/>
              </w:rPr>
              <w:t>Finance costs</w:t>
            </w:r>
            <w:r w:rsidRPr="007D6590">
              <w:rPr>
                <w:sz w:val="15"/>
                <w:szCs w:val="15"/>
              </w:rPr>
              <w:tab/>
            </w:r>
          </w:p>
        </w:tc>
        <w:tc>
          <w:tcPr>
            <w:tcW w:w="939" w:type="dxa"/>
            <w:tcMar>
              <w:left w:w="57" w:type="dxa"/>
              <w:right w:w="57" w:type="dxa"/>
            </w:tcMar>
            <w:vAlign w:val="bottom"/>
          </w:tcPr>
          <w:p w14:paraId="539B22C5" w14:textId="77777777" w:rsidR="00F4393F" w:rsidRPr="007D6590" w:rsidRDefault="00F4393F" w:rsidP="005E5A28">
            <w:pPr>
              <w:pStyle w:val="StandardOCAshurst"/>
              <w:keepNext/>
              <w:keepLines/>
              <w:jc w:val="right"/>
              <w:rPr>
                <w:sz w:val="15"/>
                <w:szCs w:val="15"/>
              </w:rPr>
            </w:pPr>
            <w:r w:rsidRPr="007D6590">
              <w:rPr>
                <w:sz w:val="15"/>
                <w:szCs w:val="15"/>
              </w:rPr>
              <w:t>(206.6)</w:t>
            </w:r>
          </w:p>
        </w:tc>
        <w:tc>
          <w:tcPr>
            <w:tcW w:w="1214" w:type="dxa"/>
            <w:tcMar>
              <w:left w:w="57" w:type="dxa"/>
              <w:right w:w="57" w:type="dxa"/>
            </w:tcMar>
            <w:vAlign w:val="bottom"/>
          </w:tcPr>
          <w:p w14:paraId="0191BE48" w14:textId="77777777" w:rsidR="00F4393F" w:rsidRPr="007D6590" w:rsidRDefault="00F4393F" w:rsidP="005E5A28">
            <w:pPr>
              <w:pStyle w:val="StandardOCAshurst"/>
              <w:keepNext/>
              <w:keepLines/>
              <w:jc w:val="right"/>
              <w:rPr>
                <w:sz w:val="15"/>
                <w:szCs w:val="15"/>
              </w:rPr>
            </w:pPr>
            <w:r w:rsidRPr="007D6590">
              <w:rPr>
                <w:sz w:val="15"/>
                <w:szCs w:val="15"/>
              </w:rPr>
              <w:t>(57.2)</w:t>
            </w:r>
          </w:p>
        </w:tc>
        <w:tc>
          <w:tcPr>
            <w:tcW w:w="905" w:type="dxa"/>
            <w:tcMar>
              <w:left w:w="57" w:type="dxa"/>
              <w:right w:w="57" w:type="dxa"/>
            </w:tcMar>
            <w:vAlign w:val="bottom"/>
          </w:tcPr>
          <w:p w14:paraId="4F3D740C" w14:textId="77777777" w:rsidR="00F4393F" w:rsidRPr="007D6590" w:rsidRDefault="00F4393F" w:rsidP="005E5A28">
            <w:pPr>
              <w:pStyle w:val="StandardOCAshurst"/>
              <w:keepNext/>
              <w:keepLines/>
              <w:jc w:val="right"/>
              <w:rPr>
                <w:sz w:val="15"/>
                <w:szCs w:val="15"/>
              </w:rPr>
            </w:pPr>
            <w:r w:rsidRPr="007D6590">
              <w:rPr>
                <w:sz w:val="15"/>
                <w:szCs w:val="15"/>
              </w:rPr>
              <w:t>(263.8)</w:t>
            </w:r>
          </w:p>
        </w:tc>
        <w:tc>
          <w:tcPr>
            <w:tcW w:w="990" w:type="dxa"/>
            <w:tcMar>
              <w:left w:w="57" w:type="dxa"/>
              <w:right w:w="57" w:type="dxa"/>
            </w:tcMar>
            <w:vAlign w:val="bottom"/>
          </w:tcPr>
          <w:p w14:paraId="0399CA6E" w14:textId="77777777" w:rsidR="00F4393F" w:rsidRPr="007D6590" w:rsidRDefault="00F4393F" w:rsidP="005E5A28">
            <w:pPr>
              <w:pStyle w:val="StandardOCAshurst"/>
              <w:keepNext/>
              <w:keepLines/>
              <w:jc w:val="right"/>
              <w:rPr>
                <w:sz w:val="15"/>
                <w:szCs w:val="15"/>
              </w:rPr>
            </w:pPr>
            <w:r w:rsidRPr="007D6590">
              <w:rPr>
                <w:sz w:val="15"/>
                <w:szCs w:val="15"/>
              </w:rPr>
              <w:t>(179.8)</w:t>
            </w:r>
          </w:p>
        </w:tc>
        <w:tc>
          <w:tcPr>
            <w:tcW w:w="1214" w:type="dxa"/>
            <w:tcMar>
              <w:left w:w="57" w:type="dxa"/>
              <w:right w:w="57" w:type="dxa"/>
            </w:tcMar>
            <w:vAlign w:val="bottom"/>
          </w:tcPr>
          <w:p w14:paraId="3DF78347" w14:textId="77777777" w:rsidR="00F4393F" w:rsidRPr="007D6590" w:rsidRDefault="00F4393F" w:rsidP="005E5A28">
            <w:pPr>
              <w:pStyle w:val="StandardOCAshurst"/>
              <w:keepNext/>
              <w:keepLines/>
              <w:jc w:val="right"/>
              <w:rPr>
                <w:sz w:val="15"/>
                <w:szCs w:val="15"/>
              </w:rPr>
            </w:pPr>
            <w:r w:rsidRPr="007D6590">
              <w:rPr>
                <w:sz w:val="15"/>
                <w:szCs w:val="15"/>
              </w:rPr>
              <w:t>(77.3)</w:t>
            </w:r>
          </w:p>
        </w:tc>
        <w:tc>
          <w:tcPr>
            <w:tcW w:w="874" w:type="dxa"/>
            <w:tcMar>
              <w:left w:w="57" w:type="dxa"/>
              <w:right w:w="57" w:type="dxa"/>
            </w:tcMar>
            <w:vAlign w:val="bottom"/>
          </w:tcPr>
          <w:p w14:paraId="5B73FFCD" w14:textId="77777777" w:rsidR="00F4393F" w:rsidRPr="007D6590" w:rsidRDefault="00F4393F" w:rsidP="005E5A28">
            <w:pPr>
              <w:pStyle w:val="StandardOCAshurst"/>
              <w:keepNext/>
              <w:keepLines/>
              <w:jc w:val="right"/>
              <w:rPr>
                <w:sz w:val="15"/>
                <w:szCs w:val="15"/>
              </w:rPr>
            </w:pPr>
            <w:r w:rsidRPr="007D6590">
              <w:rPr>
                <w:sz w:val="15"/>
                <w:szCs w:val="15"/>
              </w:rPr>
              <w:t>(257.1)</w:t>
            </w:r>
          </w:p>
        </w:tc>
      </w:tr>
      <w:tr w:rsidR="00F4393F" w:rsidRPr="007D6590" w14:paraId="3FD28BB0" w14:textId="77777777" w:rsidTr="001E486A">
        <w:tc>
          <w:tcPr>
            <w:tcW w:w="2291" w:type="dxa"/>
            <w:tcMar>
              <w:left w:w="57" w:type="dxa"/>
              <w:right w:w="57" w:type="dxa"/>
            </w:tcMar>
          </w:tcPr>
          <w:p w14:paraId="259B5C77" w14:textId="77777777" w:rsidR="00F4393F" w:rsidRPr="007D6590" w:rsidRDefault="00F4393F" w:rsidP="00043857">
            <w:pPr>
              <w:pStyle w:val="StandardOCAshurst"/>
              <w:keepNext/>
              <w:keepLines/>
              <w:tabs>
                <w:tab w:val="left" w:leader="dot" w:pos="2140"/>
              </w:tabs>
              <w:ind w:left="138" w:hanging="138"/>
              <w:jc w:val="left"/>
              <w:rPr>
                <w:sz w:val="15"/>
                <w:szCs w:val="15"/>
              </w:rPr>
            </w:pPr>
            <w:r w:rsidRPr="007D6590">
              <w:rPr>
                <w:sz w:val="15"/>
                <w:szCs w:val="15"/>
              </w:rPr>
              <w:t>Finance income</w:t>
            </w:r>
            <w:r w:rsidRPr="007D6590">
              <w:rPr>
                <w:sz w:val="15"/>
                <w:szCs w:val="15"/>
              </w:rPr>
              <w:tab/>
            </w:r>
          </w:p>
        </w:tc>
        <w:tc>
          <w:tcPr>
            <w:tcW w:w="939" w:type="dxa"/>
            <w:tcMar>
              <w:left w:w="57" w:type="dxa"/>
              <w:right w:w="57" w:type="dxa"/>
            </w:tcMar>
            <w:vAlign w:val="bottom"/>
          </w:tcPr>
          <w:p w14:paraId="54371A65" w14:textId="77777777" w:rsidR="00F4393F" w:rsidRPr="007D6590" w:rsidRDefault="00F4393F" w:rsidP="005E5A28">
            <w:pPr>
              <w:pStyle w:val="StandardOCAshurst"/>
              <w:keepNext/>
              <w:keepLines/>
              <w:jc w:val="right"/>
              <w:rPr>
                <w:sz w:val="15"/>
                <w:szCs w:val="15"/>
              </w:rPr>
            </w:pPr>
            <w:r w:rsidRPr="007D6590">
              <w:rPr>
                <w:sz w:val="15"/>
                <w:szCs w:val="15"/>
              </w:rPr>
              <w:t>2.4</w:t>
            </w:r>
          </w:p>
        </w:tc>
        <w:tc>
          <w:tcPr>
            <w:tcW w:w="1214" w:type="dxa"/>
            <w:tcMar>
              <w:left w:w="57" w:type="dxa"/>
              <w:right w:w="57" w:type="dxa"/>
            </w:tcMar>
            <w:vAlign w:val="bottom"/>
          </w:tcPr>
          <w:p w14:paraId="60FC7460" w14:textId="77777777" w:rsidR="00F4393F" w:rsidRPr="007D6590" w:rsidRDefault="00F4393F" w:rsidP="005E5A28">
            <w:pPr>
              <w:pStyle w:val="StandardOCAshurst"/>
              <w:keepNext/>
              <w:keepLines/>
              <w:jc w:val="right"/>
              <w:rPr>
                <w:sz w:val="15"/>
                <w:szCs w:val="15"/>
              </w:rPr>
            </w:pPr>
            <w:r w:rsidRPr="007D6590">
              <w:rPr>
                <w:sz w:val="15"/>
                <w:szCs w:val="15"/>
              </w:rPr>
              <w:t>—</w:t>
            </w:r>
          </w:p>
        </w:tc>
        <w:tc>
          <w:tcPr>
            <w:tcW w:w="905" w:type="dxa"/>
            <w:tcMar>
              <w:left w:w="57" w:type="dxa"/>
              <w:right w:w="57" w:type="dxa"/>
            </w:tcMar>
            <w:vAlign w:val="bottom"/>
          </w:tcPr>
          <w:p w14:paraId="50095EFD" w14:textId="77777777" w:rsidR="00F4393F" w:rsidRPr="007D6590" w:rsidRDefault="00F4393F" w:rsidP="005E5A28">
            <w:pPr>
              <w:pStyle w:val="StandardOCAshurst"/>
              <w:keepNext/>
              <w:keepLines/>
              <w:jc w:val="right"/>
              <w:rPr>
                <w:sz w:val="15"/>
                <w:szCs w:val="15"/>
              </w:rPr>
            </w:pPr>
            <w:r w:rsidRPr="007D6590">
              <w:rPr>
                <w:sz w:val="15"/>
                <w:szCs w:val="15"/>
              </w:rPr>
              <w:t>2.4</w:t>
            </w:r>
          </w:p>
        </w:tc>
        <w:tc>
          <w:tcPr>
            <w:tcW w:w="990" w:type="dxa"/>
            <w:tcMar>
              <w:left w:w="57" w:type="dxa"/>
              <w:right w:w="57" w:type="dxa"/>
            </w:tcMar>
            <w:vAlign w:val="bottom"/>
          </w:tcPr>
          <w:p w14:paraId="128E0121" w14:textId="77777777" w:rsidR="00F4393F" w:rsidRPr="007D6590" w:rsidRDefault="00F4393F" w:rsidP="005E5A28">
            <w:pPr>
              <w:pStyle w:val="StandardOCAshurst"/>
              <w:keepNext/>
              <w:keepLines/>
              <w:jc w:val="right"/>
              <w:rPr>
                <w:sz w:val="15"/>
                <w:szCs w:val="15"/>
              </w:rPr>
            </w:pPr>
            <w:r w:rsidRPr="007D6590">
              <w:rPr>
                <w:sz w:val="15"/>
                <w:szCs w:val="15"/>
              </w:rPr>
              <w:t>1.2</w:t>
            </w:r>
          </w:p>
        </w:tc>
        <w:tc>
          <w:tcPr>
            <w:tcW w:w="1214" w:type="dxa"/>
            <w:tcMar>
              <w:left w:w="57" w:type="dxa"/>
              <w:right w:w="57" w:type="dxa"/>
            </w:tcMar>
            <w:vAlign w:val="bottom"/>
          </w:tcPr>
          <w:p w14:paraId="6CCE1412" w14:textId="77777777" w:rsidR="00F4393F" w:rsidRPr="007D6590" w:rsidRDefault="00F4393F" w:rsidP="005E5A28">
            <w:pPr>
              <w:pStyle w:val="StandardOCAshurst"/>
              <w:keepNext/>
              <w:keepLines/>
              <w:jc w:val="right"/>
              <w:rPr>
                <w:sz w:val="15"/>
                <w:szCs w:val="15"/>
              </w:rPr>
            </w:pPr>
            <w:r w:rsidRPr="007D6590">
              <w:rPr>
                <w:sz w:val="15"/>
                <w:szCs w:val="15"/>
              </w:rPr>
              <w:t>—</w:t>
            </w:r>
          </w:p>
        </w:tc>
        <w:tc>
          <w:tcPr>
            <w:tcW w:w="874" w:type="dxa"/>
            <w:tcMar>
              <w:left w:w="57" w:type="dxa"/>
              <w:right w:w="57" w:type="dxa"/>
            </w:tcMar>
            <w:vAlign w:val="bottom"/>
          </w:tcPr>
          <w:p w14:paraId="38E4E283" w14:textId="77777777" w:rsidR="00F4393F" w:rsidRPr="007D6590" w:rsidRDefault="00F4393F" w:rsidP="005E5A28">
            <w:pPr>
              <w:pStyle w:val="StandardOCAshurst"/>
              <w:keepNext/>
              <w:keepLines/>
              <w:jc w:val="right"/>
              <w:rPr>
                <w:sz w:val="15"/>
                <w:szCs w:val="15"/>
              </w:rPr>
            </w:pPr>
            <w:r w:rsidRPr="007D6590">
              <w:rPr>
                <w:sz w:val="15"/>
                <w:szCs w:val="15"/>
              </w:rPr>
              <w:t>1.2</w:t>
            </w:r>
          </w:p>
        </w:tc>
      </w:tr>
      <w:tr w:rsidR="00F4393F" w:rsidRPr="007D6590" w14:paraId="25A0DCE3" w14:textId="77777777" w:rsidTr="001E486A">
        <w:tc>
          <w:tcPr>
            <w:tcW w:w="2291" w:type="dxa"/>
            <w:tcMar>
              <w:left w:w="57" w:type="dxa"/>
              <w:right w:w="57" w:type="dxa"/>
            </w:tcMar>
          </w:tcPr>
          <w:p w14:paraId="0B45BF73" w14:textId="77777777" w:rsidR="00F4393F" w:rsidRPr="007D6590" w:rsidRDefault="00F4393F" w:rsidP="00043857">
            <w:pPr>
              <w:pStyle w:val="StandardOCAshurst"/>
              <w:keepNext/>
              <w:keepLines/>
              <w:tabs>
                <w:tab w:val="left" w:leader="dot" w:pos="2140"/>
              </w:tabs>
              <w:ind w:left="138" w:hanging="138"/>
              <w:jc w:val="left"/>
              <w:rPr>
                <w:b/>
                <w:bCs/>
                <w:sz w:val="15"/>
                <w:szCs w:val="15"/>
              </w:rPr>
            </w:pPr>
            <w:r w:rsidRPr="007D6590">
              <w:rPr>
                <w:b/>
                <w:bCs/>
                <w:sz w:val="15"/>
                <w:szCs w:val="15"/>
              </w:rPr>
              <w:t>Profit/(loss) before tax</w:t>
            </w:r>
            <w:r w:rsidRPr="007D6590">
              <w:rPr>
                <w:sz w:val="15"/>
                <w:szCs w:val="15"/>
              </w:rPr>
              <w:tab/>
            </w:r>
          </w:p>
        </w:tc>
        <w:tc>
          <w:tcPr>
            <w:tcW w:w="939" w:type="dxa"/>
            <w:tcMar>
              <w:left w:w="57" w:type="dxa"/>
              <w:right w:w="57" w:type="dxa"/>
            </w:tcMar>
            <w:vAlign w:val="bottom"/>
          </w:tcPr>
          <w:p w14:paraId="0DCE5075"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238.0</w:t>
            </w:r>
          </w:p>
        </w:tc>
        <w:tc>
          <w:tcPr>
            <w:tcW w:w="1214" w:type="dxa"/>
            <w:tcMar>
              <w:left w:w="57" w:type="dxa"/>
              <w:right w:w="57" w:type="dxa"/>
            </w:tcMar>
            <w:vAlign w:val="bottom"/>
          </w:tcPr>
          <w:p w14:paraId="3EF15C64"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(967.1)</w:t>
            </w:r>
          </w:p>
        </w:tc>
        <w:tc>
          <w:tcPr>
            <w:tcW w:w="905" w:type="dxa"/>
            <w:tcMar>
              <w:left w:w="57" w:type="dxa"/>
              <w:right w:w="57" w:type="dxa"/>
            </w:tcMar>
            <w:vAlign w:val="bottom"/>
          </w:tcPr>
          <w:p w14:paraId="4C723188"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(729.1)</w:t>
            </w:r>
          </w:p>
        </w:tc>
        <w:tc>
          <w:tcPr>
            <w:tcW w:w="990" w:type="dxa"/>
            <w:tcMar>
              <w:left w:w="57" w:type="dxa"/>
              <w:right w:w="57" w:type="dxa"/>
            </w:tcMar>
            <w:vAlign w:val="bottom"/>
          </w:tcPr>
          <w:p w14:paraId="53E31A01"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(198.7)</w:t>
            </w:r>
          </w:p>
        </w:tc>
        <w:tc>
          <w:tcPr>
            <w:tcW w:w="1214" w:type="dxa"/>
            <w:tcMar>
              <w:left w:w="57" w:type="dxa"/>
              <w:right w:w="57" w:type="dxa"/>
            </w:tcMar>
            <w:vAlign w:val="bottom"/>
          </w:tcPr>
          <w:p w14:paraId="4A696BE8"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(367.3)</w:t>
            </w:r>
          </w:p>
        </w:tc>
        <w:tc>
          <w:tcPr>
            <w:tcW w:w="874" w:type="dxa"/>
            <w:tcMar>
              <w:left w:w="57" w:type="dxa"/>
              <w:right w:w="57" w:type="dxa"/>
            </w:tcMar>
            <w:vAlign w:val="bottom"/>
          </w:tcPr>
          <w:p w14:paraId="495D916D"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(566.0)</w:t>
            </w:r>
          </w:p>
        </w:tc>
      </w:tr>
      <w:tr w:rsidR="00F4393F" w:rsidRPr="007D6590" w14:paraId="175149A7" w14:textId="77777777" w:rsidTr="001E486A">
        <w:tc>
          <w:tcPr>
            <w:tcW w:w="2291" w:type="dxa"/>
            <w:tcMar>
              <w:left w:w="57" w:type="dxa"/>
              <w:right w:w="57" w:type="dxa"/>
            </w:tcMar>
          </w:tcPr>
          <w:p w14:paraId="2746C596" w14:textId="77777777" w:rsidR="00F4393F" w:rsidRPr="007D6590" w:rsidRDefault="00F4393F" w:rsidP="00043857">
            <w:pPr>
              <w:pStyle w:val="StandardOCAshurst"/>
              <w:keepNext/>
              <w:keepLines/>
              <w:tabs>
                <w:tab w:val="left" w:leader="dot" w:pos="2140"/>
              </w:tabs>
              <w:ind w:left="138" w:hanging="138"/>
              <w:jc w:val="left"/>
              <w:rPr>
                <w:sz w:val="15"/>
                <w:szCs w:val="15"/>
              </w:rPr>
            </w:pPr>
            <w:r w:rsidRPr="007D6590">
              <w:rPr>
                <w:sz w:val="15"/>
                <w:szCs w:val="15"/>
              </w:rPr>
              <w:t>Income tax</w:t>
            </w:r>
            <w:r w:rsidRPr="007D6590">
              <w:rPr>
                <w:sz w:val="15"/>
                <w:szCs w:val="15"/>
              </w:rPr>
              <w:tab/>
            </w:r>
          </w:p>
        </w:tc>
        <w:tc>
          <w:tcPr>
            <w:tcW w:w="939" w:type="dxa"/>
            <w:tcMar>
              <w:left w:w="57" w:type="dxa"/>
              <w:right w:w="57" w:type="dxa"/>
            </w:tcMar>
            <w:vAlign w:val="bottom"/>
          </w:tcPr>
          <w:p w14:paraId="6116CC27" w14:textId="77777777" w:rsidR="00F4393F" w:rsidRPr="007D6590" w:rsidRDefault="00F4393F" w:rsidP="005E5A28">
            <w:pPr>
              <w:pStyle w:val="StandardOCAshurst"/>
              <w:keepNext/>
              <w:keepLines/>
              <w:jc w:val="right"/>
              <w:rPr>
                <w:sz w:val="15"/>
                <w:szCs w:val="15"/>
              </w:rPr>
            </w:pPr>
            <w:r w:rsidRPr="007D6590">
              <w:rPr>
                <w:sz w:val="15"/>
                <w:szCs w:val="15"/>
              </w:rPr>
              <w:t>(23.6)</w:t>
            </w:r>
          </w:p>
        </w:tc>
        <w:tc>
          <w:tcPr>
            <w:tcW w:w="1214" w:type="dxa"/>
            <w:tcMar>
              <w:left w:w="57" w:type="dxa"/>
              <w:right w:w="57" w:type="dxa"/>
            </w:tcMar>
            <w:vAlign w:val="bottom"/>
          </w:tcPr>
          <w:p w14:paraId="42A2EB01" w14:textId="77777777" w:rsidR="00F4393F" w:rsidRPr="007D6590" w:rsidRDefault="00F4393F" w:rsidP="005E5A28">
            <w:pPr>
              <w:pStyle w:val="StandardOCAshurst"/>
              <w:keepNext/>
              <w:keepLines/>
              <w:jc w:val="right"/>
              <w:rPr>
                <w:sz w:val="15"/>
                <w:szCs w:val="15"/>
              </w:rPr>
            </w:pPr>
            <w:r w:rsidRPr="007D6590">
              <w:rPr>
                <w:sz w:val="15"/>
                <w:szCs w:val="15"/>
              </w:rPr>
              <w:t>303.5</w:t>
            </w:r>
          </w:p>
        </w:tc>
        <w:tc>
          <w:tcPr>
            <w:tcW w:w="905" w:type="dxa"/>
            <w:tcMar>
              <w:left w:w="57" w:type="dxa"/>
              <w:right w:w="57" w:type="dxa"/>
            </w:tcMar>
            <w:vAlign w:val="bottom"/>
          </w:tcPr>
          <w:p w14:paraId="7F1E6259" w14:textId="77777777" w:rsidR="00F4393F" w:rsidRPr="007D6590" w:rsidRDefault="00F4393F" w:rsidP="005E5A28">
            <w:pPr>
              <w:pStyle w:val="StandardOCAshurst"/>
              <w:keepNext/>
              <w:keepLines/>
              <w:jc w:val="right"/>
              <w:rPr>
                <w:sz w:val="15"/>
                <w:szCs w:val="15"/>
              </w:rPr>
            </w:pPr>
            <w:r w:rsidRPr="007D6590">
              <w:rPr>
                <w:sz w:val="15"/>
                <w:szCs w:val="15"/>
              </w:rPr>
              <w:t>279.8</w:t>
            </w:r>
          </w:p>
        </w:tc>
        <w:tc>
          <w:tcPr>
            <w:tcW w:w="990" w:type="dxa"/>
            <w:tcMar>
              <w:left w:w="57" w:type="dxa"/>
              <w:right w:w="57" w:type="dxa"/>
            </w:tcMar>
            <w:vAlign w:val="bottom"/>
          </w:tcPr>
          <w:p w14:paraId="4BAFDA21" w14:textId="77777777" w:rsidR="00F4393F" w:rsidRPr="007D6590" w:rsidRDefault="00F4393F" w:rsidP="005E5A28">
            <w:pPr>
              <w:pStyle w:val="StandardOCAshurst"/>
              <w:keepNext/>
              <w:keepLines/>
              <w:jc w:val="right"/>
              <w:rPr>
                <w:sz w:val="15"/>
                <w:szCs w:val="15"/>
              </w:rPr>
            </w:pPr>
            <w:r w:rsidRPr="007D6590">
              <w:rPr>
                <w:sz w:val="15"/>
                <w:szCs w:val="15"/>
              </w:rPr>
              <w:t>172.5</w:t>
            </w:r>
          </w:p>
        </w:tc>
        <w:tc>
          <w:tcPr>
            <w:tcW w:w="1214" w:type="dxa"/>
            <w:tcMar>
              <w:left w:w="57" w:type="dxa"/>
              <w:right w:w="57" w:type="dxa"/>
            </w:tcMar>
            <w:vAlign w:val="bottom"/>
          </w:tcPr>
          <w:p w14:paraId="3450101C" w14:textId="4953691F" w:rsidR="00F4393F" w:rsidRPr="007D6590" w:rsidRDefault="00F4393F" w:rsidP="005E5A28">
            <w:pPr>
              <w:pStyle w:val="StandardOCAshurst"/>
              <w:keepNext/>
              <w:keepLines/>
              <w:jc w:val="right"/>
              <w:rPr>
                <w:sz w:val="15"/>
                <w:szCs w:val="15"/>
              </w:rPr>
            </w:pPr>
            <w:r w:rsidRPr="007D6590">
              <w:rPr>
                <w:sz w:val="15"/>
                <w:szCs w:val="15"/>
              </w:rPr>
              <w:t>(</w:t>
            </w:r>
            <w:r>
              <w:rPr>
                <w:sz w:val="15"/>
                <w:szCs w:val="15"/>
              </w:rPr>
              <w:t>76.5</w:t>
            </w:r>
            <w:r w:rsidRPr="007D6590">
              <w:rPr>
                <w:sz w:val="15"/>
                <w:szCs w:val="15"/>
              </w:rPr>
              <w:t>)</w:t>
            </w:r>
          </w:p>
        </w:tc>
        <w:tc>
          <w:tcPr>
            <w:tcW w:w="874" w:type="dxa"/>
            <w:tcMar>
              <w:left w:w="57" w:type="dxa"/>
              <w:right w:w="57" w:type="dxa"/>
            </w:tcMar>
            <w:vAlign w:val="bottom"/>
          </w:tcPr>
          <w:p w14:paraId="7E86E021" w14:textId="068CE685" w:rsidR="00F4393F" w:rsidRPr="007D6590" w:rsidRDefault="00F4393F" w:rsidP="005E5A28">
            <w:pPr>
              <w:pStyle w:val="StandardOCAshurst"/>
              <w:keepNext/>
              <w:keepLines/>
              <w:jc w:val="right"/>
              <w:rPr>
                <w:sz w:val="15"/>
                <w:szCs w:val="15"/>
              </w:rPr>
            </w:pPr>
            <w:r>
              <w:rPr>
                <w:sz w:val="15"/>
                <w:szCs w:val="15"/>
              </w:rPr>
              <w:t>96.0</w:t>
            </w:r>
          </w:p>
        </w:tc>
      </w:tr>
      <w:tr w:rsidR="00F4393F" w:rsidRPr="007D6590" w14:paraId="29432537" w14:textId="77777777" w:rsidTr="001E486A">
        <w:tc>
          <w:tcPr>
            <w:tcW w:w="2291" w:type="dxa"/>
            <w:tcMar>
              <w:left w:w="57" w:type="dxa"/>
              <w:right w:w="57" w:type="dxa"/>
            </w:tcMar>
          </w:tcPr>
          <w:p w14:paraId="2483424B" w14:textId="77777777" w:rsidR="00F4393F" w:rsidRPr="007D6590" w:rsidRDefault="00F4393F" w:rsidP="00043857">
            <w:pPr>
              <w:pStyle w:val="StandardOCAshurst"/>
              <w:keepNext/>
              <w:keepLines/>
              <w:tabs>
                <w:tab w:val="left" w:leader="dot" w:pos="2140"/>
              </w:tabs>
              <w:ind w:left="138" w:hanging="138"/>
              <w:jc w:val="left"/>
              <w:rPr>
                <w:b/>
                <w:bCs/>
                <w:sz w:val="15"/>
                <w:szCs w:val="15"/>
              </w:rPr>
            </w:pPr>
            <w:r w:rsidRPr="007D6590">
              <w:rPr>
                <w:b/>
                <w:bCs/>
                <w:sz w:val="15"/>
                <w:szCs w:val="15"/>
              </w:rPr>
              <w:t>Profit/(loss) for the year attributable to owners of the parent</w:t>
            </w:r>
          </w:p>
        </w:tc>
        <w:tc>
          <w:tcPr>
            <w:tcW w:w="939" w:type="dxa"/>
            <w:tcMar>
              <w:left w:w="57" w:type="dxa"/>
              <w:right w:w="57" w:type="dxa"/>
            </w:tcMar>
            <w:vAlign w:val="bottom"/>
          </w:tcPr>
          <w:p w14:paraId="5A92FAAE"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214.3</w:t>
            </w:r>
          </w:p>
        </w:tc>
        <w:tc>
          <w:tcPr>
            <w:tcW w:w="1214" w:type="dxa"/>
            <w:tcMar>
              <w:left w:w="57" w:type="dxa"/>
              <w:right w:w="57" w:type="dxa"/>
            </w:tcMar>
            <w:vAlign w:val="bottom"/>
          </w:tcPr>
          <w:p w14:paraId="53A7D155"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(663.6)</w:t>
            </w:r>
          </w:p>
        </w:tc>
        <w:tc>
          <w:tcPr>
            <w:tcW w:w="905" w:type="dxa"/>
            <w:tcMar>
              <w:left w:w="57" w:type="dxa"/>
              <w:right w:w="57" w:type="dxa"/>
            </w:tcMar>
            <w:vAlign w:val="bottom"/>
          </w:tcPr>
          <w:p w14:paraId="681687D6"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(449.3)</w:t>
            </w:r>
          </w:p>
        </w:tc>
        <w:tc>
          <w:tcPr>
            <w:tcW w:w="990" w:type="dxa"/>
            <w:tcMar>
              <w:left w:w="57" w:type="dxa"/>
              <w:right w:w="57" w:type="dxa"/>
            </w:tcMar>
            <w:vAlign w:val="bottom"/>
          </w:tcPr>
          <w:p w14:paraId="43661467"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(26.1)</w:t>
            </w:r>
          </w:p>
        </w:tc>
        <w:tc>
          <w:tcPr>
            <w:tcW w:w="1214" w:type="dxa"/>
            <w:tcMar>
              <w:left w:w="57" w:type="dxa"/>
              <w:right w:w="57" w:type="dxa"/>
            </w:tcMar>
            <w:vAlign w:val="bottom"/>
          </w:tcPr>
          <w:p w14:paraId="3E299054" w14:textId="2C36BFB0"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w:t>
            </w:r>
            <w:r>
              <w:rPr>
                <w:b/>
                <w:bCs/>
                <w:sz w:val="15"/>
                <w:szCs w:val="15"/>
              </w:rPr>
              <w:t>443.8</w:t>
            </w:r>
            <w:r w:rsidRPr="007D6590">
              <w:rPr>
                <w:b/>
                <w:bCs/>
                <w:sz w:val="15"/>
                <w:szCs w:val="15"/>
              </w:rPr>
              <w:t>)</w:t>
            </w:r>
          </w:p>
        </w:tc>
        <w:tc>
          <w:tcPr>
            <w:tcW w:w="874" w:type="dxa"/>
            <w:tcMar>
              <w:left w:w="57" w:type="dxa"/>
              <w:right w:w="57" w:type="dxa"/>
            </w:tcMar>
            <w:vAlign w:val="bottom"/>
          </w:tcPr>
          <w:p w14:paraId="5B92C958" w14:textId="15D51DE9"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w:t>
            </w:r>
            <w:r>
              <w:rPr>
                <w:b/>
                <w:bCs/>
                <w:sz w:val="15"/>
                <w:szCs w:val="15"/>
              </w:rPr>
              <w:t>469.9</w:t>
            </w:r>
            <w:r w:rsidRPr="007D6590">
              <w:rPr>
                <w:b/>
                <w:bCs/>
                <w:sz w:val="15"/>
                <w:szCs w:val="15"/>
              </w:rPr>
              <w:t>)</w:t>
            </w:r>
          </w:p>
        </w:tc>
      </w:tr>
      <w:tr w:rsidR="00F4393F" w:rsidRPr="007D6590" w14:paraId="212D2229" w14:textId="77777777" w:rsidTr="001E486A">
        <w:tc>
          <w:tcPr>
            <w:tcW w:w="2291" w:type="dxa"/>
            <w:tcMar>
              <w:left w:w="57" w:type="dxa"/>
              <w:right w:w="57" w:type="dxa"/>
            </w:tcMar>
          </w:tcPr>
          <w:p w14:paraId="0FF76635" w14:textId="77777777" w:rsidR="00F4393F" w:rsidRPr="007D6590" w:rsidRDefault="00F4393F" w:rsidP="00043857">
            <w:pPr>
              <w:pStyle w:val="StandardOCAshurst"/>
              <w:keepNext/>
              <w:keepLines/>
              <w:tabs>
                <w:tab w:val="left" w:leader="dot" w:pos="2140"/>
              </w:tabs>
              <w:ind w:left="138" w:hanging="138"/>
              <w:jc w:val="left"/>
              <w:rPr>
                <w:b/>
                <w:bCs/>
                <w:sz w:val="15"/>
                <w:szCs w:val="15"/>
              </w:rPr>
            </w:pPr>
            <w:r w:rsidRPr="007D6590">
              <w:rPr>
                <w:b/>
                <w:bCs/>
                <w:sz w:val="15"/>
                <w:szCs w:val="15"/>
              </w:rPr>
              <w:t>Other comprehensive income</w:t>
            </w:r>
            <w:r w:rsidRPr="007D6590">
              <w:rPr>
                <w:sz w:val="15"/>
                <w:szCs w:val="15"/>
              </w:rPr>
              <w:tab/>
            </w:r>
          </w:p>
        </w:tc>
        <w:tc>
          <w:tcPr>
            <w:tcW w:w="939" w:type="dxa"/>
            <w:tcMar>
              <w:left w:w="57" w:type="dxa"/>
              <w:right w:w="57" w:type="dxa"/>
            </w:tcMar>
            <w:vAlign w:val="bottom"/>
          </w:tcPr>
          <w:p w14:paraId="2118ADB6" w14:textId="77777777" w:rsidR="00F4393F" w:rsidRPr="007D6590" w:rsidRDefault="00F4393F" w:rsidP="005E5A28">
            <w:pPr>
              <w:pStyle w:val="StandardOCAshurst"/>
              <w:keepNext/>
              <w:keepLines/>
              <w:jc w:val="right"/>
              <w:rPr>
                <w:b/>
                <w:bCs/>
                <w:sz w:val="15"/>
                <w:szCs w:val="15"/>
              </w:rPr>
            </w:pPr>
            <w:r w:rsidRPr="007D6590">
              <w:rPr>
                <w:b/>
                <w:bCs/>
                <w:sz w:val="15"/>
                <w:szCs w:val="15"/>
              </w:rPr>
              <w:t>—</w:t>
            </w:r>
          </w:p>
        </w:tc>
        <w:tc>
          <w:tcPr>
            <w:tcW w:w="1214" w:type="dxa"/>
            <w:tcMar>
              <w:left w:w="57" w:type="dxa"/>
              <w:right w:w="57" w:type="dxa"/>
            </w:tcMar>
            <w:vAlign w:val="bottom"/>
          </w:tcPr>
          <w:p w14:paraId="4ACCEA45" w14:textId="77777777" w:rsidR="00F4393F" w:rsidRPr="007D6590" w:rsidRDefault="00F4393F" w:rsidP="005E5A28">
            <w:pPr>
              <w:pStyle w:val="StandardOCAshurst"/>
              <w:keepNext/>
              <w:keepLines/>
              <w:jc w:val="right"/>
              <w:rPr>
                <w:b/>
                <w:bCs/>
                <w:sz w:val="15"/>
                <w:szCs w:val="15"/>
              </w:rPr>
            </w:pPr>
            <w:r w:rsidRPr="007D6590">
              <w:rPr>
                <w:b/>
                <w:bCs/>
                <w:sz w:val="15"/>
                <w:szCs w:val="15"/>
              </w:rPr>
              <w:t>—</w:t>
            </w:r>
          </w:p>
        </w:tc>
        <w:tc>
          <w:tcPr>
            <w:tcW w:w="905" w:type="dxa"/>
            <w:tcMar>
              <w:left w:w="57" w:type="dxa"/>
              <w:right w:w="57" w:type="dxa"/>
            </w:tcMar>
            <w:vAlign w:val="bottom"/>
          </w:tcPr>
          <w:p w14:paraId="32443A06" w14:textId="77777777" w:rsidR="00F4393F" w:rsidRPr="007D6590" w:rsidRDefault="00F4393F" w:rsidP="005E5A28">
            <w:pPr>
              <w:pStyle w:val="StandardOCAshurst"/>
              <w:keepNext/>
              <w:keepLines/>
              <w:jc w:val="right"/>
              <w:rPr>
                <w:b/>
                <w:bCs/>
                <w:sz w:val="15"/>
                <w:szCs w:val="15"/>
              </w:rPr>
            </w:pPr>
            <w:r w:rsidRPr="007D6590">
              <w:rPr>
                <w:b/>
                <w:bCs/>
                <w:sz w:val="15"/>
                <w:szCs w:val="15"/>
              </w:rPr>
              <w:t>—</w:t>
            </w:r>
          </w:p>
        </w:tc>
        <w:tc>
          <w:tcPr>
            <w:tcW w:w="990" w:type="dxa"/>
            <w:tcMar>
              <w:left w:w="57" w:type="dxa"/>
              <w:right w:w="57" w:type="dxa"/>
            </w:tcMar>
            <w:vAlign w:val="bottom"/>
          </w:tcPr>
          <w:p w14:paraId="7E72D3AA" w14:textId="77777777" w:rsidR="00F4393F" w:rsidRPr="007D6590" w:rsidRDefault="00F4393F" w:rsidP="005E5A28">
            <w:pPr>
              <w:pStyle w:val="StandardOCAshurst"/>
              <w:keepNext/>
              <w:keepLines/>
              <w:jc w:val="right"/>
              <w:rPr>
                <w:b/>
                <w:bCs/>
                <w:sz w:val="15"/>
                <w:szCs w:val="15"/>
              </w:rPr>
            </w:pPr>
            <w:r w:rsidRPr="007D6590">
              <w:rPr>
                <w:sz w:val="15"/>
                <w:szCs w:val="15"/>
              </w:rPr>
              <w:t>—</w:t>
            </w:r>
          </w:p>
        </w:tc>
        <w:tc>
          <w:tcPr>
            <w:tcW w:w="1214" w:type="dxa"/>
            <w:tcMar>
              <w:left w:w="57" w:type="dxa"/>
              <w:right w:w="57" w:type="dxa"/>
            </w:tcMar>
            <w:vAlign w:val="bottom"/>
          </w:tcPr>
          <w:p w14:paraId="162F18A5" w14:textId="77777777" w:rsidR="00F4393F" w:rsidRPr="007D6590" w:rsidRDefault="00F4393F" w:rsidP="005E5A28">
            <w:pPr>
              <w:pStyle w:val="StandardOCAshurst"/>
              <w:keepNext/>
              <w:keepLines/>
              <w:jc w:val="right"/>
              <w:rPr>
                <w:b/>
                <w:bCs/>
                <w:sz w:val="15"/>
                <w:szCs w:val="15"/>
              </w:rPr>
            </w:pPr>
            <w:r w:rsidRPr="007D6590">
              <w:rPr>
                <w:sz w:val="15"/>
                <w:szCs w:val="15"/>
              </w:rPr>
              <w:t>—</w:t>
            </w:r>
          </w:p>
        </w:tc>
        <w:tc>
          <w:tcPr>
            <w:tcW w:w="874" w:type="dxa"/>
            <w:tcMar>
              <w:left w:w="57" w:type="dxa"/>
              <w:right w:w="57" w:type="dxa"/>
            </w:tcMar>
            <w:vAlign w:val="bottom"/>
          </w:tcPr>
          <w:p w14:paraId="27D13D65" w14:textId="77777777" w:rsidR="00F4393F" w:rsidRPr="007D6590" w:rsidRDefault="00F4393F" w:rsidP="005E5A28">
            <w:pPr>
              <w:pStyle w:val="StandardOCAshurst"/>
              <w:keepNext/>
              <w:keepLines/>
              <w:jc w:val="right"/>
              <w:rPr>
                <w:b/>
                <w:bCs/>
                <w:sz w:val="15"/>
                <w:szCs w:val="15"/>
              </w:rPr>
            </w:pPr>
            <w:r w:rsidRPr="007D6590">
              <w:rPr>
                <w:sz w:val="15"/>
                <w:szCs w:val="15"/>
              </w:rPr>
              <w:t>—</w:t>
            </w:r>
          </w:p>
        </w:tc>
      </w:tr>
      <w:tr w:rsidR="00F4393F" w:rsidRPr="007D6590" w14:paraId="17414B85" w14:textId="77777777" w:rsidTr="001E486A">
        <w:tc>
          <w:tcPr>
            <w:tcW w:w="2291" w:type="dxa"/>
            <w:tcMar>
              <w:left w:w="57" w:type="dxa"/>
              <w:right w:w="57" w:type="dxa"/>
            </w:tcMar>
          </w:tcPr>
          <w:p w14:paraId="5B8449E5" w14:textId="77777777" w:rsidR="00F4393F" w:rsidRPr="007D6590" w:rsidRDefault="00F4393F" w:rsidP="00043857">
            <w:pPr>
              <w:pStyle w:val="StandardOCAshurst"/>
              <w:keepNext/>
              <w:keepLines/>
              <w:tabs>
                <w:tab w:val="left" w:leader="dot" w:pos="2140"/>
              </w:tabs>
              <w:ind w:left="138" w:hanging="138"/>
              <w:jc w:val="left"/>
              <w:rPr>
                <w:sz w:val="15"/>
                <w:szCs w:val="15"/>
              </w:rPr>
            </w:pPr>
            <w:r w:rsidRPr="007D6590">
              <w:rPr>
                <w:sz w:val="15"/>
                <w:szCs w:val="15"/>
              </w:rPr>
              <w:t>Items that may be reclassified to profit or loss:</w:t>
            </w:r>
            <w:r w:rsidRPr="007D6590">
              <w:rPr>
                <w:sz w:val="15"/>
                <w:szCs w:val="15"/>
              </w:rPr>
              <w:tab/>
            </w:r>
          </w:p>
        </w:tc>
        <w:tc>
          <w:tcPr>
            <w:tcW w:w="939" w:type="dxa"/>
            <w:tcMar>
              <w:left w:w="57" w:type="dxa"/>
              <w:right w:w="57" w:type="dxa"/>
            </w:tcMar>
            <w:vAlign w:val="bottom"/>
          </w:tcPr>
          <w:p w14:paraId="7D13CF92" w14:textId="77777777" w:rsidR="00F4393F" w:rsidRPr="007D6590" w:rsidRDefault="00F4393F" w:rsidP="005E5A28">
            <w:pPr>
              <w:pStyle w:val="StandardOCAshurst"/>
              <w:keepNext/>
              <w:keepLines/>
              <w:jc w:val="right"/>
              <w:rPr>
                <w:sz w:val="15"/>
                <w:szCs w:val="15"/>
              </w:rPr>
            </w:pPr>
          </w:p>
        </w:tc>
        <w:tc>
          <w:tcPr>
            <w:tcW w:w="1214" w:type="dxa"/>
            <w:tcMar>
              <w:left w:w="57" w:type="dxa"/>
              <w:right w:w="57" w:type="dxa"/>
            </w:tcMar>
            <w:vAlign w:val="bottom"/>
          </w:tcPr>
          <w:p w14:paraId="7C0F1E21" w14:textId="77777777" w:rsidR="00F4393F" w:rsidRPr="007D6590" w:rsidRDefault="00F4393F" w:rsidP="005E5A28">
            <w:pPr>
              <w:pStyle w:val="StandardOCAshurst"/>
              <w:keepNext/>
              <w:keepLines/>
              <w:jc w:val="right"/>
              <w:rPr>
                <w:sz w:val="15"/>
                <w:szCs w:val="15"/>
              </w:rPr>
            </w:pPr>
          </w:p>
        </w:tc>
        <w:tc>
          <w:tcPr>
            <w:tcW w:w="905" w:type="dxa"/>
            <w:tcMar>
              <w:left w:w="57" w:type="dxa"/>
              <w:right w:w="57" w:type="dxa"/>
            </w:tcMar>
            <w:vAlign w:val="bottom"/>
          </w:tcPr>
          <w:p w14:paraId="6B03CF32" w14:textId="77777777" w:rsidR="00F4393F" w:rsidRPr="007D6590" w:rsidRDefault="00F4393F" w:rsidP="005E5A28">
            <w:pPr>
              <w:pStyle w:val="StandardOCAshurst"/>
              <w:keepNext/>
              <w:keepLines/>
              <w:jc w:val="right"/>
              <w:rPr>
                <w:sz w:val="15"/>
                <w:szCs w:val="15"/>
              </w:rPr>
            </w:pPr>
          </w:p>
        </w:tc>
        <w:tc>
          <w:tcPr>
            <w:tcW w:w="990" w:type="dxa"/>
            <w:tcMar>
              <w:left w:w="57" w:type="dxa"/>
              <w:right w:w="57" w:type="dxa"/>
            </w:tcMar>
            <w:vAlign w:val="bottom"/>
          </w:tcPr>
          <w:p w14:paraId="0C30B112" w14:textId="77777777" w:rsidR="00F4393F" w:rsidRPr="007D6590" w:rsidRDefault="00F4393F" w:rsidP="005E5A28">
            <w:pPr>
              <w:pStyle w:val="StandardOCAshurst"/>
              <w:keepNext/>
              <w:keepLines/>
              <w:jc w:val="right"/>
              <w:rPr>
                <w:sz w:val="15"/>
                <w:szCs w:val="15"/>
              </w:rPr>
            </w:pPr>
          </w:p>
        </w:tc>
        <w:tc>
          <w:tcPr>
            <w:tcW w:w="1214" w:type="dxa"/>
            <w:tcMar>
              <w:left w:w="57" w:type="dxa"/>
              <w:right w:w="57" w:type="dxa"/>
            </w:tcMar>
            <w:vAlign w:val="bottom"/>
          </w:tcPr>
          <w:p w14:paraId="4305B56A" w14:textId="77777777" w:rsidR="00F4393F" w:rsidRPr="007D6590" w:rsidRDefault="00F4393F" w:rsidP="005E5A28">
            <w:pPr>
              <w:pStyle w:val="StandardOCAshurst"/>
              <w:keepNext/>
              <w:keepLines/>
              <w:jc w:val="right"/>
              <w:rPr>
                <w:sz w:val="15"/>
                <w:szCs w:val="15"/>
              </w:rPr>
            </w:pPr>
          </w:p>
        </w:tc>
        <w:tc>
          <w:tcPr>
            <w:tcW w:w="874" w:type="dxa"/>
            <w:tcMar>
              <w:left w:w="57" w:type="dxa"/>
              <w:right w:w="57" w:type="dxa"/>
            </w:tcMar>
            <w:vAlign w:val="bottom"/>
          </w:tcPr>
          <w:p w14:paraId="4D0D6DFC" w14:textId="77777777" w:rsidR="00F4393F" w:rsidRPr="007D6590" w:rsidRDefault="00F4393F" w:rsidP="005E5A28">
            <w:pPr>
              <w:pStyle w:val="StandardOCAshurst"/>
              <w:keepNext/>
              <w:keepLines/>
              <w:jc w:val="right"/>
              <w:rPr>
                <w:sz w:val="15"/>
                <w:szCs w:val="15"/>
              </w:rPr>
            </w:pPr>
          </w:p>
        </w:tc>
      </w:tr>
      <w:tr w:rsidR="00F4393F" w:rsidRPr="007D6590" w14:paraId="4FB1A3AC" w14:textId="77777777" w:rsidTr="001E486A">
        <w:tc>
          <w:tcPr>
            <w:tcW w:w="2291" w:type="dxa"/>
            <w:tcMar>
              <w:left w:w="57" w:type="dxa"/>
              <w:right w:w="57" w:type="dxa"/>
            </w:tcMar>
          </w:tcPr>
          <w:p w14:paraId="3EFAE12B" w14:textId="77777777" w:rsidR="00F4393F" w:rsidRPr="007D6590" w:rsidRDefault="00F4393F" w:rsidP="00043857">
            <w:pPr>
              <w:pStyle w:val="StandardOCAshurst"/>
              <w:keepNext/>
              <w:keepLines/>
              <w:tabs>
                <w:tab w:val="left" w:leader="dot" w:pos="2140"/>
              </w:tabs>
              <w:ind w:left="138" w:hanging="138"/>
              <w:jc w:val="left"/>
              <w:rPr>
                <w:sz w:val="15"/>
                <w:szCs w:val="15"/>
              </w:rPr>
            </w:pPr>
            <w:r w:rsidRPr="007D6590">
              <w:rPr>
                <w:sz w:val="15"/>
                <w:szCs w:val="15"/>
              </w:rPr>
              <w:t>Transfers to income statement of cash flow hedges</w:t>
            </w:r>
            <w:r w:rsidRPr="007D6590">
              <w:rPr>
                <w:sz w:val="15"/>
                <w:szCs w:val="15"/>
              </w:rPr>
              <w:tab/>
            </w:r>
          </w:p>
        </w:tc>
        <w:tc>
          <w:tcPr>
            <w:tcW w:w="939" w:type="dxa"/>
            <w:tcMar>
              <w:left w:w="57" w:type="dxa"/>
              <w:right w:w="57" w:type="dxa"/>
            </w:tcMar>
            <w:vAlign w:val="bottom"/>
          </w:tcPr>
          <w:p w14:paraId="399CFCC6" w14:textId="77777777" w:rsidR="00F4393F" w:rsidRPr="007D6590" w:rsidRDefault="00F4393F" w:rsidP="005E5A28">
            <w:pPr>
              <w:pStyle w:val="StandardOCAshurst"/>
              <w:keepNext/>
              <w:keepLines/>
              <w:jc w:val="right"/>
              <w:rPr>
                <w:sz w:val="15"/>
                <w:szCs w:val="15"/>
              </w:rPr>
            </w:pPr>
            <w:r w:rsidRPr="007D6590">
              <w:rPr>
                <w:sz w:val="15"/>
                <w:szCs w:val="15"/>
              </w:rPr>
              <w:t>—</w:t>
            </w:r>
          </w:p>
        </w:tc>
        <w:tc>
          <w:tcPr>
            <w:tcW w:w="1214" w:type="dxa"/>
            <w:tcMar>
              <w:left w:w="57" w:type="dxa"/>
              <w:right w:w="57" w:type="dxa"/>
            </w:tcMar>
            <w:vAlign w:val="bottom"/>
          </w:tcPr>
          <w:p w14:paraId="5699FCB6" w14:textId="77777777" w:rsidR="00F4393F" w:rsidRPr="007D6590" w:rsidRDefault="00F4393F" w:rsidP="005E5A28">
            <w:pPr>
              <w:pStyle w:val="StandardOCAshurst"/>
              <w:keepNext/>
              <w:keepLines/>
              <w:jc w:val="right"/>
              <w:rPr>
                <w:sz w:val="15"/>
                <w:szCs w:val="15"/>
              </w:rPr>
            </w:pPr>
            <w:r w:rsidRPr="007D6590">
              <w:rPr>
                <w:sz w:val="15"/>
                <w:szCs w:val="15"/>
              </w:rPr>
              <w:t>—</w:t>
            </w:r>
          </w:p>
        </w:tc>
        <w:tc>
          <w:tcPr>
            <w:tcW w:w="905" w:type="dxa"/>
            <w:tcMar>
              <w:left w:w="57" w:type="dxa"/>
              <w:right w:w="57" w:type="dxa"/>
            </w:tcMar>
            <w:vAlign w:val="bottom"/>
          </w:tcPr>
          <w:p w14:paraId="6C80C894" w14:textId="77777777" w:rsidR="00F4393F" w:rsidRPr="007D6590" w:rsidRDefault="00F4393F" w:rsidP="005E5A28">
            <w:pPr>
              <w:pStyle w:val="StandardOCAshurst"/>
              <w:keepNext/>
              <w:keepLines/>
              <w:jc w:val="right"/>
              <w:rPr>
                <w:sz w:val="15"/>
                <w:szCs w:val="15"/>
              </w:rPr>
            </w:pPr>
            <w:r w:rsidRPr="007D6590">
              <w:rPr>
                <w:sz w:val="15"/>
                <w:szCs w:val="15"/>
              </w:rPr>
              <w:t>—</w:t>
            </w:r>
          </w:p>
        </w:tc>
        <w:tc>
          <w:tcPr>
            <w:tcW w:w="990" w:type="dxa"/>
            <w:tcMar>
              <w:left w:w="57" w:type="dxa"/>
              <w:right w:w="57" w:type="dxa"/>
            </w:tcMar>
            <w:vAlign w:val="bottom"/>
          </w:tcPr>
          <w:p w14:paraId="239BB646" w14:textId="77777777" w:rsidR="00F4393F" w:rsidRPr="007D6590" w:rsidRDefault="00F4393F" w:rsidP="005E5A28">
            <w:pPr>
              <w:pStyle w:val="StandardOCAshurst"/>
              <w:keepNext/>
              <w:keepLines/>
              <w:jc w:val="right"/>
              <w:rPr>
                <w:sz w:val="15"/>
                <w:szCs w:val="15"/>
              </w:rPr>
            </w:pPr>
            <w:r w:rsidRPr="007D6590">
              <w:rPr>
                <w:sz w:val="15"/>
                <w:szCs w:val="15"/>
              </w:rPr>
              <w:t>—</w:t>
            </w:r>
          </w:p>
        </w:tc>
        <w:tc>
          <w:tcPr>
            <w:tcW w:w="1214" w:type="dxa"/>
            <w:tcMar>
              <w:left w:w="57" w:type="dxa"/>
              <w:right w:w="57" w:type="dxa"/>
            </w:tcMar>
            <w:vAlign w:val="bottom"/>
          </w:tcPr>
          <w:p w14:paraId="27AC7379" w14:textId="77777777" w:rsidR="00F4393F" w:rsidRPr="007D6590" w:rsidRDefault="00F4393F" w:rsidP="005E5A28">
            <w:pPr>
              <w:pStyle w:val="StandardOCAshurst"/>
              <w:keepNext/>
              <w:keepLines/>
              <w:jc w:val="right"/>
              <w:rPr>
                <w:sz w:val="15"/>
                <w:szCs w:val="15"/>
              </w:rPr>
            </w:pPr>
            <w:r w:rsidRPr="007D6590">
              <w:rPr>
                <w:sz w:val="15"/>
                <w:szCs w:val="15"/>
              </w:rPr>
              <w:t>—</w:t>
            </w:r>
          </w:p>
        </w:tc>
        <w:tc>
          <w:tcPr>
            <w:tcW w:w="874" w:type="dxa"/>
            <w:tcMar>
              <w:left w:w="57" w:type="dxa"/>
              <w:right w:w="57" w:type="dxa"/>
            </w:tcMar>
            <w:vAlign w:val="bottom"/>
          </w:tcPr>
          <w:p w14:paraId="1DD6ACD8" w14:textId="77777777" w:rsidR="00F4393F" w:rsidRPr="007D6590" w:rsidRDefault="00F4393F" w:rsidP="005E5A28">
            <w:pPr>
              <w:pStyle w:val="StandardOCAshurst"/>
              <w:keepNext/>
              <w:keepLines/>
              <w:jc w:val="right"/>
              <w:rPr>
                <w:sz w:val="15"/>
                <w:szCs w:val="15"/>
              </w:rPr>
            </w:pPr>
            <w:r w:rsidRPr="007D6590">
              <w:rPr>
                <w:sz w:val="15"/>
                <w:szCs w:val="15"/>
              </w:rPr>
              <w:t>—</w:t>
            </w:r>
          </w:p>
        </w:tc>
      </w:tr>
      <w:tr w:rsidR="00F4393F" w:rsidRPr="007D6590" w14:paraId="653DCDE5" w14:textId="77777777" w:rsidTr="001E486A">
        <w:tc>
          <w:tcPr>
            <w:tcW w:w="2291" w:type="dxa"/>
            <w:tcMar>
              <w:left w:w="57" w:type="dxa"/>
              <w:right w:w="57" w:type="dxa"/>
            </w:tcMar>
          </w:tcPr>
          <w:p w14:paraId="6CE0E914" w14:textId="77777777" w:rsidR="00F4393F" w:rsidRPr="007D6590" w:rsidRDefault="00F4393F" w:rsidP="00043857">
            <w:pPr>
              <w:pStyle w:val="StandardOCAshurst"/>
              <w:keepNext/>
              <w:keepLines/>
              <w:tabs>
                <w:tab w:val="left" w:leader="dot" w:pos="2140"/>
              </w:tabs>
              <w:ind w:left="138" w:hanging="138"/>
              <w:jc w:val="left"/>
              <w:rPr>
                <w:b/>
                <w:bCs/>
                <w:sz w:val="15"/>
                <w:szCs w:val="15"/>
              </w:rPr>
            </w:pPr>
            <w:r w:rsidRPr="007D6590">
              <w:rPr>
                <w:b/>
                <w:bCs/>
                <w:sz w:val="15"/>
                <w:szCs w:val="15"/>
              </w:rPr>
              <w:t>Total comprehensive loss for the year, net of tax</w:t>
            </w:r>
            <w:r w:rsidRPr="007D6590">
              <w:rPr>
                <w:sz w:val="15"/>
                <w:szCs w:val="15"/>
              </w:rPr>
              <w:tab/>
            </w:r>
          </w:p>
        </w:tc>
        <w:tc>
          <w:tcPr>
            <w:tcW w:w="939" w:type="dxa"/>
            <w:tcMar>
              <w:left w:w="57" w:type="dxa"/>
              <w:right w:w="57" w:type="dxa"/>
            </w:tcMar>
            <w:vAlign w:val="bottom"/>
          </w:tcPr>
          <w:p w14:paraId="0B5A9E2D"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w:t>
            </w:r>
          </w:p>
        </w:tc>
        <w:tc>
          <w:tcPr>
            <w:tcW w:w="1214" w:type="dxa"/>
            <w:tcMar>
              <w:left w:w="57" w:type="dxa"/>
              <w:right w:w="57" w:type="dxa"/>
            </w:tcMar>
            <w:vAlign w:val="bottom"/>
          </w:tcPr>
          <w:p w14:paraId="2E72EC35"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w:t>
            </w:r>
          </w:p>
        </w:tc>
        <w:tc>
          <w:tcPr>
            <w:tcW w:w="905" w:type="dxa"/>
            <w:tcMar>
              <w:left w:w="57" w:type="dxa"/>
              <w:right w:w="57" w:type="dxa"/>
            </w:tcMar>
            <w:vAlign w:val="bottom"/>
          </w:tcPr>
          <w:p w14:paraId="09DC6827"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(449.3)</w:t>
            </w:r>
          </w:p>
        </w:tc>
        <w:tc>
          <w:tcPr>
            <w:tcW w:w="990" w:type="dxa"/>
            <w:tcMar>
              <w:left w:w="57" w:type="dxa"/>
              <w:right w:w="57" w:type="dxa"/>
            </w:tcMar>
            <w:vAlign w:val="bottom"/>
          </w:tcPr>
          <w:p w14:paraId="67944ACD"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sz w:val="15"/>
                <w:szCs w:val="15"/>
              </w:rPr>
              <w:t>—</w:t>
            </w:r>
          </w:p>
        </w:tc>
        <w:tc>
          <w:tcPr>
            <w:tcW w:w="1214" w:type="dxa"/>
            <w:tcMar>
              <w:left w:w="57" w:type="dxa"/>
              <w:right w:w="57" w:type="dxa"/>
            </w:tcMar>
            <w:vAlign w:val="bottom"/>
          </w:tcPr>
          <w:p w14:paraId="3F0681E0" w14:textId="77777777" w:rsidR="00F4393F" w:rsidRPr="007D6590" w:rsidRDefault="00F4393F" w:rsidP="005E5A28">
            <w:pPr>
              <w:pStyle w:val="StandardOCAshurst"/>
              <w:keepNext/>
              <w:keepLines/>
              <w:pBdr>
                <w:bottom w:val="single" w:sz="4" w:space="1" w:color="auto"/>
              </w:pBdr>
              <w:jc w:val="right"/>
              <w:rPr>
                <w:b/>
                <w:bCs/>
                <w:sz w:val="15"/>
                <w:szCs w:val="15"/>
              </w:rPr>
            </w:pPr>
            <w:r w:rsidRPr="007D6590">
              <w:rPr>
                <w:sz w:val="15"/>
                <w:szCs w:val="15"/>
              </w:rPr>
              <w:t>—</w:t>
            </w:r>
          </w:p>
        </w:tc>
        <w:tc>
          <w:tcPr>
            <w:tcW w:w="874" w:type="dxa"/>
            <w:tcMar>
              <w:left w:w="57" w:type="dxa"/>
              <w:right w:w="57" w:type="dxa"/>
            </w:tcMar>
            <w:vAlign w:val="bottom"/>
          </w:tcPr>
          <w:p w14:paraId="77B13B53" w14:textId="184133D9" w:rsidR="00F4393F" w:rsidRPr="007D6590" w:rsidRDefault="00F4393F" w:rsidP="005E5A28">
            <w:pPr>
              <w:pStyle w:val="StandardOCAshurst"/>
              <w:keepNext/>
              <w:keepLines/>
              <w:pBdr>
                <w:bottom w:val="single" w:sz="4" w:space="1" w:color="auto"/>
              </w:pBdr>
              <w:jc w:val="right"/>
              <w:rPr>
                <w:b/>
                <w:bCs/>
                <w:sz w:val="15"/>
                <w:szCs w:val="15"/>
              </w:rPr>
            </w:pPr>
            <w:r w:rsidRPr="007D6590">
              <w:rPr>
                <w:b/>
                <w:bCs/>
                <w:sz w:val="15"/>
                <w:szCs w:val="15"/>
              </w:rPr>
              <w:t>(</w:t>
            </w:r>
            <w:r>
              <w:rPr>
                <w:b/>
                <w:bCs/>
                <w:sz w:val="15"/>
                <w:szCs w:val="15"/>
              </w:rPr>
              <w:t>469.9</w:t>
            </w:r>
            <w:r w:rsidRPr="007D6590">
              <w:rPr>
                <w:b/>
                <w:bCs/>
                <w:sz w:val="15"/>
                <w:szCs w:val="15"/>
              </w:rPr>
              <w:t>)</w:t>
            </w:r>
          </w:p>
        </w:tc>
      </w:tr>
    </w:tbl>
    <w:p w14:paraId="65E4201E" w14:textId="5B34EDA5" w:rsidR="00F4393F" w:rsidRDefault="00F4393F" w:rsidP="00F4393F">
      <w:pPr>
        <w:pStyle w:val="H5OCAshurst"/>
        <w:numPr>
          <w:ilvl w:val="0"/>
          <w:numId w:val="0"/>
        </w:numPr>
        <w:ind w:left="1843"/>
      </w:pPr>
    </w:p>
    <w:p w14:paraId="361555D5" w14:textId="57596675" w:rsidR="00935704" w:rsidRPr="001E486A" w:rsidRDefault="00E26DD3" w:rsidP="001E486A">
      <w:pPr>
        <w:pStyle w:val="H5OCAshurst"/>
        <w:numPr>
          <w:ilvl w:val="0"/>
          <w:numId w:val="0"/>
        </w:numPr>
        <w:spacing w:after="120"/>
        <w:rPr>
          <w:b/>
          <w:bCs/>
          <w:sz w:val="16"/>
          <w:szCs w:val="16"/>
        </w:rPr>
      </w:pPr>
      <w:r w:rsidRPr="001E486A">
        <w:rPr>
          <w:b/>
          <w:bCs/>
          <w:sz w:val="16"/>
          <w:szCs w:val="16"/>
        </w:rPr>
        <w:t>Note</w:t>
      </w:r>
      <w:r w:rsidR="00935704">
        <w:rPr>
          <w:b/>
          <w:bCs/>
          <w:sz w:val="16"/>
          <w:szCs w:val="16"/>
        </w:rPr>
        <w:t>:</w:t>
      </w:r>
      <w:r w:rsidRPr="001E486A">
        <w:rPr>
          <w:b/>
          <w:bCs/>
          <w:sz w:val="16"/>
          <w:szCs w:val="16"/>
        </w:rPr>
        <w:t xml:space="preserve"> </w:t>
      </w:r>
    </w:p>
    <w:p w14:paraId="6742634A" w14:textId="3BA2D8FB" w:rsidR="00E26DD3" w:rsidRDefault="00935704" w:rsidP="00935704">
      <w:pPr>
        <w:pStyle w:val="H5OCAshurst"/>
        <w:numPr>
          <w:ilvl w:val="0"/>
          <w:numId w:val="0"/>
        </w:numPr>
        <w:spacing w:after="120"/>
        <w:ind w:left="709" w:hanging="709"/>
        <w:rPr>
          <w:sz w:val="16"/>
          <w:szCs w:val="16"/>
        </w:rPr>
      </w:pPr>
      <w:r w:rsidRPr="001E486A">
        <w:rPr>
          <w:sz w:val="16"/>
          <w:szCs w:val="16"/>
        </w:rPr>
        <w:t>(1)</w:t>
      </w:r>
      <w:r>
        <w:tab/>
      </w:r>
      <w:r w:rsidR="00E26DD3" w:rsidRPr="001E486A">
        <w:rPr>
          <w:sz w:val="16"/>
          <w:szCs w:val="16"/>
        </w:rPr>
        <w:t>EnQuest receives rental income for subleasing space in its corporate offices. The</w:t>
      </w:r>
      <w:r>
        <w:rPr>
          <w:sz w:val="16"/>
          <w:szCs w:val="16"/>
        </w:rPr>
        <w:t xml:space="preserve"> EnQuest</w:t>
      </w:r>
      <w:r w:rsidR="00E26DD3" w:rsidRPr="001E486A">
        <w:rPr>
          <w:sz w:val="16"/>
          <w:szCs w:val="16"/>
        </w:rPr>
        <w:t xml:space="preserve"> Group previously presented the rental income associated with office subleases within revenue and other operating income in the income statement. The </w:t>
      </w:r>
      <w:r>
        <w:rPr>
          <w:sz w:val="16"/>
          <w:szCs w:val="16"/>
        </w:rPr>
        <w:t xml:space="preserve">EnQuest </w:t>
      </w:r>
      <w:r w:rsidR="00E26DD3" w:rsidRPr="001E486A">
        <w:rPr>
          <w:sz w:val="16"/>
          <w:szCs w:val="16"/>
        </w:rPr>
        <w:t xml:space="preserve">Group has determined that the revenue derived from this income is not related to the principal activities of the </w:t>
      </w:r>
      <w:r>
        <w:rPr>
          <w:sz w:val="16"/>
          <w:szCs w:val="16"/>
        </w:rPr>
        <w:t xml:space="preserve">EnQuest </w:t>
      </w:r>
      <w:r w:rsidR="00E26DD3" w:rsidRPr="001E486A">
        <w:rPr>
          <w:sz w:val="16"/>
          <w:szCs w:val="16"/>
        </w:rPr>
        <w:t xml:space="preserve">Group and should be presented within other income in the income statement resulting in a reduction in revenue and other operating income and an increase in other income </w:t>
      </w:r>
      <w:r w:rsidR="00CC515C">
        <w:rPr>
          <w:sz w:val="16"/>
          <w:szCs w:val="16"/>
        </w:rPr>
        <w:t xml:space="preserve">in </w:t>
      </w:r>
      <w:r w:rsidR="00E26DD3" w:rsidRPr="001E486A">
        <w:rPr>
          <w:sz w:val="16"/>
          <w:szCs w:val="16"/>
        </w:rPr>
        <w:t>2020</w:t>
      </w:r>
      <w:r w:rsidR="00CC515C">
        <w:rPr>
          <w:sz w:val="16"/>
          <w:szCs w:val="16"/>
        </w:rPr>
        <w:t xml:space="preserve"> of</w:t>
      </w:r>
      <w:r w:rsidR="00E26DD3" w:rsidRPr="001E486A">
        <w:rPr>
          <w:sz w:val="16"/>
          <w:szCs w:val="16"/>
        </w:rPr>
        <w:t xml:space="preserve"> $1.8 million</w:t>
      </w:r>
      <w:r w:rsidR="00CC515C">
        <w:rPr>
          <w:sz w:val="16"/>
          <w:szCs w:val="16"/>
        </w:rPr>
        <w:t>. Comparative information has not been restated but the impact in 2019 would have been a reclass of</w:t>
      </w:r>
      <w:r w:rsidR="00E26DD3" w:rsidRPr="001E486A">
        <w:rPr>
          <w:sz w:val="16"/>
          <w:szCs w:val="16"/>
        </w:rPr>
        <w:t xml:space="preserve"> $1.3 million. There is no impact on comparative information for profit/(loss) from operations before tax and finance income/(costs) or earnings per share</w:t>
      </w:r>
      <w:r w:rsidR="00CC515C">
        <w:rPr>
          <w:sz w:val="16"/>
          <w:szCs w:val="16"/>
        </w:rPr>
        <w:t xml:space="preserve"> in either period</w:t>
      </w:r>
      <w:r w:rsidR="00E26DD3" w:rsidRPr="001E486A">
        <w:rPr>
          <w:sz w:val="16"/>
          <w:szCs w:val="16"/>
        </w:rPr>
        <w:t>.</w:t>
      </w:r>
    </w:p>
    <w:p w14:paraId="1AD74A70" w14:textId="77777777" w:rsidR="00935704" w:rsidRDefault="00935704" w:rsidP="001E486A">
      <w:pPr>
        <w:pStyle w:val="H5OCAshurst"/>
        <w:numPr>
          <w:ilvl w:val="0"/>
          <w:numId w:val="0"/>
        </w:numPr>
        <w:spacing w:after="120"/>
        <w:ind w:left="709" w:hanging="709"/>
      </w:pPr>
    </w:p>
    <w:p w14:paraId="27C06662" w14:textId="01ED65E8" w:rsidR="00F4393F" w:rsidRDefault="00F4393F" w:rsidP="001E486A">
      <w:pPr>
        <w:pStyle w:val="H5OCAshurst"/>
      </w:pPr>
      <w:r>
        <w:t>paragraph 6.1(h) of Part 4 ("</w:t>
      </w:r>
      <w:r w:rsidRPr="00F4393F">
        <w:rPr>
          <w:i/>
          <w:iCs/>
        </w:rPr>
        <w:t>Operating and Financial Review of the EnQuest Group</w:t>
      </w:r>
      <w:r>
        <w:t>") of the Original Prospectus with the following:</w:t>
      </w:r>
    </w:p>
    <w:p w14:paraId="6D846893" w14:textId="17C3930D" w:rsidR="00F4393F" w:rsidRDefault="00F4393F" w:rsidP="00F4393F">
      <w:pPr>
        <w:pStyle w:val="H5OCAshurst"/>
        <w:numPr>
          <w:ilvl w:val="0"/>
          <w:numId w:val="0"/>
        </w:numPr>
        <w:ind w:left="1843"/>
      </w:pPr>
      <w:r>
        <w:t>"(h)</w:t>
      </w:r>
      <w:r>
        <w:tab/>
      </w:r>
      <w:r w:rsidRPr="00F4393F">
        <w:rPr>
          <w:i/>
          <w:iCs/>
        </w:rPr>
        <w:t>Income tax</w:t>
      </w:r>
    </w:p>
    <w:p w14:paraId="0BACC15F" w14:textId="18ED3C76" w:rsidR="00F4393F" w:rsidRDefault="00F4393F" w:rsidP="00F4393F">
      <w:pPr>
        <w:pStyle w:val="H5OCAshurst"/>
        <w:numPr>
          <w:ilvl w:val="0"/>
          <w:numId w:val="0"/>
        </w:numPr>
        <w:ind w:left="2836"/>
      </w:pPr>
      <w:r>
        <w:t>The EnQuest Group recorded an income tax credit before remeasurements and exceptional items, of $172.5 million for the year ended 31 December 2020 due to the Ring Fence Expenditure Supplement (</w:t>
      </w:r>
      <w:r w:rsidR="005E5A28">
        <w:t>"</w:t>
      </w:r>
      <w:r w:rsidRPr="005E5A28">
        <w:rPr>
          <w:b/>
          <w:bCs/>
        </w:rPr>
        <w:t>RFES</w:t>
      </w:r>
      <w:r w:rsidR="005E5A28">
        <w:t>"</w:t>
      </w:r>
      <w:r>
        <w:t>) on UK activities and the EnQuest Group recording a loss before tax. RFES is a 10 per cent. uplift allowance that companies are allowed to claim on losses carried forward, limited to a maximum of ten years of claims (or six years in certain circumstances).</w:t>
      </w:r>
    </w:p>
    <w:p w14:paraId="7D8317A0" w14:textId="77777777" w:rsidR="00F4393F" w:rsidRDefault="00F4393F" w:rsidP="00F4393F">
      <w:pPr>
        <w:pStyle w:val="H5OCAshurst"/>
        <w:numPr>
          <w:ilvl w:val="0"/>
          <w:numId w:val="0"/>
        </w:numPr>
        <w:ind w:left="2836"/>
      </w:pPr>
      <w:r>
        <w:t>The EnQuest Group recorded an income tax expense of $23.6 million based on the profit before tax in the year ended 31 December 2019.</w:t>
      </w:r>
    </w:p>
    <w:p w14:paraId="68271B10" w14:textId="7B717E38" w:rsidR="00F4393F" w:rsidRDefault="00F4393F" w:rsidP="00F4393F">
      <w:pPr>
        <w:pStyle w:val="H5OCAshurst"/>
        <w:numPr>
          <w:ilvl w:val="0"/>
          <w:numId w:val="0"/>
        </w:numPr>
        <w:ind w:left="2836"/>
      </w:pPr>
      <w:r>
        <w:t>Including remeasurements and exceptional items, the EnQuest Group recorded an income tax credit of $96.0 million for the year ended 31 December 2020</w:t>
      </w:r>
      <w:r w:rsidR="004B575F">
        <w:t xml:space="preserve">, </w:t>
      </w:r>
      <w:r w:rsidR="004B575F" w:rsidRPr="004B575F">
        <w:t>primarily reflecting the RFES on UK activities generated in the year partially offset by the partial de-recognition of undiscounted deferred tax assets given the EnQuest Group’s lower oil price assumptions in the year ended 31 December 2020</w:t>
      </w:r>
      <w:r w:rsidR="00CC515C">
        <w:t>. This</w:t>
      </w:r>
      <w:r>
        <w:t xml:space="preserve"> </w:t>
      </w:r>
      <w:r w:rsidR="00CC515C">
        <w:t xml:space="preserve">compares </w:t>
      </w:r>
      <w:r>
        <w:t xml:space="preserve">to an income tax credit of $279.8 million for the year ended 31 December 2019, primarily </w:t>
      </w:r>
      <w:r w:rsidR="004B575F">
        <w:t>representing the tax impact on the non-cash impairment charge on the EnQuest Group's tangible oil and gas assets and goodwill.</w:t>
      </w:r>
      <w:r>
        <w:t>"; and</w:t>
      </w:r>
    </w:p>
    <w:p w14:paraId="63D4825F" w14:textId="0B6B1EB8" w:rsidR="00F4393F" w:rsidRDefault="00F4393F" w:rsidP="001E486A">
      <w:pPr>
        <w:pStyle w:val="H5OCAshurst"/>
      </w:pPr>
      <w:r>
        <w:t>paragraph 6.1(i) of Part 4 ("</w:t>
      </w:r>
      <w:r w:rsidRPr="00F4393F">
        <w:rPr>
          <w:i/>
          <w:iCs/>
        </w:rPr>
        <w:t>Operating and Financial Review of the EnQuest Group</w:t>
      </w:r>
      <w:r>
        <w:t>") of the Original Prospectus with the following:</w:t>
      </w:r>
    </w:p>
    <w:p w14:paraId="10383EB0" w14:textId="1E0733BC" w:rsidR="00F4393F" w:rsidRDefault="00F4393F" w:rsidP="005E5A28">
      <w:pPr>
        <w:pStyle w:val="H5OCAshurst"/>
        <w:keepNext/>
        <w:keepLines/>
        <w:numPr>
          <w:ilvl w:val="0"/>
          <w:numId w:val="0"/>
        </w:numPr>
        <w:ind w:left="1843"/>
      </w:pPr>
      <w:r>
        <w:t>"(i)</w:t>
      </w:r>
      <w:r>
        <w:tab/>
      </w:r>
      <w:r>
        <w:tab/>
      </w:r>
      <w:r w:rsidRPr="00F4393F">
        <w:rPr>
          <w:i/>
          <w:iCs/>
        </w:rPr>
        <w:t>Net profit and loss for the year attributable to owners of the parent</w:t>
      </w:r>
    </w:p>
    <w:p w14:paraId="58C990A5" w14:textId="5B58FDC1" w:rsidR="00F4393F" w:rsidRDefault="00F4393F" w:rsidP="005E5A28">
      <w:pPr>
        <w:pStyle w:val="H5OCAshurst"/>
        <w:keepNext/>
        <w:keepLines/>
        <w:numPr>
          <w:ilvl w:val="0"/>
          <w:numId w:val="0"/>
        </w:numPr>
        <w:ind w:left="2836"/>
      </w:pPr>
      <w:r>
        <w:t>As a result of the factors described above, after remeasurements and exceptional items, the EnQuest Group recorded a net loss of $469.9 million for the year ended 31 December 2020, compared to a net loss of $449.3 million for the year ended 31 December 2019."; and</w:t>
      </w:r>
    </w:p>
    <w:p w14:paraId="113F5F39" w14:textId="193904BC" w:rsidR="008870C6" w:rsidRDefault="007B611D" w:rsidP="001E486A">
      <w:pPr>
        <w:pStyle w:val="H5OCAshurst"/>
      </w:pPr>
      <w:r>
        <w:t>the Group Income Statement and Group Balance Sheet of the 2020 Financial Statements</w:t>
      </w:r>
      <w:r w:rsidR="000A375C">
        <w:t>,</w:t>
      </w:r>
      <w:r>
        <w:t xml:space="preserve"> as incorporated by reference in </w:t>
      </w:r>
      <w:r w:rsidR="008870C6">
        <w:t xml:space="preserve">Part </w:t>
      </w:r>
      <w:r w:rsidR="000F1CCF">
        <w:t>5</w:t>
      </w:r>
      <w:r w:rsidR="008870C6">
        <w:t xml:space="preserve"> ("</w:t>
      </w:r>
      <w:r w:rsidR="008870C6" w:rsidRPr="0071469A">
        <w:rPr>
          <w:i/>
          <w:iCs/>
        </w:rPr>
        <w:t xml:space="preserve">Financial Information of the </w:t>
      </w:r>
      <w:r w:rsidR="000F1CCF" w:rsidRPr="0071469A">
        <w:rPr>
          <w:i/>
          <w:iCs/>
        </w:rPr>
        <w:t>EnQuest Group</w:t>
      </w:r>
      <w:r w:rsidR="008870C6">
        <w:t>") of the Original Prospectus.</w:t>
      </w:r>
    </w:p>
    <w:p w14:paraId="42A3C8FA" w14:textId="7722EE10" w:rsidR="00CF2145" w:rsidRDefault="004C22E7" w:rsidP="001E486A">
      <w:pPr>
        <w:pStyle w:val="H2OCAshurst"/>
      </w:pPr>
      <w:bookmarkStart w:id="28" w:name="_Ref81909293"/>
      <w:r>
        <w:t>Supplemental</w:t>
      </w:r>
      <w:r w:rsidR="00CF2145">
        <w:t xml:space="preserve"> Unaudited Pro Forma Financial Information</w:t>
      </w:r>
      <w:bookmarkEnd w:id="28"/>
    </w:p>
    <w:p w14:paraId="21C3DF64" w14:textId="7EB92EFF" w:rsidR="007619EA" w:rsidRDefault="007619EA" w:rsidP="00396E87">
      <w:pPr>
        <w:pStyle w:val="H3OCAshurst"/>
        <w:numPr>
          <w:ilvl w:val="0"/>
          <w:numId w:val="0"/>
        </w:numPr>
        <w:ind w:left="709"/>
      </w:pPr>
      <w:r>
        <w:t xml:space="preserve">Set out in </w:t>
      </w:r>
      <w:r w:rsidR="00DE406E">
        <w:fldChar w:fldCharType="begin"/>
      </w:r>
      <w:r w:rsidR="00DE406E">
        <w:instrText xml:space="preserve"> REF _Ref65772195 \r \h </w:instrText>
      </w:r>
      <w:r w:rsidR="00DE406E">
        <w:fldChar w:fldCharType="separate"/>
      </w:r>
      <w:r w:rsidR="002D487F">
        <w:rPr>
          <w:cs/>
        </w:rPr>
        <w:t>‎</w:t>
      </w:r>
      <w:r w:rsidR="002D487F">
        <w:t>Part 2</w:t>
      </w:r>
      <w:r w:rsidR="00DE406E">
        <w:fldChar w:fldCharType="end"/>
      </w:r>
      <w:r>
        <w:t xml:space="preserve"> ("</w:t>
      </w:r>
      <w:r w:rsidR="004C22E7">
        <w:rPr>
          <w:i/>
          <w:iCs/>
        </w:rPr>
        <w:t>Supplemental</w:t>
      </w:r>
      <w:r w:rsidR="005F1C70">
        <w:rPr>
          <w:i/>
          <w:iCs/>
        </w:rPr>
        <w:t xml:space="preserve"> </w:t>
      </w:r>
      <w:r>
        <w:rPr>
          <w:i/>
          <w:iCs/>
        </w:rPr>
        <w:t>Unaudited Pro Forma Financial Information</w:t>
      </w:r>
      <w:r>
        <w:t xml:space="preserve">") of this Supplementary Prospectus is </w:t>
      </w:r>
      <w:r w:rsidR="005F1C70">
        <w:t xml:space="preserve">the </w:t>
      </w:r>
      <w:r w:rsidR="004C22E7">
        <w:t>supplemental</w:t>
      </w:r>
      <w:r w:rsidR="005F1C70">
        <w:t xml:space="preserve"> unaudited</w:t>
      </w:r>
      <w:r w:rsidRPr="007619EA">
        <w:t xml:space="preserve"> pro forma financial information </w:t>
      </w:r>
      <w:r>
        <w:t>comprising</w:t>
      </w:r>
      <w:r w:rsidRPr="007619EA">
        <w:t xml:space="preserve"> the</w:t>
      </w:r>
      <w:r>
        <w:t>:</w:t>
      </w:r>
      <w:r w:rsidRPr="007619EA">
        <w:t xml:space="preserve"> </w:t>
      </w:r>
    </w:p>
    <w:p w14:paraId="57944B55" w14:textId="369F7C4B" w:rsidR="007619EA" w:rsidRDefault="007619EA" w:rsidP="00396E87">
      <w:pPr>
        <w:pStyle w:val="H3OCAshurst"/>
        <w:tabs>
          <w:tab w:val="clear" w:pos="709"/>
          <w:tab w:val="num" w:pos="1418"/>
        </w:tabs>
        <w:ind w:left="1418"/>
      </w:pPr>
      <w:r w:rsidRPr="007619EA">
        <w:t>unaudited pro forma income statement for the year ended 31 December 2020 as if the Transaction and an RBL drawdown of $600 million had occurred on 1 January 2020</w:t>
      </w:r>
      <w:r>
        <w:t>;</w:t>
      </w:r>
      <w:r w:rsidRPr="007619EA">
        <w:t xml:space="preserve"> and </w:t>
      </w:r>
    </w:p>
    <w:p w14:paraId="2B77E5B0" w14:textId="1F7028C8" w:rsidR="00CF2145" w:rsidRDefault="007619EA" w:rsidP="00396E87">
      <w:pPr>
        <w:pStyle w:val="H3OCAshurst"/>
        <w:tabs>
          <w:tab w:val="clear" w:pos="709"/>
          <w:tab w:val="num" w:pos="1418"/>
        </w:tabs>
        <w:ind w:left="1418"/>
      </w:pPr>
      <w:r w:rsidRPr="007619EA">
        <w:t>unaudited statement of assets and liabilities that has been prepared to illustrate the effect on the consolidated assets and liabilities of EnQuest as at 31 December 2020 as if the Transaction and an RBL drawdown of $600 million had taken place on that date</w:t>
      </w:r>
      <w:r>
        <w:t>,</w:t>
      </w:r>
    </w:p>
    <w:p w14:paraId="26974592" w14:textId="0193C5F2" w:rsidR="007619EA" w:rsidRDefault="007619EA" w:rsidP="00396E87">
      <w:pPr>
        <w:pStyle w:val="H2OCAshurst"/>
        <w:numPr>
          <w:ilvl w:val="0"/>
          <w:numId w:val="0"/>
        </w:numPr>
        <w:ind w:left="709"/>
        <w:rPr>
          <w:b w:val="0"/>
          <w:bCs/>
        </w:rPr>
      </w:pPr>
      <w:r>
        <w:rPr>
          <w:b w:val="0"/>
          <w:bCs/>
        </w:rPr>
        <w:t xml:space="preserve">each </w:t>
      </w:r>
      <w:r w:rsidR="006F65C4">
        <w:rPr>
          <w:b w:val="0"/>
          <w:bCs/>
        </w:rPr>
        <w:t>updated</w:t>
      </w:r>
      <w:r>
        <w:rPr>
          <w:b w:val="0"/>
          <w:bCs/>
        </w:rPr>
        <w:t xml:space="preserve"> to take into account the Deferred Tax Asset </w:t>
      </w:r>
      <w:r w:rsidR="008F1F44">
        <w:rPr>
          <w:b w:val="0"/>
          <w:bCs/>
        </w:rPr>
        <w:t>Adjustment</w:t>
      </w:r>
      <w:r>
        <w:rPr>
          <w:b w:val="0"/>
          <w:bCs/>
        </w:rPr>
        <w:t>.</w:t>
      </w:r>
    </w:p>
    <w:p w14:paraId="3F747327" w14:textId="1F3C005F" w:rsidR="007619EA" w:rsidRDefault="007619EA" w:rsidP="00CE408E">
      <w:pPr>
        <w:pStyle w:val="Body1OCAshurst"/>
        <w:keepNext/>
        <w:keepLines/>
      </w:pPr>
      <w:r>
        <w:lastRenderedPageBreak/>
        <w:t>The information referred to above supplements</w:t>
      </w:r>
      <w:r w:rsidR="0071469A">
        <w:t>, modifies and supersedes</w:t>
      </w:r>
      <w:r>
        <w:t xml:space="preserve"> the information set out in:</w:t>
      </w:r>
    </w:p>
    <w:p w14:paraId="488F5063" w14:textId="63101254" w:rsidR="00171D3D" w:rsidRDefault="007619EA" w:rsidP="00CE408E">
      <w:pPr>
        <w:pStyle w:val="H3OCAshurst"/>
        <w:keepNext/>
        <w:keepLines/>
        <w:numPr>
          <w:ilvl w:val="2"/>
          <w:numId w:val="91"/>
        </w:numPr>
        <w:tabs>
          <w:tab w:val="clear" w:pos="709"/>
          <w:tab w:val="num" w:pos="1560"/>
        </w:tabs>
        <w:ind w:left="1418"/>
      </w:pPr>
      <w:r>
        <w:t>paragraph</w:t>
      </w:r>
      <w:r w:rsidR="00932685">
        <w:t xml:space="preserve"> 11</w:t>
      </w:r>
      <w:r>
        <w:t xml:space="preserve"> of Part 1 ("</w:t>
      </w:r>
      <w:r w:rsidRPr="007619EA">
        <w:rPr>
          <w:i/>
          <w:iCs/>
        </w:rPr>
        <w:t>Letter from the Chairman of EnQuest plc</w:t>
      </w:r>
      <w:r>
        <w:t>") of the Original Prospectus</w:t>
      </w:r>
      <w:r w:rsidR="00171D3D">
        <w:t xml:space="preserve"> by deleting and replacing it with the following</w:t>
      </w:r>
      <w:r w:rsidR="00F86019">
        <w:t>:</w:t>
      </w:r>
    </w:p>
    <w:p w14:paraId="20AEC643" w14:textId="77777777" w:rsidR="00171D3D" w:rsidRPr="001E486A" w:rsidRDefault="00171D3D" w:rsidP="00171D3D">
      <w:pPr>
        <w:pStyle w:val="H3OCAshurst"/>
        <w:numPr>
          <w:ilvl w:val="0"/>
          <w:numId w:val="0"/>
        </w:numPr>
        <w:ind w:left="1418"/>
        <w:rPr>
          <w:b/>
          <w:bCs/>
        </w:rPr>
      </w:pPr>
      <w:r>
        <w:t>"</w:t>
      </w:r>
      <w:r w:rsidRPr="001E486A">
        <w:rPr>
          <w:b/>
          <w:bCs/>
        </w:rPr>
        <w:t>11.</w:t>
      </w:r>
      <w:r w:rsidRPr="001E486A">
        <w:rPr>
          <w:b/>
          <w:bCs/>
        </w:rPr>
        <w:tab/>
        <w:t>Financial effects of the Capital Raising and the Acquisition</w:t>
      </w:r>
    </w:p>
    <w:p w14:paraId="717271F6" w14:textId="768AC85F" w:rsidR="007619EA" w:rsidRDefault="00171D3D" w:rsidP="001E486A">
      <w:pPr>
        <w:pStyle w:val="H3OCAshurst"/>
        <w:numPr>
          <w:ilvl w:val="0"/>
          <w:numId w:val="0"/>
        </w:numPr>
        <w:ind w:left="1418"/>
      </w:pPr>
      <w:r>
        <w:t>On a pro forma basis and assuming that the Transaction and an RBL drawdown of $600 million had taken place on 31 December 2020, the EnQuest Group would have had net assets of $</w:t>
      </w:r>
      <w:r w:rsidR="00CC515C">
        <w:t>349.9</w:t>
      </w:r>
      <w:r>
        <w:t xml:space="preserve"> million, compared with net assets of $91.2 million reported as of 31 December 2020. Please refer to Part 9 (“</w:t>
      </w:r>
      <w:r w:rsidRPr="001E486A">
        <w:rPr>
          <w:i/>
          <w:iCs/>
        </w:rPr>
        <w:t>Unaudited Pro Forma Financial Information</w:t>
      </w:r>
      <w:r>
        <w:t>”)</w:t>
      </w:r>
      <w:r w:rsidR="00506949">
        <w:t xml:space="preserve"> (as supplemented by the Supplementary Prospectus)</w:t>
      </w:r>
      <w:r>
        <w:t xml:space="preserve"> which contains an unaudited pro forma statement of assets and liabilities, prepared to illustrate the effect of the Transaction and an RBL drawdown of $600 million on the assets and liabilities of the EnQuest Group as if each had taken place on 31 December 2020."</w:t>
      </w:r>
      <w:r w:rsidR="007619EA">
        <w:t>; and</w:t>
      </w:r>
    </w:p>
    <w:p w14:paraId="4E8ADF8E" w14:textId="1A372841" w:rsidR="007619EA" w:rsidRDefault="007619EA" w:rsidP="00396E87">
      <w:pPr>
        <w:pStyle w:val="H3OCAshurst"/>
        <w:tabs>
          <w:tab w:val="clear" w:pos="709"/>
        </w:tabs>
        <w:ind w:left="1418"/>
      </w:pPr>
      <w:r>
        <w:t>Part 9 ("</w:t>
      </w:r>
      <w:r>
        <w:rPr>
          <w:i/>
          <w:iCs/>
        </w:rPr>
        <w:t>Unaudited Pro Forma Financial Information</w:t>
      </w:r>
      <w:r>
        <w:t>") of the Original Prospectus.</w:t>
      </w:r>
    </w:p>
    <w:p w14:paraId="5413F7B3" w14:textId="748350AC" w:rsidR="00E81F8B" w:rsidRDefault="00E81F8B" w:rsidP="00396E87">
      <w:pPr>
        <w:pStyle w:val="H2OCAshurst"/>
      </w:pPr>
      <w:r>
        <w:t>Amendments to the Summary Information</w:t>
      </w:r>
      <w:r w:rsidR="000A02CF">
        <w:rPr>
          <w:i/>
          <w:iCs/>
        </w:rPr>
        <w:t xml:space="preserve"> </w:t>
      </w:r>
    </w:p>
    <w:p w14:paraId="39190CF6" w14:textId="77777777" w:rsidR="000A375C" w:rsidRDefault="007619EA" w:rsidP="00396E87">
      <w:pPr>
        <w:pStyle w:val="H3OCAshurst"/>
        <w:numPr>
          <w:ilvl w:val="0"/>
          <w:numId w:val="0"/>
        </w:numPr>
        <w:ind w:left="709"/>
      </w:pPr>
      <w:r>
        <w:t>This Supplementary Prospectus amends the summary information which forms part of the Original Prospectus with the amendment and restatement of</w:t>
      </w:r>
      <w:r w:rsidR="000A375C">
        <w:t>:</w:t>
      </w:r>
      <w:r w:rsidR="00DE406E">
        <w:t xml:space="preserve"> </w:t>
      </w:r>
    </w:p>
    <w:p w14:paraId="012EC976" w14:textId="77777777" w:rsidR="000A375C" w:rsidRDefault="00DE406E" w:rsidP="000A375C">
      <w:pPr>
        <w:pStyle w:val="H3OCAshurst"/>
        <w:tabs>
          <w:tab w:val="clear" w:pos="709"/>
          <w:tab w:val="num" w:pos="1418"/>
        </w:tabs>
        <w:ind w:left="1418"/>
      </w:pPr>
      <w:r>
        <w:t>the</w:t>
      </w:r>
      <w:r w:rsidR="007619EA">
        <w:t xml:space="preserve"> </w:t>
      </w:r>
      <w:r w:rsidR="00AB07B0">
        <w:t xml:space="preserve">"Group Statement of Comprehensive Income" and "Group Balance Sheet" of the EnQuest Group in the </w:t>
      </w:r>
      <w:r w:rsidR="001175CB">
        <w:t xml:space="preserve">row entitled </w:t>
      </w:r>
      <w:r w:rsidR="007619EA">
        <w:t>"</w:t>
      </w:r>
      <w:r w:rsidR="007619EA" w:rsidRPr="00186BEA">
        <w:rPr>
          <w:i/>
          <w:iCs/>
        </w:rPr>
        <w:t>Key financial information</w:t>
      </w:r>
      <w:r w:rsidR="007619EA">
        <w:t>"</w:t>
      </w:r>
      <w:r w:rsidR="000A375C">
        <w:t>;</w:t>
      </w:r>
      <w:r w:rsidR="001175CB">
        <w:t xml:space="preserve"> and </w:t>
      </w:r>
    </w:p>
    <w:p w14:paraId="67421F49" w14:textId="77777777" w:rsidR="000A375C" w:rsidRDefault="000A375C" w:rsidP="000A375C">
      <w:pPr>
        <w:pStyle w:val="H3OCAshurst"/>
        <w:tabs>
          <w:tab w:val="clear" w:pos="709"/>
          <w:tab w:val="num" w:pos="1418"/>
        </w:tabs>
        <w:ind w:left="1418"/>
      </w:pPr>
      <w:r>
        <w:t xml:space="preserve">the row entitled </w:t>
      </w:r>
      <w:r w:rsidR="001175CB">
        <w:t>"</w:t>
      </w:r>
      <w:r w:rsidR="001175CB" w:rsidRPr="00DE406E">
        <w:rPr>
          <w:i/>
          <w:iCs/>
        </w:rPr>
        <w:t>P</w:t>
      </w:r>
      <w:r w:rsidR="001175CB">
        <w:rPr>
          <w:i/>
          <w:iCs/>
        </w:rPr>
        <w:t>ro forma financial information</w:t>
      </w:r>
      <w:r w:rsidR="001175CB">
        <w:t>"</w:t>
      </w:r>
      <w:r>
        <w:t>,</w:t>
      </w:r>
    </w:p>
    <w:p w14:paraId="24B2732D" w14:textId="741A6366" w:rsidR="00E81F8B" w:rsidRPr="001E486A" w:rsidRDefault="000A375C" w:rsidP="000A375C">
      <w:pPr>
        <w:pStyle w:val="H3OCAshurst"/>
        <w:numPr>
          <w:ilvl w:val="0"/>
          <w:numId w:val="0"/>
        </w:numPr>
        <w:ind w:left="709"/>
      </w:pPr>
      <w:r>
        <w:t>each</w:t>
      </w:r>
      <w:r w:rsidR="007619EA">
        <w:t xml:space="preserve"> in the section entitled "Summary" of the Original Prospectus </w:t>
      </w:r>
      <w:r>
        <w:t>as</w:t>
      </w:r>
      <w:r w:rsidR="007619EA">
        <w:t xml:space="preserve"> set out below:</w:t>
      </w:r>
    </w:p>
    <w:tbl>
      <w:tblPr>
        <w:tblStyle w:val="TableGrid"/>
        <w:tblW w:w="9923" w:type="dxa"/>
        <w:tblInd w:w="-714" w:type="dxa"/>
        <w:tblLayout w:type="fixed"/>
        <w:tblLook w:val="04A0" w:firstRow="1" w:lastRow="0" w:firstColumn="1" w:lastColumn="0" w:noHBand="0" w:noVBand="1"/>
      </w:tblPr>
      <w:tblGrid>
        <w:gridCol w:w="1134"/>
        <w:gridCol w:w="8789"/>
      </w:tblGrid>
      <w:tr w:rsidR="007619EA" w:rsidRPr="007D6590" w14:paraId="37B391B0" w14:textId="77777777" w:rsidTr="00186BEA">
        <w:tc>
          <w:tcPr>
            <w:tcW w:w="1134" w:type="dxa"/>
            <w:tcBorders>
              <w:bottom w:val="single" w:sz="4" w:space="0" w:color="auto"/>
            </w:tcBorders>
          </w:tcPr>
          <w:p w14:paraId="73780F6E" w14:textId="77777777" w:rsidR="007619EA" w:rsidRPr="007D6590" w:rsidRDefault="007619EA" w:rsidP="00396E87">
            <w:pPr>
              <w:pStyle w:val="NormalOCAshurst"/>
              <w:spacing w:after="120"/>
              <w:jc w:val="left"/>
              <w:rPr>
                <w:rFonts w:asciiTheme="majorHAnsi" w:hAnsiTheme="majorHAnsi" w:cstheme="majorHAnsi"/>
                <w:sz w:val="16"/>
                <w:szCs w:val="16"/>
              </w:rPr>
            </w:pPr>
            <w:r w:rsidRPr="007D6590">
              <w:rPr>
                <w:rFonts w:asciiTheme="majorHAnsi" w:hAnsiTheme="majorHAnsi" w:cstheme="majorHAnsi"/>
                <w:sz w:val="16"/>
                <w:szCs w:val="16"/>
              </w:rPr>
              <w:t>Key financial information</w:t>
            </w:r>
          </w:p>
        </w:tc>
        <w:tc>
          <w:tcPr>
            <w:tcW w:w="8789" w:type="dxa"/>
            <w:tcBorders>
              <w:bottom w:val="single" w:sz="4" w:space="0" w:color="auto"/>
            </w:tcBorders>
          </w:tcPr>
          <w:p w14:paraId="5FF4F47B" w14:textId="77777777" w:rsidR="007619EA" w:rsidRPr="007D6590" w:rsidRDefault="007619EA" w:rsidP="00396E87">
            <w:pPr>
              <w:pStyle w:val="NormalOCAshurst"/>
              <w:spacing w:after="120"/>
              <w:rPr>
                <w:rFonts w:asciiTheme="majorHAnsi" w:hAnsiTheme="majorHAnsi" w:cstheme="majorHAnsi"/>
                <w:b/>
                <w:bCs/>
                <w:sz w:val="16"/>
                <w:szCs w:val="16"/>
              </w:rPr>
            </w:pPr>
            <w:r w:rsidRPr="007D6590">
              <w:rPr>
                <w:rFonts w:asciiTheme="majorHAnsi" w:hAnsiTheme="majorHAnsi" w:cstheme="majorHAnsi"/>
                <w:b/>
                <w:bCs/>
                <w:sz w:val="16"/>
                <w:szCs w:val="16"/>
              </w:rPr>
              <w:t>What is the key financial information regarding the issuer?</w:t>
            </w:r>
          </w:p>
          <w:p w14:paraId="535406E6" w14:textId="03396235" w:rsidR="007619EA" w:rsidRPr="00932685" w:rsidRDefault="007619EA" w:rsidP="00396E87">
            <w:pPr>
              <w:pStyle w:val="NormalOCAshurst"/>
              <w:spacing w:after="120"/>
              <w:rPr>
                <w:rFonts w:asciiTheme="majorHAnsi" w:hAnsiTheme="majorHAnsi" w:cstheme="majorHAnsi"/>
                <w:sz w:val="16"/>
                <w:szCs w:val="16"/>
                <w:u w:val="single"/>
              </w:rPr>
            </w:pPr>
            <w:r w:rsidRPr="007D6590">
              <w:rPr>
                <w:rFonts w:asciiTheme="majorHAnsi" w:hAnsiTheme="majorHAnsi" w:cstheme="majorHAnsi"/>
                <w:b/>
                <w:bCs/>
                <w:sz w:val="16"/>
                <w:szCs w:val="16"/>
                <w:u w:val="single"/>
              </w:rPr>
              <w:t>EnQuest Group</w:t>
            </w:r>
            <w:r w:rsidR="00932685" w:rsidRPr="00932685">
              <w:rPr>
                <w:rFonts w:asciiTheme="majorHAnsi" w:hAnsiTheme="majorHAnsi" w:cstheme="majorHAnsi"/>
                <w:b/>
                <w:bCs/>
                <w:sz w:val="16"/>
                <w:szCs w:val="16"/>
              </w:rPr>
              <w:t xml:space="preserve"> </w:t>
            </w:r>
          </w:p>
          <w:p w14:paraId="599974D4" w14:textId="33643159" w:rsidR="007619EA" w:rsidRPr="007D6590" w:rsidRDefault="007619EA" w:rsidP="00396E87">
            <w:pPr>
              <w:pStyle w:val="NormalOCAshurst"/>
              <w:spacing w:after="120"/>
              <w:rPr>
                <w:rFonts w:asciiTheme="majorHAnsi" w:hAnsiTheme="majorHAnsi" w:cstheme="majorHAnsi"/>
                <w:sz w:val="16"/>
                <w:szCs w:val="16"/>
              </w:rPr>
            </w:pPr>
            <w:r w:rsidRPr="007D6590">
              <w:rPr>
                <w:rFonts w:asciiTheme="majorHAnsi" w:hAnsiTheme="majorHAnsi" w:cstheme="majorHAnsi"/>
                <w:sz w:val="16"/>
                <w:szCs w:val="16"/>
              </w:rPr>
              <w:t xml:space="preserve">The tables below set out the EnQuest Group's summary financial information for the periods indicated. The financial information has been extracted without material adjustment from the 2018 Financial Statements, 2019 Financial Statements and </w:t>
            </w:r>
            <w:r w:rsidR="00932685">
              <w:rPr>
                <w:rFonts w:asciiTheme="majorHAnsi" w:hAnsiTheme="majorHAnsi" w:cstheme="majorHAnsi"/>
                <w:sz w:val="16"/>
                <w:szCs w:val="16"/>
              </w:rPr>
              <w:t xml:space="preserve">the restated </w:t>
            </w:r>
            <w:r w:rsidRPr="007D6590">
              <w:rPr>
                <w:rFonts w:asciiTheme="majorHAnsi" w:hAnsiTheme="majorHAnsi" w:cstheme="majorHAnsi"/>
                <w:sz w:val="16"/>
                <w:szCs w:val="16"/>
              </w:rPr>
              <w:t>2020 Financial Statements.</w:t>
            </w:r>
          </w:p>
          <w:p w14:paraId="6F23C998" w14:textId="7C8A0B6F" w:rsidR="007619EA" w:rsidRPr="007D6590" w:rsidRDefault="007619EA" w:rsidP="00396E87">
            <w:pPr>
              <w:pStyle w:val="NormalOCAshurst"/>
              <w:spacing w:after="120"/>
              <w:rPr>
                <w:b/>
                <w:sz w:val="16"/>
                <w:szCs w:val="16"/>
              </w:rPr>
            </w:pPr>
            <w:r w:rsidRPr="007D6590">
              <w:rPr>
                <w:b/>
                <w:sz w:val="16"/>
                <w:szCs w:val="16"/>
              </w:rPr>
              <w:t>Group Statement of Comprehensive Income</w:t>
            </w:r>
          </w:p>
          <w:tbl>
            <w:tblPr>
              <w:tblStyle w:val="TableGrid"/>
              <w:tblW w:w="8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1"/>
              <w:gridCol w:w="1559"/>
              <w:gridCol w:w="1559"/>
              <w:gridCol w:w="1559"/>
            </w:tblGrid>
            <w:tr w:rsidR="007619EA" w:rsidRPr="007D6590" w14:paraId="79705420" w14:textId="77777777" w:rsidTr="00186BEA">
              <w:trPr>
                <w:trHeight w:val="173"/>
              </w:trPr>
              <w:tc>
                <w:tcPr>
                  <w:tcW w:w="3581" w:type="dxa"/>
                </w:tcPr>
                <w:p w14:paraId="4AF9D197" w14:textId="77777777" w:rsidR="007619EA" w:rsidRPr="007D6590" w:rsidRDefault="007619EA" w:rsidP="00396E87">
                  <w:pPr>
                    <w:pStyle w:val="StandardOCAshurst"/>
                    <w:rPr>
                      <w:sz w:val="16"/>
                      <w:szCs w:val="16"/>
                    </w:rPr>
                  </w:pPr>
                </w:p>
              </w:tc>
              <w:tc>
                <w:tcPr>
                  <w:tcW w:w="4677" w:type="dxa"/>
                  <w:gridSpan w:val="3"/>
                  <w:vAlign w:val="bottom"/>
                  <w:hideMark/>
                </w:tcPr>
                <w:p w14:paraId="6CEA73FB" w14:textId="77777777" w:rsidR="007619EA" w:rsidRPr="007D6590" w:rsidRDefault="007619EA" w:rsidP="00396E87">
                  <w:pPr>
                    <w:pStyle w:val="StandardOCAshurst"/>
                    <w:pBdr>
                      <w:bottom w:val="single" w:sz="4" w:space="1" w:color="auto"/>
                    </w:pBdr>
                    <w:jc w:val="center"/>
                    <w:rPr>
                      <w:b/>
                      <w:sz w:val="16"/>
                      <w:szCs w:val="16"/>
                    </w:rPr>
                  </w:pPr>
                  <w:r w:rsidRPr="007D6590">
                    <w:rPr>
                      <w:sz w:val="16"/>
                      <w:szCs w:val="16"/>
                    </w:rPr>
                    <w:t xml:space="preserve"> </w:t>
                  </w:r>
                  <w:r w:rsidRPr="007D6590">
                    <w:rPr>
                      <w:b/>
                      <w:sz w:val="16"/>
                      <w:szCs w:val="16"/>
                    </w:rPr>
                    <w:t>Year ended 31 December</w:t>
                  </w:r>
                </w:p>
              </w:tc>
            </w:tr>
            <w:tr w:rsidR="007619EA" w:rsidRPr="007D6590" w14:paraId="52466F66" w14:textId="77777777" w:rsidTr="00C5357C">
              <w:trPr>
                <w:trHeight w:val="473"/>
              </w:trPr>
              <w:tc>
                <w:tcPr>
                  <w:tcW w:w="3581" w:type="dxa"/>
                </w:tcPr>
                <w:p w14:paraId="655837D9" w14:textId="77777777" w:rsidR="007619EA" w:rsidRPr="007D6590" w:rsidRDefault="007619EA" w:rsidP="00396E87">
                  <w:pPr>
                    <w:pStyle w:val="StandardOCAshurst"/>
                    <w:rPr>
                      <w:sz w:val="16"/>
                      <w:szCs w:val="16"/>
                    </w:rPr>
                  </w:pPr>
                </w:p>
              </w:tc>
              <w:tc>
                <w:tcPr>
                  <w:tcW w:w="1559" w:type="dxa"/>
                  <w:vAlign w:val="bottom"/>
                  <w:hideMark/>
                </w:tcPr>
                <w:p w14:paraId="04637327" w14:textId="77777777" w:rsidR="007619EA" w:rsidRPr="007D6590" w:rsidRDefault="007619EA" w:rsidP="00396E87">
                  <w:pPr>
                    <w:pStyle w:val="StandardOCAshurst"/>
                    <w:pBdr>
                      <w:bottom w:val="single" w:sz="4" w:space="1" w:color="auto"/>
                    </w:pBdr>
                    <w:jc w:val="center"/>
                    <w:rPr>
                      <w:b/>
                      <w:sz w:val="16"/>
                      <w:szCs w:val="16"/>
                    </w:rPr>
                  </w:pPr>
                  <w:r w:rsidRPr="007D6590">
                    <w:rPr>
                      <w:b/>
                      <w:sz w:val="16"/>
                      <w:szCs w:val="16"/>
                    </w:rPr>
                    <w:t>2020</w:t>
                  </w:r>
                </w:p>
                <w:p w14:paraId="7645412F" w14:textId="24A3CE17" w:rsidR="007619EA" w:rsidRPr="007D6590" w:rsidRDefault="007619EA" w:rsidP="00396E87">
                  <w:pPr>
                    <w:pStyle w:val="StandardOCAshurst"/>
                    <w:pBdr>
                      <w:bottom w:val="single" w:sz="4" w:space="1" w:color="auto"/>
                    </w:pBdr>
                    <w:jc w:val="center"/>
                    <w:rPr>
                      <w:b/>
                      <w:sz w:val="16"/>
                      <w:szCs w:val="16"/>
                    </w:rPr>
                  </w:pPr>
                  <w:r w:rsidRPr="007D6590">
                    <w:rPr>
                      <w:b/>
                      <w:sz w:val="16"/>
                      <w:szCs w:val="16"/>
                    </w:rPr>
                    <w:t>(Audited)</w:t>
                  </w:r>
                  <w:r w:rsidR="00EC3D40">
                    <w:rPr>
                      <w:b/>
                      <w:sz w:val="16"/>
                      <w:szCs w:val="16"/>
                    </w:rPr>
                    <w:t xml:space="preserve"> (restated)</w:t>
                  </w:r>
                </w:p>
                <w:p w14:paraId="59E293BF" w14:textId="77777777" w:rsidR="007619EA" w:rsidRPr="007D6590" w:rsidRDefault="007619EA" w:rsidP="00396E87">
                  <w:pPr>
                    <w:pStyle w:val="StandardOCAshurst"/>
                    <w:pBdr>
                      <w:bottom w:val="single" w:sz="4" w:space="1" w:color="auto"/>
                    </w:pBdr>
                    <w:jc w:val="center"/>
                    <w:rPr>
                      <w:b/>
                      <w:sz w:val="16"/>
                      <w:szCs w:val="16"/>
                    </w:rPr>
                  </w:pPr>
                  <w:r w:rsidRPr="007D6590">
                    <w:rPr>
                      <w:b/>
                      <w:sz w:val="16"/>
                      <w:szCs w:val="16"/>
                    </w:rPr>
                    <w:t>US$'000</w:t>
                  </w:r>
                </w:p>
              </w:tc>
              <w:tc>
                <w:tcPr>
                  <w:tcW w:w="1559" w:type="dxa"/>
                  <w:hideMark/>
                </w:tcPr>
                <w:p w14:paraId="644AE0F9" w14:textId="77777777" w:rsidR="007619EA" w:rsidRPr="007D6590" w:rsidRDefault="007619EA" w:rsidP="00CC515C">
                  <w:pPr>
                    <w:pStyle w:val="StandardOCAshurst"/>
                    <w:pBdr>
                      <w:bottom w:val="single" w:sz="4" w:space="1" w:color="auto"/>
                    </w:pBdr>
                    <w:jc w:val="center"/>
                    <w:rPr>
                      <w:b/>
                      <w:sz w:val="16"/>
                      <w:szCs w:val="16"/>
                    </w:rPr>
                  </w:pPr>
                  <w:r w:rsidRPr="007D6590">
                    <w:rPr>
                      <w:b/>
                      <w:sz w:val="16"/>
                      <w:szCs w:val="16"/>
                    </w:rPr>
                    <w:t>2019</w:t>
                  </w:r>
                </w:p>
                <w:p w14:paraId="27A5A173" w14:textId="06CD5CAD" w:rsidR="007619EA" w:rsidRDefault="007619EA" w:rsidP="003D5792">
                  <w:pPr>
                    <w:pStyle w:val="StandardOCAshurst"/>
                    <w:pBdr>
                      <w:bottom w:val="single" w:sz="4" w:space="1" w:color="auto"/>
                    </w:pBdr>
                    <w:jc w:val="center"/>
                    <w:rPr>
                      <w:b/>
                      <w:sz w:val="16"/>
                      <w:szCs w:val="16"/>
                    </w:rPr>
                  </w:pPr>
                  <w:r w:rsidRPr="007D6590">
                    <w:rPr>
                      <w:b/>
                      <w:sz w:val="16"/>
                      <w:szCs w:val="16"/>
                    </w:rPr>
                    <w:t>(Audited)</w:t>
                  </w:r>
                </w:p>
                <w:p w14:paraId="434A0381" w14:textId="77777777" w:rsidR="007619EA" w:rsidRDefault="007619EA" w:rsidP="00CC515C">
                  <w:pPr>
                    <w:pStyle w:val="StandardOCAshurst"/>
                    <w:pBdr>
                      <w:bottom w:val="single" w:sz="4" w:space="1" w:color="auto"/>
                    </w:pBdr>
                    <w:jc w:val="center"/>
                    <w:rPr>
                      <w:b/>
                      <w:sz w:val="16"/>
                      <w:szCs w:val="16"/>
                    </w:rPr>
                  </w:pPr>
                  <w:r w:rsidRPr="007D6590">
                    <w:rPr>
                      <w:b/>
                      <w:sz w:val="16"/>
                      <w:szCs w:val="16"/>
                    </w:rPr>
                    <w:t>US$'000</w:t>
                  </w:r>
                </w:p>
                <w:p w14:paraId="182F8F53" w14:textId="16F154AC" w:rsidR="00CC515C" w:rsidRPr="007D6590" w:rsidRDefault="00CC515C" w:rsidP="00CC515C">
                  <w:pPr>
                    <w:pStyle w:val="StandardOCAshurst"/>
                    <w:pBdr>
                      <w:bottom w:val="single" w:sz="4" w:space="1" w:color="auto"/>
                    </w:pBdr>
                    <w:jc w:val="center"/>
                    <w:rPr>
                      <w:b/>
                      <w:sz w:val="16"/>
                      <w:szCs w:val="16"/>
                    </w:rPr>
                  </w:pPr>
                </w:p>
              </w:tc>
              <w:tc>
                <w:tcPr>
                  <w:tcW w:w="1559" w:type="dxa"/>
                  <w:hideMark/>
                </w:tcPr>
                <w:p w14:paraId="739A0EC2" w14:textId="77777777" w:rsidR="007619EA" w:rsidRPr="007D6590" w:rsidRDefault="007619EA" w:rsidP="003D5792">
                  <w:pPr>
                    <w:pStyle w:val="StandardOCAshurst"/>
                    <w:pBdr>
                      <w:bottom w:val="single" w:sz="4" w:space="1" w:color="auto"/>
                    </w:pBdr>
                    <w:jc w:val="center"/>
                    <w:rPr>
                      <w:b/>
                      <w:sz w:val="16"/>
                      <w:szCs w:val="16"/>
                    </w:rPr>
                  </w:pPr>
                  <w:r w:rsidRPr="007D6590">
                    <w:rPr>
                      <w:b/>
                      <w:sz w:val="16"/>
                      <w:szCs w:val="16"/>
                    </w:rPr>
                    <w:t>2018</w:t>
                  </w:r>
                </w:p>
                <w:p w14:paraId="78351DBC" w14:textId="661968E1" w:rsidR="007619EA" w:rsidRDefault="007619EA">
                  <w:pPr>
                    <w:pStyle w:val="StandardOCAshurst"/>
                    <w:pBdr>
                      <w:bottom w:val="single" w:sz="4" w:space="1" w:color="auto"/>
                    </w:pBdr>
                    <w:jc w:val="center"/>
                    <w:rPr>
                      <w:b/>
                      <w:sz w:val="16"/>
                      <w:szCs w:val="16"/>
                    </w:rPr>
                  </w:pPr>
                  <w:r w:rsidRPr="007D6590">
                    <w:rPr>
                      <w:b/>
                      <w:sz w:val="16"/>
                      <w:szCs w:val="16"/>
                    </w:rPr>
                    <w:t>(Audited)</w:t>
                  </w:r>
                </w:p>
                <w:p w14:paraId="74502CEE" w14:textId="77777777" w:rsidR="007619EA" w:rsidRDefault="007619EA" w:rsidP="00CC515C">
                  <w:pPr>
                    <w:pStyle w:val="StandardOCAshurst"/>
                    <w:pBdr>
                      <w:bottom w:val="single" w:sz="4" w:space="1" w:color="auto"/>
                    </w:pBdr>
                    <w:jc w:val="center"/>
                    <w:rPr>
                      <w:b/>
                      <w:sz w:val="16"/>
                      <w:szCs w:val="16"/>
                    </w:rPr>
                  </w:pPr>
                  <w:r w:rsidRPr="007D6590">
                    <w:rPr>
                      <w:b/>
                      <w:sz w:val="16"/>
                      <w:szCs w:val="16"/>
                    </w:rPr>
                    <w:t>US$'000</w:t>
                  </w:r>
                </w:p>
                <w:p w14:paraId="28C2BFD7" w14:textId="09754E79" w:rsidR="00CC515C" w:rsidRPr="007D6590" w:rsidRDefault="00CC515C" w:rsidP="00CC515C">
                  <w:pPr>
                    <w:pStyle w:val="StandardOCAshurst"/>
                    <w:pBdr>
                      <w:bottom w:val="single" w:sz="4" w:space="1" w:color="auto"/>
                    </w:pBdr>
                    <w:jc w:val="center"/>
                    <w:rPr>
                      <w:b/>
                      <w:sz w:val="16"/>
                      <w:szCs w:val="16"/>
                    </w:rPr>
                  </w:pPr>
                </w:p>
              </w:tc>
            </w:tr>
            <w:tr w:rsidR="007619EA" w:rsidRPr="007D6590" w14:paraId="35AB03DC" w14:textId="77777777" w:rsidTr="00186BEA">
              <w:trPr>
                <w:trHeight w:val="142"/>
              </w:trPr>
              <w:tc>
                <w:tcPr>
                  <w:tcW w:w="3581" w:type="dxa"/>
                </w:tcPr>
                <w:p w14:paraId="732C8327" w14:textId="77777777" w:rsidR="007619EA" w:rsidRPr="007D6590" w:rsidRDefault="007619EA" w:rsidP="00396E87">
                  <w:pPr>
                    <w:pStyle w:val="StandardOCAshurst"/>
                    <w:tabs>
                      <w:tab w:val="right" w:leader="dot" w:pos="1134"/>
                    </w:tabs>
                    <w:rPr>
                      <w:sz w:val="16"/>
                      <w:szCs w:val="16"/>
                    </w:rPr>
                  </w:pPr>
                </w:p>
              </w:tc>
              <w:tc>
                <w:tcPr>
                  <w:tcW w:w="1559" w:type="dxa"/>
                </w:tcPr>
                <w:p w14:paraId="0DB06CFA" w14:textId="77777777" w:rsidR="007619EA" w:rsidRPr="007D6590" w:rsidRDefault="007619EA" w:rsidP="00396E87">
                  <w:pPr>
                    <w:pStyle w:val="StandardOCAshurst"/>
                    <w:rPr>
                      <w:sz w:val="16"/>
                      <w:szCs w:val="16"/>
                    </w:rPr>
                  </w:pPr>
                </w:p>
              </w:tc>
              <w:tc>
                <w:tcPr>
                  <w:tcW w:w="1559" w:type="dxa"/>
                </w:tcPr>
                <w:p w14:paraId="44516566" w14:textId="77777777" w:rsidR="007619EA" w:rsidRPr="007D6590" w:rsidRDefault="007619EA" w:rsidP="00396E87">
                  <w:pPr>
                    <w:pStyle w:val="StandardOCAshurst"/>
                    <w:rPr>
                      <w:sz w:val="16"/>
                      <w:szCs w:val="16"/>
                    </w:rPr>
                  </w:pPr>
                </w:p>
              </w:tc>
              <w:tc>
                <w:tcPr>
                  <w:tcW w:w="1559" w:type="dxa"/>
                </w:tcPr>
                <w:p w14:paraId="01ABC4D6" w14:textId="77777777" w:rsidR="007619EA" w:rsidRPr="007D6590" w:rsidRDefault="007619EA" w:rsidP="00396E87">
                  <w:pPr>
                    <w:pStyle w:val="StandardOCAshurst"/>
                    <w:rPr>
                      <w:sz w:val="16"/>
                      <w:szCs w:val="16"/>
                    </w:rPr>
                  </w:pPr>
                </w:p>
              </w:tc>
            </w:tr>
            <w:tr w:rsidR="007619EA" w:rsidRPr="007D6590" w14:paraId="3183EC98" w14:textId="77777777" w:rsidTr="00186BEA">
              <w:tc>
                <w:tcPr>
                  <w:tcW w:w="3581" w:type="dxa"/>
                  <w:hideMark/>
                </w:tcPr>
                <w:p w14:paraId="7CBFD8A6" w14:textId="37B9E7BA" w:rsidR="007619EA" w:rsidRPr="007D6590" w:rsidRDefault="007619EA" w:rsidP="00396E87">
                  <w:pPr>
                    <w:pStyle w:val="StandardOCAshurst"/>
                    <w:tabs>
                      <w:tab w:val="right" w:leader="dot" w:pos="3331"/>
                    </w:tabs>
                    <w:jc w:val="left"/>
                    <w:rPr>
                      <w:sz w:val="16"/>
                      <w:szCs w:val="16"/>
                    </w:rPr>
                  </w:pPr>
                  <w:r w:rsidRPr="007D6590">
                    <w:rPr>
                      <w:sz w:val="16"/>
                      <w:szCs w:val="16"/>
                    </w:rPr>
                    <w:t>Revenue and other operating income</w:t>
                  </w:r>
                  <w:r w:rsidRPr="007D6590">
                    <w:rPr>
                      <w:sz w:val="16"/>
                      <w:szCs w:val="16"/>
                    </w:rPr>
                    <w:tab/>
                  </w:r>
                </w:p>
              </w:tc>
              <w:tc>
                <w:tcPr>
                  <w:tcW w:w="1559" w:type="dxa"/>
                  <w:vAlign w:val="bottom"/>
                  <w:hideMark/>
                </w:tcPr>
                <w:p w14:paraId="66E76551" w14:textId="6D0CAE0C" w:rsidR="007619EA" w:rsidRPr="007D6590" w:rsidRDefault="00145FA3" w:rsidP="00396E87">
                  <w:pPr>
                    <w:pStyle w:val="StandardOCAshurst"/>
                    <w:jc w:val="right"/>
                    <w:rPr>
                      <w:sz w:val="16"/>
                      <w:szCs w:val="16"/>
                    </w:rPr>
                  </w:pPr>
                  <w:r>
                    <w:rPr>
                      <w:sz w:val="16"/>
                      <w:szCs w:val="16"/>
                    </w:rPr>
                    <w:t>863,852</w:t>
                  </w:r>
                  <w:r w:rsidR="008A676B" w:rsidRPr="00C5357C">
                    <w:rPr>
                      <w:sz w:val="16"/>
                      <w:szCs w:val="16"/>
                      <w:vertAlign w:val="superscript"/>
                    </w:rPr>
                    <w:t>(1)</w:t>
                  </w:r>
                </w:p>
              </w:tc>
              <w:tc>
                <w:tcPr>
                  <w:tcW w:w="1559" w:type="dxa"/>
                  <w:vAlign w:val="bottom"/>
                  <w:hideMark/>
                </w:tcPr>
                <w:p w14:paraId="5626CEEF" w14:textId="71FB8FF4" w:rsidR="007619EA" w:rsidRPr="007D6590" w:rsidRDefault="00145FA3" w:rsidP="00396E87">
                  <w:pPr>
                    <w:pStyle w:val="StandardOCAshurst"/>
                    <w:jc w:val="right"/>
                    <w:rPr>
                      <w:sz w:val="16"/>
                      <w:szCs w:val="16"/>
                    </w:rPr>
                  </w:pPr>
                  <w:r>
                    <w:rPr>
                      <w:sz w:val="16"/>
                      <w:szCs w:val="16"/>
                    </w:rPr>
                    <w:t>1,64</w:t>
                  </w:r>
                  <w:r w:rsidR="00CC515C">
                    <w:rPr>
                      <w:sz w:val="16"/>
                      <w:szCs w:val="16"/>
                    </w:rPr>
                    <w:t>6,459</w:t>
                  </w:r>
                </w:p>
              </w:tc>
              <w:tc>
                <w:tcPr>
                  <w:tcW w:w="1559" w:type="dxa"/>
                  <w:vAlign w:val="bottom"/>
                  <w:hideMark/>
                </w:tcPr>
                <w:p w14:paraId="29DD7FFE" w14:textId="5ACE651F" w:rsidR="007619EA" w:rsidRPr="007D6590" w:rsidRDefault="00145FA3" w:rsidP="00396E87">
                  <w:pPr>
                    <w:pStyle w:val="StandardOCAshurst"/>
                    <w:jc w:val="right"/>
                    <w:rPr>
                      <w:sz w:val="16"/>
                      <w:szCs w:val="16"/>
                    </w:rPr>
                  </w:pPr>
                  <w:r>
                    <w:rPr>
                      <w:sz w:val="16"/>
                      <w:szCs w:val="16"/>
                    </w:rPr>
                    <w:t>1,29</w:t>
                  </w:r>
                  <w:r w:rsidR="00CC515C">
                    <w:rPr>
                      <w:sz w:val="16"/>
                      <w:szCs w:val="16"/>
                    </w:rPr>
                    <w:t>8,437</w:t>
                  </w:r>
                </w:p>
              </w:tc>
            </w:tr>
            <w:tr w:rsidR="007619EA" w:rsidRPr="007D6590" w14:paraId="3795F775" w14:textId="77777777" w:rsidTr="00186BEA">
              <w:tc>
                <w:tcPr>
                  <w:tcW w:w="3581" w:type="dxa"/>
                  <w:hideMark/>
                </w:tcPr>
                <w:p w14:paraId="2D185B56" w14:textId="77777777" w:rsidR="007619EA" w:rsidRPr="007D6590" w:rsidRDefault="007619EA" w:rsidP="00396E87">
                  <w:pPr>
                    <w:pStyle w:val="StandardOCAshurst"/>
                    <w:tabs>
                      <w:tab w:val="right" w:leader="dot" w:pos="3331"/>
                    </w:tabs>
                    <w:jc w:val="left"/>
                    <w:rPr>
                      <w:sz w:val="16"/>
                      <w:szCs w:val="16"/>
                    </w:rPr>
                  </w:pPr>
                  <w:r w:rsidRPr="007D6590">
                    <w:rPr>
                      <w:sz w:val="16"/>
                      <w:szCs w:val="16"/>
                    </w:rPr>
                    <w:t>Cost of sales</w:t>
                  </w:r>
                  <w:r w:rsidRPr="007D6590">
                    <w:rPr>
                      <w:sz w:val="16"/>
                      <w:szCs w:val="16"/>
                    </w:rPr>
                    <w:tab/>
                  </w:r>
                </w:p>
              </w:tc>
              <w:tc>
                <w:tcPr>
                  <w:tcW w:w="1559" w:type="dxa"/>
                  <w:vAlign w:val="bottom"/>
                  <w:hideMark/>
                </w:tcPr>
                <w:p w14:paraId="1A74BD19" w14:textId="77777777" w:rsidR="007619EA" w:rsidRPr="007D6590" w:rsidRDefault="007619EA" w:rsidP="00396E87">
                  <w:pPr>
                    <w:pStyle w:val="StandardOCAshurst"/>
                    <w:jc w:val="right"/>
                    <w:rPr>
                      <w:sz w:val="16"/>
                      <w:szCs w:val="16"/>
                    </w:rPr>
                  </w:pPr>
                  <w:r w:rsidRPr="007D6590">
                    <w:rPr>
                      <w:sz w:val="16"/>
                      <w:szCs w:val="16"/>
                    </w:rPr>
                    <w:t>(799,081)</w:t>
                  </w:r>
                </w:p>
              </w:tc>
              <w:tc>
                <w:tcPr>
                  <w:tcW w:w="1559" w:type="dxa"/>
                  <w:vAlign w:val="bottom"/>
                  <w:hideMark/>
                </w:tcPr>
                <w:p w14:paraId="0B872D2B" w14:textId="77777777" w:rsidR="007619EA" w:rsidRPr="007D6590" w:rsidRDefault="007619EA" w:rsidP="00396E87">
                  <w:pPr>
                    <w:pStyle w:val="StandardOCAshurst"/>
                    <w:jc w:val="right"/>
                    <w:rPr>
                      <w:sz w:val="16"/>
                      <w:szCs w:val="16"/>
                    </w:rPr>
                  </w:pPr>
                  <w:r w:rsidRPr="007D6590">
                    <w:rPr>
                      <w:sz w:val="16"/>
                      <w:szCs w:val="16"/>
                    </w:rPr>
                    <w:t>(1,243,948)</w:t>
                  </w:r>
                </w:p>
              </w:tc>
              <w:tc>
                <w:tcPr>
                  <w:tcW w:w="1559" w:type="dxa"/>
                  <w:vAlign w:val="bottom"/>
                  <w:hideMark/>
                </w:tcPr>
                <w:p w14:paraId="5BDC903A" w14:textId="77777777" w:rsidR="007619EA" w:rsidRPr="007D6590" w:rsidRDefault="007619EA" w:rsidP="00396E87">
                  <w:pPr>
                    <w:pStyle w:val="StandardOCAshurst"/>
                    <w:jc w:val="right"/>
                    <w:rPr>
                      <w:sz w:val="16"/>
                      <w:szCs w:val="16"/>
                    </w:rPr>
                  </w:pPr>
                  <w:r w:rsidRPr="007D6590">
                    <w:rPr>
                      <w:sz w:val="16"/>
                      <w:szCs w:val="16"/>
                    </w:rPr>
                    <w:t>(924,302)</w:t>
                  </w:r>
                </w:p>
              </w:tc>
            </w:tr>
            <w:tr w:rsidR="007619EA" w:rsidRPr="007D6590" w14:paraId="136A4E12" w14:textId="77777777" w:rsidTr="00186BEA">
              <w:tc>
                <w:tcPr>
                  <w:tcW w:w="3581" w:type="dxa"/>
                  <w:hideMark/>
                </w:tcPr>
                <w:p w14:paraId="0F431D0C" w14:textId="12B5D22B" w:rsidR="007619EA" w:rsidRPr="007D6590" w:rsidRDefault="007619EA" w:rsidP="00396E87">
                  <w:pPr>
                    <w:pStyle w:val="StandardOCAshurst"/>
                    <w:tabs>
                      <w:tab w:val="right" w:leader="dot" w:pos="3331"/>
                    </w:tabs>
                    <w:jc w:val="left"/>
                    <w:rPr>
                      <w:sz w:val="16"/>
                      <w:szCs w:val="16"/>
                    </w:rPr>
                  </w:pPr>
                  <w:r w:rsidRPr="007D6590">
                    <w:rPr>
                      <w:sz w:val="16"/>
                      <w:szCs w:val="16"/>
                    </w:rPr>
                    <w:t>Gross profit</w:t>
                  </w:r>
                  <w:r w:rsidRPr="007D6590">
                    <w:rPr>
                      <w:sz w:val="16"/>
                      <w:szCs w:val="16"/>
                    </w:rPr>
                    <w:tab/>
                  </w:r>
                </w:p>
              </w:tc>
              <w:tc>
                <w:tcPr>
                  <w:tcW w:w="1559" w:type="dxa"/>
                  <w:vAlign w:val="bottom"/>
                  <w:hideMark/>
                </w:tcPr>
                <w:p w14:paraId="1CBE0B29" w14:textId="1465001D" w:rsidR="007619EA" w:rsidRPr="007D6590" w:rsidRDefault="00145FA3" w:rsidP="00396E87">
                  <w:pPr>
                    <w:pStyle w:val="StandardOCAshurst"/>
                    <w:jc w:val="right"/>
                    <w:rPr>
                      <w:sz w:val="16"/>
                      <w:szCs w:val="16"/>
                    </w:rPr>
                  </w:pPr>
                  <w:r>
                    <w:rPr>
                      <w:sz w:val="16"/>
                      <w:szCs w:val="16"/>
                    </w:rPr>
                    <w:t>64,771</w:t>
                  </w:r>
                  <w:r w:rsidR="00CC515C" w:rsidRPr="00C5357C">
                    <w:rPr>
                      <w:sz w:val="16"/>
                      <w:szCs w:val="16"/>
                      <w:vertAlign w:val="superscript"/>
                    </w:rPr>
                    <w:t>(1)</w:t>
                  </w:r>
                </w:p>
              </w:tc>
              <w:tc>
                <w:tcPr>
                  <w:tcW w:w="1559" w:type="dxa"/>
                  <w:vAlign w:val="bottom"/>
                  <w:hideMark/>
                </w:tcPr>
                <w:p w14:paraId="41BEE768" w14:textId="644C8593" w:rsidR="007619EA" w:rsidRPr="007D6590" w:rsidRDefault="00145FA3" w:rsidP="00396E87">
                  <w:pPr>
                    <w:pStyle w:val="StandardOCAshurst"/>
                    <w:jc w:val="right"/>
                    <w:rPr>
                      <w:sz w:val="16"/>
                      <w:szCs w:val="16"/>
                    </w:rPr>
                  </w:pPr>
                  <w:r>
                    <w:rPr>
                      <w:sz w:val="16"/>
                      <w:szCs w:val="16"/>
                    </w:rPr>
                    <w:t>40</w:t>
                  </w:r>
                  <w:r w:rsidR="00CC515C">
                    <w:rPr>
                      <w:sz w:val="16"/>
                      <w:szCs w:val="16"/>
                    </w:rPr>
                    <w:t>2,511</w:t>
                  </w:r>
                </w:p>
              </w:tc>
              <w:tc>
                <w:tcPr>
                  <w:tcW w:w="1559" w:type="dxa"/>
                  <w:vAlign w:val="bottom"/>
                  <w:hideMark/>
                </w:tcPr>
                <w:p w14:paraId="53C04D82" w14:textId="66AD3CF4" w:rsidR="007619EA" w:rsidRPr="007D6590" w:rsidRDefault="00145FA3" w:rsidP="00396E87">
                  <w:pPr>
                    <w:pStyle w:val="StandardOCAshurst"/>
                    <w:jc w:val="right"/>
                    <w:rPr>
                      <w:sz w:val="16"/>
                      <w:szCs w:val="16"/>
                    </w:rPr>
                  </w:pPr>
                  <w:r>
                    <w:rPr>
                      <w:sz w:val="16"/>
                      <w:szCs w:val="16"/>
                    </w:rPr>
                    <w:t>37</w:t>
                  </w:r>
                  <w:r w:rsidR="003D5792">
                    <w:rPr>
                      <w:sz w:val="16"/>
                      <w:szCs w:val="16"/>
                    </w:rPr>
                    <w:t>4,135</w:t>
                  </w:r>
                </w:p>
              </w:tc>
            </w:tr>
            <w:tr w:rsidR="007619EA" w:rsidRPr="007D6590" w14:paraId="36EF20A2" w14:textId="77777777" w:rsidTr="00186BEA">
              <w:tc>
                <w:tcPr>
                  <w:tcW w:w="3581" w:type="dxa"/>
                  <w:hideMark/>
                </w:tcPr>
                <w:p w14:paraId="7041B3D8" w14:textId="77777777" w:rsidR="007619EA" w:rsidRPr="007D6590" w:rsidRDefault="007619EA" w:rsidP="00396E87">
                  <w:pPr>
                    <w:pStyle w:val="StandardOCAshurst"/>
                    <w:tabs>
                      <w:tab w:val="right" w:leader="dot" w:pos="3331"/>
                    </w:tabs>
                    <w:jc w:val="left"/>
                    <w:rPr>
                      <w:sz w:val="16"/>
                      <w:szCs w:val="16"/>
                    </w:rPr>
                  </w:pPr>
                  <w:r w:rsidRPr="007D6590">
                    <w:rPr>
                      <w:sz w:val="16"/>
                      <w:szCs w:val="16"/>
                    </w:rPr>
                    <w:t>Profit/(loss) from operations before tax and finance income/(costs)</w:t>
                  </w:r>
                  <w:r w:rsidRPr="007D6590">
                    <w:rPr>
                      <w:sz w:val="16"/>
                      <w:szCs w:val="16"/>
                    </w:rPr>
                    <w:tab/>
                  </w:r>
                </w:p>
              </w:tc>
              <w:tc>
                <w:tcPr>
                  <w:tcW w:w="1559" w:type="dxa"/>
                  <w:vAlign w:val="bottom"/>
                  <w:hideMark/>
                </w:tcPr>
                <w:p w14:paraId="239D6539" w14:textId="77777777" w:rsidR="007619EA" w:rsidRPr="007D6590" w:rsidRDefault="007619EA" w:rsidP="00396E87">
                  <w:pPr>
                    <w:pStyle w:val="StandardOCAshurst"/>
                    <w:jc w:val="right"/>
                    <w:rPr>
                      <w:sz w:val="16"/>
                      <w:szCs w:val="16"/>
                    </w:rPr>
                  </w:pPr>
                  <w:r w:rsidRPr="007D6590">
                    <w:rPr>
                      <w:sz w:val="16"/>
                      <w:szCs w:val="16"/>
                    </w:rPr>
                    <w:t>(310,069)</w:t>
                  </w:r>
                </w:p>
              </w:tc>
              <w:tc>
                <w:tcPr>
                  <w:tcW w:w="1559" w:type="dxa"/>
                  <w:vAlign w:val="bottom"/>
                  <w:hideMark/>
                </w:tcPr>
                <w:p w14:paraId="68410A01" w14:textId="77777777" w:rsidR="007619EA" w:rsidRPr="007D6590" w:rsidRDefault="007619EA" w:rsidP="00396E87">
                  <w:pPr>
                    <w:pStyle w:val="StandardOCAshurst"/>
                    <w:jc w:val="right"/>
                    <w:rPr>
                      <w:sz w:val="16"/>
                      <w:szCs w:val="16"/>
                    </w:rPr>
                  </w:pPr>
                  <w:r w:rsidRPr="007D6590">
                    <w:rPr>
                      <w:sz w:val="16"/>
                      <w:szCs w:val="16"/>
                    </w:rPr>
                    <w:t>(467,768)</w:t>
                  </w:r>
                </w:p>
              </w:tc>
              <w:tc>
                <w:tcPr>
                  <w:tcW w:w="1559" w:type="dxa"/>
                  <w:vAlign w:val="bottom"/>
                  <w:hideMark/>
                </w:tcPr>
                <w:p w14:paraId="2229C173" w14:textId="77777777" w:rsidR="007619EA" w:rsidRPr="007D6590" w:rsidRDefault="007619EA" w:rsidP="00396E87">
                  <w:pPr>
                    <w:pStyle w:val="StandardOCAshurst"/>
                    <w:jc w:val="right"/>
                    <w:rPr>
                      <w:sz w:val="16"/>
                      <w:szCs w:val="16"/>
                    </w:rPr>
                  </w:pPr>
                  <w:r w:rsidRPr="007D6590">
                    <w:rPr>
                      <w:sz w:val="16"/>
                      <w:szCs w:val="16"/>
                    </w:rPr>
                    <w:t>326,738</w:t>
                  </w:r>
                </w:p>
              </w:tc>
            </w:tr>
            <w:tr w:rsidR="007619EA" w:rsidRPr="007D6590" w14:paraId="077F1FBC" w14:textId="77777777" w:rsidTr="00186BEA">
              <w:tc>
                <w:tcPr>
                  <w:tcW w:w="3581" w:type="dxa"/>
                  <w:hideMark/>
                </w:tcPr>
                <w:p w14:paraId="0EC3C81D" w14:textId="77777777" w:rsidR="007619EA" w:rsidRPr="007D6590" w:rsidRDefault="007619EA" w:rsidP="00396E87">
                  <w:pPr>
                    <w:pStyle w:val="StandardOCAshurst"/>
                    <w:tabs>
                      <w:tab w:val="right" w:leader="dot" w:pos="3331"/>
                    </w:tabs>
                    <w:jc w:val="left"/>
                    <w:rPr>
                      <w:sz w:val="16"/>
                      <w:szCs w:val="16"/>
                    </w:rPr>
                  </w:pPr>
                  <w:r w:rsidRPr="007D6590">
                    <w:rPr>
                      <w:sz w:val="16"/>
                      <w:szCs w:val="16"/>
                    </w:rPr>
                    <w:t>Profit/(loss) before tax</w:t>
                  </w:r>
                  <w:r w:rsidRPr="007D6590">
                    <w:rPr>
                      <w:sz w:val="16"/>
                      <w:szCs w:val="16"/>
                    </w:rPr>
                    <w:tab/>
                  </w:r>
                </w:p>
              </w:tc>
              <w:tc>
                <w:tcPr>
                  <w:tcW w:w="1559" w:type="dxa"/>
                  <w:vAlign w:val="bottom"/>
                  <w:hideMark/>
                </w:tcPr>
                <w:p w14:paraId="07E0AB2C" w14:textId="77777777" w:rsidR="007619EA" w:rsidRPr="007D6590" w:rsidRDefault="007619EA" w:rsidP="00396E87">
                  <w:pPr>
                    <w:pStyle w:val="StandardOCAshurst"/>
                    <w:jc w:val="right"/>
                    <w:rPr>
                      <w:sz w:val="16"/>
                      <w:szCs w:val="16"/>
                    </w:rPr>
                  </w:pPr>
                  <w:r w:rsidRPr="007D6590">
                    <w:rPr>
                      <w:sz w:val="16"/>
                      <w:szCs w:val="16"/>
                    </w:rPr>
                    <w:t>(565,975)</w:t>
                  </w:r>
                </w:p>
              </w:tc>
              <w:tc>
                <w:tcPr>
                  <w:tcW w:w="1559" w:type="dxa"/>
                  <w:vAlign w:val="bottom"/>
                  <w:hideMark/>
                </w:tcPr>
                <w:p w14:paraId="51137805" w14:textId="77777777" w:rsidR="007619EA" w:rsidRPr="007D6590" w:rsidRDefault="007619EA" w:rsidP="00396E87">
                  <w:pPr>
                    <w:pStyle w:val="StandardOCAshurst"/>
                    <w:jc w:val="right"/>
                    <w:rPr>
                      <w:sz w:val="16"/>
                      <w:szCs w:val="16"/>
                    </w:rPr>
                  </w:pPr>
                  <w:r w:rsidRPr="007D6590">
                    <w:rPr>
                      <w:sz w:val="16"/>
                      <w:szCs w:val="16"/>
                    </w:rPr>
                    <w:t>(729,113)</w:t>
                  </w:r>
                </w:p>
              </w:tc>
              <w:tc>
                <w:tcPr>
                  <w:tcW w:w="1559" w:type="dxa"/>
                  <w:vAlign w:val="bottom"/>
                  <w:hideMark/>
                </w:tcPr>
                <w:p w14:paraId="72F04B21" w14:textId="77777777" w:rsidR="007619EA" w:rsidRPr="007D6590" w:rsidRDefault="007619EA" w:rsidP="00396E87">
                  <w:pPr>
                    <w:pStyle w:val="StandardOCAshurst"/>
                    <w:jc w:val="right"/>
                    <w:rPr>
                      <w:sz w:val="16"/>
                      <w:szCs w:val="16"/>
                    </w:rPr>
                  </w:pPr>
                  <w:r w:rsidRPr="007D6590">
                    <w:rPr>
                      <w:sz w:val="16"/>
                      <w:szCs w:val="16"/>
                    </w:rPr>
                    <w:t>93,985</w:t>
                  </w:r>
                </w:p>
              </w:tc>
            </w:tr>
            <w:tr w:rsidR="00193836" w:rsidRPr="007D6590" w14:paraId="3EB944E8" w14:textId="77777777" w:rsidTr="001E486A">
              <w:tc>
                <w:tcPr>
                  <w:tcW w:w="3581" w:type="dxa"/>
                  <w:hideMark/>
                </w:tcPr>
                <w:p w14:paraId="32F134C2" w14:textId="77777777" w:rsidR="00193836" w:rsidRPr="007D6590" w:rsidRDefault="00193836" w:rsidP="00193836">
                  <w:pPr>
                    <w:pStyle w:val="StandardOCAshurst"/>
                    <w:tabs>
                      <w:tab w:val="right" w:leader="dot" w:pos="3331"/>
                    </w:tabs>
                    <w:jc w:val="left"/>
                    <w:rPr>
                      <w:sz w:val="16"/>
                      <w:szCs w:val="16"/>
                    </w:rPr>
                  </w:pPr>
                  <w:r w:rsidRPr="007D6590">
                    <w:rPr>
                      <w:sz w:val="16"/>
                      <w:szCs w:val="16"/>
                    </w:rPr>
                    <w:t>Income tax</w:t>
                  </w:r>
                  <w:r w:rsidRPr="007D6590">
                    <w:rPr>
                      <w:sz w:val="16"/>
                      <w:szCs w:val="16"/>
                    </w:rPr>
                    <w:tab/>
                  </w:r>
                </w:p>
              </w:tc>
              <w:tc>
                <w:tcPr>
                  <w:tcW w:w="1559" w:type="dxa"/>
                  <w:hideMark/>
                </w:tcPr>
                <w:p w14:paraId="6A81B890" w14:textId="79CB1652" w:rsidR="00193836" w:rsidRPr="00193836" w:rsidRDefault="00193836" w:rsidP="00193836">
                  <w:pPr>
                    <w:pStyle w:val="StandardOCAshurst"/>
                    <w:jc w:val="right"/>
                    <w:rPr>
                      <w:sz w:val="16"/>
                      <w:szCs w:val="16"/>
                    </w:rPr>
                  </w:pPr>
                  <w:r w:rsidRPr="001E486A">
                    <w:rPr>
                      <w:sz w:val="16"/>
                      <w:szCs w:val="16"/>
                    </w:rPr>
                    <w:t>96,030</w:t>
                  </w:r>
                </w:p>
              </w:tc>
              <w:tc>
                <w:tcPr>
                  <w:tcW w:w="1559" w:type="dxa"/>
                  <w:vAlign w:val="bottom"/>
                  <w:hideMark/>
                </w:tcPr>
                <w:p w14:paraId="0D924E19" w14:textId="77777777" w:rsidR="00193836" w:rsidRPr="007D6590" w:rsidRDefault="00193836" w:rsidP="00193836">
                  <w:pPr>
                    <w:pStyle w:val="StandardOCAshurst"/>
                    <w:jc w:val="right"/>
                    <w:rPr>
                      <w:sz w:val="16"/>
                      <w:szCs w:val="16"/>
                    </w:rPr>
                  </w:pPr>
                  <w:r w:rsidRPr="007D6590">
                    <w:rPr>
                      <w:sz w:val="16"/>
                      <w:szCs w:val="16"/>
                    </w:rPr>
                    <w:t>279,812</w:t>
                  </w:r>
                </w:p>
              </w:tc>
              <w:tc>
                <w:tcPr>
                  <w:tcW w:w="1559" w:type="dxa"/>
                  <w:vAlign w:val="bottom"/>
                  <w:hideMark/>
                </w:tcPr>
                <w:p w14:paraId="40CACA22" w14:textId="77777777" w:rsidR="00193836" w:rsidRPr="007D6590" w:rsidRDefault="00193836" w:rsidP="00193836">
                  <w:pPr>
                    <w:pStyle w:val="StandardOCAshurst"/>
                    <w:jc w:val="right"/>
                    <w:rPr>
                      <w:sz w:val="16"/>
                      <w:szCs w:val="16"/>
                    </w:rPr>
                  </w:pPr>
                  <w:r w:rsidRPr="007D6590">
                    <w:rPr>
                      <w:sz w:val="16"/>
                      <w:szCs w:val="16"/>
                    </w:rPr>
                    <w:t>33,293</w:t>
                  </w:r>
                </w:p>
              </w:tc>
            </w:tr>
            <w:tr w:rsidR="00193836" w:rsidRPr="007D6590" w14:paraId="01939175" w14:textId="77777777" w:rsidTr="001E486A">
              <w:tc>
                <w:tcPr>
                  <w:tcW w:w="3581" w:type="dxa"/>
                  <w:hideMark/>
                </w:tcPr>
                <w:p w14:paraId="649547DA" w14:textId="77777777" w:rsidR="00193836" w:rsidRPr="007D6590" w:rsidRDefault="00193836" w:rsidP="00193836">
                  <w:pPr>
                    <w:pStyle w:val="StandardOCAshurst"/>
                    <w:tabs>
                      <w:tab w:val="right" w:leader="dot" w:pos="3331"/>
                    </w:tabs>
                    <w:jc w:val="left"/>
                    <w:rPr>
                      <w:sz w:val="16"/>
                      <w:szCs w:val="16"/>
                    </w:rPr>
                  </w:pPr>
                  <w:r w:rsidRPr="007D6590">
                    <w:rPr>
                      <w:sz w:val="16"/>
                      <w:szCs w:val="16"/>
                    </w:rPr>
                    <w:t>Profit/(loss) for the year attributable to owners of the parent</w:t>
                  </w:r>
                  <w:r w:rsidRPr="007D6590">
                    <w:rPr>
                      <w:sz w:val="16"/>
                      <w:szCs w:val="16"/>
                    </w:rPr>
                    <w:tab/>
                  </w:r>
                </w:p>
              </w:tc>
              <w:tc>
                <w:tcPr>
                  <w:tcW w:w="1559" w:type="dxa"/>
                  <w:hideMark/>
                </w:tcPr>
                <w:p w14:paraId="40CAC87E" w14:textId="77777777" w:rsidR="003D5792" w:rsidRDefault="003D5792" w:rsidP="00193836">
                  <w:pPr>
                    <w:pStyle w:val="StandardOCAshurst"/>
                    <w:jc w:val="right"/>
                    <w:rPr>
                      <w:sz w:val="16"/>
                      <w:szCs w:val="16"/>
                    </w:rPr>
                  </w:pPr>
                </w:p>
                <w:p w14:paraId="4DF272A7" w14:textId="2CEDFB34" w:rsidR="00193836" w:rsidRPr="00193836" w:rsidRDefault="00193836" w:rsidP="00193836">
                  <w:pPr>
                    <w:pStyle w:val="StandardOCAshurst"/>
                    <w:jc w:val="right"/>
                    <w:rPr>
                      <w:sz w:val="16"/>
                      <w:szCs w:val="16"/>
                    </w:rPr>
                  </w:pPr>
                  <w:r w:rsidRPr="001E486A">
                    <w:rPr>
                      <w:sz w:val="16"/>
                      <w:szCs w:val="16"/>
                    </w:rPr>
                    <w:t>(469,945)</w:t>
                  </w:r>
                </w:p>
              </w:tc>
              <w:tc>
                <w:tcPr>
                  <w:tcW w:w="1559" w:type="dxa"/>
                  <w:vAlign w:val="bottom"/>
                  <w:hideMark/>
                </w:tcPr>
                <w:p w14:paraId="69253F31" w14:textId="77777777" w:rsidR="00193836" w:rsidRPr="007D6590" w:rsidRDefault="00193836" w:rsidP="00193836">
                  <w:pPr>
                    <w:pStyle w:val="StandardOCAshurst"/>
                    <w:jc w:val="right"/>
                    <w:rPr>
                      <w:sz w:val="16"/>
                      <w:szCs w:val="16"/>
                    </w:rPr>
                  </w:pPr>
                  <w:r w:rsidRPr="007D6590">
                    <w:rPr>
                      <w:sz w:val="16"/>
                      <w:szCs w:val="16"/>
                    </w:rPr>
                    <w:t>(449,301)</w:t>
                  </w:r>
                </w:p>
              </w:tc>
              <w:tc>
                <w:tcPr>
                  <w:tcW w:w="1559" w:type="dxa"/>
                  <w:vAlign w:val="bottom"/>
                  <w:hideMark/>
                </w:tcPr>
                <w:p w14:paraId="54F6226D" w14:textId="77777777" w:rsidR="00193836" w:rsidRPr="007D6590" w:rsidRDefault="00193836" w:rsidP="00193836">
                  <w:pPr>
                    <w:pStyle w:val="StandardOCAshurst"/>
                    <w:jc w:val="right"/>
                    <w:rPr>
                      <w:sz w:val="16"/>
                      <w:szCs w:val="16"/>
                    </w:rPr>
                  </w:pPr>
                  <w:r w:rsidRPr="007D6590">
                    <w:rPr>
                      <w:sz w:val="16"/>
                      <w:szCs w:val="16"/>
                    </w:rPr>
                    <w:t>127,278</w:t>
                  </w:r>
                </w:p>
              </w:tc>
            </w:tr>
            <w:tr w:rsidR="00193836" w:rsidRPr="007D6590" w14:paraId="67F856D5" w14:textId="77777777" w:rsidTr="001E486A">
              <w:tc>
                <w:tcPr>
                  <w:tcW w:w="3581" w:type="dxa"/>
                  <w:hideMark/>
                </w:tcPr>
                <w:p w14:paraId="153FF186" w14:textId="77777777" w:rsidR="00193836" w:rsidRPr="007D6590" w:rsidRDefault="00193836" w:rsidP="00193836">
                  <w:pPr>
                    <w:pStyle w:val="StandardOCAshurst"/>
                    <w:tabs>
                      <w:tab w:val="right" w:leader="dot" w:pos="3331"/>
                    </w:tabs>
                    <w:jc w:val="left"/>
                    <w:rPr>
                      <w:sz w:val="16"/>
                      <w:szCs w:val="16"/>
                    </w:rPr>
                  </w:pPr>
                  <w:r w:rsidRPr="007D6590">
                    <w:rPr>
                      <w:sz w:val="16"/>
                      <w:szCs w:val="16"/>
                    </w:rPr>
                    <w:t>Total comprehensive income for the year, attributable to the owners of the parent</w:t>
                  </w:r>
                  <w:r w:rsidRPr="007D6590">
                    <w:rPr>
                      <w:sz w:val="16"/>
                      <w:szCs w:val="16"/>
                    </w:rPr>
                    <w:tab/>
                  </w:r>
                </w:p>
              </w:tc>
              <w:tc>
                <w:tcPr>
                  <w:tcW w:w="1559" w:type="dxa"/>
                  <w:hideMark/>
                </w:tcPr>
                <w:p w14:paraId="75A8CE18" w14:textId="77777777" w:rsidR="003D5792" w:rsidRDefault="003D5792" w:rsidP="00193836">
                  <w:pPr>
                    <w:pStyle w:val="StandardOCAshurst"/>
                    <w:jc w:val="right"/>
                    <w:rPr>
                      <w:sz w:val="16"/>
                      <w:szCs w:val="16"/>
                    </w:rPr>
                  </w:pPr>
                </w:p>
                <w:p w14:paraId="5121681D" w14:textId="3E7A5201" w:rsidR="00193836" w:rsidRPr="00193836" w:rsidRDefault="00193836" w:rsidP="00193836">
                  <w:pPr>
                    <w:pStyle w:val="StandardOCAshurst"/>
                    <w:jc w:val="right"/>
                    <w:rPr>
                      <w:sz w:val="16"/>
                      <w:szCs w:val="16"/>
                    </w:rPr>
                  </w:pPr>
                  <w:r w:rsidRPr="001E486A">
                    <w:rPr>
                      <w:sz w:val="16"/>
                      <w:szCs w:val="16"/>
                    </w:rPr>
                    <w:t>(469,945)</w:t>
                  </w:r>
                </w:p>
              </w:tc>
              <w:tc>
                <w:tcPr>
                  <w:tcW w:w="1559" w:type="dxa"/>
                  <w:vAlign w:val="bottom"/>
                  <w:hideMark/>
                </w:tcPr>
                <w:p w14:paraId="09A3FBFD" w14:textId="77777777" w:rsidR="00193836" w:rsidRPr="007D6590" w:rsidRDefault="00193836" w:rsidP="00193836">
                  <w:pPr>
                    <w:pStyle w:val="StandardOCAshurst"/>
                    <w:jc w:val="right"/>
                    <w:rPr>
                      <w:sz w:val="16"/>
                      <w:szCs w:val="16"/>
                    </w:rPr>
                  </w:pPr>
                  <w:r w:rsidRPr="007D6590">
                    <w:rPr>
                      <w:sz w:val="16"/>
                      <w:szCs w:val="16"/>
                    </w:rPr>
                    <w:t>(449,301)</w:t>
                  </w:r>
                </w:p>
              </w:tc>
              <w:tc>
                <w:tcPr>
                  <w:tcW w:w="1559" w:type="dxa"/>
                  <w:vAlign w:val="bottom"/>
                  <w:hideMark/>
                </w:tcPr>
                <w:p w14:paraId="7306D3CD" w14:textId="77777777" w:rsidR="00193836" w:rsidRPr="007D6590" w:rsidRDefault="00193836" w:rsidP="00193836">
                  <w:pPr>
                    <w:pStyle w:val="StandardOCAshurst"/>
                    <w:jc w:val="right"/>
                    <w:rPr>
                      <w:sz w:val="16"/>
                      <w:szCs w:val="16"/>
                    </w:rPr>
                  </w:pPr>
                  <w:r w:rsidRPr="007D6590">
                    <w:rPr>
                      <w:sz w:val="16"/>
                      <w:szCs w:val="16"/>
                    </w:rPr>
                    <w:t>127,278</w:t>
                  </w:r>
                </w:p>
              </w:tc>
            </w:tr>
            <w:tr w:rsidR="007619EA" w:rsidRPr="007D6590" w14:paraId="20A39493" w14:textId="77777777" w:rsidTr="00186BEA">
              <w:tc>
                <w:tcPr>
                  <w:tcW w:w="3581" w:type="dxa"/>
                </w:tcPr>
                <w:p w14:paraId="3D2810DB" w14:textId="77777777" w:rsidR="007619EA" w:rsidRPr="007D6590" w:rsidRDefault="007619EA" w:rsidP="00396E87">
                  <w:pPr>
                    <w:pStyle w:val="StandardOCAshurst"/>
                    <w:tabs>
                      <w:tab w:val="right" w:leader="dot" w:pos="3331"/>
                    </w:tabs>
                    <w:jc w:val="left"/>
                    <w:rPr>
                      <w:sz w:val="16"/>
                      <w:szCs w:val="16"/>
                    </w:rPr>
                  </w:pPr>
                </w:p>
              </w:tc>
              <w:tc>
                <w:tcPr>
                  <w:tcW w:w="1559" w:type="dxa"/>
                  <w:vAlign w:val="bottom"/>
                </w:tcPr>
                <w:p w14:paraId="451B757A" w14:textId="77777777" w:rsidR="007619EA" w:rsidRPr="007D6590" w:rsidRDefault="007619EA" w:rsidP="00396E87">
                  <w:pPr>
                    <w:pStyle w:val="StandardOCAshurst"/>
                    <w:jc w:val="right"/>
                    <w:rPr>
                      <w:sz w:val="16"/>
                      <w:szCs w:val="16"/>
                    </w:rPr>
                  </w:pPr>
                </w:p>
              </w:tc>
              <w:tc>
                <w:tcPr>
                  <w:tcW w:w="1559" w:type="dxa"/>
                  <w:vAlign w:val="bottom"/>
                </w:tcPr>
                <w:p w14:paraId="4976B3F1" w14:textId="77777777" w:rsidR="007619EA" w:rsidRPr="007D6590" w:rsidRDefault="007619EA" w:rsidP="00396E87">
                  <w:pPr>
                    <w:pStyle w:val="StandardOCAshurst"/>
                    <w:jc w:val="right"/>
                    <w:rPr>
                      <w:sz w:val="16"/>
                      <w:szCs w:val="16"/>
                    </w:rPr>
                  </w:pPr>
                </w:p>
              </w:tc>
              <w:tc>
                <w:tcPr>
                  <w:tcW w:w="1559" w:type="dxa"/>
                  <w:vAlign w:val="bottom"/>
                </w:tcPr>
                <w:p w14:paraId="69E21098" w14:textId="77777777" w:rsidR="007619EA" w:rsidRPr="007D6590" w:rsidRDefault="007619EA" w:rsidP="00396E87">
                  <w:pPr>
                    <w:pStyle w:val="StandardOCAshurst"/>
                    <w:jc w:val="right"/>
                    <w:rPr>
                      <w:sz w:val="16"/>
                      <w:szCs w:val="16"/>
                    </w:rPr>
                  </w:pPr>
                </w:p>
              </w:tc>
            </w:tr>
          </w:tbl>
          <w:p w14:paraId="449EA174" w14:textId="77777777" w:rsidR="00AB07B0" w:rsidRPr="00B91D1B" w:rsidRDefault="00AB07B0" w:rsidP="00AB07B0">
            <w:pPr>
              <w:pStyle w:val="H5OCAshurst"/>
              <w:numPr>
                <w:ilvl w:val="0"/>
                <w:numId w:val="0"/>
              </w:numPr>
              <w:spacing w:after="120"/>
              <w:rPr>
                <w:b/>
                <w:bCs/>
                <w:sz w:val="16"/>
                <w:szCs w:val="16"/>
              </w:rPr>
            </w:pPr>
            <w:r w:rsidRPr="00B91D1B">
              <w:rPr>
                <w:b/>
                <w:bCs/>
                <w:sz w:val="16"/>
                <w:szCs w:val="16"/>
              </w:rPr>
              <w:t>Note</w:t>
            </w:r>
            <w:r>
              <w:rPr>
                <w:b/>
                <w:bCs/>
                <w:sz w:val="16"/>
                <w:szCs w:val="16"/>
              </w:rPr>
              <w:t>:</w:t>
            </w:r>
            <w:r w:rsidRPr="00B91D1B">
              <w:rPr>
                <w:b/>
                <w:bCs/>
                <w:sz w:val="16"/>
                <w:szCs w:val="16"/>
              </w:rPr>
              <w:t xml:space="preserve"> </w:t>
            </w:r>
          </w:p>
          <w:p w14:paraId="14A4C5A5" w14:textId="40BF04C7" w:rsidR="00AB07B0" w:rsidRDefault="00AB07B0" w:rsidP="00AB07B0">
            <w:pPr>
              <w:pStyle w:val="H5OCAshurst"/>
              <w:numPr>
                <w:ilvl w:val="0"/>
                <w:numId w:val="0"/>
              </w:numPr>
              <w:spacing w:after="120"/>
              <w:ind w:left="709" w:hanging="709"/>
              <w:rPr>
                <w:sz w:val="16"/>
                <w:szCs w:val="16"/>
              </w:rPr>
            </w:pPr>
            <w:r w:rsidRPr="00B91D1B">
              <w:rPr>
                <w:sz w:val="16"/>
                <w:szCs w:val="16"/>
              </w:rPr>
              <w:t>(1)</w:t>
            </w:r>
            <w:r>
              <w:tab/>
            </w:r>
            <w:r w:rsidR="007512CE" w:rsidRPr="007512CE">
              <w:rPr>
                <w:sz w:val="16"/>
                <w:szCs w:val="16"/>
              </w:rPr>
              <w:t xml:space="preserve">EnQuest receives rental income for subleasing space in its corporate offices. The </w:t>
            </w:r>
            <w:r w:rsidR="007512CE">
              <w:rPr>
                <w:sz w:val="16"/>
                <w:szCs w:val="16"/>
              </w:rPr>
              <w:t xml:space="preserve">EnQuest </w:t>
            </w:r>
            <w:r w:rsidR="007512CE" w:rsidRPr="007512CE">
              <w:rPr>
                <w:sz w:val="16"/>
                <w:szCs w:val="16"/>
              </w:rPr>
              <w:t xml:space="preserve">Group previously presented the rental income associated with office subleases within revenue and other operating income in the income statement. The </w:t>
            </w:r>
            <w:r w:rsidR="007512CE">
              <w:rPr>
                <w:sz w:val="16"/>
                <w:szCs w:val="16"/>
              </w:rPr>
              <w:t xml:space="preserve">EnQuest </w:t>
            </w:r>
            <w:r w:rsidR="007512CE" w:rsidRPr="007512CE">
              <w:rPr>
                <w:sz w:val="16"/>
                <w:szCs w:val="16"/>
              </w:rPr>
              <w:t xml:space="preserve">Group has determined that the revenue derived from this income is not related to the principal activities of the </w:t>
            </w:r>
            <w:r w:rsidR="007512CE">
              <w:rPr>
                <w:sz w:val="16"/>
                <w:szCs w:val="16"/>
              </w:rPr>
              <w:t xml:space="preserve">EnQuest </w:t>
            </w:r>
            <w:r w:rsidR="007512CE" w:rsidRPr="007512CE">
              <w:rPr>
                <w:sz w:val="16"/>
                <w:szCs w:val="16"/>
              </w:rPr>
              <w:t xml:space="preserve">Group and should be presented within other income in the income statement resulting in a reduction in revenue and other operating income and an increase in other income </w:t>
            </w:r>
            <w:r w:rsidR="003D5792">
              <w:rPr>
                <w:sz w:val="16"/>
                <w:szCs w:val="16"/>
              </w:rPr>
              <w:t xml:space="preserve">in </w:t>
            </w:r>
            <w:r w:rsidR="007512CE" w:rsidRPr="007512CE">
              <w:rPr>
                <w:sz w:val="16"/>
                <w:szCs w:val="16"/>
              </w:rPr>
              <w:t>2020</w:t>
            </w:r>
            <w:r w:rsidR="003D5792">
              <w:rPr>
                <w:sz w:val="16"/>
                <w:szCs w:val="16"/>
              </w:rPr>
              <w:t xml:space="preserve"> of</w:t>
            </w:r>
            <w:r w:rsidR="007512CE" w:rsidRPr="007512CE">
              <w:rPr>
                <w:sz w:val="16"/>
                <w:szCs w:val="16"/>
              </w:rPr>
              <w:t xml:space="preserve"> $1.796 million</w:t>
            </w:r>
            <w:r w:rsidR="003D5792">
              <w:rPr>
                <w:sz w:val="16"/>
                <w:szCs w:val="16"/>
              </w:rPr>
              <w:t xml:space="preserve">. Comparative information </w:t>
            </w:r>
            <w:r w:rsidR="00D93BDB">
              <w:rPr>
                <w:sz w:val="16"/>
                <w:szCs w:val="16"/>
              </w:rPr>
              <w:t xml:space="preserve">has not been restated but the impact in </w:t>
            </w:r>
            <w:r w:rsidR="007512CE" w:rsidRPr="007512CE">
              <w:rPr>
                <w:sz w:val="16"/>
                <w:szCs w:val="16"/>
              </w:rPr>
              <w:t>2019</w:t>
            </w:r>
            <w:r w:rsidR="00D93BDB">
              <w:rPr>
                <w:sz w:val="16"/>
                <w:szCs w:val="16"/>
              </w:rPr>
              <w:t xml:space="preserve"> would have been a reclass of </w:t>
            </w:r>
            <w:r w:rsidR="007512CE" w:rsidRPr="007512CE">
              <w:rPr>
                <w:sz w:val="16"/>
                <w:szCs w:val="16"/>
              </w:rPr>
              <w:t xml:space="preserve"> $1.333 million</w:t>
            </w:r>
            <w:r w:rsidR="00D93BDB">
              <w:rPr>
                <w:sz w:val="16"/>
                <w:szCs w:val="16"/>
              </w:rPr>
              <w:t xml:space="preserve"> and in </w:t>
            </w:r>
            <w:r w:rsidR="007512CE" w:rsidRPr="007512CE">
              <w:rPr>
                <w:sz w:val="16"/>
                <w:szCs w:val="16"/>
              </w:rPr>
              <w:t>2018</w:t>
            </w:r>
            <w:r w:rsidR="00D93BDB">
              <w:rPr>
                <w:sz w:val="16"/>
                <w:szCs w:val="16"/>
              </w:rPr>
              <w:t xml:space="preserve"> a reclass of</w:t>
            </w:r>
            <w:r w:rsidR="007512CE" w:rsidRPr="007512CE">
              <w:rPr>
                <w:sz w:val="16"/>
                <w:szCs w:val="16"/>
              </w:rPr>
              <w:t xml:space="preserve"> $1.457 million. There is no impact on comparative information for profit/(loss) from operations before tax and finance income/(costs) or earnings per share</w:t>
            </w:r>
            <w:r w:rsidR="00D93BDB">
              <w:rPr>
                <w:sz w:val="16"/>
                <w:szCs w:val="16"/>
              </w:rPr>
              <w:t xml:space="preserve"> in any period</w:t>
            </w:r>
            <w:r w:rsidRPr="00B91D1B">
              <w:rPr>
                <w:sz w:val="16"/>
                <w:szCs w:val="16"/>
              </w:rPr>
              <w:t>.</w:t>
            </w:r>
          </w:p>
          <w:p w14:paraId="743174D3" w14:textId="77777777" w:rsidR="007619EA" w:rsidRPr="007D6590" w:rsidRDefault="007619EA" w:rsidP="00396E87">
            <w:pPr>
              <w:pStyle w:val="StandardOCAshurst"/>
              <w:rPr>
                <w:sz w:val="16"/>
                <w:szCs w:val="16"/>
              </w:rPr>
            </w:pPr>
          </w:p>
          <w:p w14:paraId="285BA902" w14:textId="1C66B2AD" w:rsidR="007619EA" w:rsidRPr="007D6590" w:rsidRDefault="007619EA" w:rsidP="00396E87">
            <w:pPr>
              <w:pStyle w:val="NormalOCAshurst"/>
              <w:spacing w:after="0"/>
              <w:rPr>
                <w:b/>
                <w:sz w:val="16"/>
                <w:szCs w:val="16"/>
              </w:rPr>
            </w:pPr>
            <w:r w:rsidRPr="007D6590">
              <w:rPr>
                <w:b/>
                <w:sz w:val="16"/>
                <w:szCs w:val="16"/>
              </w:rPr>
              <w:lastRenderedPageBreak/>
              <w:t>Group Balance Sheet</w:t>
            </w:r>
            <w:r w:rsidR="00932685">
              <w:rPr>
                <w:b/>
                <w:sz w:val="16"/>
                <w:szCs w:val="16"/>
              </w:rPr>
              <w:t xml:space="preserve"> </w:t>
            </w:r>
          </w:p>
          <w:tbl>
            <w:tblPr>
              <w:tblStyle w:val="TableGrid"/>
              <w:tblW w:w="8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1"/>
              <w:gridCol w:w="1559"/>
              <w:gridCol w:w="1559"/>
              <w:gridCol w:w="1559"/>
            </w:tblGrid>
            <w:tr w:rsidR="007619EA" w:rsidRPr="007D6590" w14:paraId="1968DFB5" w14:textId="77777777" w:rsidTr="00186BEA">
              <w:trPr>
                <w:trHeight w:val="269"/>
              </w:trPr>
              <w:tc>
                <w:tcPr>
                  <w:tcW w:w="3581" w:type="dxa"/>
                </w:tcPr>
                <w:p w14:paraId="5F6F69FF" w14:textId="77777777" w:rsidR="007619EA" w:rsidRPr="007D6590" w:rsidRDefault="007619EA" w:rsidP="00396E87">
                  <w:pPr>
                    <w:pStyle w:val="StandardOCAshurst"/>
                    <w:rPr>
                      <w:sz w:val="16"/>
                      <w:szCs w:val="16"/>
                    </w:rPr>
                  </w:pPr>
                  <w:bookmarkStart w:id="29" w:name="_Hlk81951689"/>
                </w:p>
              </w:tc>
              <w:tc>
                <w:tcPr>
                  <w:tcW w:w="4677" w:type="dxa"/>
                  <w:gridSpan w:val="3"/>
                  <w:vAlign w:val="bottom"/>
                  <w:hideMark/>
                </w:tcPr>
                <w:p w14:paraId="50424549" w14:textId="77777777" w:rsidR="007619EA" w:rsidRPr="007D6590" w:rsidRDefault="007619EA" w:rsidP="00396E87">
                  <w:pPr>
                    <w:pStyle w:val="StandardOCAshurst"/>
                    <w:pBdr>
                      <w:bottom w:val="single" w:sz="4" w:space="1" w:color="auto"/>
                    </w:pBdr>
                    <w:jc w:val="center"/>
                    <w:rPr>
                      <w:b/>
                      <w:sz w:val="16"/>
                      <w:szCs w:val="16"/>
                    </w:rPr>
                  </w:pPr>
                  <w:r w:rsidRPr="007D6590">
                    <w:rPr>
                      <w:b/>
                      <w:sz w:val="16"/>
                      <w:szCs w:val="16"/>
                    </w:rPr>
                    <w:t>As at 31 December</w:t>
                  </w:r>
                </w:p>
              </w:tc>
            </w:tr>
            <w:tr w:rsidR="007619EA" w:rsidRPr="007D6590" w14:paraId="5CD0847B" w14:textId="77777777" w:rsidTr="00186BEA">
              <w:trPr>
                <w:trHeight w:val="361"/>
              </w:trPr>
              <w:tc>
                <w:tcPr>
                  <w:tcW w:w="3581" w:type="dxa"/>
                </w:tcPr>
                <w:p w14:paraId="675AE297" w14:textId="77777777" w:rsidR="007619EA" w:rsidRPr="007D6590" w:rsidRDefault="007619EA" w:rsidP="00396E87">
                  <w:pPr>
                    <w:pStyle w:val="StandardOCAshurst"/>
                    <w:rPr>
                      <w:sz w:val="16"/>
                      <w:szCs w:val="16"/>
                    </w:rPr>
                  </w:pPr>
                </w:p>
              </w:tc>
              <w:tc>
                <w:tcPr>
                  <w:tcW w:w="1559" w:type="dxa"/>
                  <w:vAlign w:val="bottom"/>
                  <w:hideMark/>
                </w:tcPr>
                <w:p w14:paraId="24B3B1C5" w14:textId="77777777" w:rsidR="007619EA" w:rsidRPr="007D6590" w:rsidRDefault="007619EA" w:rsidP="00396E87">
                  <w:pPr>
                    <w:pStyle w:val="StandardOCAshurst"/>
                    <w:pBdr>
                      <w:bottom w:val="single" w:sz="4" w:space="1" w:color="auto"/>
                    </w:pBdr>
                    <w:jc w:val="center"/>
                    <w:rPr>
                      <w:b/>
                      <w:sz w:val="16"/>
                      <w:szCs w:val="16"/>
                    </w:rPr>
                  </w:pPr>
                  <w:r w:rsidRPr="007D6590">
                    <w:rPr>
                      <w:b/>
                      <w:sz w:val="16"/>
                      <w:szCs w:val="16"/>
                    </w:rPr>
                    <w:t>2020</w:t>
                  </w:r>
                </w:p>
                <w:p w14:paraId="1CB79029" w14:textId="4381599C" w:rsidR="007619EA" w:rsidRDefault="007619EA" w:rsidP="00396E87">
                  <w:pPr>
                    <w:pStyle w:val="StandardOCAshurst"/>
                    <w:pBdr>
                      <w:bottom w:val="single" w:sz="4" w:space="1" w:color="auto"/>
                    </w:pBdr>
                    <w:jc w:val="center"/>
                    <w:rPr>
                      <w:b/>
                      <w:sz w:val="16"/>
                      <w:szCs w:val="16"/>
                    </w:rPr>
                  </w:pPr>
                  <w:r w:rsidRPr="007D6590">
                    <w:rPr>
                      <w:b/>
                      <w:sz w:val="16"/>
                      <w:szCs w:val="16"/>
                    </w:rPr>
                    <w:t>(Audited)</w:t>
                  </w:r>
                </w:p>
                <w:p w14:paraId="54578804" w14:textId="1C7FBBF5" w:rsidR="002F484F" w:rsidRPr="007D6590" w:rsidRDefault="002F484F" w:rsidP="00396E87">
                  <w:pPr>
                    <w:pStyle w:val="StandardOCAshurst"/>
                    <w:pBdr>
                      <w:bottom w:val="single" w:sz="4" w:space="1" w:color="auto"/>
                    </w:pBdr>
                    <w:jc w:val="center"/>
                    <w:rPr>
                      <w:b/>
                      <w:sz w:val="16"/>
                      <w:szCs w:val="16"/>
                    </w:rPr>
                  </w:pPr>
                  <w:r>
                    <w:rPr>
                      <w:b/>
                      <w:sz w:val="16"/>
                      <w:szCs w:val="16"/>
                    </w:rPr>
                    <w:t>(restated)</w:t>
                  </w:r>
                </w:p>
                <w:p w14:paraId="49223435" w14:textId="77777777" w:rsidR="007619EA" w:rsidRPr="007D6590" w:rsidRDefault="007619EA" w:rsidP="00396E87">
                  <w:pPr>
                    <w:pStyle w:val="StandardOCAshurst"/>
                    <w:pBdr>
                      <w:bottom w:val="single" w:sz="4" w:space="1" w:color="auto"/>
                    </w:pBdr>
                    <w:jc w:val="center"/>
                    <w:rPr>
                      <w:b/>
                      <w:sz w:val="16"/>
                      <w:szCs w:val="16"/>
                    </w:rPr>
                  </w:pPr>
                  <w:r w:rsidRPr="007D6590">
                    <w:rPr>
                      <w:b/>
                      <w:sz w:val="16"/>
                      <w:szCs w:val="16"/>
                    </w:rPr>
                    <w:t>US$'000</w:t>
                  </w:r>
                </w:p>
              </w:tc>
              <w:tc>
                <w:tcPr>
                  <w:tcW w:w="1559" w:type="dxa"/>
                  <w:vAlign w:val="bottom"/>
                  <w:hideMark/>
                </w:tcPr>
                <w:p w14:paraId="4039C1C0" w14:textId="77777777" w:rsidR="007619EA" w:rsidRPr="007D6590" w:rsidRDefault="007619EA" w:rsidP="00396E87">
                  <w:pPr>
                    <w:pStyle w:val="StandardOCAshurst"/>
                    <w:pBdr>
                      <w:bottom w:val="single" w:sz="4" w:space="1" w:color="auto"/>
                    </w:pBdr>
                    <w:jc w:val="center"/>
                    <w:rPr>
                      <w:b/>
                      <w:sz w:val="16"/>
                      <w:szCs w:val="16"/>
                    </w:rPr>
                  </w:pPr>
                  <w:r w:rsidRPr="007D6590">
                    <w:rPr>
                      <w:b/>
                      <w:sz w:val="16"/>
                      <w:szCs w:val="16"/>
                    </w:rPr>
                    <w:t>2019</w:t>
                  </w:r>
                </w:p>
                <w:p w14:paraId="02CABD31" w14:textId="77777777" w:rsidR="007619EA" w:rsidRPr="007D6590" w:rsidRDefault="007619EA" w:rsidP="00396E87">
                  <w:pPr>
                    <w:pStyle w:val="StandardOCAshurst"/>
                    <w:pBdr>
                      <w:bottom w:val="single" w:sz="4" w:space="1" w:color="auto"/>
                    </w:pBdr>
                    <w:jc w:val="center"/>
                    <w:rPr>
                      <w:b/>
                      <w:sz w:val="16"/>
                      <w:szCs w:val="16"/>
                    </w:rPr>
                  </w:pPr>
                  <w:r w:rsidRPr="007D6590">
                    <w:rPr>
                      <w:b/>
                      <w:sz w:val="16"/>
                      <w:szCs w:val="16"/>
                    </w:rPr>
                    <w:t>(Audited)</w:t>
                  </w:r>
                </w:p>
                <w:p w14:paraId="36C8BD7E" w14:textId="77777777" w:rsidR="007619EA" w:rsidRPr="007D6590" w:rsidRDefault="007619EA" w:rsidP="00396E87">
                  <w:pPr>
                    <w:pStyle w:val="StandardOCAshurst"/>
                    <w:pBdr>
                      <w:bottom w:val="single" w:sz="4" w:space="1" w:color="auto"/>
                    </w:pBdr>
                    <w:jc w:val="center"/>
                    <w:rPr>
                      <w:b/>
                      <w:sz w:val="16"/>
                      <w:szCs w:val="16"/>
                    </w:rPr>
                  </w:pPr>
                  <w:r w:rsidRPr="007D6590">
                    <w:rPr>
                      <w:b/>
                      <w:sz w:val="16"/>
                      <w:szCs w:val="16"/>
                    </w:rPr>
                    <w:t>US$'000</w:t>
                  </w:r>
                </w:p>
              </w:tc>
              <w:tc>
                <w:tcPr>
                  <w:tcW w:w="1559" w:type="dxa"/>
                  <w:vAlign w:val="bottom"/>
                  <w:hideMark/>
                </w:tcPr>
                <w:p w14:paraId="4E1A698F" w14:textId="77777777" w:rsidR="007619EA" w:rsidRPr="007D6590" w:rsidRDefault="007619EA" w:rsidP="00396E87">
                  <w:pPr>
                    <w:pStyle w:val="StandardOCAshurst"/>
                    <w:pBdr>
                      <w:bottom w:val="single" w:sz="4" w:space="1" w:color="auto"/>
                    </w:pBdr>
                    <w:jc w:val="center"/>
                    <w:rPr>
                      <w:b/>
                      <w:sz w:val="16"/>
                      <w:szCs w:val="16"/>
                    </w:rPr>
                  </w:pPr>
                  <w:r w:rsidRPr="007D6590">
                    <w:rPr>
                      <w:b/>
                      <w:sz w:val="16"/>
                      <w:szCs w:val="16"/>
                    </w:rPr>
                    <w:t>2018</w:t>
                  </w:r>
                </w:p>
                <w:p w14:paraId="66507B2C" w14:textId="77777777" w:rsidR="007619EA" w:rsidRPr="007D6590" w:rsidRDefault="007619EA" w:rsidP="00396E87">
                  <w:pPr>
                    <w:pStyle w:val="StandardOCAshurst"/>
                    <w:pBdr>
                      <w:bottom w:val="single" w:sz="4" w:space="1" w:color="auto"/>
                    </w:pBdr>
                    <w:jc w:val="center"/>
                    <w:rPr>
                      <w:b/>
                      <w:sz w:val="16"/>
                      <w:szCs w:val="16"/>
                    </w:rPr>
                  </w:pPr>
                  <w:r w:rsidRPr="007D6590">
                    <w:rPr>
                      <w:b/>
                      <w:sz w:val="16"/>
                      <w:szCs w:val="16"/>
                    </w:rPr>
                    <w:t>(Audited)</w:t>
                  </w:r>
                </w:p>
                <w:p w14:paraId="38923A3A" w14:textId="77777777" w:rsidR="007619EA" w:rsidRPr="007D6590" w:rsidRDefault="007619EA" w:rsidP="00396E87">
                  <w:pPr>
                    <w:pStyle w:val="StandardOCAshurst"/>
                    <w:pBdr>
                      <w:bottom w:val="single" w:sz="4" w:space="1" w:color="auto"/>
                    </w:pBdr>
                    <w:jc w:val="center"/>
                    <w:rPr>
                      <w:b/>
                      <w:sz w:val="16"/>
                      <w:szCs w:val="16"/>
                    </w:rPr>
                  </w:pPr>
                  <w:r w:rsidRPr="007D6590">
                    <w:rPr>
                      <w:b/>
                      <w:sz w:val="16"/>
                      <w:szCs w:val="16"/>
                    </w:rPr>
                    <w:t>US$'000</w:t>
                  </w:r>
                </w:p>
              </w:tc>
            </w:tr>
            <w:tr w:rsidR="007619EA" w:rsidRPr="007D6590" w14:paraId="1ADD2137" w14:textId="77777777" w:rsidTr="00186BEA">
              <w:trPr>
                <w:trHeight w:val="220"/>
              </w:trPr>
              <w:tc>
                <w:tcPr>
                  <w:tcW w:w="3581" w:type="dxa"/>
                  <w:hideMark/>
                </w:tcPr>
                <w:p w14:paraId="4677527A" w14:textId="77777777" w:rsidR="007619EA" w:rsidRPr="007D6590" w:rsidRDefault="007619EA" w:rsidP="00396E87">
                  <w:pPr>
                    <w:pStyle w:val="StandardOCAshurst"/>
                    <w:rPr>
                      <w:b/>
                      <w:sz w:val="16"/>
                      <w:szCs w:val="16"/>
                    </w:rPr>
                  </w:pPr>
                  <w:r w:rsidRPr="007D6590">
                    <w:rPr>
                      <w:b/>
                      <w:sz w:val="16"/>
                      <w:szCs w:val="16"/>
                    </w:rPr>
                    <w:t>Assets</w:t>
                  </w:r>
                </w:p>
              </w:tc>
              <w:tc>
                <w:tcPr>
                  <w:tcW w:w="1559" w:type="dxa"/>
                </w:tcPr>
                <w:p w14:paraId="6AA3EC75" w14:textId="77777777" w:rsidR="007619EA" w:rsidRPr="007D6590" w:rsidRDefault="007619EA" w:rsidP="00396E87">
                  <w:pPr>
                    <w:pStyle w:val="StandardOCAshurst"/>
                    <w:rPr>
                      <w:sz w:val="16"/>
                      <w:szCs w:val="16"/>
                    </w:rPr>
                  </w:pPr>
                </w:p>
              </w:tc>
              <w:tc>
                <w:tcPr>
                  <w:tcW w:w="1559" w:type="dxa"/>
                </w:tcPr>
                <w:p w14:paraId="2DB3320D" w14:textId="77777777" w:rsidR="007619EA" w:rsidRPr="007D6590" w:rsidRDefault="007619EA" w:rsidP="00396E87">
                  <w:pPr>
                    <w:pStyle w:val="StandardOCAshurst"/>
                    <w:rPr>
                      <w:sz w:val="16"/>
                      <w:szCs w:val="16"/>
                    </w:rPr>
                  </w:pPr>
                </w:p>
              </w:tc>
              <w:tc>
                <w:tcPr>
                  <w:tcW w:w="1559" w:type="dxa"/>
                </w:tcPr>
                <w:p w14:paraId="4E93E5A1" w14:textId="77777777" w:rsidR="007619EA" w:rsidRPr="007D6590" w:rsidRDefault="007619EA" w:rsidP="00396E87">
                  <w:pPr>
                    <w:pStyle w:val="StandardOCAshurst"/>
                    <w:rPr>
                      <w:sz w:val="16"/>
                      <w:szCs w:val="16"/>
                    </w:rPr>
                  </w:pPr>
                </w:p>
              </w:tc>
            </w:tr>
            <w:tr w:rsidR="007619EA" w:rsidRPr="007D6590" w14:paraId="41197967" w14:textId="77777777" w:rsidTr="00186BEA">
              <w:trPr>
                <w:trHeight w:val="220"/>
              </w:trPr>
              <w:tc>
                <w:tcPr>
                  <w:tcW w:w="3581" w:type="dxa"/>
                  <w:hideMark/>
                </w:tcPr>
                <w:p w14:paraId="304FF8A6" w14:textId="77777777" w:rsidR="007619EA" w:rsidRPr="007D6590" w:rsidRDefault="007619EA" w:rsidP="00396E87">
                  <w:pPr>
                    <w:pStyle w:val="StandardOCAshurst"/>
                    <w:tabs>
                      <w:tab w:val="right" w:leader="dot" w:pos="3331"/>
                    </w:tabs>
                    <w:rPr>
                      <w:sz w:val="16"/>
                      <w:szCs w:val="16"/>
                    </w:rPr>
                  </w:pPr>
                  <w:r w:rsidRPr="007D6590">
                    <w:rPr>
                      <w:sz w:val="16"/>
                      <w:szCs w:val="16"/>
                    </w:rPr>
                    <w:t>Non-current assets</w:t>
                  </w:r>
                  <w:r w:rsidRPr="007D6590">
                    <w:rPr>
                      <w:sz w:val="16"/>
                      <w:szCs w:val="16"/>
                    </w:rPr>
                    <w:tab/>
                  </w:r>
                </w:p>
              </w:tc>
              <w:tc>
                <w:tcPr>
                  <w:tcW w:w="1559" w:type="dxa"/>
                  <w:hideMark/>
                </w:tcPr>
                <w:p w14:paraId="0702BE97" w14:textId="2AE148C0" w:rsidR="007619EA" w:rsidRPr="007D6590" w:rsidRDefault="00193836" w:rsidP="00396E87">
                  <w:pPr>
                    <w:pStyle w:val="StandardOCAshurst"/>
                    <w:jc w:val="right"/>
                    <w:rPr>
                      <w:sz w:val="16"/>
                      <w:szCs w:val="16"/>
                    </w:rPr>
                  </w:pPr>
                  <w:r w:rsidRPr="00193836">
                    <w:rPr>
                      <w:sz w:val="16"/>
                      <w:szCs w:val="16"/>
                    </w:rPr>
                    <w:t>3,455,673</w:t>
                  </w:r>
                </w:p>
              </w:tc>
              <w:tc>
                <w:tcPr>
                  <w:tcW w:w="1559" w:type="dxa"/>
                  <w:hideMark/>
                </w:tcPr>
                <w:p w14:paraId="0F5668DF" w14:textId="77777777" w:rsidR="007619EA" w:rsidRPr="007D6590" w:rsidRDefault="007619EA" w:rsidP="00396E87">
                  <w:pPr>
                    <w:pStyle w:val="StandardOCAshurst"/>
                    <w:jc w:val="right"/>
                    <w:rPr>
                      <w:sz w:val="16"/>
                      <w:szCs w:val="16"/>
                    </w:rPr>
                  </w:pPr>
                  <w:r w:rsidRPr="007D6590">
                    <w:rPr>
                      <w:sz w:val="16"/>
                      <w:szCs w:val="16"/>
                    </w:rPr>
                    <w:t>4,188,931</w:t>
                  </w:r>
                </w:p>
              </w:tc>
              <w:tc>
                <w:tcPr>
                  <w:tcW w:w="1559" w:type="dxa"/>
                  <w:hideMark/>
                </w:tcPr>
                <w:p w14:paraId="0101E777" w14:textId="77777777" w:rsidR="007619EA" w:rsidRPr="007D6590" w:rsidRDefault="007619EA" w:rsidP="00396E87">
                  <w:pPr>
                    <w:pStyle w:val="StandardOCAshurst"/>
                    <w:jc w:val="right"/>
                    <w:rPr>
                      <w:sz w:val="16"/>
                      <w:szCs w:val="16"/>
                    </w:rPr>
                  </w:pPr>
                  <w:r w:rsidRPr="007D6590">
                    <w:rPr>
                      <w:sz w:val="16"/>
                      <w:szCs w:val="16"/>
                    </w:rPr>
                    <w:t>4,978,376</w:t>
                  </w:r>
                </w:p>
              </w:tc>
            </w:tr>
            <w:tr w:rsidR="007619EA" w:rsidRPr="007D6590" w14:paraId="63E2CB7B" w14:textId="77777777" w:rsidTr="00186BEA">
              <w:trPr>
                <w:trHeight w:val="220"/>
              </w:trPr>
              <w:tc>
                <w:tcPr>
                  <w:tcW w:w="3581" w:type="dxa"/>
                  <w:hideMark/>
                </w:tcPr>
                <w:p w14:paraId="09532E9A" w14:textId="77777777" w:rsidR="007619EA" w:rsidRPr="007D6590" w:rsidRDefault="007619EA" w:rsidP="00396E87">
                  <w:pPr>
                    <w:pStyle w:val="StandardOCAshurst"/>
                    <w:tabs>
                      <w:tab w:val="right" w:leader="dot" w:pos="3331"/>
                    </w:tabs>
                    <w:rPr>
                      <w:sz w:val="16"/>
                      <w:szCs w:val="16"/>
                    </w:rPr>
                  </w:pPr>
                  <w:r w:rsidRPr="007D6590">
                    <w:rPr>
                      <w:sz w:val="16"/>
                      <w:szCs w:val="16"/>
                    </w:rPr>
                    <w:t>Current assets</w:t>
                  </w:r>
                  <w:r w:rsidRPr="007D6590">
                    <w:rPr>
                      <w:sz w:val="16"/>
                      <w:szCs w:val="16"/>
                    </w:rPr>
                    <w:tab/>
                  </w:r>
                </w:p>
              </w:tc>
              <w:tc>
                <w:tcPr>
                  <w:tcW w:w="1559" w:type="dxa"/>
                  <w:hideMark/>
                </w:tcPr>
                <w:p w14:paraId="572F8224" w14:textId="77777777" w:rsidR="007619EA" w:rsidRPr="007D6590" w:rsidRDefault="007619EA" w:rsidP="00396E87">
                  <w:pPr>
                    <w:pStyle w:val="StandardOCAshurst"/>
                    <w:jc w:val="right"/>
                    <w:rPr>
                      <w:sz w:val="16"/>
                      <w:szCs w:val="16"/>
                    </w:rPr>
                  </w:pPr>
                  <w:r w:rsidRPr="007D6590">
                    <w:rPr>
                      <w:sz w:val="16"/>
                      <w:szCs w:val="16"/>
                    </w:rPr>
                    <w:t>406,930</w:t>
                  </w:r>
                </w:p>
              </w:tc>
              <w:tc>
                <w:tcPr>
                  <w:tcW w:w="1559" w:type="dxa"/>
                  <w:hideMark/>
                </w:tcPr>
                <w:p w14:paraId="54A081C2" w14:textId="77777777" w:rsidR="007619EA" w:rsidRPr="007D6590" w:rsidRDefault="007619EA" w:rsidP="00396E87">
                  <w:pPr>
                    <w:pStyle w:val="StandardOCAshurst"/>
                    <w:jc w:val="right"/>
                    <w:rPr>
                      <w:sz w:val="16"/>
                      <w:szCs w:val="16"/>
                    </w:rPr>
                  </w:pPr>
                  <w:r w:rsidRPr="007D6590">
                    <w:rPr>
                      <w:sz w:val="16"/>
                      <w:szCs w:val="16"/>
                    </w:rPr>
                    <w:t>587,685</w:t>
                  </w:r>
                </w:p>
              </w:tc>
              <w:tc>
                <w:tcPr>
                  <w:tcW w:w="1559" w:type="dxa"/>
                  <w:hideMark/>
                </w:tcPr>
                <w:p w14:paraId="2C9ED1C9" w14:textId="77777777" w:rsidR="007619EA" w:rsidRPr="007D6590" w:rsidRDefault="007619EA" w:rsidP="00396E87">
                  <w:pPr>
                    <w:pStyle w:val="StandardOCAshurst"/>
                    <w:jc w:val="right"/>
                    <w:rPr>
                      <w:sz w:val="16"/>
                      <w:szCs w:val="16"/>
                    </w:rPr>
                  </w:pPr>
                  <w:r w:rsidRPr="007D6590">
                    <w:rPr>
                      <w:sz w:val="16"/>
                      <w:szCs w:val="16"/>
                    </w:rPr>
                    <w:t>683,540</w:t>
                  </w:r>
                </w:p>
              </w:tc>
            </w:tr>
            <w:tr w:rsidR="007619EA" w:rsidRPr="007D6590" w14:paraId="0224529D" w14:textId="77777777" w:rsidTr="00186BEA">
              <w:trPr>
                <w:trHeight w:val="245"/>
              </w:trPr>
              <w:tc>
                <w:tcPr>
                  <w:tcW w:w="3581" w:type="dxa"/>
                  <w:hideMark/>
                </w:tcPr>
                <w:p w14:paraId="0EA5281F" w14:textId="77777777" w:rsidR="007619EA" w:rsidRPr="007D6590" w:rsidRDefault="007619EA" w:rsidP="00396E87">
                  <w:pPr>
                    <w:pStyle w:val="StandardOCAshurst"/>
                    <w:tabs>
                      <w:tab w:val="right" w:leader="dot" w:pos="3331"/>
                    </w:tabs>
                    <w:rPr>
                      <w:b/>
                      <w:sz w:val="16"/>
                      <w:szCs w:val="16"/>
                    </w:rPr>
                  </w:pPr>
                  <w:r w:rsidRPr="007D6590">
                    <w:rPr>
                      <w:b/>
                      <w:sz w:val="16"/>
                      <w:szCs w:val="16"/>
                    </w:rPr>
                    <w:t>Total assets</w:t>
                  </w:r>
                  <w:r w:rsidRPr="007D6590">
                    <w:rPr>
                      <w:bCs/>
                      <w:sz w:val="16"/>
                      <w:szCs w:val="16"/>
                    </w:rPr>
                    <w:tab/>
                  </w:r>
                </w:p>
              </w:tc>
              <w:tc>
                <w:tcPr>
                  <w:tcW w:w="1559" w:type="dxa"/>
                  <w:hideMark/>
                </w:tcPr>
                <w:p w14:paraId="7100D918" w14:textId="1FB0C68B" w:rsidR="007619EA" w:rsidRPr="007D6590" w:rsidRDefault="00193836" w:rsidP="00396E87">
                  <w:pPr>
                    <w:pStyle w:val="StandardOCAshurst"/>
                    <w:jc w:val="right"/>
                    <w:rPr>
                      <w:b/>
                      <w:sz w:val="16"/>
                      <w:szCs w:val="16"/>
                    </w:rPr>
                  </w:pPr>
                  <w:r w:rsidRPr="00193836">
                    <w:rPr>
                      <w:b/>
                      <w:sz w:val="16"/>
                      <w:szCs w:val="16"/>
                    </w:rPr>
                    <w:t>3,862,603</w:t>
                  </w:r>
                </w:p>
              </w:tc>
              <w:tc>
                <w:tcPr>
                  <w:tcW w:w="1559" w:type="dxa"/>
                  <w:hideMark/>
                </w:tcPr>
                <w:p w14:paraId="48955186" w14:textId="77777777" w:rsidR="007619EA" w:rsidRPr="007D6590" w:rsidRDefault="007619EA" w:rsidP="00396E87">
                  <w:pPr>
                    <w:pStyle w:val="StandardOCAshurst"/>
                    <w:jc w:val="right"/>
                    <w:rPr>
                      <w:b/>
                      <w:sz w:val="16"/>
                      <w:szCs w:val="16"/>
                    </w:rPr>
                  </w:pPr>
                  <w:r w:rsidRPr="007D6590">
                    <w:rPr>
                      <w:b/>
                      <w:sz w:val="16"/>
                      <w:szCs w:val="16"/>
                    </w:rPr>
                    <w:t>4,776,616</w:t>
                  </w:r>
                </w:p>
              </w:tc>
              <w:tc>
                <w:tcPr>
                  <w:tcW w:w="1559" w:type="dxa"/>
                  <w:hideMark/>
                </w:tcPr>
                <w:p w14:paraId="2365596C" w14:textId="77777777" w:rsidR="007619EA" w:rsidRPr="007D6590" w:rsidRDefault="007619EA" w:rsidP="00396E87">
                  <w:pPr>
                    <w:pStyle w:val="StandardOCAshurst"/>
                    <w:jc w:val="right"/>
                    <w:rPr>
                      <w:b/>
                      <w:sz w:val="16"/>
                      <w:szCs w:val="16"/>
                    </w:rPr>
                  </w:pPr>
                  <w:r w:rsidRPr="007D6590">
                    <w:rPr>
                      <w:b/>
                      <w:sz w:val="16"/>
                      <w:szCs w:val="16"/>
                    </w:rPr>
                    <w:t>5,661,916</w:t>
                  </w:r>
                </w:p>
              </w:tc>
            </w:tr>
            <w:tr w:rsidR="007619EA" w:rsidRPr="007D6590" w14:paraId="4B5A0058" w14:textId="77777777" w:rsidTr="00186BEA">
              <w:trPr>
                <w:trHeight w:val="220"/>
              </w:trPr>
              <w:tc>
                <w:tcPr>
                  <w:tcW w:w="3581" w:type="dxa"/>
                  <w:hideMark/>
                </w:tcPr>
                <w:p w14:paraId="4682045C" w14:textId="77777777" w:rsidR="007619EA" w:rsidRPr="007D6590" w:rsidRDefault="007619EA" w:rsidP="00396E87">
                  <w:pPr>
                    <w:pStyle w:val="StandardOCAshurst"/>
                    <w:tabs>
                      <w:tab w:val="right" w:leader="dot" w:pos="3331"/>
                    </w:tabs>
                    <w:rPr>
                      <w:b/>
                      <w:sz w:val="16"/>
                      <w:szCs w:val="16"/>
                    </w:rPr>
                  </w:pPr>
                  <w:r w:rsidRPr="007D6590">
                    <w:rPr>
                      <w:b/>
                      <w:sz w:val="16"/>
                      <w:szCs w:val="16"/>
                    </w:rPr>
                    <w:t>Total equity</w:t>
                  </w:r>
                  <w:r w:rsidRPr="007D6590">
                    <w:rPr>
                      <w:bCs/>
                      <w:sz w:val="16"/>
                      <w:szCs w:val="16"/>
                    </w:rPr>
                    <w:tab/>
                  </w:r>
                </w:p>
              </w:tc>
              <w:tc>
                <w:tcPr>
                  <w:tcW w:w="1559" w:type="dxa"/>
                  <w:hideMark/>
                </w:tcPr>
                <w:p w14:paraId="04EE2787" w14:textId="5BBD7F56" w:rsidR="007619EA" w:rsidRPr="007D6590" w:rsidRDefault="00D16728" w:rsidP="00396E87">
                  <w:pPr>
                    <w:pStyle w:val="StandardOCAshurst"/>
                    <w:jc w:val="right"/>
                    <w:rPr>
                      <w:b/>
                      <w:sz w:val="16"/>
                      <w:szCs w:val="16"/>
                    </w:rPr>
                  </w:pPr>
                  <w:r w:rsidRPr="00D16728">
                    <w:rPr>
                      <w:b/>
                      <w:sz w:val="16"/>
                      <w:szCs w:val="16"/>
                    </w:rPr>
                    <w:t>91,217</w:t>
                  </w:r>
                </w:p>
              </w:tc>
              <w:tc>
                <w:tcPr>
                  <w:tcW w:w="1559" w:type="dxa"/>
                  <w:hideMark/>
                </w:tcPr>
                <w:p w14:paraId="3F6F11F4" w14:textId="77777777" w:rsidR="007619EA" w:rsidRPr="007D6590" w:rsidRDefault="007619EA" w:rsidP="00396E87">
                  <w:pPr>
                    <w:pStyle w:val="StandardOCAshurst"/>
                    <w:jc w:val="right"/>
                    <w:rPr>
                      <w:b/>
                      <w:sz w:val="16"/>
                      <w:szCs w:val="16"/>
                    </w:rPr>
                  </w:pPr>
                  <w:r w:rsidRPr="007D6590">
                    <w:rPr>
                      <w:b/>
                      <w:sz w:val="16"/>
                      <w:szCs w:val="16"/>
                    </w:rPr>
                    <w:t>559,061</w:t>
                  </w:r>
                </w:p>
              </w:tc>
              <w:tc>
                <w:tcPr>
                  <w:tcW w:w="1559" w:type="dxa"/>
                  <w:hideMark/>
                </w:tcPr>
                <w:p w14:paraId="2310820D" w14:textId="77777777" w:rsidR="007619EA" w:rsidRPr="007D6590" w:rsidRDefault="007619EA" w:rsidP="00396E87">
                  <w:pPr>
                    <w:pStyle w:val="StandardOCAshurst"/>
                    <w:jc w:val="right"/>
                    <w:rPr>
                      <w:b/>
                      <w:sz w:val="16"/>
                      <w:szCs w:val="16"/>
                    </w:rPr>
                  </w:pPr>
                  <w:r w:rsidRPr="007D6590">
                    <w:rPr>
                      <w:b/>
                      <w:sz w:val="16"/>
                      <w:szCs w:val="16"/>
                    </w:rPr>
                    <w:t>983,552</w:t>
                  </w:r>
                </w:p>
              </w:tc>
            </w:tr>
            <w:tr w:rsidR="007619EA" w:rsidRPr="007D6590" w14:paraId="4940F6F4" w14:textId="77777777" w:rsidTr="00186BEA">
              <w:trPr>
                <w:trHeight w:val="220"/>
              </w:trPr>
              <w:tc>
                <w:tcPr>
                  <w:tcW w:w="3581" w:type="dxa"/>
                  <w:hideMark/>
                </w:tcPr>
                <w:p w14:paraId="56CBFEB8" w14:textId="77777777" w:rsidR="007619EA" w:rsidRPr="007D6590" w:rsidRDefault="007619EA" w:rsidP="00396E87">
                  <w:pPr>
                    <w:pStyle w:val="StandardOCAshurst"/>
                    <w:tabs>
                      <w:tab w:val="right" w:leader="dot" w:pos="3331"/>
                    </w:tabs>
                    <w:rPr>
                      <w:sz w:val="16"/>
                      <w:szCs w:val="16"/>
                    </w:rPr>
                  </w:pPr>
                  <w:r w:rsidRPr="007D6590">
                    <w:rPr>
                      <w:sz w:val="16"/>
                      <w:szCs w:val="16"/>
                    </w:rPr>
                    <w:t>Non-current liabilities</w:t>
                  </w:r>
                  <w:r w:rsidRPr="007D6590">
                    <w:rPr>
                      <w:sz w:val="16"/>
                      <w:szCs w:val="16"/>
                    </w:rPr>
                    <w:tab/>
                  </w:r>
                </w:p>
              </w:tc>
              <w:tc>
                <w:tcPr>
                  <w:tcW w:w="1559" w:type="dxa"/>
                  <w:hideMark/>
                </w:tcPr>
                <w:p w14:paraId="6AF7AF02" w14:textId="77777777" w:rsidR="007619EA" w:rsidRPr="007D6590" w:rsidRDefault="007619EA" w:rsidP="00396E87">
                  <w:pPr>
                    <w:pStyle w:val="StandardOCAshurst"/>
                    <w:jc w:val="right"/>
                    <w:rPr>
                      <w:sz w:val="16"/>
                      <w:szCs w:val="16"/>
                    </w:rPr>
                  </w:pPr>
                  <w:r w:rsidRPr="007D6590">
                    <w:rPr>
                      <w:sz w:val="16"/>
                      <w:szCs w:val="16"/>
                    </w:rPr>
                    <w:t>2,857,524</w:t>
                  </w:r>
                </w:p>
              </w:tc>
              <w:tc>
                <w:tcPr>
                  <w:tcW w:w="1559" w:type="dxa"/>
                  <w:hideMark/>
                </w:tcPr>
                <w:p w14:paraId="3B01DB95" w14:textId="77777777" w:rsidR="007619EA" w:rsidRPr="007D6590" w:rsidRDefault="007619EA" w:rsidP="00396E87">
                  <w:pPr>
                    <w:pStyle w:val="StandardOCAshurst"/>
                    <w:jc w:val="right"/>
                    <w:rPr>
                      <w:sz w:val="16"/>
                      <w:szCs w:val="16"/>
                    </w:rPr>
                  </w:pPr>
                  <w:r w:rsidRPr="007D6590">
                    <w:rPr>
                      <w:sz w:val="16"/>
                      <w:szCs w:val="16"/>
                    </w:rPr>
                    <w:t>3,347,132</w:t>
                  </w:r>
                </w:p>
              </w:tc>
              <w:tc>
                <w:tcPr>
                  <w:tcW w:w="1559" w:type="dxa"/>
                  <w:hideMark/>
                </w:tcPr>
                <w:p w14:paraId="5151C6B5" w14:textId="77777777" w:rsidR="007619EA" w:rsidRPr="007D6590" w:rsidRDefault="007619EA" w:rsidP="00396E87">
                  <w:pPr>
                    <w:pStyle w:val="StandardOCAshurst"/>
                    <w:jc w:val="right"/>
                    <w:rPr>
                      <w:sz w:val="16"/>
                      <w:szCs w:val="16"/>
                    </w:rPr>
                  </w:pPr>
                  <w:r w:rsidRPr="007D6590">
                    <w:rPr>
                      <w:sz w:val="16"/>
                      <w:szCs w:val="16"/>
                    </w:rPr>
                    <w:t>3,693,649</w:t>
                  </w:r>
                </w:p>
              </w:tc>
            </w:tr>
            <w:tr w:rsidR="007619EA" w:rsidRPr="007D6590" w14:paraId="53B9908B" w14:textId="77777777" w:rsidTr="00186BEA">
              <w:trPr>
                <w:trHeight w:val="220"/>
              </w:trPr>
              <w:tc>
                <w:tcPr>
                  <w:tcW w:w="3581" w:type="dxa"/>
                  <w:hideMark/>
                </w:tcPr>
                <w:p w14:paraId="5C4EC961" w14:textId="77777777" w:rsidR="007619EA" w:rsidRPr="007D6590" w:rsidRDefault="007619EA" w:rsidP="00396E87">
                  <w:pPr>
                    <w:pStyle w:val="StandardOCAshurst"/>
                    <w:tabs>
                      <w:tab w:val="right" w:leader="dot" w:pos="3331"/>
                    </w:tabs>
                    <w:rPr>
                      <w:sz w:val="16"/>
                      <w:szCs w:val="16"/>
                    </w:rPr>
                  </w:pPr>
                  <w:r w:rsidRPr="007D6590">
                    <w:rPr>
                      <w:sz w:val="16"/>
                      <w:szCs w:val="16"/>
                    </w:rPr>
                    <w:t>Current liabilities</w:t>
                  </w:r>
                  <w:r w:rsidRPr="007D6590">
                    <w:rPr>
                      <w:sz w:val="16"/>
                      <w:szCs w:val="16"/>
                    </w:rPr>
                    <w:tab/>
                  </w:r>
                </w:p>
              </w:tc>
              <w:tc>
                <w:tcPr>
                  <w:tcW w:w="1559" w:type="dxa"/>
                  <w:hideMark/>
                </w:tcPr>
                <w:p w14:paraId="559066CD" w14:textId="77777777" w:rsidR="007619EA" w:rsidRPr="007D6590" w:rsidRDefault="007619EA" w:rsidP="00396E87">
                  <w:pPr>
                    <w:pStyle w:val="StandardOCAshurst"/>
                    <w:jc w:val="right"/>
                    <w:rPr>
                      <w:sz w:val="16"/>
                      <w:szCs w:val="16"/>
                    </w:rPr>
                  </w:pPr>
                  <w:r w:rsidRPr="007D6590">
                    <w:rPr>
                      <w:sz w:val="16"/>
                      <w:szCs w:val="16"/>
                    </w:rPr>
                    <w:t>943,682</w:t>
                  </w:r>
                </w:p>
              </w:tc>
              <w:tc>
                <w:tcPr>
                  <w:tcW w:w="1559" w:type="dxa"/>
                  <w:hideMark/>
                </w:tcPr>
                <w:p w14:paraId="1FC4BB23" w14:textId="77777777" w:rsidR="007619EA" w:rsidRPr="007D6590" w:rsidRDefault="007619EA" w:rsidP="00396E87">
                  <w:pPr>
                    <w:pStyle w:val="StandardOCAshurst"/>
                    <w:jc w:val="right"/>
                    <w:rPr>
                      <w:sz w:val="16"/>
                      <w:szCs w:val="16"/>
                    </w:rPr>
                  </w:pPr>
                  <w:r w:rsidRPr="007D6590">
                    <w:rPr>
                      <w:sz w:val="16"/>
                      <w:szCs w:val="16"/>
                    </w:rPr>
                    <w:t>870,423</w:t>
                  </w:r>
                </w:p>
              </w:tc>
              <w:tc>
                <w:tcPr>
                  <w:tcW w:w="1559" w:type="dxa"/>
                  <w:hideMark/>
                </w:tcPr>
                <w:p w14:paraId="594C006F" w14:textId="77777777" w:rsidR="007619EA" w:rsidRPr="007D6590" w:rsidRDefault="007619EA" w:rsidP="00396E87">
                  <w:pPr>
                    <w:pStyle w:val="StandardOCAshurst"/>
                    <w:jc w:val="right"/>
                    <w:rPr>
                      <w:sz w:val="16"/>
                      <w:szCs w:val="16"/>
                    </w:rPr>
                  </w:pPr>
                  <w:r w:rsidRPr="007D6590">
                    <w:rPr>
                      <w:sz w:val="16"/>
                      <w:szCs w:val="16"/>
                    </w:rPr>
                    <w:t>984,715</w:t>
                  </w:r>
                </w:p>
              </w:tc>
            </w:tr>
            <w:tr w:rsidR="007619EA" w:rsidRPr="007D6590" w14:paraId="1275D671" w14:textId="77777777" w:rsidTr="00186BEA">
              <w:trPr>
                <w:trHeight w:val="220"/>
              </w:trPr>
              <w:tc>
                <w:tcPr>
                  <w:tcW w:w="3581" w:type="dxa"/>
                  <w:hideMark/>
                </w:tcPr>
                <w:p w14:paraId="10EB05C2" w14:textId="77777777" w:rsidR="007619EA" w:rsidRPr="007D6590" w:rsidRDefault="007619EA" w:rsidP="00396E87">
                  <w:pPr>
                    <w:pStyle w:val="StandardOCAshurst"/>
                    <w:tabs>
                      <w:tab w:val="right" w:leader="dot" w:pos="3331"/>
                    </w:tabs>
                    <w:rPr>
                      <w:b/>
                      <w:sz w:val="16"/>
                      <w:szCs w:val="16"/>
                    </w:rPr>
                  </w:pPr>
                  <w:r w:rsidRPr="007D6590">
                    <w:rPr>
                      <w:b/>
                      <w:sz w:val="16"/>
                      <w:szCs w:val="16"/>
                    </w:rPr>
                    <w:t>Total liabilities</w:t>
                  </w:r>
                  <w:r w:rsidRPr="007D6590">
                    <w:rPr>
                      <w:bCs/>
                      <w:sz w:val="16"/>
                      <w:szCs w:val="16"/>
                    </w:rPr>
                    <w:tab/>
                  </w:r>
                </w:p>
              </w:tc>
              <w:tc>
                <w:tcPr>
                  <w:tcW w:w="1559" w:type="dxa"/>
                  <w:hideMark/>
                </w:tcPr>
                <w:p w14:paraId="23488E1D" w14:textId="77777777" w:rsidR="007619EA" w:rsidRPr="007D6590" w:rsidRDefault="007619EA" w:rsidP="00396E87">
                  <w:pPr>
                    <w:pStyle w:val="StandardOCAshurst"/>
                    <w:jc w:val="right"/>
                    <w:rPr>
                      <w:sz w:val="16"/>
                      <w:szCs w:val="16"/>
                    </w:rPr>
                  </w:pPr>
                  <w:r w:rsidRPr="007D6590">
                    <w:rPr>
                      <w:b/>
                      <w:sz w:val="16"/>
                      <w:szCs w:val="16"/>
                    </w:rPr>
                    <w:t>3,771,386</w:t>
                  </w:r>
                </w:p>
              </w:tc>
              <w:tc>
                <w:tcPr>
                  <w:tcW w:w="1559" w:type="dxa"/>
                </w:tcPr>
                <w:p w14:paraId="3180AF93" w14:textId="77777777" w:rsidR="007619EA" w:rsidRPr="007D6590" w:rsidRDefault="007619EA" w:rsidP="00396E87">
                  <w:pPr>
                    <w:pStyle w:val="StandardOCAshurst"/>
                    <w:jc w:val="right"/>
                    <w:rPr>
                      <w:b/>
                      <w:sz w:val="16"/>
                      <w:szCs w:val="16"/>
                    </w:rPr>
                  </w:pPr>
                  <w:r w:rsidRPr="007D6590">
                    <w:rPr>
                      <w:b/>
                      <w:sz w:val="16"/>
                      <w:szCs w:val="16"/>
                    </w:rPr>
                    <w:t>4,217,555</w:t>
                  </w:r>
                </w:p>
              </w:tc>
              <w:tc>
                <w:tcPr>
                  <w:tcW w:w="1559" w:type="dxa"/>
                </w:tcPr>
                <w:p w14:paraId="30DC675B" w14:textId="77777777" w:rsidR="007619EA" w:rsidRPr="007D6590" w:rsidRDefault="007619EA" w:rsidP="00396E87">
                  <w:pPr>
                    <w:pStyle w:val="StandardOCAshurst"/>
                    <w:jc w:val="right"/>
                    <w:rPr>
                      <w:b/>
                      <w:sz w:val="16"/>
                      <w:szCs w:val="16"/>
                    </w:rPr>
                  </w:pPr>
                  <w:r w:rsidRPr="007D6590">
                    <w:rPr>
                      <w:b/>
                      <w:sz w:val="16"/>
                      <w:szCs w:val="16"/>
                    </w:rPr>
                    <w:t>4,678,364</w:t>
                  </w:r>
                </w:p>
              </w:tc>
            </w:tr>
            <w:tr w:rsidR="007619EA" w:rsidRPr="007D6590" w14:paraId="2A11A7BC" w14:textId="77777777" w:rsidTr="00186BEA">
              <w:trPr>
                <w:trHeight w:val="245"/>
              </w:trPr>
              <w:tc>
                <w:tcPr>
                  <w:tcW w:w="3581" w:type="dxa"/>
                  <w:hideMark/>
                </w:tcPr>
                <w:p w14:paraId="4DB0725C" w14:textId="77777777" w:rsidR="007619EA" w:rsidRPr="007D6590" w:rsidRDefault="007619EA" w:rsidP="00396E87">
                  <w:pPr>
                    <w:pStyle w:val="StandardOCAshurst"/>
                    <w:tabs>
                      <w:tab w:val="right" w:leader="dot" w:pos="3331"/>
                    </w:tabs>
                    <w:rPr>
                      <w:b/>
                      <w:sz w:val="16"/>
                      <w:szCs w:val="16"/>
                    </w:rPr>
                  </w:pPr>
                  <w:r w:rsidRPr="007D6590">
                    <w:rPr>
                      <w:b/>
                      <w:sz w:val="16"/>
                      <w:szCs w:val="16"/>
                    </w:rPr>
                    <w:t>Total equity and liabilities</w:t>
                  </w:r>
                  <w:r w:rsidRPr="007D6590">
                    <w:rPr>
                      <w:bCs/>
                      <w:sz w:val="16"/>
                      <w:szCs w:val="16"/>
                    </w:rPr>
                    <w:tab/>
                  </w:r>
                </w:p>
              </w:tc>
              <w:tc>
                <w:tcPr>
                  <w:tcW w:w="1559" w:type="dxa"/>
                </w:tcPr>
                <w:p w14:paraId="05200DF0" w14:textId="0FCAF2F7" w:rsidR="007619EA" w:rsidRPr="007D6590" w:rsidRDefault="00193836" w:rsidP="00396E87">
                  <w:pPr>
                    <w:pStyle w:val="StandardOCAshurst"/>
                    <w:jc w:val="right"/>
                    <w:rPr>
                      <w:b/>
                      <w:sz w:val="16"/>
                      <w:szCs w:val="16"/>
                    </w:rPr>
                  </w:pPr>
                  <w:r w:rsidRPr="00193836">
                    <w:rPr>
                      <w:b/>
                      <w:sz w:val="16"/>
                      <w:szCs w:val="16"/>
                    </w:rPr>
                    <w:t>3,862,603</w:t>
                  </w:r>
                </w:p>
              </w:tc>
              <w:tc>
                <w:tcPr>
                  <w:tcW w:w="1559" w:type="dxa"/>
                </w:tcPr>
                <w:p w14:paraId="39C373D9" w14:textId="77777777" w:rsidR="007619EA" w:rsidRPr="007D6590" w:rsidRDefault="007619EA" w:rsidP="00396E87">
                  <w:pPr>
                    <w:pStyle w:val="StandardOCAshurst"/>
                    <w:jc w:val="right"/>
                    <w:rPr>
                      <w:b/>
                      <w:sz w:val="16"/>
                      <w:szCs w:val="16"/>
                    </w:rPr>
                  </w:pPr>
                  <w:r w:rsidRPr="007D6590">
                    <w:rPr>
                      <w:b/>
                      <w:sz w:val="16"/>
                      <w:szCs w:val="16"/>
                    </w:rPr>
                    <w:t>4,776,616</w:t>
                  </w:r>
                </w:p>
              </w:tc>
              <w:tc>
                <w:tcPr>
                  <w:tcW w:w="1559" w:type="dxa"/>
                </w:tcPr>
                <w:p w14:paraId="1A40267F" w14:textId="77777777" w:rsidR="007619EA" w:rsidRPr="007D6590" w:rsidRDefault="007619EA" w:rsidP="00396E87">
                  <w:pPr>
                    <w:pStyle w:val="StandardOCAshurst"/>
                    <w:jc w:val="right"/>
                    <w:rPr>
                      <w:b/>
                      <w:sz w:val="16"/>
                      <w:szCs w:val="16"/>
                    </w:rPr>
                  </w:pPr>
                  <w:r w:rsidRPr="007D6590">
                    <w:rPr>
                      <w:b/>
                      <w:sz w:val="16"/>
                      <w:szCs w:val="16"/>
                    </w:rPr>
                    <w:t>5,661,916</w:t>
                  </w:r>
                </w:p>
              </w:tc>
            </w:tr>
            <w:tr w:rsidR="007619EA" w:rsidRPr="007D6590" w14:paraId="4A65300A" w14:textId="77777777" w:rsidTr="00186BEA">
              <w:trPr>
                <w:trHeight w:val="220"/>
              </w:trPr>
              <w:tc>
                <w:tcPr>
                  <w:tcW w:w="3581" w:type="dxa"/>
                </w:tcPr>
                <w:p w14:paraId="025CA9B9" w14:textId="77777777" w:rsidR="007619EA" w:rsidRPr="007D6590" w:rsidRDefault="007619EA" w:rsidP="00396E87">
                  <w:pPr>
                    <w:pStyle w:val="StandardOCAshurst"/>
                    <w:tabs>
                      <w:tab w:val="right" w:leader="dot" w:pos="1134"/>
                    </w:tabs>
                    <w:rPr>
                      <w:sz w:val="16"/>
                      <w:szCs w:val="16"/>
                    </w:rPr>
                  </w:pPr>
                </w:p>
              </w:tc>
              <w:tc>
                <w:tcPr>
                  <w:tcW w:w="1559" w:type="dxa"/>
                </w:tcPr>
                <w:p w14:paraId="37E7CA31" w14:textId="77777777" w:rsidR="007619EA" w:rsidRPr="007D6590" w:rsidRDefault="007619EA" w:rsidP="00396E87">
                  <w:pPr>
                    <w:pStyle w:val="StandardOCAshurst"/>
                    <w:rPr>
                      <w:sz w:val="16"/>
                      <w:szCs w:val="16"/>
                    </w:rPr>
                  </w:pPr>
                </w:p>
              </w:tc>
              <w:tc>
                <w:tcPr>
                  <w:tcW w:w="1559" w:type="dxa"/>
                </w:tcPr>
                <w:p w14:paraId="5244852E" w14:textId="77777777" w:rsidR="007619EA" w:rsidRPr="007D6590" w:rsidRDefault="007619EA" w:rsidP="00396E87">
                  <w:pPr>
                    <w:pStyle w:val="StandardOCAshurst"/>
                    <w:rPr>
                      <w:sz w:val="16"/>
                      <w:szCs w:val="16"/>
                    </w:rPr>
                  </w:pPr>
                </w:p>
              </w:tc>
              <w:tc>
                <w:tcPr>
                  <w:tcW w:w="1559" w:type="dxa"/>
                </w:tcPr>
                <w:p w14:paraId="29B61C37" w14:textId="77777777" w:rsidR="007619EA" w:rsidRPr="007D6590" w:rsidRDefault="007619EA" w:rsidP="00396E87">
                  <w:pPr>
                    <w:pStyle w:val="StandardOCAshurst"/>
                    <w:rPr>
                      <w:sz w:val="16"/>
                      <w:szCs w:val="16"/>
                    </w:rPr>
                  </w:pPr>
                </w:p>
              </w:tc>
            </w:tr>
            <w:bookmarkEnd w:id="29"/>
          </w:tbl>
          <w:p w14:paraId="26F0C31B" w14:textId="77777777" w:rsidR="007619EA" w:rsidRPr="007D6590" w:rsidRDefault="007619EA" w:rsidP="00396E87">
            <w:pPr>
              <w:pStyle w:val="StandardOCAshurst"/>
              <w:rPr>
                <w:sz w:val="16"/>
                <w:szCs w:val="16"/>
              </w:rPr>
            </w:pPr>
          </w:p>
          <w:p w14:paraId="63A7CEC0" w14:textId="77777777" w:rsidR="007619EA" w:rsidRPr="007D6590" w:rsidRDefault="007619EA" w:rsidP="00396E87">
            <w:pPr>
              <w:pStyle w:val="NormalOCAshurst"/>
              <w:spacing w:after="120"/>
              <w:rPr>
                <w:rFonts w:asciiTheme="majorHAnsi" w:hAnsiTheme="majorHAnsi" w:cstheme="majorHAnsi"/>
                <w:sz w:val="16"/>
                <w:szCs w:val="16"/>
              </w:rPr>
            </w:pPr>
          </w:p>
        </w:tc>
      </w:tr>
      <w:tr w:rsidR="007619EA" w:rsidRPr="007D6590" w14:paraId="5671116B" w14:textId="77777777" w:rsidTr="00186BEA">
        <w:tc>
          <w:tcPr>
            <w:tcW w:w="1134" w:type="dxa"/>
            <w:tcBorders>
              <w:top w:val="single" w:sz="4" w:space="0" w:color="auto"/>
            </w:tcBorders>
          </w:tcPr>
          <w:p w14:paraId="7EE8E307" w14:textId="77777777" w:rsidR="007619EA" w:rsidRPr="007D6590" w:rsidRDefault="007619EA" w:rsidP="00396E87">
            <w:pPr>
              <w:pStyle w:val="NormalOCAshurst"/>
              <w:spacing w:before="120" w:after="120"/>
              <w:jc w:val="left"/>
              <w:rPr>
                <w:rFonts w:asciiTheme="majorHAnsi" w:hAnsiTheme="majorHAnsi" w:cstheme="majorHAnsi"/>
                <w:sz w:val="16"/>
                <w:szCs w:val="16"/>
              </w:rPr>
            </w:pPr>
            <w:r w:rsidRPr="007D6590">
              <w:rPr>
                <w:rFonts w:asciiTheme="majorHAnsi" w:hAnsiTheme="majorHAnsi" w:cstheme="majorHAnsi"/>
                <w:i/>
                <w:iCs/>
                <w:sz w:val="16"/>
                <w:szCs w:val="16"/>
              </w:rPr>
              <w:lastRenderedPageBreak/>
              <w:t>Pro forma</w:t>
            </w:r>
            <w:r w:rsidRPr="007D6590">
              <w:rPr>
                <w:rFonts w:asciiTheme="majorHAnsi" w:hAnsiTheme="majorHAnsi" w:cstheme="majorHAnsi"/>
                <w:sz w:val="16"/>
                <w:szCs w:val="16"/>
              </w:rPr>
              <w:t xml:space="preserve"> financial information</w:t>
            </w:r>
          </w:p>
        </w:tc>
        <w:tc>
          <w:tcPr>
            <w:tcW w:w="8789" w:type="dxa"/>
            <w:tcBorders>
              <w:top w:val="single" w:sz="4" w:space="0" w:color="auto"/>
            </w:tcBorders>
          </w:tcPr>
          <w:p w14:paraId="475A786E" w14:textId="1A431382" w:rsidR="007619EA" w:rsidRPr="007D6590" w:rsidRDefault="007619EA" w:rsidP="00396E87">
            <w:pPr>
              <w:pStyle w:val="NormalOCAshurst"/>
              <w:spacing w:before="120" w:after="120"/>
              <w:rPr>
                <w:rFonts w:asciiTheme="majorHAnsi" w:hAnsiTheme="majorHAnsi" w:cstheme="majorHAnsi"/>
                <w:sz w:val="16"/>
                <w:szCs w:val="16"/>
              </w:rPr>
            </w:pPr>
            <w:r w:rsidRPr="008C059A">
              <w:rPr>
                <w:rFonts w:asciiTheme="majorHAnsi" w:hAnsiTheme="majorHAnsi" w:cstheme="majorHAnsi"/>
                <w:sz w:val="16"/>
                <w:szCs w:val="16"/>
              </w:rPr>
              <w:t xml:space="preserve">The pro forma financial information covers the unaudited pro forma income statement for the year ended 31 December 2020 as if the Transaction and an RBL drawdown of $600 million had occurred on 1 January 2020 and the unaudited statement of assets and liabilities that has been prepared to illustrate the effect on the consolidated assets and liabilities of EnQuest as at 31 December 2020 as if the Transaction and </w:t>
            </w:r>
            <w:r>
              <w:rPr>
                <w:rFonts w:asciiTheme="majorHAnsi" w:hAnsiTheme="majorHAnsi" w:cstheme="majorHAnsi"/>
                <w:sz w:val="16"/>
                <w:szCs w:val="16"/>
              </w:rPr>
              <w:t xml:space="preserve">an </w:t>
            </w:r>
            <w:r w:rsidRPr="008C059A">
              <w:rPr>
                <w:rFonts w:asciiTheme="majorHAnsi" w:hAnsiTheme="majorHAnsi" w:cstheme="majorHAnsi"/>
                <w:sz w:val="16"/>
                <w:szCs w:val="16"/>
              </w:rPr>
              <w:t xml:space="preserve">RBL drawdown </w:t>
            </w:r>
            <w:r>
              <w:rPr>
                <w:rFonts w:asciiTheme="majorHAnsi" w:hAnsiTheme="majorHAnsi" w:cstheme="majorHAnsi"/>
                <w:sz w:val="16"/>
                <w:szCs w:val="16"/>
              </w:rPr>
              <w:t xml:space="preserve">of $600 million </w:t>
            </w:r>
            <w:r w:rsidRPr="008C059A">
              <w:rPr>
                <w:rFonts w:asciiTheme="majorHAnsi" w:hAnsiTheme="majorHAnsi" w:cstheme="majorHAnsi"/>
                <w:sz w:val="16"/>
                <w:szCs w:val="16"/>
              </w:rPr>
              <w:t>had taken place on that date.</w:t>
            </w:r>
          </w:p>
          <w:p w14:paraId="74CAFB95" w14:textId="61EBD3C1" w:rsidR="007619EA" w:rsidRPr="007D6590" w:rsidRDefault="007619EA" w:rsidP="00396E87">
            <w:pPr>
              <w:pStyle w:val="NormalOCAshurst"/>
              <w:spacing w:after="120"/>
              <w:jc w:val="left"/>
              <w:rPr>
                <w:rFonts w:asciiTheme="majorHAnsi" w:hAnsiTheme="majorHAnsi" w:cstheme="majorHAnsi"/>
                <w:b/>
                <w:bCs/>
                <w:sz w:val="16"/>
                <w:szCs w:val="16"/>
              </w:rPr>
            </w:pPr>
            <w:r w:rsidRPr="007D6590">
              <w:rPr>
                <w:rFonts w:asciiTheme="majorHAnsi" w:hAnsiTheme="majorHAnsi" w:cstheme="majorHAnsi"/>
                <w:sz w:val="16"/>
                <w:szCs w:val="16"/>
              </w:rPr>
              <w:t>The unaudited pro forma financial information has been prepared for illustrative purposes only. The hypothetical financial position and results included in the pro forma financial information may differ from the Enlarged Group's actual financial position or results.</w:t>
            </w:r>
          </w:p>
          <w:p w14:paraId="2A228B5A" w14:textId="2FC90346" w:rsidR="007619EA" w:rsidRDefault="007619EA" w:rsidP="00396E87">
            <w:pPr>
              <w:pStyle w:val="NormalOCAshurst"/>
              <w:jc w:val="left"/>
              <w:rPr>
                <w:rFonts w:asciiTheme="majorHAnsi" w:hAnsiTheme="majorHAnsi" w:cstheme="majorHAnsi"/>
                <w:sz w:val="16"/>
                <w:szCs w:val="16"/>
              </w:rPr>
            </w:pPr>
            <w:r w:rsidRPr="00AD6D18">
              <w:rPr>
                <w:rFonts w:asciiTheme="majorHAnsi" w:hAnsiTheme="majorHAnsi" w:cstheme="majorHAnsi"/>
                <w:b/>
                <w:bCs/>
                <w:sz w:val="16"/>
                <w:szCs w:val="16"/>
              </w:rPr>
              <w:t>Unaudited pro forma income statement for the year ended 31 December 2020</w:t>
            </w:r>
            <w:r w:rsidR="00F42609">
              <w:rPr>
                <w:rFonts w:asciiTheme="majorHAnsi" w:hAnsiTheme="majorHAnsi" w:cstheme="majorHAnsi"/>
                <w:b/>
                <w:bCs/>
                <w:sz w:val="16"/>
                <w:szCs w:val="16"/>
              </w:rPr>
              <w:t xml:space="preserve"> </w:t>
            </w:r>
          </w:p>
          <w:p w14:paraId="68021DD1" w14:textId="77777777" w:rsidR="00043857" w:rsidRPr="00AD6D18" w:rsidRDefault="00043857" w:rsidP="00043857">
            <w:pPr>
              <w:pStyle w:val="StandardOCAshurst"/>
            </w:pPr>
          </w:p>
          <w:tbl>
            <w:tblPr>
              <w:tblStyle w:val="TableGrid"/>
              <w:tblW w:w="48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7"/>
              <w:gridCol w:w="1118"/>
              <w:gridCol w:w="992"/>
              <w:gridCol w:w="992"/>
              <w:gridCol w:w="992"/>
              <w:gridCol w:w="992"/>
              <w:gridCol w:w="1133"/>
            </w:tblGrid>
            <w:tr w:rsidR="007619EA" w:rsidRPr="00007F01" w14:paraId="60879C6C" w14:textId="77777777" w:rsidTr="00043857">
              <w:tc>
                <w:tcPr>
                  <w:tcW w:w="1296" w:type="pct"/>
                  <w:tcMar>
                    <w:left w:w="57" w:type="dxa"/>
                    <w:right w:w="57" w:type="dxa"/>
                  </w:tcMar>
                </w:tcPr>
                <w:p w14:paraId="0A48B7DE" w14:textId="77777777" w:rsidR="007619EA" w:rsidRPr="00007F01" w:rsidRDefault="007619EA" w:rsidP="00043857">
                  <w:pPr>
                    <w:pStyle w:val="StandardOCAshurst"/>
                    <w:keepNext/>
                    <w:rPr>
                      <w:sz w:val="14"/>
                      <w:szCs w:val="14"/>
                    </w:rPr>
                  </w:pPr>
                </w:p>
              </w:tc>
              <w:tc>
                <w:tcPr>
                  <w:tcW w:w="665" w:type="pct"/>
                  <w:vMerge w:val="restart"/>
                  <w:tcMar>
                    <w:left w:w="57" w:type="dxa"/>
                    <w:right w:w="57" w:type="dxa"/>
                  </w:tcMar>
                  <w:vAlign w:val="bottom"/>
                </w:tcPr>
                <w:p w14:paraId="22C26DA8" w14:textId="77777777" w:rsidR="007619EA" w:rsidRPr="00007F01" w:rsidRDefault="007619EA" w:rsidP="00043857">
                  <w:pPr>
                    <w:pStyle w:val="StandardOCAshurst"/>
                    <w:keepNext/>
                    <w:pBdr>
                      <w:bottom w:val="single" w:sz="4" w:space="1" w:color="auto"/>
                    </w:pBdr>
                    <w:jc w:val="center"/>
                    <w:rPr>
                      <w:sz w:val="14"/>
                      <w:szCs w:val="14"/>
                    </w:rPr>
                  </w:pPr>
                  <w:r w:rsidRPr="00007F01">
                    <w:rPr>
                      <w:b/>
                      <w:bCs/>
                      <w:sz w:val="14"/>
                      <w:szCs w:val="14"/>
                    </w:rPr>
                    <w:t xml:space="preserve">Consolidated EnQuest </w:t>
                  </w:r>
                  <w:r>
                    <w:rPr>
                      <w:b/>
                      <w:bCs/>
                      <w:sz w:val="14"/>
                      <w:szCs w:val="14"/>
                    </w:rPr>
                    <w:t xml:space="preserve">PLC </w:t>
                  </w:r>
                  <w:r w:rsidRPr="00007F01">
                    <w:rPr>
                      <w:b/>
                      <w:bCs/>
                      <w:sz w:val="14"/>
                      <w:szCs w:val="14"/>
                    </w:rPr>
                    <w:t>results for the year ended 31 December 2020</w:t>
                  </w:r>
                </w:p>
              </w:tc>
              <w:tc>
                <w:tcPr>
                  <w:tcW w:w="2364" w:type="pct"/>
                  <w:gridSpan w:val="4"/>
                  <w:tcMar>
                    <w:left w:w="57" w:type="dxa"/>
                    <w:right w:w="57" w:type="dxa"/>
                  </w:tcMar>
                </w:tcPr>
                <w:p w14:paraId="17F58DBE" w14:textId="77777777" w:rsidR="007619EA" w:rsidRPr="00007F01" w:rsidRDefault="007619EA" w:rsidP="00043857">
                  <w:pPr>
                    <w:pStyle w:val="StandardOCAshurst"/>
                    <w:keepNext/>
                    <w:pBdr>
                      <w:bottom w:val="single" w:sz="4" w:space="1" w:color="auto"/>
                    </w:pBdr>
                    <w:jc w:val="center"/>
                    <w:rPr>
                      <w:b/>
                      <w:bCs/>
                      <w:sz w:val="14"/>
                      <w:szCs w:val="14"/>
                    </w:rPr>
                  </w:pPr>
                  <w:r w:rsidRPr="00007F01">
                    <w:rPr>
                      <w:b/>
                      <w:bCs/>
                      <w:sz w:val="14"/>
                      <w:szCs w:val="14"/>
                    </w:rPr>
                    <w:t>Adjustments</w:t>
                  </w:r>
                </w:p>
              </w:tc>
              <w:tc>
                <w:tcPr>
                  <w:tcW w:w="675" w:type="pct"/>
                  <w:vMerge w:val="restart"/>
                  <w:tcMar>
                    <w:left w:w="57" w:type="dxa"/>
                    <w:right w:w="57" w:type="dxa"/>
                  </w:tcMar>
                  <w:vAlign w:val="bottom"/>
                </w:tcPr>
                <w:p w14:paraId="424B5EFB" w14:textId="77777777" w:rsidR="007619EA" w:rsidRPr="00007F01" w:rsidRDefault="007619EA" w:rsidP="00043857">
                  <w:pPr>
                    <w:pStyle w:val="StandardOCAshurst"/>
                    <w:keepNext/>
                    <w:pBdr>
                      <w:bottom w:val="single" w:sz="4" w:space="1" w:color="auto"/>
                    </w:pBdr>
                    <w:jc w:val="center"/>
                    <w:rPr>
                      <w:sz w:val="14"/>
                      <w:szCs w:val="14"/>
                    </w:rPr>
                  </w:pPr>
                  <w:r w:rsidRPr="00007F01">
                    <w:rPr>
                      <w:b/>
                      <w:bCs/>
                      <w:sz w:val="14"/>
                      <w:szCs w:val="14"/>
                    </w:rPr>
                    <w:t>Pro forma total</w:t>
                  </w:r>
                </w:p>
              </w:tc>
            </w:tr>
            <w:tr w:rsidR="007619EA" w:rsidRPr="00007F01" w14:paraId="7A8D3A98" w14:textId="77777777" w:rsidTr="00043857">
              <w:tc>
                <w:tcPr>
                  <w:tcW w:w="1296" w:type="pct"/>
                  <w:tcMar>
                    <w:left w:w="57" w:type="dxa"/>
                    <w:right w:w="57" w:type="dxa"/>
                  </w:tcMar>
                </w:tcPr>
                <w:p w14:paraId="4D88C1E3" w14:textId="77777777" w:rsidR="007619EA" w:rsidRPr="00007F01" w:rsidRDefault="007619EA" w:rsidP="00396E87">
                  <w:pPr>
                    <w:pStyle w:val="StandardOCAshurst"/>
                    <w:rPr>
                      <w:sz w:val="14"/>
                      <w:szCs w:val="14"/>
                    </w:rPr>
                  </w:pPr>
                </w:p>
              </w:tc>
              <w:tc>
                <w:tcPr>
                  <w:tcW w:w="665" w:type="pct"/>
                  <w:vMerge/>
                  <w:tcMar>
                    <w:left w:w="57" w:type="dxa"/>
                    <w:right w:w="57" w:type="dxa"/>
                  </w:tcMar>
                  <w:vAlign w:val="bottom"/>
                </w:tcPr>
                <w:p w14:paraId="1282F576" w14:textId="77777777" w:rsidR="007619EA" w:rsidRPr="00007F01" w:rsidRDefault="007619EA" w:rsidP="00396E87">
                  <w:pPr>
                    <w:pStyle w:val="StandardOCAshurst"/>
                    <w:pBdr>
                      <w:bottom w:val="single" w:sz="4" w:space="1" w:color="auto"/>
                    </w:pBdr>
                    <w:jc w:val="center"/>
                    <w:rPr>
                      <w:b/>
                      <w:bCs/>
                      <w:sz w:val="14"/>
                      <w:szCs w:val="14"/>
                    </w:rPr>
                  </w:pPr>
                </w:p>
              </w:tc>
              <w:tc>
                <w:tcPr>
                  <w:tcW w:w="591" w:type="pct"/>
                  <w:tcMar>
                    <w:left w:w="57" w:type="dxa"/>
                    <w:right w:w="57" w:type="dxa"/>
                  </w:tcMar>
                  <w:vAlign w:val="bottom"/>
                </w:tcPr>
                <w:p w14:paraId="450F7B18" w14:textId="77777777" w:rsidR="007619EA" w:rsidRPr="00007F01" w:rsidRDefault="007619EA" w:rsidP="00396E87">
                  <w:pPr>
                    <w:pStyle w:val="StandardOCAshurst"/>
                    <w:pBdr>
                      <w:bottom w:val="single" w:sz="4" w:space="1" w:color="auto"/>
                    </w:pBdr>
                    <w:jc w:val="center"/>
                    <w:rPr>
                      <w:b/>
                      <w:bCs/>
                      <w:sz w:val="14"/>
                      <w:szCs w:val="14"/>
                    </w:rPr>
                  </w:pPr>
                  <w:r>
                    <w:rPr>
                      <w:b/>
                      <w:bCs/>
                      <w:sz w:val="14"/>
                      <w:szCs w:val="14"/>
                    </w:rPr>
                    <w:t>Golden Eagle Asset</w:t>
                  </w:r>
                  <w:r w:rsidRPr="00007F01">
                    <w:rPr>
                      <w:b/>
                      <w:bCs/>
                      <w:sz w:val="14"/>
                      <w:szCs w:val="14"/>
                    </w:rPr>
                    <w:t xml:space="preserve"> results for the year ended 31 December 2020</w:t>
                  </w:r>
                </w:p>
              </w:tc>
              <w:tc>
                <w:tcPr>
                  <w:tcW w:w="591" w:type="pct"/>
                  <w:tcMar>
                    <w:left w:w="57" w:type="dxa"/>
                    <w:right w:w="57" w:type="dxa"/>
                  </w:tcMar>
                  <w:vAlign w:val="bottom"/>
                </w:tcPr>
                <w:p w14:paraId="7DF22FA4" w14:textId="77777777" w:rsidR="007619EA" w:rsidRPr="00007F01" w:rsidRDefault="007619EA" w:rsidP="00396E87">
                  <w:pPr>
                    <w:pStyle w:val="StandardOCAshurst"/>
                    <w:pBdr>
                      <w:bottom w:val="single" w:sz="4" w:space="1" w:color="auto"/>
                    </w:pBdr>
                    <w:jc w:val="center"/>
                    <w:rPr>
                      <w:b/>
                      <w:bCs/>
                      <w:sz w:val="14"/>
                      <w:szCs w:val="14"/>
                    </w:rPr>
                  </w:pPr>
                  <w:r w:rsidRPr="00007F01">
                    <w:rPr>
                      <w:b/>
                      <w:bCs/>
                      <w:sz w:val="14"/>
                      <w:szCs w:val="14"/>
                    </w:rPr>
                    <w:t>Increase in DD&amp;A</w:t>
                  </w:r>
                </w:p>
              </w:tc>
              <w:tc>
                <w:tcPr>
                  <w:tcW w:w="591" w:type="pct"/>
                  <w:tcMar>
                    <w:left w:w="57" w:type="dxa"/>
                    <w:right w:w="57" w:type="dxa"/>
                  </w:tcMar>
                  <w:vAlign w:val="bottom"/>
                </w:tcPr>
                <w:p w14:paraId="4F1AA44F" w14:textId="77777777" w:rsidR="007619EA" w:rsidRPr="00007F01" w:rsidRDefault="007619EA" w:rsidP="00396E87">
                  <w:pPr>
                    <w:pStyle w:val="StandardOCAshurst"/>
                    <w:pBdr>
                      <w:bottom w:val="single" w:sz="4" w:space="1" w:color="auto"/>
                    </w:pBdr>
                    <w:jc w:val="center"/>
                    <w:rPr>
                      <w:b/>
                      <w:bCs/>
                      <w:sz w:val="14"/>
                      <w:szCs w:val="14"/>
                    </w:rPr>
                  </w:pPr>
                  <w:r w:rsidRPr="00007F01">
                    <w:rPr>
                      <w:b/>
                      <w:bCs/>
                      <w:sz w:val="14"/>
                      <w:szCs w:val="14"/>
                    </w:rPr>
                    <w:t>Deferred tax recognition</w:t>
                  </w:r>
                </w:p>
              </w:tc>
              <w:tc>
                <w:tcPr>
                  <w:tcW w:w="591" w:type="pct"/>
                  <w:tcMar>
                    <w:left w:w="57" w:type="dxa"/>
                    <w:right w:w="57" w:type="dxa"/>
                  </w:tcMar>
                  <w:vAlign w:val="bottom"/>
                </w:tcPr>
                <w:p w14:paraId="4C1E3CBF" w14:textId="77777777" w:rsidR="007619EA" w:rsidRPr="00007F01" w:rsidRDefault="007619EA" w:rsidP="00396E87">
                  <w:pPr>
                    <w:pStyle w:val="StandardOCAshurst"/>
                    <w:pBdr>
                      <w:bottom w:val="single" w:sz="4" w:space="1" w:color="auto"/>
                    </w:pBdr>
                    <w:jc w:val="center"/>
                    <w:rPr>
                      <w:b/>
                      <w:bCs/>
                      <w:sz w:val="14"/>
                      <w:szCs w:val="14"/>
                    </w:rPr>
                  </w:pPr>
                  <w:r w:rsidRPr="00007F01">
                    <w:rPr>
                      <w:b/>
                      <w:bCs/>
                      <w:sz w:val="14"/>
                      <w:szCs w:val="14"/>
                    </w:rPr>
                    <w:t>Refinancing</w:t>
                  </w:r>
                </w:p>
              </w:tc>
              <w:tc>
                <w:tcPr>
                  <w:tcW w:w="675" w:type="pct"/>
                  <w:vMerge/>
                  <w:tcMar>
                    <w:left w:w="57" w:type="dxa"/>
                    <w:right w:w="57" w:type="dxa"/>
                  </w:tcMar>
                  <w:vAlign w:val="bottom"/>
                </w:tcPr>
                <w:p w14:paraId="3F0D4141" w14:textId="77777777" w:rsidR="007619EA" w:rsidRPr="00007F01" w:rsidRDefault="007619EA" w:rsidP="00396E87">
                  <w:pPr>
                    <w:pStyle w:val="StandardOCAshurst"/>
                    <w:pBdr>
                      <w:bottom w:val="single" w:sz="4" w:space="1" w:color="auto"/>
                    </w:pBdr>
                    <w:jc w:val="center"/>
                    <w:rPr>
                      <w:b/>
                      <w:bCs/>
                      <w:sz w:val="14"/>
                      <w:szCs w:val="14"/>
                    </w:rPr>
                  </w:pPr>
                </w:p>
              </w:tc>
            </w:tr>
            <w:tr w:rsidR="007619EA" w:rsidRPr="00007F01" w14:paraId="3B303CF3" w14:textId="77777777" w:rsidTr="00043857">
              <w:tc>
                <w:tcPr>
                  <w:tcW w:w="1296" w:type="pct"/>
                  <w:tcMar>
                    <w:left w:w="57" w:type="dxa"/>
                    <w:right w:w="57" w:type="dxa"/>
                  </w:tcMar>
                </w:tcPr>
                <w:p w14:paraId="170DCD36" w14:textId="77777777" w:rsidR="007619EA" w:rsidRPr="00007F01" w:rsidRDefault="007619EA" w:rsidP="00396E87">
                  <w:pPr>
                    <w:pStyle w:val="StandardOCAshurst"/>
                    <w:rPr>
                      <w:sz w:val="14"/>
                      <w:szCs w:val="14"/>
                    </w:rPr>
                  </w:pPr>
                </w:p>
              </w:tc>
              <w:tc>
                <w:tcPr>
                  <w:tcW w:w="665" w:type="pct"/>
                  <w:tcMar>
                    <w:left w:w="57" w:type="dxa"/>
                    <w:right w:w="57" w:type="dxa"/>
                  </w:tcMar>
                  <w:vAlign w:val="bottom"/>
                </w:tcPr>
                <w:p w14:paraId="07864AFD" w14:textId="77777777" w:rsidR="007619EA" w:rsidRPr="00007F01" w:rsidRDefault="007619EA" w:rsidP="00396E87">
                  <w:pPr>
                    <w:pStyle w:val="StandardOCAshurst"/>
                    <w:jc w:val="center"/>
                    <w:rPr>
                      <w:b/>
                      <w:bCs/>
                      <w:sz w:val="14"/>
                      <w:szCs w:val="14"/>
                    </w:rPr>
                  </w:pPr>
                </w:p>
              </w:tc>
              <w:tc>
                <w:tcPr>
                  <w:tcW w:w="591" w:type="pct"/>
                  <w:tcMar>
                    <w:left w:w="57" w:type="dxa"/>
                    <w:right w:w="57" w:type="dxa"/>
                  </w:tcMar>
                  <w:vAlign w:val="bottom"/>
                </w:tcPr>
                <w:p w14:paraId="45F7927E" w14:textId="77777777" w:rsidR="007619EA" w:rsidRPr="00007F01" w:rsidRDefault="007619EA" w:rsidP="00396E87">
                  <w:pPr>
                    <w:pStyle w:val="StandardOCAshurst"/>
                    <w:jc w:val="center"/>
                    <w:rPr>
                      <w:b/>
                      <w:bCs/>
                      <w:sz w:val="14"/>
                      <w:szCs w:val="14"/>
                    </w:rPr>
                  </w:pPr>
                </w:p>
              </w:tc>
              <w:tc>
                <w:tcPr>
                  <w:tcW w:w="591" w:type="pct"/>
                  <w:tcMar>
                    <w:left w:w="57" w:type="dxa"/>
                    <w:right w:w="57" w:type="dxa"/>
                  </w:tcMar>
                  <w:vAlign w:val="bottom"/>
                </w:tcPr>
                <w:p w14:paraId="45BBC9A9" w14:textId="77777777" w:rsidR="007619EA" w:rsidRPr="00007F01" w:rsidRDefault="007619EA" w:rsidP="00396E87">
                  <w:pPr>
                    <w:pStyle w:val="StandardOCAshurst"/>
                    <w:jc w:val="center"/>
                    <w:rPr>
                      <w:b/>
                      <w:bCs/>
                      <w:sz w:val="14"/>
                      <w:szCs w:val="14"/>
                    </w:rPr>
                  </w:pPr>
                </w:p>
              </w:tc>
              <w:tc>
                <w:tcPr>
                  <w:tcW w:w="591" w:type="pct"/>
                  <w:tcMar>
                    <w:left w:w="57" w:type="dxa"/>
                    <w:right w:w="57" w:type="dxa"/>
                  </w:tcMar>
                  <w:vAlign w:val="bottom"/>
                </w:tcPr>
                <w:p w14:paraId="503422B9" w14:textId="77777777" w:rsidR="007619EA" w:rsidRPr="00007F01" w:rsidRDefault="007619EA" w:rsidP="00396E87">
                  <w:pPr>
                    <w:pStyle w:val="StandardOCAshurst"/>
                    <w:jc w:val="center"/>
                    <w:rPr>
                      <w:b/>
                      <w:bCs/>
                      <w:sz w:val="14"/>
                      <w:szCs w:val="14"/>
                    </w:rPr>
                  </w:pPr>
                </w:p>
              </w:tc>
              <w:tc>
                <w:tcPr>
                  <w:tcW w:w="591" w:type="pct"/>
                  <w:tcMar>
                    <w:left w:w="57" w:type="dxa"/>
                    <w:right w:w="57" w:type="dxa"/>
                  </w:tcMar>
                  <w:vAlign w:val="bottom"/>
                </w:tcPr>
                <w:p w14:paraId="7B24F43C" w14:textId="77777777" w:rsidR="007619EA" w:rsidRPr="00007F01" w:rsidRDefault="007619EA" w:rsidP="00396E87">
                  <w:pPr>
                    <w:pStyle w:val="StandardOCAshurst"/>
                    <w:jc w:val="center"/>
                    <w:rPr>
                      <w:b/>
                      <w:bCs/>
                      <w:sz w:val="14"/>
                      <w:szCs w:val="14"/>
                    </w:rPr>
                  </w:pPr>
                </w:p>
              </w:tc>
              <w:tc>
                <w:tcPr>
                  <w:tcW w:w="675" w:type="pct"/>
                  <w:tcMar>
                    <w:left w:w="57" w:type="dxa"/>
                    <w:right w:w="57" w:type="dxa"/>
                  </w:tcMar>
                  <w:vAlign w:val="bottom"/>
                </w:tcPr>
                <w:p w14:paraId="53BAAA9D" w14:textId="77777777" w:rsidR="007619EA" w:rsidRPr="00007F01" w:rsidRDefault="007619EA" w:rsidP="00396E87">
                  <w:pPr>
                    <w:pStyle w:val="StandardOCAshurst"/>
                    <w:jc w:val="center"/>
                    <w:rPr>
                      <w:b/>
                      <w:bCs/>
                      <w:sz w:val="14"/>
                      <w:szCs w:val="14"/>
                    </w:rPr>
                  </w:pPr>
                </w:p>
              </w:tc>
            </w:tr>
            <w:tr w:rsidR="007619EA" w:rsidRPr="00007F01" w14:paraId="22E62C06" w14:textId="77777777" w:rsidTr="00043857">
              <w:tc>
                <w:tcPr>
                  <w:tcW w:w="1296" w:type="pct"/>
                  <w:tcMar>
                    <w:left w:w="57" w:type="dxa"/>
                    <w:right w:w="57" w:type="dxa"/>
                  </w:tcMar>
                </w:tcPr>
                <w:p w14:paraId="449F100B" w14:textId="77777777" w:rsidR="007619EA" w:rsidRPr="00007F01" w:rsidRDefault="007619EA" w:rsidP="00396E87">
                  <w:pPr>
                    <w:pStyle w:val="StandardOCAshurst"/>
                    <w:tabs>
                      <w:tab w:val="left" w:leader="dot" w:pos="2494"/>
                    </w:tabs>
                    <w:rPr>
                      <w:b/>
                      <w:bCs/>
                      <w:sz w:val="14"/>
                      <w:szCs w:val="14"/>
                    </w:rPr>
                  </w:pPr>
                  <w:r w:rsidRPr="00007F01">
                    <w:rPr>
                      <w:b/>
                      <w:bCs/>
                      <w:sz w:val="14"/>
                      <w:szCs w:val="14"/>
                    </w:rPr>
                    <w:t>$ 000's</w:t>
                  </w:r>
                </w:p>
              </w:tc>
              <w:tc>
                <w:tcPr>
                  <w:tcW w:w="665" w:type="pct"/>
                  <w:tcMar>
                    <w:left w:w="57" w:type="dxa"/>
                    <w:right w:w="57" w:type="dxa"/>
                  </w:tcMar>
                  <w:vAlign w:val="bottom"/>
                </w:tcPr>
                <w:p w14:paraId="253740B4" w14:textId="77777777" w:rsidR="007619EA" w:rsidRPr="00007F01" w:rsidRDefault="007619EA" w:rsidP="00396E87">
                  <w:pPr>
                    <w:pStyle w:val="StandardOCAshurst"/>
                    <w:jc w:val="center"/>
                    <w:rPr>
                      <w:b/>
                      <w:bCs/>
                      <w:sz w:val="14"/>
                      <w:szCs w:val="14"/>
                    </w:rPr>
                  </w:pPr>
                </w:p>
              </w:tc>
              <w:tc>
                <w:tcPr>
                  <w:tcW w:w="591" w:type="pct"/>
                  <w:tcMar>
                    <w:left w:w="57" w:type="dxa"/>
                    <w:right w:w="57" w:type="dxa"/>
                  </w:tcMar>
                  <w:vAlign w:val="bottom"/>
                </w:tcPr>
                <w:p w14:paraId="53B9F089" w14:textId="77777777" w:rsidR="007619EA" w:rsidRPr="00007F01" w:rsidRDefault="007619EA" w:rsidP="00396E87">
                  <w:pPr>
                    <w:pStyle w:val="StandardOCAshurst"/>
                    <w:jc w:val="center"/>
                    <w:rPr>
                      <w:b/>
                      <w:bCs/>
                      <w:sz w:val="14"/>
                      <w:szCs w:val="14"/>
                    </w:rPr>
                  </w:pPr>
                </w:p>
              </w:tc>
              <w:tc>
                <w:tcPr>
                  <w:tcW w:w="591" w:type="pct"/>
                  <w:tcMar>
                    <w:left w:w="57" w:type="dxa"/>
                    <w:right w:w="57" w:type="dxa"/>
                  </w:tcMar>
                  <w:vAlign w:val="bottom"/>
                </w:tcPr>
                <w:p w14:paraId="1F4DABFC" w14:textId="77777777" w:rsidR="007619EA" w:rsidRPr="00007F01" w:rsidRDefault="007619EA" w:rsidP="00396E87">
                  <w:pPr>
                    <w:pStyle w:val="StandardOCAshurst"/>
                    <w:jc w:val="center"/>
                    <w:rPr>
                      <w:b/>
                      <w:bCs/>
                      <w:sz w:val="14"/>
                      <w:szCs w:val="14"/>
                    </w:rPr>
                  </w:pPr>
                </w:p>
              </w:tc>
              <w:tc>
                <w:tcPr>
                  <w:tcW w:w="591" w:type="pct"/>
                  <w:tcMar>
                    <w:left w:w="57" w:type="dxa"/>
                    <w:right w:w="57" w:type="dxa"/>
                  </w:tcMar>
                  <w:vAlign w:val="bottom"/>
                </w:tcPr>
                <w:p w14:paraId="01CBB1D3" w14:textId="77777777" w:rsidR="007619EA" w:rsidRPr="00007F01" w:rsidRDefault="007619EA" w:rsidP="00396E87">
                  <w:pPr>
                    <w:pStyle w:val="StandardOCAshurst"/>
                    <w:jc w:val="center"/>
                    <w:rPr>
                      <w:b/>
                      <w:bCs/>
                      <w:sz w:val="14"/>
                      <w:szCs w:val="14"/>
                    </w:rPr>
                  </w:pPr>
                </w:p>
              </w:tc>
              <w:tc>
                <w:tcPr>
                  <w:tcW w:w="591" w:type="pct"/>
                  <w:tcMar>
                    <w:left w:w="57" w:type="dxa"/>
                    <w:right w:w="57" w:type="dxa"/>
                  </w:tcMar>
                  <w:vAlign w:val="bottom"/>
                </w:tcPr>
                <w:p w14:paraId="7E71A5DE" w14:textId="77777777" w:rsidR="007619EA" w:rsidRPr="00007F01" w:rsidRDefault="007619EA" w:rsidP="00396E87">
                  <w:pPr>
                    <w:pStyle w:val="StandardOCAshurst"/>
                    <w:jc w:val="center"/>
                    <w:rPr>
                      <w:b/>
                      <w:bCs/>
                      <w:sz w:val="14"/>
                      <w:szCs w:val="14"/>
                    </w:rPr>
                  </w:pPr>
                </w:p>
              </w:tc>
              <w:tc>
                <w:tcPr>
                  <w:tcW w:w="675" w:type="pct"/>
                  <w:tcMar>
                    <w:left w:w="57" w:type="dxa"/>
                    <w:right w:w="57" w:type="dxa"/>
                  </w:tcMar>
                  <w:vAlign w:val="bottom"/>
                </w:tcPr>
                <w:p w14:paraId="68F53B05" w14:textId="77777777" w:rsidR="007619EA" w:rsidRPr="00007F01" w:rsidRDefault="007619EA" w:rsidP="00396E87">
                  <w:pPr>
                    <w:pStyle w:val="StandardOCAshurst"/>
                    <w:jc w:val="center"/>
                    <w:rPr>
                      <w:b/>
                      <w:bCs/>
                      <w:sz w:val="14"/>
                      <w:szCs w:val="14"/>
                    </w:rPr>
                  </w:pPr>
                </w:p>
              </w:tc>
            </w:tr>
            <w:tr w:rsidR="007619EA" w:rsidRPr="00007F01" w14:paraId="0619E991" w14:textId="77777777" w:rsidTr="00043857">
              <w:tc>
                <w:tcPr>
                  <w:tcW w:w="1296" w:type="pct"/>
                  <w:tcMar>
                    <w:left w:w="57" w:type="dxa"/>
                    <w:right w:w="57" w:type="dxa"/>
                  </w:tcMar>
                </w:tcPr>
                <w:p w14:paraId="7333A9A9" w14:textId="77777777" w:rsidR="007619EA" w:rsidRPr="00007F01" w:rsidRDefault="007619EA" w:rsidP="00396E87">
                  <w:pPr>
                    <w:pStyle w:val="StandardOCAshurst"/>
                    <w:tabs>
                      <w:tab w:val="left" w:leader="dot" w:pos="2494"/>
                    </w:tabs>
                    <w:rPr>
                      <w:b/>
                      <w:bCs/>
                      <w:sz w:val="14"/>
                      <w:szCs w:val="14"/>
                    </w:rPr>
                  </w:pPr>
                </w:p>
              </w:tc>
              <w:tc>
                <w:tcPr>
                  <w:tcW w:w="665" w:type="pct"/>
                  <w:tcMar>
                    <w:left w:w="57" w:type="dxa"/>
                    <w:right w:w="57" w:type="dxa"/>
                  </w:tcMar>
                  <w:vAlign w:val="bottom"/>
                </w:tcPr>
                <w:p w14:paraId="20009D2D" w14:textId="77777777" w:rsidR="007619EA" w:rsidRPr="00007F01" w:rsidRDefault="007619EA" w:rsidP="00396E87">
                  <w:pPr>
                    <w:pStyle w:val="StandardOCAshurst"/>
                    <w:jc w:val="right"/>
                    <w:rPr>
                      <w:sz w:val="14"/>
                      <w:szCs w:val="14"/>
                    </w:rPr>
                  </w:pPr>
                </w:p>
              </w:tc>
              <w:tc>
                <w:tcPr>
                  <w:tcW w:w="591" w:type="pct"/>
                  <w:tcMar>
                    <w:left w:w="57" w:type="dxa"/>
                    <w:right w:w="57" w:type="dxa"/>
                  </w:tcMar>
                  <w:vAlign w:val="bottom"/>
                </w:tcPr>
                <w:p w14:paraId="529A86A9" w14:textId="77777777" w:rsidR="007619EA" w:rsidRPr="00007F01" w:rsidRDefault="007619EA" w:rsidP="00396E87">
                  <w:pPr>
                    <w:pStyle w:val="StandardOCAshurst"/>
                    <w:jc w:val="right"/>
                    <w:rPr>
                      <w:sz w:val="14"/>
                      <w:szCs w:val="14"/>
                    </w:rPr>
                  </w:pPr>
                </w:p>
              </w:tc>
              <w:tc>
                <w:tcPr>
                  <w:tcW w:w="591" w:type="pct"/>
                  <w:tcMar>
                    <w:left w:w="57" w:type="dxa"/>
                    <w:right w:w="57" w:type="dxa"/>
                  </w:tcMar>
                  <w:vAlign w:val="bottom"/>
                </w:tcPr>
                <w:p w14:paraId="0D2CEDE5" w14:textId="77777777" w:rsidR="007619EA" w:rsidRPr="00007F01" w:rsidRDefault="007619EA" w:rsidP="00396E87">
                  <w:pPr>
                    <w:pStyle w:val="StandardOCAshurst"/>
                    <w:jc w:val="right"/>
                    <w:rPr>
                      <w:sz w:val="14"/>
                      <w:szCs w:val="14"/>
                    </w:rPr>
                  </w:pPr>
                </w:p>
              </w:tc>
              <w:tc>
                <w:tcPr>
                  <w:tcW w:w="591" w:type="pct"/>
                  <w:tcMar>
                    <w:left w:w="57" w:type="dxa"/>
                    <w:right w:w="57" w:type="dxa"/>
                  </w:tcMar>
                  <w:vAlign w:val="bottom"/>
                </w:tcPr>
                <w:p w14:paraId="0FAF1E45" w14:textId="77777777" w:rsidR="007619EA" w:rsidRPr="00007F01" w:rsidRDefault="007619EA" w:rsidP="00396E87">
                  <w:pPr>
                    <w:pStyle w:val="StandardOCAshurst"/>
                    <w:jc w:val="right"/>
                    <w:rPr>
                      <w:sz w:val="14"/>
                      <w:szCs w:val="14"/>
                    </w:rPr>
                  </w:pPr>
                </w:p>
              </w:tc>
              <w:tc>
                <w:tcPr>
                  <w:tcW w:w="591" w:type="pct"/>
                  <w:tcMar>
                    <w:left w:w="57" w:type="dxa"/>
                    <w:right w:w="57" w:type="dxa"/>
                  </w:tcMar>
                  <w:vAlign w:val="bottom"/>
                </w:tcPr>
                <w:p w14:paraId="4C28F9C2" w14:textId="77777777" w:rsidR="007619EA" w:rsidRPr="00007F01" w:rsidRDefault="007619EA" w:rsidP="00396E87">
                  <w:pPr>
                    <w:pStyle w:val="StandardOCAshurst"/>
                    <w:jc w:val="right"/>
                    <w:rPr>
                      <w:sz w:val="14"/>
                      <w:szCs w:val="14"/>
                    </w:rPr>
                  </w:pPr>
                </w:p>
              </w:tc>
              <w:tc>
                <w:tcPr>
                  <w:tcW w:w="675" w:type="pct"/>
                  <w:tcMar>
                    <w:left w:w="57" w:type="dxa"/>
                    <w:right w:w="57" w:type="dxa"/>
                  </w:tcMar>
                  <w:vAlign w:val="bottom"/>
                </w:tcPr>
                <w:p w14:paraId="5B026642" w14:textId="77777777" w:rsidR="007619EA" w:rsidRPr="00007F01" w:rsidRDefault="007619EA" w:rsidP="00396E87">
                  <w:pPr>
                    <w:pStyle w:val="StandardOCAshurst"/>
                    <w:jc w:val="right"/>
                    <w:rPr>
                      <w:sz w:val="14"/>
                      <w:szCs w:val="14"/>
                    </w:rPr>
                  </w:pPr>
                </w:p>
              </w:tc>
            </w:tr>
            <w:tr w:rsidR="007619EA" w:rsidRPr="00007F01" w14:paraId="3966A50A" w14:textId="77777777" w:rsidTr="00043857">
              <w:tc>
                <w:tcPr>
                  <w:tcW w:w="1296" w:type="pct"/>
                  <w:tcMar>
                    <w:left w:w="57" w:type="dxa"/>
                    <w:right w:w="57" w:type="dxa"/>
                  </w:tcMar>
                </w:tcPr>
                <w:p w14:paraId="2B220F42" w14:textId="77777777" w:rsidR="007619EA" w:rsidRPr="00007F01" w:rsidRDefault="007619EA" w:rsidP="00043857">
                  <w:pPr>
                    <w:pStyle w:val="StandardOCAshurst"/>
                    <w:tabs>
                      <w:tab w:val="left" w:leader="dot" w:pos="1950"/>
                    </w:tabs>
                    <w:rPr>
                      <w:sz w:val="14"/>
                      <w:szCs w:val="14"/>
                    </w:rPr>
                  </w:pPr>
                  <w:r w:rsidRPr="00007F01">
                    <w:rPr>
                      <w:sz w:val="14"/>
                      <w:szCs w:val="14"/>
                    </w:rPr>
                    <w:t>Revenue and other operating income</w:t>
                  </w:r>
                </w:p>
              </w:tc>
              <w:tc>
                <w:tcPr>
                  <w:tcW w:w="665" w:type="pct"/>
                  <w:tcMar>
                    <w:left w:w="57" w:type="dxa"/>
                    <w:right w:w="57" w:type="dxa"/>
                  </w:tcMar>
                  <w:vAlign w:val="bottom"/>
                </w:tcPr>
                <w:p w14:paraId="54B01790" w14:textId="113FFFFF" w:rsidR="007619EA" w:rsidRPr="00726AB5" w:rsidRDefault="00145FA3" w:rsidP="00396E87">
                  <w:pPr>
                    <w:pStyle w:val="StandardOCAshurst"/>
                    <w:jc w:val="right"/>
                    <w:rPr>
                      <w:sz w:val="14"/>
                      <w:szCs w:val="14"/>
                    </w:rPr>
                  </w:pPr>
                  <w:r>
                    <w:rPr>
                      <w:sz w:val="14"/>
                      <w:szCs w:val="14"/>
                    </w:rPr>
                    <w:t>863,852</w:t>
                  </w:r>
                </w:p>
              </w:tc>
              <w:tc>
                <w:tcPr>
                  <w:tcW w:w="591" w:type="pct"/>
                  <w:tcMar>
                    <w:left w:w="57" w:type="dxa"/>
                    <w:right w:w="57" w:type="dxa"/>
                  </w:tcMar>
                  <w:vAlign w:val="bottom"/>
                </w:tcPr>
                <w:p w14:paraId="0284DF2F" w14:textId="77777777" w:rsidR="007619EA" w:rsidRPr="00726AB5" w:rsidRDefault="007619EA" w:rsidP="00396E87">
                  <w:pPr>
                    <w:pStyle w:val="StandardOCAshurst"/>
                    <w:jc w:val="right"/>
                    <w:rPr>
                      <w:sz w:val="14"/>
                      <w:szCs w:val="14"/>
                    </w:rPr>
                  </w:pPr>
                  <w:r w:rsidRPr="000E0825">
                    <w:rPr>
                      <w:sz w:val="14"/>
                      <w:szCs w:val="14"/>
                    </w:rPr>
                    <w:t>95,413</w:t>
                  </w:r>
                </w:p>
              </w:tc>
              <w:tc>
                <w:tcPr>
                  <w:tcW w:w="591" w:type="pct"/>
                  <w:tcMar>
                    <w:left w:w="57" w:type="dxa"/>
                    <w:right w:w="57" w:type="dxa"/>
                  </w:tcMar>
                  <w:vAlign w:val="bottom"/>
                </w:tcPr>
                <w:p w14:paraId="3E72C8D2"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548EE35A"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08B4D3FB" w14:textId="77777777" w:rsidR="007619EA" w:rsidRPr="00726AB5" w:rsidRDefault="007619EA" w:rsidP="00396E87">
                  <w:pPr>
                    <w:pStyle w:val="StandardOCAshurst"/>
                    <w:jc w:val="right"/>
                    <w:rPr>
                      <w:sz w:val="14"/>
                      <w:szCs w:val="14"/>
                    </w:rPr>
                  </w:pPr>
                  <w:r w:rsidRPr="000E0825">
                    <w:rPr>
                      <w:sz w:val="14"/>
                      <w:szCs w:val="14"/>
                    </w:rPr>
                    <w:t>-</w:t>
                  </w:r>
                </w:p>
              </w:tc>
              <w:tc>
                <w:tcPr>
                  <w:tcW w:w="675" w:type="pct"/>
                  <w:tcMar>
                    <w:left w:w="57" w:type="dxa"/>
                    <w:right w:w="57" w:type="dxa"/>
                  </w:tcMar>
                  <w:vAlign w:val="bottom"/>
                </w:tcPr>
                <w:p w14:paraId="1C350752" w14:textId="5F4C89BD" w:rsidR="007619EA" w:rsidRPr="00726AB5" w:rsidRDefault="00145FA3" w:rsidP="00396E87">
                  <w:pPr>
                    <w:pStyle w:val="StandardOCAshurst"/>
                    <w:jc w:val="right"/>
                    <w:rPr>
                      <w:sz w:val="14"/>
                      <w:szCs w:val="14"/>
                    </w:rPr>
                  </w:pPr>
                  <w:r>
                    <w:rPr>
                      <w:sz w:val="14"/>
                      <w:szCs w:val="14"/>
                    </w:rPr>
                    <w:t>959,265</w:t>
                  </w:r>
                </w:p>
              </w:tc>
            </w:tr>
            <w:tr w:rsidR="007619EA" w:rsidRPr="00007F01" w14:paraId="291EBEF1" w14:textId="77777777" w:rsidTr="00043857">
              <w:tc>
                <w:tcPr>
                  <w:tcW w:w="1296" w:type="pct"/>
                  <w:tcMar>
                    <w:left w:w="57" w:type="dxa"/>
                    <w:right w:w="57" w:type="dxa"/>
                  </w:tcMar>
                </w:tcPr>
                <w:p w14:paraId="31D638B7" w14:textId="25C52F9F" w:rsidR="007619EA" w:rsidRPr="00007F01" w:rsidRDefault="007619EA" w:rsidP="00043857">
                  <w:pPr>
                    <w:pStyle w:val="StandardOCAshurst"/>
                    <w:tabs>
                      <w:tab w:val="left" w:leader="dot" w:pos="1950"/>
                    </w:tabs>
                    <w:rPr>
                      <w:sz w:val="14"/>
                      <w:szCs w:val="14"/>
                    </w:rPr>
                  </w:pPr>
                  <w:r w:rsidRPr="00007F01">
                    <w:rPr>
                      <w:sz w:val="14"/>
                      <w:szCs w:val="14"/>
                    </w:rPr>
                    <w:t>Cost of sales</w:t>
                  </w:r>
                  <w:r w:rsidR="00043857">
                    <w:rPr>
                      <w:sz w:val="14"/>
                      <w:szCs w:val="14"/>
                    </w:rPr>
                    <w:tab/>
                  </w:r>
                </w:p>
              </w:tc>
              <w:tc>
                <w:tcPr>
                  <w:tcW w:w="665" w:type="pct"/>
                  <w:tcMar>
                    <w:left w:w="57" w:type="dxa"/>
                    <w:right w:w="57" w:type="dxa"/>
                  </w:tcMar>
                  <w:vAlign w:val="bottom"/>
                </w:tcPr>
                <w:p w14:paraId="024A9448"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(799,081)</w:t>
                  </w:r>
                </w:p>
              </w:tc>
              <w:tc>
                <w:tcPr>
                  <w:tcW w:w="591" w:type="pct"/>
                  <w:tcMar>
                    <w:left w:w="57" w:type="dxa"/>
                    <w:right w:w="57" w:type="dxa"/>
                  </w:tcMar>
                  <w:vAlign w:val="bottom"/>
                </w:tcPr>
                <w:p w14:paraId="022752CB"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(66,630)</w:t>
                  </w:r>
                </w:p>
              </w:tc>
              <w:tc>
                <w:tcPr>
                  <w:tcW w:w="591" w:type="pct"/>
                  <w:tcMar>
                    <w:left w:w="57" w:type="dxa"/>
                    <w:right w:w="57" w:type="dxa"/>
                  </w:tcMar>
                  <w:vAlign w:val="bottom"/>
                </w:tcPr>
                <w:p w14:paraId="399FF7E9"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(16,226)</w:t>
                  </w:r>
                </w:p>
              </w:tc>
              <w:tc>
                <w:tcPr>
                  <w:tcW w:w="591" w:type="pct"/>
                  <w:tcMar>
                    <w:left w:w="57" w:type="dxa"/>
                    <w:right w:w="57" w:type="dxa"/>
                  </w:tcMar>
                  <w:vAlign w:val="bottom"/>
                </w:tcPr>
                <w:p w14:paraId="48F67F07"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w:t>
                  </w:r>
                </w:p>
              </w:tc>
              <w:tc>
                <w:tcPr>
                  <w:tcW w:w="591" w:type="pct"/>
                  <w:tcMar>
                    <w:left w:w="57" w:type="dxa"/>
                    <w:right w:w="57" w:type="dxa"/>
                  </w:tcMar>
                  <w:vAlign w:val="bottom"/>
                </w:tcPr>
                <w:p w14:paraId="33741C7D"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w:t>
                  </w:r>
                </w:p>
              </w:tc>
              <w:tc>
                <w:tcPr>
                  <w:tcW w:w="675" w:type="pct"/>
                  <w:tcMar>
                    <w:left w:w="57" w:type="dxa"/>
                    <w:right w:w="57" w:type="dxa"/>
                  </w:tcMar>
                  <w:vAlign w:val="bottom"/>
                </w:tcPr>
                <w:p w14:paraId="0875C54D"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(881,937)</w:t>
                  </w:r>
                </w:p>
              </w:tc>
            </w:tr>
            <w:tr w:rsidR="007619EA" w:rsidRPr="00007F01" w14:paraId="4F19A9F7" w14:textId="77777777" w:rsidTr="00043857">
              <w:tc>
                <w:tcPr>
                  <w:tcW w:w="1296" w:type="pct"/>
                  <w:tcMar>
                    <w:left w:w="57" w:type="dxa"/>
                    <w:right w:w="57" w:type="dxa"/>
                  </w:tcMar>
                </w:tcPr>
                <w:p w14:paraId="1B8FDE39" w14:textId="3E9CC0EB" w:rsidR="007619EA" w:rsidRPr="00007F01" w:rsidRDefault="007619EA" w:rsidP="00043857">
                  <w:pPr>
                    <w:pStyle w:val="StandardOCAshurst"/>
                    <w:tabs>
                      <w:tab w:val="left" w:leader="dot" w:pos="1950"/>
                    </w:tabs>
                    <w:rPr>
                      <w:b/>
                      <w:bCs/>
                      <w:sz w:val="14"/>
                      <w:szCs w:val="14"/>
                    </w:rPr>
                  </w:pPr>
                  <w:r w:rsidRPr="00007F01">
                    <w:rPr>
                      <w:b/>
                      <w:bCs/>
                      <w:sz w:val="14"/>
                      <w:szCs w:val="14"/>
                    </w:rPr>
                    <w:t>Gross profit</w:t>
                  </w:r>
                  <w:r w:rsidR="00043857" w:rsidRPr="00043857">
                    <w:rPr>
                      <w:sz w:val="14"/>
                      <w:szCs w:val="14"/>
                    </w:rPr>
                    <w:tab/>
                  </w:r>
                </w:p>
              </w:tc>
              <w:tc>
                <w:tcPr>
                  <w:tcW w:w="665" w:type="pct"/>
                  <w:tcMar>
                    <w:left w:w="57" w:type="dxa"/>
                    <w:right w:w="57" w:type="dxa"/>
                  </w:tcMar>
                  <w:vAlign w:val="bottom"/>
                </w:tcPr>
                <w:p w14:paraId="794CECCC" w14:textId="164D0908" w:rsidR="007619EA" w:rsidRPr="00726AB5" w:rsidRDefault="00145FA3" w:rsidP="00396E87">
                  <w:pPr>
                    <w:pStyle w:val="StandardOCAshurst"/>
                    <w:pBdr>
                      <w:bottom w:val="double" w:sz="4" w:space="1" w:color="auto"/>
                    </w:pBdr>
                    <w:jc w:val="right"/>
                    <w:rPr>
                      <w:b/>
                      <w:bCs/>
                      <w:sz w:val="14"/>
                      <w:szCs w:val="14"/>
                    </w:rPr>
                  </w:pPr>
                  <w:r>
                    <w:rPr>
                      <w:b/>
                      <w:bCs/>
                      <w:sz w:val="14"/>
                      <w:szCs w:val="14"/>
                    </w:rPr>
                    <w:t>64,771</w:t>
                  </w:r>
                </w:p>
              </w:tc>
              <w:tc>
                <w:tcPr>
                  <w:tcW w:w="591" w:type="pct"/>
                  <w:tcMar>
                    <w:left w:w="57" w:type="dxa"/>
                    <w:right w:w="57" w:type="dxa"/>
                  </w:tcMar>
                  <w:vAlign w:val="bottom"/>
                </w:tcPr>
                <w:p w14:paraId="172541E0" w14:textId="4660E874" w:rsidR="007619EA" w:rsidRPr="000E0825" w:rsidRDefault="007619EA" w:rsidP="00396E87">
                  <w:pPr>
                    <w:pStyle w:val="StandardOCAshurst"/>
                    <w:pBdr>
                      <w:bottom w:val="double" w:sz="4" w:space="1" w:color="auto"/>
                    </w:pBdr>
                    <w:jc w:val="right"/>
                    <w:rPr>
                      <w:b/>
                      <w:bCs/>
                      <w:sz w:val="14"/>
                      <w:szCs w:val="14"/>
                    </w:rPr>
                  </w:pPr>
                  <w:r w:rsidRPr="000E0825">
                    <w:rPr>
                      <w:b/>
                      <w:bCs/>
                      <w:sz w:val="14"/>
                      <w:szCs w:val="14"/>
                    </w:rPr>
                    <w:t>28,</w:t>
                  </w:r>
                  <w:r w:rsidR="00762F56">
                    <w:rPr>
                      <w:b/>
                      <w:bCs/>
                      <w:sz w:val="14"/>
                      <w:szCs w:val="14"/>
                    </w:rPr>
                    <w:t>783</w:t>
                  </w:r>
                </w:p>
              </w:tc>
              <w:tc>
                <w:tcPr>
                  <w:tcW w:w="591" w:type="pct"/>
                  <w:tcMar>
                    <w:left w:w="57" w:type="dxa"/>
                    <w:right w:w="57" w:type="dxa"/>
                  </w:tcMar>
                  <w:vAlign w:val="bottom"/>
                </w:tcPr>
                <w:p w14:paraId="0B5CFA48" w14:textId="77777777" w:rsidR="007619EA" w:rsidRPr="000E0825" w:rsidRDefault="007619EA" w:rsidP="00396E87">
                  <w:pPr>
                    <w:pStyle w:val="StandardOCAshurst"/>
                    <w:pBdr>
                      <w:bottom w:val="double" w:sz="4" w:space="1" w:color="auto"/>
                    </w:pBdr>
                    <w:jc w:val="right"/>
                    <w:rPr>
                      <w:b/>
                      <w:bCs/>
                      <w:sz w:val="14"/>
                      <w:szCs w:val="14"/>
                    </w:rPr>
                  </w:pPr>
                  <w:r w:rsidRPr="000E0825">
                    <w:rPr>
                      <w:b/>
                      <w:bCs/>
                      <w:sz w:val="14"/>
                      <w:szCs w:val="14"/>
                    </w:rPr>
                    <w:t>(16,226)</w:t>
                  </w:r>
                </w:p>
              </w:tc>
              <w:tc>
                <w:tcPr>
                  <w:tcW w:w="591" w:type="pct"/>
                  <w:tcMar>
                    <w:left w:w="57" w:type="dxa"/>
                    <w:right w:w="57" w:type="dxa"/>
                  </w:tcMar>
                  <w:vAlign w:val="bottom"/>
                </w:tcPr>
                <w:p w14:paraId="08FA4FB6" w14:textId="77777777" w:rsidR="007619EA" w:rsidRPr="000E0825" w:rsidRDefault="007619EA" w:rsidP="00396E87">
                  <w:pPr>
                    <w:pStyle w:val="StandardOCAshurst"/>
                    <w:pBdr>
                      <w:bottom w:val="double" w:sz="4" w:space="1" w:color="auto"/>
                    </w:pBdr>
                    <w:jc w:val="right"/>
                    <w:rPr>
                      <w:b/>
                      <w:bCs/>
                      <w:sz w:val="14"/>
                      <w:szCs w:val="14"/>
                    </w:rPr>
                  </w:pPr>
                  <w:r w:rsidRPr="000E0825">
                    <w:rPr>
                      <w:b/>
                      <w:bCs/>
                      <w:sz w:val="14"/>
                      <w:szCs w:val="14"/>
                    </w:rPr>
                    <w:t>-</w:t>
                  </w:r>
                </w:p>
              </w:tc>
              <w:tc>
                <w:tcPr>
                  <w:tcW w:w="591" w:type="pct"/>
                  <w:tcMar>
                    <w:left w:w="57" w:type="dxa"/>
                    <w:right w:w="57" w:type="dxa"/>
                  </w:tcMar>
                  <w:vAlign w:val="bottom"/>
                </w:tcPr>
                <w:p w14:paraId="05D0AB66" w14:textId="77777777" w:rsidR="007619EA" w:rsidRPr="000E0825" w:rsidRDefault="007619EA" w:rsidP="00396E87">
                  <w:pPr>
                    <w:pStyle w:val="StandardOCAshurst"/>
                    <w:pBdr>
                      <w:bottom w:val="double" w:sz="4" w:space="1" w:color="auto"/>
                    </w:pBdr>
                    <w:jc w:val="right"/>
                    <w:rPr>
                      <w:b/>
                      <w:bCs/>
                      <w:sz w:val="14"/>
                      <w:szCs w:val="14"/>
                    </w:rPr>
                  </w:pPr>
                  <w:r w:rsidRPr="000E0825">
                    <w:rPr>
                      <w:b/>
                      <w:bCs/>
                      <w:sz w:val="14"/>
                      <w:szCs w:val="14"/>
                    </w:rPr>
                    <w:t>-</w:t>
                  </w:r>
                </w:p>
              </w:tc>
              <w:tc>
                <w:tcPr>
                  <w:tcW w:w="675" w:type="pct"/>
                  <w:tcMar>
                    <w:left w:w="57" w:type="dxa"/>
                    <w:right w:w="57" w:type="dxa"/>
                  </w:tcMar>
                  <w:vAlign w:val="bottom"/>
                </w:tcPr>
                <w:p w14:paraId="314C16F6" w14:textId="24602491" w:rsidR="007619EA" w:rsidRPr="000E0825" w:rsidRDefault="00145FA3" w:rsidP="00396E87">
                  <w:pPr>
                    <w:pStyle w:val="StandardOCAshurst"/>
                    <w:pBdr>
                      <w:bottom w:val="double" w:sz="4" w:space="1" w:color="auto"/>
                    </w:pBdr>
                    <w:jc w:val="right"/>
                    <w:rPr>
                      <w:b/>
                      <w:bCs/>
                      <w:sz w:val="14"/>
                      <w:szCs w:val="14"/>
                    </w:rPr>
                  </w:pPr>
                  <w:r>
                    <w:rPr>
                      <w:b/>
                      <w:bCs/>
                      <w:sz w:val="14"/>
                      <w:szCs w:val="14"/>
                    </w:rPr>
                    <w:t>77,328</w:t>
                  </w:r>
                </w:p>
              </w:tc>
            </w:tr>
            <w:tr w:rsidR="007619EA" w:rsidRPr="00007F01" w14:paraId="0218CD16" w14:textId="77777777" w:rsidTr="00043857">
              <w:tc>
                <w:tcPr>
                  <w:tcW w:w="1296" w:type="pct"/>
                  <w:tcMar>
                    <w:left w:w="57" w:type="dxa"/>
                    <w:right w:w="57" w:type="dxa"/>
                  </w:tcMar>
                </w:tcPr>
                <w:p w14:paraId="269A5754" w14:textId="77777777" w:rsidR="007619EA" w:rsidRPr="00007F01" w:rsidRDefault="007619EA" w:rsidP="00043857">
                  <w:pPr>
                    <w:pStyle w:val="StandardOCAshurst"/>
                    <w:tabs>
                      <w:tab w:val="left" w:leader="dot" w:pos="1950"/>
                    </w:tabs>
                    <w:rPr>
                      <w:sz w:val="14"/>
                      <w:szCs w:val="14"/>
                    </w:rPr>
                  </w:pPr>
                  <w:r w:rsidRPr="00007F01">
                    <w:rPr>
                      <w:sz w:val="14"/>
                      <w:szCs w:val="14"/>
                    </w:rPr>
                    <w:t>Net impairment to oil and gas assets</w:t>
                  </w:r>
                </w:p>
              </w:tc>
              <w:tc>
                <w:tcPr>
                  <w:tcW w:w="665" w:type="pct"/>
                  <w:tcMar>
                    <w:left w:w="57" w:type="dxa"/>
                    <w:right w:w="57" w:type="dxa"/>
                  </w:tcMar>
                  <w:vAlign w:val="bottom"/>
                </w:tcPr>
                <w:p w14:paraId="0A14E8E4" w14:textId="77777777" w:rsidR="007619EA" w:rsidRPr="00726AB5" w:rsidRDefault="007619EA" w:rsidP="00396E87">
                  <w:pPr>
                    <w:pStyle w:val="StandardOCAshurst"/>
                    <w:jc w:val="right"/>
                    <w:rPr>
                      <w:sz w:val="14"/>
                      <w:szCs w:val="14"/>
                    </w:rPr>
                  </w:pPr>
                  <w:r w:rsidRPr="000E0825">
                    <w:rPr>
                      <w:sz w:val="14"/>
                      <w:szCs w:val="14"/>
                    </w:rPr>
                    <w:t>(422,495)</w:t>
                  </w:r>
                </w:p>
              </w:tc>
              <w:tc>
                <w:tcPr>
                  <w:tcW w:w="591" w:type="pct"/>
                  <w:tcMar>
                    <w:left w:w="57" w:type="dxa"/>
                    <w:right w:w="57" w:type="dxa"/>
                  </w:tcMar>
                  <w:vAlign w:val="bottom"/>
                </w:tcPr>
                <w:p w14:paraId="5F372F38"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631B609E"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2C566F1B"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0AF13342" w14:textId="77777777" w:rsidR="007619EA" w:rsidRPr="00726AB5" w:rsidRDefault="007619EA" w:rsidP="00396E87">
                  <w:pPr>
                    <w:pStyle w:val="StandardOCAshurst"/>
                    <w:jc w:val="right"/>
                    <w:rPr>
                      <w:sz w:val="14"/>
                      <w:szCs w:val="14"/>
                    </w:rPr>
                  </w:pPr>
                  <w:r w:rsidRPr="000E0825">
                    <w:rPr>
                      <w:sz w:val="14"/>
                      <w:szCs w:val="14"/>
                    </w:rPr>
                    <w:t>-</w:t>
                  </w:r>
                </w:p>
              </w:tc>
              <w:tc>
                <w:tcPr>
                  <w:tcW w:w="675" w:type="pct"/>
                  <w:tcMar>
                    <w:left w:w="57" w:type="dxa"/>
                    <w:right w:w="57" w:type="dxa"/>
                  </w:tcMar>
                  <w:vAlign w:val="bottom"/>
                </w:tcPr>
                <w:p w14:paraId="62481349" w14:textId="77777777" w:rsidR="007619EA" w:rsidRPr="00726AB5" w:rsidRDefault="007619EA" w:rsidP="00396E87">
                  <w:pPr>
                    <w:pStyle w:val="StandardOCAshurst"/>
                    <w:jc w:val="right"/>
                    <w:rPr>
                      <w:sz w:val="14"/>
                      <w:szCs w:val="14"/>
                    </w:rPr>
                  </w:pPr>
                  <w:r w:rsidRPr="000E0825">
                    <w:rPr>
                      <w:sz w:val="14"/>
                      <w:szCs w:val="14"/>
                    </w:rPr>
                    <w:t>(422,495)</w:t>
                  </w:r>
                </w:p>
              </w:tc>
            </w:tr>
            <w:tr w:rsidR="007619EA" w:rsidRPr="00007F01" w14:paraId="1F9133A2" w14:textId="77777777" w:rsidTr="00043857">
              <w:tc>
                <w:tcPr>
                  <w:tcW w:w="1296" w:type="pct"/>
                  <w:tcMar>
                    <w:left w:w="57" w:type="dxa"/>
                    <w:right w:w="57" w:type="dxa"/>
                  </w:tcMar>
                </w:tcPr>
                <w:p w14:paraId="0C80783F" w14:textId="77777777" w:rsidR="007619EA" w:rsidRPr="00007F01" w:rsidRDefault="007619EA" w:rsidP="00043857">
                  <w:pPr>
                    <w:pStyle w:val="StandardOCAshurst"/>
                    <w:tabs>
                      <w:tab w:val="left" w:leader="dot" w:pos="1950"/>
                    </w:tabs>
                    <w:rPr>
                      <w:sz w:val="14"/>
                      <w:szCs w:val="14"/>
                    </w:rPr>
                  </w:pPr>
                  <w:r w:rsidRPr="00007F01">
                    <w:rPr>
                      <w:sz w:val="14"/>
                      <w:szCs w:val="14"/>
                    </w:rPr>
                    <w:t>General and administrative expenses</w:t>
                  </w:r>
                </w:p>
              </w:tc>
              <w:tc>
                <w:tcPr>
                  <w:tcW w:w="665" w:type="pct"/>
                  <w:tcMar>
                    <w:left w:w="57" w:type="dxa"/>
                    <w:right w:w="57" w:type="dxa"/>
                  </w:tcMar>
                  <w:vAlign w:val="bottom"/>
                </w:tcPr>
                <w:p w14:paraId="3791C5A8" w14:textId="77777777" w:rsidR="007619EA" w:rsidRPr="00726AB5" w:rsidRDefault="007619EA" w:rsidP="00396E87">
                  <w:pPr>
                    <w:pStyle w:val="StandardOCAshurst"/>
                    <w:jc w:val="right"/>
                    <w:rPr>
                      <w:sz w:val="14"/>
                      <w:szCs w:val="14"/>
                    </w:rPr>
                  </w:pPr>
                  <w:r w:rsidRPr="000E0825">
                    <w:rPr>
                      <w:sz w:val="14"/>
                      <w:szCs w:val="14"/>
                    </w:rPr>
                    <w:t>(6,105)</w:t>
                  </w:r>
                </w:p>
              </w:tc>
              <w:tc>
                <w:tcPr>
                  <w:tcW w:w="591" w:type="pct"/>
                  <w:tcMar>
                    <w:left w:w="57" w:type="dxa"/>
                    <w:right w:w="57" w:type="dxa"/>
                  </w:tcMar>
                  <w:vAlign w:val="bottom"/>
                </w:tcPr>
                <w:p w14:paraId="6E589469"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5742819F"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2D7385CF"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43E10FE5" w14:textId="77777777" w:rsidR="007619EA" w:rsidRPr="00726AB5" w:rsidRDefault="007619EA" w:rsidP="00396E87">
                  <w:pPr>
                    <w:pStyle w:val="StandardOCAshurst"/>
                    <w:jc w:val="right"/>
                    <w:rPr>
                      <w:sz w:val="14"/>
                      <w:szCs w:val="14"/>
                    </w:rPr>
                  </w:pPr>
                  <w:r w:rsidRPr="000E0825">
                    <w:rPr>
                      <w:sz w:val="14"/>
                      <w:szCs w:val="14"/>
                    </w:rPr>
                    <w:t>-</w:t>
                  </w:r>
                </w:p>
              </w:tc>
              <w:tc>
                <w:tcPr>
                  <w:tcW w:w="675" w:type="pct"/>
                  <w:tcMar>
                    <w:left w:w="57" w:type="dxa"/>
                    <w:right w:w="57" w:type="dxa"/>
                  </w:tcMar>
                  <w:vAlign w:val="bottom"/>
                </w:tcPr>
                <w:p w14:paraId="2C2B98C9" w14:textId="77777777" w:rsidR="007619EA" w:rsidRPr="00726AB5" w:rsidRDefault="007619EA" w:rsidP="00396E87">
                  <w:pPr>
                    <w:pStyle w:val="StandardOCAshurst"/>
                    <w:jc w:val="right"/>
                    <w:rPr>
                      <w:sz w:val="14"/>
                      <w:szCs w:val="14"/>
                    </w:rPr>
                  </w:pPr>
                  <w:r w:rsidRPr="000E0825">
                    <w:rPr>
                      <w:sz w:val="14"/>
                      <w:szCs w:val="14"/>
                    </w:rPr>
                    <w:t>(6,105)</w:t>
                  </w:r>
                </w:p>
              </w:tc>
            </w:tr>
            <w:tr w:rsidR="007619EA" w:rsidRPr="00007F01" w14:paraId="56FFE620" w14:textId="77777777" w:rsidTr="00043857">
              <w:tc>
                <w:tcPr>
                  <w:tcW w:w="1296" w:type="pct"/>
                  <w:tcMar>
                    <w:left w:w="57" w:type="dxa"/>
                    <w:right w:w="57" w:type="dxa"/>
                  </w:tcMar>
                </w:tcPr>
                <w:p w14:paraId="207694D0" w14:textId="1EA1BB1C" w:rsidR="007619EA" w:rsidRPr="00007F01" w:rsidRDefault="007619EA" w:rsidP="00043857">
                  <w:pPr>
                    <w:pStyle w:val="StandardOCAshurst"/>
                    <w:tabs>
                      <w:tab w:val="left" w:leader="dot" w:pos="1950"/>
                    </w:tabs>
                    <w:rPr>
                      <w:sz w:val="14"/>
                      <w:szCs w:val="14"/>
                    </w:rPr>
                  </w:pPr>
                  <w:r w:rsidRPr="00007F01">
                    <w:rPr>
                      <w:sz w:val="14"/>
                      <w:szCs w:val="14"/>
                    </w:rPr>
                    <w:t>Other income</w:t>
                  </w:r>
                  <w:r w:rsidR="00043857">
                    <w:rPr>
                      <w:sz w:val="14"/>
                      <w:szCs w:val="14"/>
                    </w:rPr>
                    <w:tab/>
                  </w:r>
                </w:p>
              </w:tc>
              <w:tc>
                <w:tcPr>
                  <w:tcW w:w="665" w:type="pct"/>
                  <w:tcMar>
                    <w:left w:w="57" w:type="dxa"/>
                    <w:right w:w="57" w:type="dxa"/>
                  </w:tcMar>
                  <w:vAlign w:val="bottom"/>
                </w:tcPr>
                <w:p w14:paraId="0037A391" w14:textId="5375E4EF" w:rsidR="007619EA" w:rsidRPr="00726AB5" w:rsidRDefault="00145FA3" w:rsidP="00396E87">
                  <w:pPr>
                    <w:pStyle w:val="StandardOCAshurst"/>
                    <w:jc w:val="right"/>
                    <w:rPr>
                      <w:sz w:val="14"/>
                      <w:szCs w:val="14"/>
                    </w:rPr>
                  </w:pPr>
                  <w:r>
                    <w:rPr>
                      <w:sz w:val="14"/>
                      <w:szCs w:val="14"/>
                    </w:rPr>
                    <w:t>156,</w:t>
                  </w:r>
                  <w:r w:rsidR="009767FB">
                    <w:rPr>
                      <w:sz w:val="14"/>
                      <w:szCs w:val="14"/>
                    </w:rPr>
                    <w:t>349</w:t>
                  </w:r>
                </w:p>
              </w:tc>
              <w:tc>
                <w:tcPr>
                  <w:tcW w:w="591" w:type="pct"/>
                  <w:tcMar>
                    <w:left w:w="57" w:type="dxa"/>
                    <w:right w:w="57" w:type="dxa"/>
                  </w:tcMar>
                  <w:vAlign w:val="bottom"/>
                </w:tcPr>
                <w:p w14:paraId="718AA766"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6F44D6F5"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3EF77A9A"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37273AB1" w14:textId="77777777" w:rsidR="007619EA" w:rsidRPr="00726AB5" w:rsidRDefault="007619EA" w:rsidP="00396E87">
                  <w:pPr>
                    <w:pStyle w:val="StandardOCAshurst"/>
                    <w:jc w:val="right"/>
                    <w:rPr>
                      <w:sz w:val="14"/>
                      <w:szCs w:val="14"/>
                    </w:rPr>
                  </w:pPr>
                  <w:r w:rsidRPr="000E0825">
                    <w:rPr>
                      <w:sz w:val="14"/>
                      <w:szCs w:val="14"/>
                    </w:rPr>
                    <w:t>-</w:t>
                  </w:r>
                </w:p>
              </w:tc>
              <w:tc>
                <w:tcPr>
                  <w:tcW w:w="675" w:type="pct"/>
                  <w:tcMar>
                    <w:left w:w="57" w:type="dxa"/>
                    <w:right w:w="57" w:type="dxa"/>
                  </w:tcMar>
                  <w:vAlign w:val="bottom"/>
                </w:tcPr>
                <w:p w14:paraId="77035C7C" w14:textId="6CDC7824" w:rsidR="007619EA" w:rsidRPr="00726AB5" w:rsidRDefault="00145FA3" w:rsidP="00396E87">
                  <w:pPr>
                    <w:pStyle w:val="StandardOCAshurst"/>
                    <w:jc w:val="right"/>
                    <w:rPr>
                      <w:sz w:val="14"/>
                      <w:szCs w:val="14"/>
                    </w:rPr>
                  </w:pPr>
                  <w:r>
                    <w:rPr>
                      <w:sz w:val="14"/>
                      <w:szCs w:val="14"/>
                    </w:rPr>
                    <w:t>156,</w:t>
                  </w:r>
                  <w:r w:rsidR="009767FB">
                    <w:rPr>
                      <w:sz w:val="14"/>
                      <w:szCs w:val="14"/>
                    </w:rPr>
                    <w:t>349</w:t>
                  </w:r>
                </w:p>
              </w:tc>
            </w:tr>
            <w:tr w:rsidR="007619EA" w:rsidRPr="00007F01" w14:paraId="2D0C47C9" w14:textId="77777777" w:rsidTr="00043857">
              <w:tc>
                <w:tcPr>
                  <w:tcW w:w="1296" w:type="pct"/>
                  <w:tcMar>
                    <w:left w:w="57" w:type="dxa"/>
                    <w:right w:w="57" w:type="dxa"/>
                  </w:tcMar>
                </w:tcPr>
                <w:p w14:paraId="322C34D0" w14:textId="3D93DC71" w:rsidR="007619EA" w:rsidRPr="00007F01" w:rsidRDefault="007619EA" w:rsidP="00043857">
                  <w:pPr>
                    <w:pStyle w:val="StandardOCAshurst"/>
                    <w:tabs>
                      <w:tab w:val="left" w:leader="dot" w:pos="1950"/>
                    </w:tabs>
                    <w:rPr>
                      <w:sz w:val="14"/>
                      <w:szCs w:val="14"/>
                    </w:rPr>
                  </w:pPr>
                  <w:r w:rsidRPr="00007F01">
                    <w:rPr>
                      <w:sz w:val="14"/>
                      <w:szCs w:val="14"/>
                    </w:rPr>
                    <w:t>Other expenses</w:t>
                  </w:r>
                  <w:r w:rsidR="00043857">
                    <w:rPr>
                      <w:sz w:val="14"/>
                      <w:szCs w:val="14"/>
                    </w:rPr>
                    <w:tab/>
                  </w:r>
                </w:p>
              </w:tc>
              <w:tc>
                <w:tcPr>
                  <w:tcW w:w="665" w:type="pct"/>
                  <w:tcMar>
                    <w:left w:w="57" w:type="dxa"/>
                    <w:right w:w="57" w:type="dxa"/>
                  </w:tcMar>
                  <w:vAlign w:val="bottom"/>
                </w:tcPr>
                <w:p w14:paraId="64F2EB93" w14:textId="77777777" w:rsidR="007619EA" w:rsidRPr="00726AB5" w:rsidRDefault="007619EA" w:rsidP="00396E87">
                  <w:pPr>
                    <w:pStyle w:val="StandardOCAshurst"/>
                    <w:jc w:val="right"/>
                    <w:rPr>
                      <w:sz w:val="14"/>
                      <w:szCs w:val="14"/>
                    </w:rPr>
                  </w:pPr>
                  <w:r w:rsidRPr="000E0825">
                    <w:rPr>
                      <w:sz w:val="14"/>
                      <w:szCs w:val="14"/>
                    </w:rPr>
                    <w:t>(102,589)</w:t>
                  </w:r>
                </w:p>
              </w:tc>
              <w:tc>
                <w:tcPr>
                  <w:tcW w:w="591" w:type="pct"/>
                  <w:tcMar>
                    <w:left w:w="57" w:type="dxa"/>
                    <w:right w:w="57" w:type="dxa"/>
                  </w:tcMar>
                  <w:vAlign w:val="bottom"/>
                </w:tcPr>
                <w:p w14:paraId="56444257"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13B1D894"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28CE587E"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0F25B27E" w14:textId="77777777" w:rsidR="007619EA" w:rsidRPr="00726AB5" w:rsidRDefault="007619EA" w:rsidP="00396E87">
                  <w:pPr>
                    <w:pStyle w:val="StandardOCAshurst"/>
                    <w:jc w:val="right"/>
                    <w:rPr>
                      <w:sz w:val="14"/>
                      <w:szCs w:val="14"/>
                    </w:rPr>
                  </w:pPr>
                  <w:r w:rsidRPr="000E0825">
                    <w:rPr>
                      <w:sz w:val="14"/>
                      <w:szCs w:val="14"/>
                    </w:rPr>
                    <w:t>-</w:t>
                  </w:r>
                </w:p>
              </w:tc>
              <w:tc>
                <w:tcPr>
                  <w:tcW w:w="675" w:type="pct"/>
                  <w:tcMar>
                    <w:left w:w="57" w:type="dxa"/>
                    <w:right w:w="57" w:type="dxa"/>
                  </w:tcMar>
                  <w:vAlign w:val="bottom"/>
                </w:tcPr>
                <w:p w14:paraId="343D41A6" w14:textId="77777777" w:rsidR="007619EA" w:rsidRPr="00726AB5" w:rsidRDefault="007619EA" w:rsidP="00396E87">
                  <w:pPr>
                    <w:pStyle w:val="StandardOCAshurst"/>
                    <w:jc w:val="right"/>
                    <w:rPr>
                      <w:sz w:val="14"/>
                      <w:szCs w:val="14"/>
                    </w:rPr>
                  </w:pPr>
                  <w:r w:rsidRPr="000E0825">
                    <w:rPr>
                      <w:sz w:val="14"/>
                      <w:szCs w:val="14"/>
                    </w:rPr>
                    <w:t>(102,589)</w:t>
                  </w:r>
                </w:p>
              </w:tc>
            </w:tr>
            <w:tr w:rsidR="007619EA" w:rsidRPr="00007F01" w14:paraId="5F143007" w14:textId="77777777" w:rsidTr="00043857">
              <w:tc>
                <w:tcPr>
                  <w:tcW w:w="1296" w:type="pct"/>
                  <w:tcMar>
                    <w:left w:w="57" w:type="dxa"/>
                    <w:right w:w="57" w:type="dxa"/>
                  </w:tcMar>
                </w:tcPr>
                <w:p w14:paraId="4B2AB2A0" w14:textId="6C7CA886" w:rsidR="007619EA" w:rsidRPr="00007F01" w:rsidRDefault="007619EA" w:rsidP="00284BEE">
                  <w:pPr>
                    <w:pStyle w:val="StandardOCAshurst"/>
                    <w:tabs>
                      <w:tab w:val="left" w:leader="dot" w:pos="1950"/>
                    </w:tabs>
                    <w:jc w:val="left"/>
                    <w:rPr>
                      <w:b/>
                      <w:bCs/>
                      <w:sz w:val="14"/>
                      <w:szCs w:val="14"/>
                    </w:rPr>
                  </w:pPr>
                  <w:r w:rsidRPr="00007F01">
                    <w:rPr>
                      <w:b/>
                      <w:bCs/>
                      <w:sz w:val="14"/>
                      <w:szCs w:val="14"/>
                    </w:rPr>
                    <w:t>(Loss) / profit  from operations before tax and finance income</w:t>
                  </w:r>
                  <w:r w:rsidR="00043857" w:rsidRPr="00043857">
                    <w:rPr>
                      <w:sz w:val="14"/>
                      <w:szCs w:val="14"/>
                    </w:rPr>
                    <w:tab/>
                  </w:r>
                </w:p>
              </w:tc>
              <w:tc>
                <w:tcPr>
                  <w:tcW w:w="665" w:type="pct"/>
                  <w:tcMar>
                    <w:left w:w="57" w:type="dxa"/>
                    <w:right w:w="57" w:type="dxa"/>
                  </w:tcMar>
                  <w:vAlign w:val="bottom"/>
                </w:tcPr>
                <w:p w14:paraId="40137E57" w14:textId="77777777" w:rsidR="007619EA" w:rsidRPr="00726AB5" w:rsidRDefault="007619EA" w:rsidP="00396E87">
                  <w:pPr>
                    <w:pStyle w:val="StandardOCAshurst"/>
                    <w:pBdr>
                      <w:bottom w:val="single" w:sz="4" w:space="1" w:color="auto"/>
                    </w:pBdr>
                    <w:jc w:val="right"/>
                    <w:rPr>
                      <w:b/>
                      <w:bCs/>
                      <w:sz w:val="14"/>
                      <w:szCs w:val="14"/>
                    </w:rPr>
                  </w:pPr>
                  <w:r w:rsidRPr="000E0825">
                    <w:rPr>
                      <w:b/>
                      <w:bCs/>
                      <w:sz w:val="14"/>
                      <w:szCs w:val="14"/>
                    </w:rPr>
                    <w:t>(310,069)</w:t>
                  </w:r>
                </w:p>
              </w:tc>
              <w:tc>
                <w:tcPr>
                  <w:tcW w:w="591" w:type="pct"/>
                  <w:tcMar>
                    <w:left w:w="57" w:type="dxa"/>
                    <w:right w:w="57" w:type="dxa"/>
                  </w:tcMar>
                  <w:vAlign w:val="bottom"/>
                </w:tcPr>
                <w:p w14:paraId="46E29DC1" w14:textId="77777777" w:rsidR="007619EA" w:rsidRPr="000E0825" w:rsidRDefault="007619EA" w:rsidP="00396E87">
                  <w:pPr>
                    <w:pStyle w:val="StandardOCAshurst"/>
                    <w:pBdr>
                      <w:bottom w:val="single" w:sz="4" w:space="1" w:color="auto"/>
                    </w:pBdr>
                    <w:jc w:val="right"/>
                    <w:rPr>
                      <w:b/>
                      <w:bCs/>
                      <w:sz w:val="14"/>
                      <w:szCs w:val="14"/>
                    </w:rPr>
                  </w:pPr>
                  <w:r w:rsidRPr="000E0825">
                    <w:rPr>
                      <w:b/>
                      <w:bCs/>
                      <w:sz w:val="14"/>
                      <w:szCs w:val="14"/>
                    </w:rPr>
                    <w:t>28,783</w:t>
                  </w:r>
                </w:p>
              </w:tc>
              <w:tc>
                <w:tcPr>
                  <w:tcW w:w="591" w:type="pct"/>
                  <w:tcMar>
                    <w:left w:w="57" w:type="dxa"/>
                    <w:right w:w="57" w:type="dxa"/>
                  </w:tcMar>
                  <w:vAlign w:val="bottom"/>
                </w:tcPr>
                <w:p w14:paraId="7ECAE042" w14:textId="77777777" w:rsidR="007619EA" w:rsidRPr="000E0825" w:rsidRDefault="007619EA" w:rsidP="00396E87">
                  <w:pPr>
                    <w:pStyle w:val="StandardOCAshurst"/>
                    <w:pBdr>
                      <w:bottom w:val="single" w:sz="4" w:space="1" w:color="auto"/>
                    </w:pBdr>
                    <w:jc w:val="right"/>
                    <w:rPr>
                      <w:b/>
                      <w:bCs/>
                      <w:sz w:val="14"/>
                      <w:szCs w:val="14"/>
                    </w:rPr>
                  </w:pPr>
                  <w:r w:rsidRPr="000E0825">
                    <w:rPr>
                      <w:b/>
                      <w:bCs/>
                      <w:sz w:val="14"/>
                      <w:szCs w:val="14"/>
                    </w:rPr>
                    <w:t>(16,226)</w:t>
                  </w:r>
                </w:p>
              </w:tc>
              <w:tc>
                <w:tcPr>
                  <w:tcW w:w="591" w:type="pct"/>
                  <w:tcMar>
                    <w:left w:w="57" w:type="dxa"/>
                    <w:right w:w="57" w:type="dxa"/>
                  </w:tcMar>
                  <w:vAlign w:val="bottom"/>
                </w:tcPr>
                <w:p w14:paraId="480A3A70" w14:textId="77777777" w:rsidR="007619EA" w:rsidRPr="000E0825" w:rsidRDefault="007619EA" w:rsidP="00396E87">
                  <w:pPr>
                    <w:pStyle w:val="StandardOCAshurst"/>
                    <w:pBdr>
                      <w:bottom w:val="single" w:sz="4" w:space="1" w:color="auto"/>
                    </w:pBdr>
                    <w:jc w:val="right"/>
                    <w:rPr>
                      <w:b/>
                      <w:bCs/>
                      <w:sz w:val="14"/>
                      <w:szCs w:val="14"/>
                    </w:rPr>
                  </w:pPr>
                  <w:r w:rsidRPr="000E0825">
                    <w:rPr>
                      <w:b/>
                      <w:bCs/>
                      <w:sz w:val="14"/>
                      <w:szCs w:val="14"/>
                    </w:rPr>
                    <w:t>-</w:t>
                  </w:r>
                </w:p>
              </w:tc>
              <w:tc>
                <w:tcPr>
                  <w:tcW w:w="591" w:type="pct"/>
                  <w:tcMar>
                    <w:left w:w="57" w:type="dxa"/>
                    <w:right w:w="57" w:type="dxa"/>
                  </w:tcMar>
                  <w:vAlign w:val="bottom"/>
                </w:tcPr>
                <w:p w14:paraId="4B70BB45" w14:textId="77777777" w:rsidR="007619EA" w:rsidRPr="000E0825" w:rsidRDefault="007619EA" w:rsidP="00396E87">
                  <w:pPr>
                    <w:pStyle w:val="StandardOCAshurst"/>
                    <w:pBdr>
                      <w:bottom w:val="single" w:sz="4" w:space="1" w:color="auto"/>
                    </w:pBdr>
                    <w:jc w:val="right"/>
                    <w:rPr>
                      <w:b/>
                      <w:bCs/>
                      <w:sz w:val="14"/>
                      <w:szCs w:val="14"/>
                    </w:rPr>
                  </w:pPr>
                  <w:r w:rsidRPr="000E0825">
                    <w:rPr>
                      <w:b/>
                      <w:bCs/>
                      <w:sz w:val="14"/>
                      <w:szCs w:val="14"/>
                    </w:rPr>
                    <w:t>-</w:t>
                  </w:r>
                </w:p>
              </w:tc>
              <w:tc>
                <w:tcPr>
                  <w:tcW w:w="675" w:type="pct"/>
                  <w:tcMar>
                    <w:left w:w="57" w:type="dxa"/>
                    <w:right w:w="57" w:type="dxa"/>
                  </w:tcMar>
                  <w:vAlign w:val="bottom"/>
                </w:tcPr>
                <w:p w14:paraId="3ECD2513" w14:textId="77777777" w:rsidR="007619EA" w:rsidRPr="000E0825" w:rsidRDefault="007619EA" w:rsidP="00396E87">
                  <w:pPr>
                    <w:pStyle w:val="StandardOCAshurst"/>
                    <w:pBdr>
                      <w:bottom w:val="single" w:sz="4" w:space="1" w:color="auto"/>
                    </w:pBdr>
                    <w:jc w:val="right"/>
                    <w:rPr>
                      <w:b/>
                      <w:bCs/>
                      <w:sz w:val="14"/>
                      <w:szCs w:val="14"/>
                    </w:rPr>
                  </w:pPr>
                  <w:r w:rsidRPr="000E0825">
                    <w:rPr>
                      <w:b/>
                      <w:bCs/>
                      <w:sz w:val="14"/>
                      <w:szCs w:val="14"/>
                    </w:rPr>
                    <w:t>(297,512)</w:t>
                  </w:r>
                </w:p>
              </w:tc>
            </w:tr>
            <w:tr w:rsidR="007619EA" w:rsidRPr="00007F01" w14:paraId="426EC5C3" w14:textId="77777777" w:rsidTr="00043857">
              <w:tc>
                <w:tcPr>
                  <w:tcW w:w="1296" w:type="pct"/>
                  <w:tcMar>
                    <w:left w:w="57" w:type="dxa"/>
                    <w:right w:w="57" w:type="dxa"/>
                  </w:tcMar>
                </w:tcPr>
                <w:p w14:paraId="24836C7D" w14:textId="3CC3B502" w:rsidR="007619EA" w:rsidRPr="00007F01" w:rsidRDefault="007619EA" w:rsidP="00043857">
                  <w:pPr>
                    <w:pStyle w:val="StandardOCAshurst"/>
                    <w:tabs>
                      <w:tab w:val="left" w:leader="dot" w:pos="1950"/>
                    </w:tabs>
                    <w:rPr>
                      <w:sz w:val="14"/>
                      <w:szCs w:val="14"/>
                    </w:rPr>
                  </w:pPr>
                  <w:r w:rsidRPr="00007F01">
                    <w:rPr>
                      <w:sz w:val="14"/>
                      <w:szCs w:val="14"/>
                    </w:rPr>
                    <w:t>Finance costs</w:t>
                  </w:r>
                  <w:r w:rsidR="00284BEE">
                    <w:rPr>
                      <w:sz w:val="14"/>
                      <w:szCs w:val="14"/>
                    </w:rPr>
                    <w:tab/>
                  </w:r>
                </w:p>
              </w:tc>
              <w:tc>
                <w:tcPr>
                  <w:tcW w:w="665" w:type="pct"/>
                  <w:tcMar>
                    <w:left w:w="57" w:type="dxa"/>
                    <w:right w:w="57" w:type="dxa"/>
                  </w:tcMar>
                  <w:vAlign w:val="bottom"/>
                </w:tcPr>
                <w:p w14:paraId="60E5B91F" w14:textId="77777777" w:rsidR="007619EA" w:rsidRPr="00726AB5" w:rsidRDefault="007619EA" w:rsidP="00396E87">
                  <w:pPr>
                    <w:pStyle w:val="StandardOCAshurst"/>
                    <w:jc w:val="right"/>
                    <w:rPr>
                      <w:sz w:val="14"/>
                      <w:szCs w:val="14"/>
                    </w:rPr>
                  </w:pPr>
                  <w:r w:rsidRPr="000E0825">
                    <w:rPr>
                      <w:sz w:val="14"/>
                      <w:szCs w:val="14"/>
                    </w:rPr>
                    <w:t>(257,077)</w:t>
                  </w:r>
                </w:p>
              </w:tc>
              <w:tc>
                <w:tcPr>
                  <w:tcW w:w="591" w:type="pct"/>
                  <w:tcMar>
                    <w:left w:w="57" w:type="dxa"/>
                    <w:right w:w="57" w:type="dxa"/>
                  </w:tcMar>
                  <w:vAlign w:val="bottom"/>
                </w:tcPr>
                <w:p w14:paraId="67FBBF90" w14:textId="77777777" w:rsidR="007619EA" w:rsidRPr="00726AB5" w:rsidRDefault="007619EA" w:rsidP="00396E87">
                  <w:pPr>
                    <w:pStyle w:val="StandardOCAshurst"/>
                    <w:jc w:val="right"/>
                    <w:rPr>
                      <w:sz w:val="14"/>
                      <w:szCs w:val="14"/>
                    </w:rPr>
                  </w:pPr>
                  <w:r w:rsidRPr="000E0825">
                    <w:rPr>
                      <w:sz w:val="14"/>
                      <w:szCs w:val="14"/>
                    </w:rPr>
                    <w:t>(3,684)</w:t>
                  </w:r>
                </w:p>
              </w:tc>
              <w:tc>
                <w:tcPr>
                  <w:tcW w:w="591" w:type="pct"/>
                  <w:tcMar>
                    <w:left w:w="57" w:type="dxa"/>
                    <w:right w:w="57" w:type="dxa"/>
                  </w:tcMar>
                  <w:vAlign w:val="bottom"/>
                </w:tcPr>
                <w:p w14:paraId="3FF0E755"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17E77090"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24D5FF22" w14:textId="77777777" w:rsidR="007619EA" w:rsidRPr="00726AB5" w:rsidRDefault="007619EA" w:rsidP="00396E87">
                  <w:pPr>
                    <w:pStyle w:val="StandardOCAshurst"/>
                    <w:jc w:val="right"/>
                    <w:rPr>
                      <w:sz w:val="14"/>
                      <w:szCs w:val="14"/>
                    </w:rPr>
                  </w:pPr>
                  <w:r w:rsidRPr="000E0825">
                    <w:rPr>
                      <w:sz w:val="14"/>
                      <w:szCs w:val="14"/>
                    </w:rPr>
                    <w:t>1,959</w:t>
                  </w:r>
                </w:p>
              </w:tc>
              <w:tc>
                <w:tcPr>
                  <w:tcW w:w="675" w:type="pct"/>
                  <w:tcMar>
                    <w:left w:w="57" w:type="dxa"/>
                    <w:right w:w="57" w:type="dxa"/>
                  </w:tcMar>
                  <w:vAlign w:val="bottom"/>
                </w:tcPr>
                <w:p w14:paraId="40A98562" w14:textId="77777777" w:rsidR="007619EA" w:rsidRPr="00726AB5" w:rsidRDefault="007619EA" w:rsidP="00396E87">
                  <w:pPr>
                    <w:pStyle w:val="StandardOCAshurst"/>
                    <w:jc w:val="right"/>
                    <w:rPr>
                      <w:sz w:val="14"/>
                      <w:szCs w:val="14"/>
                    </w:rPr>
                  </w:pPr>
                  <w:r w:rsidRPr="000E0825">
                    <w:rPr>
                      <w:sz w:val="14"/>
                      <w:szCs w:val="14"/>
                    </w:rPr>
                    <w:t>(258,802)</w:t>
                  </w:r>
                </w:p>
              </w:tc>
            </w:tr>
            <w:tr w:rsidR="007619EA" w:rsidRPr="00007F01" w14:paraId="76BF9111" w14:textId="77777777" w:rsidTr="00043857">
              <w:tc>
                <w:tcPr>
                  <w:tcW w:w="1296" w:type="pct"/>
                  <w:tcMar>
                    <w:left w:w="57" w:type="dxa"/>
                    <w:right w:w="57" w:type="dxa"/>
                  </w:tcMar>
                </w:tcPr>
                <w:p w14:paraId="2EA5966B" w14:textId="3B03CF5D" w:rsidR="007619EA" w:rsidRPr="00007F01" w:rsidRDefault="007619EA" w:rsidP="00043857">
                  <w:pPr>
                    <w:pStyle w:val="StandardOCAshurst"/>
                    <w:tabs>
                      <w:tab w:val="left" w:leader="dot" w:pos="1950"/>
                    </w:tabs>
                    <w:rPr>
                      <w:sz w:val="14"/>
                      <w:szCs w:val="14"/>
                    </w:rPr>
                  </w:pPr>
                  <w:r w:rsidRPr="00007F01">
                    <w:rPr>
                      <w:sz w:val="14"/>
                      <w:szCs w:val="14"/>
                    </w:rPr>
                    <w:t>Finance income</w:t>
                  </w:r>
                  <w:r w:rsidR="00284BEE">
                    <w:rPr>
                      <w:sz w:val="14"/>
                      <w:szCs w:val="14"/>
                    </w:rPr>
                    <w:tab/>
                  </w:r>
                </w:p>
              </w:tc>
              <w:tc>
                <w:tcPr>
                  <w:tcW w:w="665" w:type="pct"/>
                  <w:tcMar>
                    <w:left w:w="57" w:type="dxa"/>
                    <w:right w:w="57" w:type="dxa"/>
                  </w:tcMar>
                  <w:vAlign w:val="bottom"/>
                </w:tcPr>
                <w:p w14:paraId="218852C7" w14:textId="77777777" w:rsidR="007619EA" w:rsidRPr="00726AB5" w:rsidRDefault="007619EA" w:rsidP="00396E87">
                  <w:pPr>
                    <w:pStyle w:val="StandardOCAshurst"/>
                    <w:jc w:val="right"/>
                    <w:rPr>
                      <w:sz w:val="14"/>
                      <w:szCs w:val="14"/>
                    </w:rPr>
                  </w:pPr>
                  <w:r w:rsidRPr="000E0825">
                    <w:rPr>
                      <w:sz w:val="14"/>
                      <w:szCs w:val="14"/>
                    </w:rPr>
                    <w:t>1,171</w:t>
                  </w:r>
                </w:p>
              </w:tc>
              <w:tc>
                <w:tcPr>
                  <w:tcW w:w="591" w:type="pct"/>
                  <w:tcMar>
                    <w:left w:w="57" w:type="dxa"/>
                    <w:right w:w="57" w:type="dxa"/>
                  </w:tcMar>
                  <w:vAlign w:val="bottom"/>
                </w:tcPr>
                <w:p w14:paraId="05DC4FD9"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6FEFEA1B"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61F50970" w14:textId="77777777" w:rsidR="007619EA" w:rsidRPr="00726AB5" w:rsidRDefault="007619EA" w:rsidP="00396E87">
                  <w:pPr>
                    <w:pStyle w:val="StandardOCAshurst"/>
                    <w:jc w:val="right"/>
                    <w:rPr>
                      <w:sz w:val="14"/>
                      <w:szCs w:val="14"/>
                    </w:rPr>
                  </w:pPr>
                  <w:r w:rsidRPr="000E0825">
                    <w:rPr>
                      <w:sz w:val="14"/>
                      <w:szCs w:val="14"/>
                    </w:rPr>
                    <w:t>-</w:t>
                  </w:r>
                </w:p>
              </w:tc>
              <w:tc>
                <w:tcPr>
                  <w:tcW w:w="591" w:type="pct"/>
                  <w:tcMar>
                    <w:left w:w="57" w:type="dxa"/>
                    <w:right w:w="57" w:type="dxa"/>
                  </w:tcMar>
                  <w:vAlign w:val="bottom"/>
                </w:tcPr>
                <w:p w14:paraId="107802CE" w14:textId="77777777" w:rsidR="007619EA" w:rsidRPr="00726AB5" w:rsidRDefault="007619EA" w:rsidP="00396E87">
                  <w:pPr>
                    <w:pStyle w:val="StandardOCAshurst"/>
                    <w:jc w:val="right"/>
                    <w:rPr>
                      <w:sz w:val="14"/>
                      <w:szCs w:val="14"/>
                    </w:rPr>
                  </w:pPr>
                  <w:r w:rsidRPr="000E0825">
                    <w:rPr>
                      <w:sz w:val="14"/>
                      <w:szCs w:val="14"/>
                    </w:rPr>
                    <w:t>-</w:t>
                  </w:r>
                </w:p>
              </w:tc>
              <w:tc>
                <w:tcPr>
                  <w:tcW w:w="675" w:type="pct"/>
                  <w:tcMar>
                    <w:left w:w="57" w:type="dxa"/>
                    <w:right w:w="57" w:type="dxa"/>
                  </w:tcMar>
                  <w:vAlign w:val="bottom"/>
                </w:tcPr>
                <w:p w14:paraId="671048A3" w14:textId="77777777" w:rsidR="007619EA" w:rsidRPr="00726AB5" w:rsidRDefault="007619EA" w:rsidP="00396E87">
                  <w:pPr>
                    <w:pStyle w:val="StandardOCAshurst"/>
                    <w:jc w:val="right"/>
                    <w:rPr>
                      <w:sz w:val="14"/>
                      <w:szCs w:val="14"/>
                    </w:rPr>
                  </w:pPr>
                  <w:r w:rsidRPr="000E0825">
                    <w:rPr>
                      <w:sz w:val="14"/>
                      <w:szCs w:val="14"/>
                    </w:rPr>
                    <w:t>1,171</w:t>
                  </w:r>
                </w:p>
              </w:tc>
            </w:tr>
            <w:tr w:rsidR="007619EA" w:rsidRPr="00007F01" w14:paraId="24C0F498" w14:textId="77777777" w:rsidTr="00043857">
              <w:tc>
                <w:tcPr>
                  <w:tcW w:w="1296" w:type="pct"/>
                  <w:tcMar>
                    <w:left w:w="57" w:type="dxa"/>
                    <w:right w:w="57" w:type="dxa"/>
                  </w:tcMar>
                </w:tcPr>
                <w:p w14:paraId="2E2D430C" w14:textId="1C37011F" w:rsidR="007619EA" w:rsidRPr="00007F01" w:rsidRDefault="007619EA" w:rsidP="00043857">
                  <w:pPr>
                    <w:pStyle w:val="StandardOCAshurst"/>
                    <w:tabs>
                      <w:tab w:val="left" w:leader="dot" w:pos="1950"/>
                    </w:tabs>
                    <w:rPr>
                      <w:b/>
                      <w:bCs/>
                      <w:sz w:val="14"/>
                      <w:szCs w:val="14"/>
                    </w:rPr>
                  </w:pPr>
                  <w:r w:rsidRPr="00007F01">
                    <w:rPr>
                      <w:b/>
                      <w:bCs/>
                      <w:sz w:val="14"/>
                      <w:szCs w:val="14"/>
                    </w:rPr>
                    <w:t>(Loss)/ profit before tax</w:t>
                  </w:r>
                  <w:r w:rsidR="00284BEE" w:rsidRPr="00284BEE">
                    <w:rPr>
                      <w:sz w:val="14"/>
                      <w:szCs w:val="14"/>
                    </w:rPr>
                    <w:tab/>
                  </w:r>
                </w:p>
              </w:tc>
              <w:tc>
                <w:tcPr>
                  <w:tcW w:w="665" w:type="pct"/>
                  <w:tcMar>
                    <w:left w:w="57" w:type="dxa"/>
                    <w:right w:w="57" w:type="dxa"/>
                  </w:tcMar>
                  <w:vAlign w:val="bottom"/>
                </w:tcPr>
                <w:p w14:paraId="1971DF3B" w14:textId="77777777" w:rsidR="007619EA" w:rsidRPr="00726AB5" w:rsidRDefault="007619EA" w:rsidP="00396E87">
                  <w:pPr>
                    <w:pStyle w:val="StandardOCAshurst"/>
                    <w:jc w:val="right"/>
                    <w:rPr>
                      <w:b/>
                      <w:bCs/>
                      <w:sz w:val="14"/>
                      <w:szCs w:val="14"/>
                    </w:rPr>
                  </w:pPr>
                  <w:r w:rsidRPr="000E0825">
                    <w:rPr>
                      <w:b/>
                      <w:bCs/>
                      <w:sz w:val="14"/>
                      <w:szCs w:val="14"/>
                    </w:rPr>
                    <w:t>(565,975)</w:t>
                  </w:r>
                </w:p>
              </w:tc>
              <w:tc>
                <w:tcPr>
                  <w:tcW w:w="591" w:type="pct"/>
                  <w:tcMar>
                    <w:left w:w="57" w:type="dxa"/>
                    <w:right w:w="57" w:type="dxa"/>
                  </w:tcMar>
                  <w:vAlign w:val="bottom"/>
                </w:tcPr>
                <w:p w14:paraId="408D92EE" w14:textId="77777777" w:rsidR="007619EA" w:rsidRPr="000E0825" w:rsidRDefault="007619EA" w:rsidP="00396E87">
                  <w:pPr>
                    <w:pStyle w:val="StandardOCAshurst"/>
                    <w:jc w:val="right"/>
                    <w:rPr>
                      <w:b/>
                      <w:bCs/>
                      <w:sz w:val="14"/>
                      <w:szCs w:val="14"/>
                    </w:rPr>
                  </w:pPr>
                  <w:r w:rsidRPr="000E0825">
                    <w:rPr>
                      <w:b/>
                      <w:bCs/>
                      <w:sz w:val="14"/>
                      <w:szCs w:val="14"/>
                    </w:rPr>
                    <w:t>25,099</w:t>
                  </w:r>
                </w:p>
              </w:tc>
              <w:tc>
                <w:tcPr>
                  <w:tcW w:w="591" w:type="pct"/>
                  <w:tcMar>
                    <w:left w:w="57" w:type="dxa"/>
                    <w:right w:w="57" w:type="dxa"/>
                  </w:tcMar>
                  <w:vAlign w:val="bottom"/>
                </w:tcPr>
                <w:p w14:paraId="124A8CA8" w14:textId="77777777" w:rsidR="007619EA" w:rsidRPr="000E0825" w:rsidRDefault="007619EA" w:rsidP="00396E87">
                  <w:pPr>
                    <w:pStyle w:val="StandardOCAshurst"/>
                    <w:jc w:val="right"/>
                    <w:rPr>
                      <w:b/>
                      <w:bCs/>
                      <w:sz w:val="14"/>
                      <w:szCs w:val="14"/>
                    </w:rPr>
                  </w:pPr>
                  <w:r w:rsidRPr="000E0825">
                    <w:rPr>
                      <w:b/>
                      <w:bCs/>
                      <w:sz w:val="14"/>
                      <w:szCs w:val="14"/>
                    </w:rPr>
                    <w:t>(16,226)</w:t>
                  </w:r>
                </w:p>
              </w:tc>
              <w:tc>
                <w:tcPr>
                  <w:tcW w:w="591" w:type="pct"/>
                  <w:tcMar>
                    <w:left w:w="57" w:type="dxa"/>
                    <w:right w:w="57" w:type="dxa"/>
                  </w:tcMar>
                  <w:vAlign w:val="bottom"/>
                </w:tcPr>
                <w:p w14:paraId="5102B47D" w14:textId="77777777" w:rsidR="007619EA" w:rsidRPr="000E0825" w:rsidRDefault="007619EA" w:rsidP="00396E87">
                  <w:pPr>
                    <w:pStyle w:val="StandardOCAshurst"/>
                    <w:jc w:val="right"/>
                    <w:rPr>
                      <w:b/>
                      <w:bCs/>
                      <w:sz w:val="14"/>
                      <w:szCs w:val="14"/>
                    </w:rPr>
                  </w:pPr>
                  <w:r w:rsidRPr="000E0825">
                    <w:rPr>
                      <w:b/>
                      <w:bCs/>
                      <w:sz w:val="14"/>
                      <w:szCs w:val="14"/>
                    </w:rPr>
                    <w:t>-</w:t>
                  </w:r>
                </w:p>
              </w:tc>
              <w:tc>
                <w:tcPr>
                  <w:tcW w:w="591" w:type="pct"/>
                  <w:tcMar>
                    <w:left w:w="57" w:type="dxa"/>
                    <w:right w:w="57" w:type="dxa"/>
                  </w:tcMar>
                  <w:vAlign w:val="bottom"/>
                </w:tcPr>
                <w:p w14:paraId="6FD306BC" w14:textId="77777777" w:rsidR="007619EA" w:rsidRPr="000E0825" w:rsidRDefault="007619EA" w:rsidP="00396E87">
                  <w:pPr>
                    <w:pStyle w:val="StandardOCAshurst"/>
                    <w:jc w:val="right"/>
                    <w:rPr>
                      <w:b/>
                      <w:bCs/>
                      <w:sz w:val="14"/>
                      <w:szCs w:val="14"/>
                    </w:rPr>
                  </w:pPr>
                  <w:r w:rsidRPr="000E0825">
                    <w:rPr>
                      <w:b/>
                      <w:bCs/>
                      <w:sz w:val="14"/>
                      <w:szCs w:val="14"/>
                    </w:rPr>
                    <w:t>1,959</w:t>
                  </w:r>
                </w:p>
              </w:tc>
              <w:tc>
                <w:tcPr>
                  <w:tcW w:w="675" w:type="pct"/>
                  <w:tcMar>
                    <w:left w:w="57" w:type="dxa"/>
                    <w:right w:w="57" w:type="dxa"/>
                  </w:tcMar>
                  <w:vAlign w:val="bottom"/>
                </w:tcPr>
                <w:p w14:paraId="0DB646A6" w14:textId="77777777" w:rsidR="007619EA" w:rsidRPr="000E0825" w:rsidRDefault="007619EA" w:rsidP="00396E87">
                  <w:pPr>
                    <w:pStyle w:val="StandardOCAshurst"/>
                    <w:jc w:val="right"/>
                    <w:rPr>
                      <w:b/>
                      <w:bCs/>
                      <w:sz w:val="14"/>
                      <w:szCs w:val="14"/>
                    </w:rPr>
                  </w:pPr>
                  <w:r w:rsidRPr="000E0825">
                    <w:rPr>
                      <w:b/>
                      <w:bCs/>
                      <w:sz w:val="14"/>
                      <w:szCs w:val="14"/>
                    </w:rPr>
                    <w:t>(555,143)</w:t>
                  </w:r>
                </w:p>
              </w:tc>
            </w:tr>
            <w:tr w:rsidR="007619EA" w:rsidRPr="00007F01" w14:paraId="7B97A6C9" w14:textId="77777777" w:rsidTr="00043857">
              <w:tc>
                <w:tcPr>
                  <w:tcW w:w="1296" w:type="pct"/>
                  <w:tcMar>
                    <w:left w:w="57" w:type="dxa"/>
                    <w:right w:w="57" w:type="dxa"/>
                  </w:tcMar>
                </w:tcPr>
                <w:p w14:paraId="19743E18" w14:textId="0532D00B" w:rsidR="007619EA" w:rsidRPr="00007F01" w:rsidRDefault="007619EA" w:rsidP="00043857">
                  <w:pPr>
                    <w:pStyle w:val="StandardOCAshurst"/>
                    <w:tabs>
                      <w:tab w:val="left" w:leader="dot" w:pos="1950"/>
                    </w:tabs>
                    <w:rPr>
                      <w:sz w:val="14"/>
                      <w:szCs w:val="14"/>
                    </w:rPr>
                  </w:pPr>
                  <w:r w:rsidRPr="00007F01">
                    <w:rPr>
                      <w:sz w:val="14"/>
                      <w:szCs w:val="14"/>
                    </w:rPr>
                    <w:t>Income tax</w:t>
                  </w:r>
                  <w:r w:rsidR="00284BEE">
                    <w:rPr>
                      <w:sz w:val="14"/>
                      <w:szCs w:val="14"/>
                    </w:rPr>
                    <w:tab/>
                  </w:r>
                </w:p>
              </w:tc>
              <w:tc>
                <w:tcPr>
                  <w:tcW w:w="665" w:type="pct"/>
                  <w:tcMar>
                    <w:left w:w="57" w:type="dxa"/>
                    <w:right w:w="57" w:type="dxa"/>
                  </w:tcMar>
                  <w:vAlign w:val="bottom"/>
                </w:tcPr>
                <w:p w14:paraId="1B7ECE27" w14:textId="5B982210" w:rsidR="007619EA" w:rsidRPr="00726AB5" w:rsidRDefault="00701FD8" w:rsidP="00396E87">
                  <w:pPr>
                    <w:pStyle w:val="StandardOCAshurst"/>
                    <w:pBdr>
                      <w:bottom w:val="single" w:sz="4" w:space="1" w:color="auto"/>
                    </w:pBdr>
                    <w:jc w:val="right"/>
                    <w:rPr>
                      <w:sz w:val="14"/>
                      <w:szCs w:val="14"/>
                    </w:rPr>
                  </w:pPr>
                  <w:r>
                    <w:rPr>
                      <w:sz w:val="14"/>
                      <w:szCs w:val="14"/>
                    </w:rPr>
                    <w:t>96,030</w:t>
                  </w:r>
                </w:p>
              </w:tc>
              <w:tc>
                <w:tcPr>
                  <w:tcW w:w="591" w:type="pct"/>
                  <w:tcMar>
                    <w:left w:w="57" w:type="dxa"/>
                    <w:right w:w="57" w:type="dxa"/>
                  </w:tcMar>
                  <w:vAlign w:val="bottom"/>
                </w:tcPr>
                <w:p w14:paraId="6AB760D1"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(10,359)</w:t>
                  </w:r>
                </w:p>
              </w:tc>
              <w:tc>
                <w:tcPr>
                  <w:tcW w:w="591" w:type="pct"/>
                  <w:tcMar>
                    <w:left w:w="57" w:type="dxa"/>
                    <w:right w:w="57" w:type="dxa"/>
                  </w:tcMar>
                  <w:vAlign w:val="bottom"/>
                </w:tcPr>
                <w:p w14:paraId="180A2A0A"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w:t>
                  </w:r>
                </w:p>
              </w:tc>
              <w:tc>
                <w:tcPr>
                  <w:tcW w:w="591" w:type="pct"/>
                  <w:tcMar>
                    <w:left w:w="57" w:type="dxa"/>
                    <w:right w:w="57" w:type="dxa"/>
                  </w:tcMar>
                  <w:vAlign w:val="bottom"/>
                </w:tcPr>
                <w:p w14:paraId="58FB7BA0" w14:textId="60F9FCAE" w:rsidR="007619EA" w:rsidRPr="00726AB5" w:rsidRDefault="009767FB" w:rsidP="00396E87">
                  <w:pPr>
                    <w:pStyle w:val="StandardOCAshurst"/>
                    <w:pBdr>
                      <w:bottom w:val="single" w:sz="4" w:space="1" w:color="auto"/>
                    </w:pBdr>
                    <w:jc w:val="right"/>
                    <w:rPr>
                      <w:sz w:val="14"/>
                      <w:szCs w:val="14"/>
                    </w:rPr>
                  </w:pPr>
                  <w:r>
                    <w:rPr>
                      <w:sz w:val="14"/>
                      <w:szCs w:val="14"/>
                    </w:rPr>
                    <w:t>215,205</w:t>
                  </w:r>
                </w:p>
              </w:tc>
              <w:tc>
                <w:tcPr>
                  <w:tcW w:w="591" w:type="pct"/>
                  <w:tcMar>
                    <w:left w:w="57" w:type="dxa"/>
                    <w:right w:w="57" w:type="dxa"/>
                  </w:tcMar>
                  <w:vAlign w:val="bottom"/>
                </w:tcPr>
                <w:p w14:paraId="42C29998"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w:t>
                  </w:r>
                </w:p>
              </w:tc>
              <w:tc>
                <w:tcPr>
                  <w:tcW w:w="675" w:type="pct"/>
                  <w:tcMar>
                    <w:left w:w="57" w:type="dxa"/>
                    <w:right w:w="57" w:type="dxa"/>
                  </w:tcMar>
                  <w:vAlign w:val="bottom"/>
                </w:tcPr>
                <w:p w14:paraId="3E8B2859" w14:textId="715F85EF" w:rsidR="007619EA" w:rsidRPr="00726AB5" w:rsidRDefault="00701FD8" w:rsidP="00396E87">
                  <w:pPr>
                    <w:pStyle w:val="StandardOCAshurst"/>
                    <w:pBdr>
                      <w:bottom w:val="single" w:sz="4" w:space="1" w:color="auto"/>
                    </w:pBdr>
                    <w:jc w:val="right"/>
                    <w:rPr>
                      <w:sz w:val="14"/>
                      <w:szCs w:val="14"/>
                    </w:rPr>
                  </w:pPr>
                  <w:r>
                    <w:rPr>
                      <w:sz w:val="14"/>
                      <w:szCs w:val="14"/>
                    </w:rPr>
                    <w:t>3</w:t>
                  </w:r>
                  <w:r w:rsidR="009767FB">
                    <w:rPr>
                      <w:sz w:val="14"/>
                      <w:szCs w:val="14"/>
                    </w:rPr>
                    <w:t>00,876</w:t>
                  </w:r>
                </w:p>
              </w:tc>
            </w:tr>
            <w:tr w:rsidR="007619EA" w:rsidRPr="00007F01" w14:paraId="6922D72D" w14:textId="77777777" w:rsidTr="00043857">
              <w:tc>
                <w:tcPr>
                  <w:tcW w:w="1296" w:type="pct"/>
                  <w:tcMar>
                    <w:left w:w="57" w:type="dxa"/>
                    <w:right w:w="57" w:type="dxa"/>
                  </w:tcMar>
                </w:tcPr>
                <w:p w14:paraId="03E65FAA" w14:textId="0963D7F1" w:rsidR="007619EA" w:rsidRPr="00007F01" w:rsidRDefault="007619EA" w:rsidP="00043857">
                  <w:pPr>
                    <w:pStyle w:val="StandardOCAshurst"/>
                    <w:tabs>
                      <w:tab w:val="left" w:leader="dot" w:pos="1950"/>
                    </w:tabs>
                    <w:jc w:val="left"/>
                    <w:rPr>
                      <w:b/>
                      <w:bCs/>
                      <w:sz w:val="14"/>
                      <w:szCs w:val="14"/>
                    </w:rPr>
                  </w:pPr>
                  <w:r w:rsidRPr="00007F01">
                    <w:rPr>
                      <w:b/>
                      <w:bCs/>
                      <w:sz w:val="14"/>
                      <w:szCs w:val="14"/>
                    </w:rPr>
                    <w:t>(Loss)/ profit for the year attributable to owners of the parent</w:t>
                  </w:r>
                  <w:r w:rsidRPr="00007F01">
                    <w:rPr>
                      <w:sz w:val="14"/>
                      <w:szCs w:val="14"/>
                    </w:rPr>
                    <w:t xml:space="preserve"> </w:t>
                  </w:r>
                  <w:r w:rsidR="00284BEE">
                    <w:rPr>
                      <w:sz w:val="14"/>
                      <w:szCs w:val="14"/>
                    </w:rPr>
                    <w:tab/>
                  </w:r>
                </w:p>
              </w:tc>
              <w:tc>
                <w:tcPr>
                  <w:tcW w:w="665" w:type="pct"/>
                  <w:tcMar>
                    <w:left w:w="57" w:type="dxa"/>
                    <w:right w:w="57" w:type="dxa"/>
                  </w:tcMar>
                  <w:vAlign w:val="bottom"/>
                </w:tcPr>
                <w:p w14:paraId="37F0ACF0" w14:textId="4C852E1E" w:rsidR="007619EA" w:rsidRPr="00726AB5" w:rsidRDefault="00AB07B0" w:rsidP="00396E87">
                  <w:pPr>
                    <w:pStyle w:val="StandardOCAshurst"/>
                    <w:jc w:val="right"/>
                    <w:rPr>
                      <w:b/>
                      <w:bCs/>
                      <w:sz w:val="14"/>
                      <w:szCs w:val="14"/>
                    </w:rPr>
                  </w:pPr>
                  <w:r>
                    <w:rPr>
                      <w:b/>
                      <w:bCs/>
                      <w:sz w:val="14"/>
                      <w:szCs w:val="14"/>
                    </w:rPr>
                    <w:t>(</w:t>
                  </w:r>
                  <w:r w:rsidR="00701FD8">
                    <w:rPr>
                      <w:b/>
                      <w:bCs/>
                      <w:sz w:val="14"/>
                      <w:szCs w:val="14"/>
                    </w:rPr>
                    <w:t>469,945</w:t>
                  </w:r>
                  <w:r>
                    <w:rPr>
                      <w:b/>
                      <w:bCs/>
                      <w:sz w:val="14"/>
                      <w:szCs w:val="14"/>
                    </w:rPr>
                    <w:t>)</w:t>
                  </w:r>
                </w:p>
              </w:tc>
              <w:tc>
                <w:tcPr>
                  <w:tcW w:w="591" w:type="pct"/>
                  <w:tcMar>
                    <w:left w:w="57" w:type="dxa"/>
                    <w:right w:w="57" w:type="dxa"/>
                  </w:tcMar>
                  <w:vAlign w:val="bottom"/>
                </w:tcPr>
                <w:p w14:paraId="27274529" w14:textId="77777777" w:rsidR="007619EA" w:rsidRPr="000E0825" w:rsidRDefault="007619EA" w:rsidP="00396E87">
                  <w:pPr>
                    <w:pStyle w:val="StandardOCAshurst"/>
                    <w:jc w:val="right"/>
                    <w:rPr>
                      <w:b/>
                      <w:bCs/>
                      <w:sz w:val="14"/>
                      <w:szCs w:val="14"/>
                    </w:rPr>
                  </w:pPr>
                  <w:r w:rsidRPr="000E0825">
                    <w:rPr>
                      <w:b/>
                      <w:bCs/>
                      <w:sz w:val="14"/>
                      <w:szCs w:val="14"/>
                    </w:rPr>
                    <w:t>14,740</w:t>
                  </w:r>
                </w:p>
              </w:tc>
              <w:tc>
                <w:tcPr>
                  <w:tcW w:w="591" w:type="pct"/>
                  <w:tcMar>
                    <w:left w:w="57" w:type="dxa"/>
                    <w:right w:w="57" w:type="dxa"/>
                  </w:tcMar>
                  <w:vAlign w:val="bottom"/>
                </w:tcPr>
                <w:p w14:paraId="289504CC" w14:textId="77777777" w:rsidR="007619EA" w:rsidRPr="000E0825" w:rsidRDefault="007619EA" w:rsidP="00396E87">
                  <w:pPr>
                    <w:pStyle w:val="StandardOCAshurst"/>
                    <w:jc w:val="right"/>
                    <w:rPr>
                      <w:b/>
                      <w:bCs/>
                      <w:sz w:val="14"/>
                      <w:szCs w:val="14"/>
                    </w:rPr>
                  </w:pPr>
                  <w:r w:rsidRPr="000E0825">
                    <w:rPr>
                      <w:b/>
                      <w:bCs/>
                      <w:sz w:val="14"/>
                      <w:szCs w:val="14"/>
                    </w:rPr>
                    <w:t>(16,226)</w:t>
                  </w:r>
                </w:p>
              </w:tc>
              <w:tc>
                <w:tcPr>
                  <w:tcW w:w="591" w:type="pct"/>
                  <w:tcMar>
                    <w:left w:w="57" w:type="dxa"/>
                    <w:right w:w="57" w:type="dxa"/>
                  </w:tcMar>
                  <w:vAlign w:val="bottom"/>
                </w:tcPr>
                <w:p w14:paraId="77E5C3D9" w14:textId="78A22326" w:rsidR="007619EA" w:rsidRPr="000E0825" w:rsidRDefault="007619EA" w:rsidP="00396E87">
                  <w:pPr>
                    <w:pStyle w:val="StandardOCAshurst"/>
                    <w:jc w:val="right"/>
                    <w:rPr>
                      <w:b/>
                      <w:bCs/>
                      <w:sz w:val="14"/>
                      <w:szCs w:val="14"/>
                    </w:rPr>
                  </w:pPr>
                  <w:r w:rsidRPr="000E0825">
                    <w:rPr>
                      <w:b/>
                      <w:bCs/>
                      <w:sz w:val="14"/>
                      <w:szCs w:val="14"/>
                    </w:rPr>
                    <w:t>2</w:t>
                  </w:r>
                  <w:r w:rsidR="009767FB">
                    <w:rPr>
                      <w:b/>
                      <w:bCs/>
                      <w:sz w:val="14"/>
                      <w:szCs w:val="14"/>
                    </w:rPr>
                    <w:t>15,205</w:t>
                  </w:r>
                </w:p>
              </w:tc>
              <w:tc>
                <w:tcPr>
                  <w:tcW w:w="591" w:type="pct"/>
                  <w:tcMar>
                    <w:left w:w="57" w:type="dxa"/>
                    <w:right w:w="57" w:type="dxa"/>
                  </w:tcMar>
                  <w:vAlign w:val="bottom"/>
                </w:tcPr>
                <w:p w14:paraId="44974F72" w14:textId="77777777" w:rsidR="007619EA" w:rsidRPr="000E0825" w:rsidRDefault="007619EA" w:rsidP="00396E87">
                  <w:pPr>
                    <w:pStyle w:val="StandardOCAshurst"/>
                    <w:jc w:val="right"/>
                    <w:rPr>
                      <w:b/>
                      <w:bCs/>
                      <w:sz w:val="14"/>
                      <w:szCs w:val="14"/>
                    </w:rPr>
                  </w:pPr>
                  <w:r w:rsidRPr="000E0825">
                    <w:rPr>
                      <w:b/>
                      <w:bCs/>
                      <w:sz w:val="14"/>
                      <w:szCs w:val="14"/>
                    </w:rPr>
                    <w:t>1,959</w:t>
                  </w:r>
                </w:p>
              </w:tc>
              <w:tc>
                <w:tcPr>
                  <w:tcW w:w="675" w:type="pct"/>
                  <w:tcMar>
                    <w:left w:w="57" w:type="dxa"/>
                    <w:right w:w="57" w:type="dxa"/>
                  </w:tcMar>
                  <w:vAlign w:val="bottom"/>
                </w:tcPr>
                <w:p w14:paraId="7BCFACBD" w14:textId="3C9F638C" w:rsidR="007619EA" w:rsidRPr="000E0825" w:rsidRDefault="00AB07B0" w:rsidP="009767FB">
                  <w:pPr>
                    <w:pStyle w:val="StandardOCAshurst"/>
                    <w:jc w:val="right"/>
                    <w:rPr>
                      <w:b/>
                      <w:bCs/>
                      <w:sz w:val="14"/>
                      <w:szCs w:val="14"/>
                    </w:rPr>
                  </w:pPr>
                  <w:r>
                    <w:rPr>
                      <w:b/>
                      <w:bCs/>
                      <w:sz w:val="14"/>
                      <w:szCs w:val="14"/>
                    </w:rPr>
                    <w:t>(</w:t>
                  </w:r>
                  <w:r w:rsidR="009767FB">
                    <w:rPr>
                      <w:b/>
                      <w:bCs/>
                      <w:sz w:val="14"/>
                      <w:szCs w:val="14"/>
                    </w:rPr>
                    <w:t>254</w:t>
                  </w:r>
                  <w:r w:rsidR="004D1D81">
                    <w:rPr>
                      <w:b/>
                      <w:bCs/>
                      <w:sz w:val="14"/>
                      <w:szCs w:val="14"/>
                    </w:rPr>
                    <w:t>,</w:t>
                  </w:r>
                  <w:r w:rsidR="009767FB">
                    <w:rPr>
                      <w:b/>
                      <w:bCs/>
                      <w:sz w:val="14"/>
                      <w:szCs w:val="14"/>
                    </w:rPr>
                    <w:t>267</w:t>
                  </w:r>
                  <w:r>
                    <w:rPr>
                      <w:b/>
                      <w:bCs/>
                      <w:sz w:val="14"/>
                      <w:szCs w:val="14"/>
                    </w:rPr>
                    <w:t>)</w:t>
                  </w:r>
                </w:p>
              </w:tc>
            </w:tr>
            <w:tr w:rsidR="007619EA" w:rsidRPr="00007F01" w14:paraId="5081D8A1" w14:textId="77777777" w:rsidTr="00043857">
              <w:tc>
                <w:tcPr>
                  <w:tcW w:w="1296" w:type="pct"/>
                  <w:tcMar>
                    <w:left w:w="57" w:type="dxa"/>
                    <w:right w:w="57" w:type="dxa"/>
                  </w:tcMar>
                </w:tcPr>
                <w:p w14:paraId="78A5D7C0" w14:textId="77777777" w:rsidR="007619EA" w:rsidRPr="00007F01" w:rsidRDefault="007619EA" w:rsidP="00043857">
                  <w:pPr>
                    <w:pStyle w:val="StandardOCAshurst"/>
                    <w:tabs>
                      <w:tab w:val="left" w:leader="dot" w:pos="1950"/>
                    </w:tabs>
                    <w:rPr>
                      <w:b/>
                      <w:bCs/>
                      <w:sz w:val="14"/>
                      <w:szCs w:val="14"/>
                    </w:rPr>
                  </w:pPr>
                </w:p>
              </w:tc>
              <w:tc>
                <w:tcPr>
                  <w:tcW w:w="665" w:type="pct"/>
                  <w:tcMar>
                    <w:left w:w="57" w:type="dxa"/>
                    <w:right w:w="57" w:type="dxa"/>
                  </w:tcMar>
                  <w:vAlign w:val="bottom"/>
                </w:tcPr>
                <w:p w14:paraId="0D52CB00" w14:textId="77777777" w:rsidR="007619EA" w:rsidRPr="000E0825" w:rsidRDefault="007619EA" w:rsidP="00396E87">
                  <w:pPr>
                    <w:pStyle w:val="StandardOCAshurst"/>
                    <w:jc w:val="right"/>
                    <w:rPr>
                      <w:b/>
                      <w:bCs/>
                      <w:sz w:val="14"/>
                      <w:szCs w:val="14"/>
                    </w:rPr>
                  </w:pPr>
                </w:p>
              </w:tc>
              <w:tc>
                <w:tcPr>
                  <w:tcW w:w="591" w:type="pct"/>
                  <w:tcMar>
                    <w:left w:w="57" w:type="dxa"/>
                    <w:right w:w="57" w:type="dxa"/>
                  </w:tcMar>
                  <w:vAlign w:val="bottom"/>
                </w:tcPr>
                <w:p w14:paraId="3C42885B" w14:textId="77777777" w:rsidR="007619EA" w:rsidRPr="000E0825" w:rsidRDefault="007619EA" w:rsidP="00396E87">
                  <w:pPr>
                    <w:pStyle w:val="StandardOCAshurst"/>
                    <w:jc w:val="right"/>
                    <w:rPr>
                      <w:b/>
                      <w:bCs/>
                      <w:sz w:val="14"/>
                      <w:szCs w:val="14"/>
                    </w:rPr>
                  </w:pPr>
                </w:p>
              </w:tc>
              <w:tc>
                <w:tcPr>
                  <w:tcW w:w="591" w:type="pct"/>
                  <w:tcMar>
                    <w:left w:w="57" w:type="dxa"/>
                    <w:right w:w="57" w:type="dxa"/>
                  </w:tcMar>
                  <w:vAlign w:val="bottom"/>
                </w:tcPr>
                <w:p w14:paraId="5F75DE3A" w14:textId="77777777" w:rsidR="007619EA" w:rsidRPr="000E0825" w:rsidRDefault="007619EA" w:rsidP="00396E87">
                  <w:pPr>
                    <w:pStyle w:val="StandardOCAshurst"/>
                    <w:jc w:val="right"/>
                    <w:rPr>
                      <w:b/>
                      <w:bCs/>
                      <w:sz w:val="14"/>
                      <w:szCs w:val="14"/>
                    </w:rPr>
                  </w:pPr>
                </w:p>
              </w:tc>
              <w:tc>
                <w:tcPr>
                  <w:tcW w:w="591" w:type="pct"/>
                  <w:tcMar>
                    <w:left w:w="57" w:type="dxa"/>
                    <w:right w:w="57" w:type="dxa"/>
                  </w:tcMar>
                  <w:vAlign w:val="bottom"/>
                </w:tcPr>
                <w:p w14:paraId="47DB48BD" w14:textId="77777777" w:rsidR="007619EA" w:rsidRPr="000E0825" w:rsidRDefault="007619EA" w:rsidP="00396E87">
                  <w:pPr>
                    <w:pStyle w:val="StandardOCAshurst"/>
                    <w:jc w:val="right"/>
                    <w:rPr>
                      <w:b/>
                      <w:bCs/>
                      <w:sz w:val="14"/>
                      <w:szCs w:val="14"/>
                    </w:rPr>
                  </w:pPr>
                </w:p>
              </w:tc>
              <w:tc>
                <w:tcPr>
                  <w:tcW w:w="591" w:type="pct"/>
                  <w:tcMar>
                    <w:left w:w="57" w:type="dxa"/>
                    <w:right w:w="57" w:type="dxa"/>
                  </w:tcMar>
                  <w:vAlign w:val="bottom"/>
                </w:tcPr>
                <w:p w14:paraId="42824331" w14:textId="77777777" w:rsidR="007619EA" w:rsidRPr="000E0825" w:rsidRDefault="007619EA" w:rsidP="00396E87">
                  <w:pPr>
                    <w:pStyle w:val="StandardOCAshurst"/>
                    <w:jc w:val="right"/>
                    <w:rPr>
                      <w:b/>
                      <w:bCs/>
                      <w:sz w:val="14"/>
                      <w:szCs w:val="14"/>
                    </w:rPr>
                  </w:pPr>
                </w:p>
              </w:tc>
              <w:tc>
                <w:tcPr>
                  <w:tcW w:w="675" w:type="pct"/>
                  <w:tcMar>
                    <w:left w:w="57" w:type="dxa"/>
                    <w:right w:w="57" w:type="dxa"/>
                  </w:tcMar>
                  <w:vAlign w:val="bottom"/>
                </w:tcPr>
                <w:p w14:paraId="1A58820C" w14:textId="77777777" w:rsidR="007619EA" w:rsidRPr="000E0825" w:rsidRDefault="007619EA" w:rsidP="00396E87">
                  <w:pPr>
                    <w:pStyle w:val="StandardOCAshurst"/>
                    <w:jc w:val="right"/>
                    <w:rPr>
                      <w:b/>
                      <w:bCs/>
                      <w:sz w:val="14"/>
                      <w:szCs w:val="14"/>
                    </w:rPr>
                  </w:pPr>
                </w:p>
              </w:tc>
            </w:tr>
            <w:tr w:rsidR="007619EA" w:rsidRPr="00F2001B" w14:paraId="26F822EB" w14:textId="77777777" w:rsidTr="00043857">
              <w:tc>
                <w:tcPr>
                  <w:tcW w:w="1296" w:type="pct"/>
                  <w:tcMar>
                    <w:left w:w="57" w:type="dxa"/>
                    <w:right w:w="57" w:type="dxa"/>
                  </w:tcMar>
                </w:tcPr>
                <w:p w14:paraId="20608343" w14:textId="565FF6E4" w:rsidR="007619EA" w:rsidRPr="00007F01" w:rsidRDefault="007619EA" w:rsidP="00043857">
                  <w:pPr>
                    <w:pStyle w:val="StandardOCAshurst"/>
                    <w:tabs>
                      <w:tab w:val="left" w:leader="dot" w:pos="1950"/>
                    </w:tabs>
                    <w:rPr>
                      <w:b/>
                      <w:bCs/>
                      <w:sz w:val="14"/>
                      <w:szCs w:val="14"/>
                    </w:rPr>
                  </w:pPr>
                  <w:r w:rsidRPr="00007F01">
                    <w:rPr>
                      <w:b/>
                      <w:bCs/>
                      <w:sz w:val="14"/>
                      <w:szCs w:val="14"/>
                    </w:rPr>
                    <w:t>Total comprehensive (loss) / profit for the year, attributable to owners of the parent</w:t>
                  </w:r>
                  <w:r w:rsidR="00284BEE" w:rsidRPr="00284BEE">
                    <w:rPr>
                      <w:sz w:val="14"/>
                      <w:szCs w:val="14"/>
                    </w:rPr>
                    <w:tab/>
                  </w:r>
                </w:p>
              </w:tc>
              <w:tc>
                <w:tcPr>
                  <w:tcW w:w="665" w:type="pct"/>
                  <w:tcMar>
                    <w:left w:w="57" w:type="dxa"/>
                    <w:right w:w="57" w:type="dxa"/>
                  </w:tcMar>
                  <w:vAlign w:val="bottom"/>
                </w:tcPr>
                <w:p w14:paraId="319874F6" w14:textId="43CDE4D3" w:rsidR="007619EA" w:rsidRPr="00726AB5" w:rsidRDefault="00AB07B0" w:rsidP="00396E87">
                  <w:pPr>
                    <w:pStyle w:val="StandardOCAshurst"/>
                    <w:pBdr>
                      <w:bottom w:val="double" w:sz="4" w:space="1" w:color="auto"/>
                    </w:pBdr>
                    <w:jc w:val="right"/>
                    <w:rPr>
                      <w:b/>
                      <w:bCs/>
                      <w:sz w:val="14"/>
                      <w:szCs w:val="14"/>
                    </w:rPr>
                  </w:pPr>
                  <w:r>
                    <w:rPr>
                      <w:b/>
                      <w:bCs/>
                      <w:sz w:val="14"/>
                      <w:szCs w:val="14"/>
                    </w:rPr>
                    <w:t>(</w:t>
                  </w:r>
                  <w:r w:rsidR="00701FD8">
                    <w:rPr>
                      <w:b/>
                      <w:bCs/>
                      <w:sz w:val="14"/>
                      <w:szCs w:val="14"/>
                    </w:rPr>
                    <w:t>469,945</w:t>
                  </w:r>
                  <w:r>
                    <w:rPr>
                      <w:b/>
                      <w:bCs/>
                      <w:sz w:val="14"/>
                      <w:szCs w:val="14"/>
                    </w:rPr>
                    <w:t>)</w:t>
                  </w:r>
                </w:p>
              </w:tc>
              <w:tc>
                <w:tcPr>
                  <w:tcW w:w="591" w:type="pct"/>
                  <w:tcMar>
                    <w:left w:w="57" w:type="dxa"/>
                    <w:right w:w="57" w:type="dxa"/>
                  </w:tcMar>
                  <w:vAlign w:val="bottom"/>
                </w:tcPr>
                <w:p w14:paraId="40CBD01E" w14:textId="77777777" w:rsidR="007619EA" w:rsidRPr="000E0825" w:rsidRDefault="007619EA" w:rsidP="00396E87">
                  <w:pPr>
                    <w:pStyle w:val="StandardOCAshurst"/>
                    <w:pBdr>
                      <w:bottom w:val="double" w:sz="4" w:space="1" w:color="auto"/>
                    </w:pBdr>
                    <w:jc w:val="right"/>
                    <w:rPr>
                      <w:b/>
                      <w:bCs/>
                      <w:sz w:val="14"/>
                      <w:szCs w:val="14"/>
                    </w:rPr>
                  </w:pPr>
                  <w:r w:rsidRPr="000E0825">
                    <w:rPr>
                      <w:b/>
                      <w:bCs/>
                      <w:sz w:val="14"/>
                      <w:szCs w:val="14"/>
                    </w:rPr>
                    <w:t>14,740</w:t>
                  </w:r>
                </w:p>
              </w:tc>
              <w:tc>
                <w:tcPr>
                  <w:tcW w:w="591" w:type="pct"/>
                  <w:tcMar>
                    <w:left w:w="57" w:type="dxa"/>
                    <w:right w:w="57" w:type="dxa"/>
                  </w:tcMar>
                  <w:vAlign w:val="bottom"/>
                </w:tcPr>
                <w:p w14:paraId="65FBE510" w14:textId="77777777" w:rsidR="007619EA" w:rsidRPr="000E0825" w:rsidRDefault="007619EA" w:rsidP="00396E87">
                  <w:pPr>
                    <w:pStyle w:val="StandardOCAshurst"/>
                    <w:pBdr>
                      <w:bottom w:val="double" w:sz="4" w:space="1" w:color="auto"/>
                    </w:pBdr>
                    <w:jc w:val="right"/>
                    <w:rPr>
                      <w:b/>
                      <w:bCs/>
                      <w:sz w:val="14"/>
                      <w:szCs w:val="14"/>
                    </w:rPr>
                  </w:pPr>
                  <w:r w:rsidRPr="000E0825">
                    <w:rPr>
                      <w:b/>
                      <w:bCs/>
                      <w:sz w:val="14"/>
                      <w:szCs w:val="14"/>
                    </w:rPr>
                    <w:t>(16,226)</w:t>
                  </w:r>
                </w:p>
              </w:tc>
              <w:tc>
                <w:tcPr>
                  <w:tcW w:w="591" w:type="pct"/>
                  <w:tcMar>
                    <w:left w:w="57" w:type="dxa"/>
                    <w:right w:w="57" w:type="dxa"/>
                  </w:tcMar>
                  <w:vAlign w:val="bottom"/>
                </w:tcPr>
                <w:p w14:paraId="0B8F92AC" w14:textId="49BAC481" w:rsidR="007619EA" w:rsidRPr="000E0825" w:rsidRDefault="007619EA" w:rsidP="00396E87">
                  <w:pPr>
                    <w:pStyle w:val="StandardOCAshurst"/>
                    <w:pBdr>
                      <w:bottom w:val="double" w:sz="4" w:space="1" w:color="auto"/>
                    </w:pBdr>
                    <w:jc w:val="right"/>
                    <w:rPr>
                      <w:b/>
                      <w:bCs/>
                      <w:sz w:val="14"/>
                      <w:szCs w:val="14"/>
                    </w:rPr>
                  </w:pPr>
                  <w:r w:rsidRPr="000E0825">
                    <w:rPr>
                      <w:b/>
                      <w:bCs/>
                      <w:sz w:val="14"/>
                      <w:szCs w:val="14"/>
                    </w:rPr>
                    <w:t>2</w:t>
                  </w:r>
                  <w:r w:rsidR="009767FB">
                    <w:rPr>
                      <w:b/>
                      <w:bCs/>
                      <w:sz w:val="14"/>
                      <w:szCs w:val="14"/>
                    </w:rPr>
                    <w:t>15,205</w:t>
                  </w:r>
                </w:p>
              </w:tc>
              <w:tc>
                <w:tcPr>
                  <w:tcW w:w="591" w:type="pct"/>
                  <w:tcMar>
                    <w:left w:w="57" w:type="dxa"/>
                    <w:right w:w="57" w:type="dxa"/>
                  </w:tcMar>
                  <w:vAlign w:val="bottom"/>
                </w:tcPr>
                <w:p w14:paraId="1DFA8DA1" w14:textId="77777777" w:rsidR="007619EA" w:rsidRPr="000E0825" w:rsidRDefault="007619EA" w:rsidP="00396E87">
                  <w:pPr>
                    <w:pStyle w:val="StandardOCAshurst"/>
                    <w:pBdr>
                      <w:bottom w:val="double" w:sz="4" w:space="1" w:color="auto"/>
                    </w:pBdr>
                    <w:jc w:val="right"/>
                    <w:rPr>
                      <w:b/>
                      <w:bCs/>
                      <w:sz w:val="14"/>
                      <w:szCs w:val="14"/>
                    </w:rPr>
                  </w:pPr>
                  <w:r w:rsidRPr="000E0825">
                    <w:rPr>
                      <w:b/>
                      <w:bCs/>
                      <w:sz w:val="14"/>
                      <w:szCs w:val="14"/>
                    </w:rPr>
                    <w:t>1,959</w:t>
                  </w:r>
                </w:p>
              </w:tc>
              <w:tc>
                <w:tcPr>
                  <w:tcW w:w="675" w:type="pct"/>
                  <w:tcMar>
                    <w:left w:w="57" w:type="dxa"/>
                    <w:right w:w="57" w:type="dxa"/>
                  </w:tcMar>
                  <w:vAlign w:val="bottom"/>
                </w:tcPr>
                <w:p w14:paraId="3018155B" w14:textId="1D11701E" w:rsidR="007619EA" w:rsidRPr="000E0825" w:rsidRDefault="00AB07B0" w:rsidP="00396E87">
                  <w:pPr>
                    <w:pStyle w:val="StandardOCAshurst"/>
                    <w:pBdr>
                      <w:bottom w:val="double" w:sz="4" w:space="1" w:color="auto"/>
                    </w:pBdr>
                    <w:jc w:val="right"/>
                    <w:rPr>
                      <w:b/>
                      <w:bCs/>
                      <w:sz w:val="14"/>
                      <w:szCs w:val="14"/>
                    </w:rPr>
                  </w:pPr>
                  <w:r>
                    <w:rPr>
                      <w:b/>
                      <w:bCs/>
                      <w:sz w:val="14"/>
                      <w:szCs w:val="14"/>
                    </w:rPr>
                    <w:t>(</w:t>
                  </w:r>
                  <w:r w:rsidR="009767FB">
                    <w:rPr>
                      <w:b/>
                      <w:bCs/>
                      <w:sz w:val="14"/>
                      <w:szCs w:val="14"/>
                    </w:rPr>
                    <w:t>254,267</w:t>
                  </w:r>
                  <w:r>
                    <w:rPr>
                      <w:b/>
                      <w:bCs/>
                      <w:sz w:val="14"/>
                      <w:szCs w:val="14"/>
                    </w:rPr>
                    <w:t>)</w:t>
                  </w:r>
                </w:p>
              </w:tc>
            </w:tr>
          </w:tbl>
          <w:p w14:paraId="18606990" w14:textId="77777777" w:rsidR="007619EA" w:rsidRPr="005838F9" w:rsidRDefault="007619EA" w:rsidP="00396E87">
            <w:pPr>
              <w:pStyle w:val="NormalOCAshurst"/>
              <w:jc w:val="left"/>
              <w:rPr>
                <w:rFonts w:asciiTheme="majorHAnsi" w:hAnsiTheme="majorHAnsi" w:cstheme="majorHAnsi"/>
                <w:b/>
                <w:bCs/>
                <w:sz w:val="16"/>
                <w:szCs w:val="16"/>
              </w:rPr>
            </w:pPr>
          </w:p>
          <w:p w14:paraId="45BE8B22" w14:textId="7DCB5F32" w:rsidR="007619EA" w:rsidRPr="005838F9" w:rsidRDefault="007619EA" w:rsidP="00396E87">
            <w:pPr>
              <w:pStyle w:val="NormalOCAshurst"/>
              <w:jc w:val="left"/>
              <w:rPr>
                <w:rFonts w:asciiTheme="majorHAnsi" w:hAnsiTheme="majorHAnsi" w:cstheme="majorHAnsi"/>
                <w:b/>
                <w:bCs/>
                <w:sz w:val="16"/>
                <w:szCs w:val="16"/>
              </w:rPr>
            </w:pPr>
            <w:r w:rsidRPr="005838F9">
              <w:rPr>
                <w:rFonts w:asciiTheme="majorHAnsi" w:hAnsiTheme="majorHAnsi" w:cstheme="majorHAnsi"/>
                <w:b/>
                <w:bCs/>
                <w:sz w:val="16"/>
                <w:szCs w:val="16"/>
              </w:rPr>
              <w:t>Unaudited pro forma statement of assets and liabilities at 31 December 2020</w:t>
            </w:r>
          </w:p>
          <w:tbl>
            <w:tblPr>
              <w:tblStyle w:val="TableGrid"/>
              <w:tblW w:w="8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6"/>
              <w:gridCol w:w="999"/>
              <w:gridCol w:w="967"/>
              <w:gridCol w:w="966"/>
              <w:gridCol w:w="966"/>
              <w:gridCol w:w="966"/>
              <w:gridCol w:w="970"/>
              <w:gridCol w:w="1094"/>
            </w:tblGrid>
            <w:tr w:rsidR="007619EA" w:rsidRPr="00726AB5" w14:paraId="0B9EDD20" w14:textId="77777777" w:rsidTr="00284BEE">
              <w:tc>
                <w:tcPr>
                  <w:tcW w:w="863" w:type="pct"/>
                  <w:tcMar>
                    <w:left w:w="28" w:type="dxa"/>
                    <w:right w:w="28" w:type="dxa"/>
                  </w:tcMar>
                </w:tcPr>
                <w:p w14:paraId="39EC7EAE" w14:textId="77777777" w:rsidR="007619EA" w:rsidRPr="00AA44FC" w:rsidRDefault="007619EA" w:rsidP="00396E87">
                  <w:pPr>
                    <w:pStyle w:val="NormalOCAshurst"/>
                    <w:spacing w:after="0"/>
                    <w:jc w:val="left"/>
                    <w:rPr>
                      <w:sz w:val="14"/>
                      <w:szCs w:val="14"/>
                    </w:rPr>
                  </w:pPr>
                </w:p>
              </w:tc>
              <w:tc>
                <w:tcPr>
                  <w:tcW w:w="596" w:type="pct"/>
                  <w:vMerge w:val="restart"/>
                  <w:tcMar>
                    <w:left w:w="28" w:type="dxa"/>
                    <w:right w:w="28" w:type="dxa"/>
                  </w:tcMar>
                  <w:vAlign w:val="bottom"/>
                </w:tcPr>
                <w:p w14:paraId="40C49F32" w14:textId="77777777" w:rsidR="007619EA" w:rsidRPr="00726AB5" w:rsidRDefault="007619EA" w:rsidP="00396E87">
                  <w:pPr>
                    <w:pStyle w:val="NormalOCAshurst"/>
                    <w:pBdr>
                      <w:bottom w:val="single" w:sz="4" w:space="1" w:color="auto"/>
                    </w:pBdr>
                    <w:spacing w:after="0"/>
                    <w:jc w:val="center"/>
                    <w:rPr>
                      <w:b/>
                      <w:bCs/>
                      <w:sz w:val="14"/>
                      <w:szCs w:val="14"/>
                    </w:rPr>
                  </w:pPr>
                  <w:r w:rsidRPr="00E11AC9">
                    <w:rPr>
                      <w:b/>
                      <w:bCs/>
                      <w:sz w:val="14"/>
                      <w:szCs w:val="14"/>
                    </w:rPr>
                    <w:t>Consolidated EnQuest  assets and liabilities as at 31 December 2020</w:t>
                  </w:r>
                </w:p>
              </w:tc>
              <w:tc>
                <w:tcPr>
                  <w:tcW w:w="2887" w:type="pct"/>
                  <w:gridSpan w:val="5"/>
                  <w:tcMar>
                    <w:left w:w="28" w:type="dxa"/>
                    <w:right w:w="28" w:type="dxa"/>
                  </w:tcMar>
                  <w:vAlign w:val="bottom"/>
                </w:tcPr>
                <w:p w14:paraId="521C0DAA" w14:textId="77777777" w:rsidR="007619EA" w:rsidRPr="00726AB5" w:rsidRDefault="007619EA" w:rsidP="00043857">
                  <w:pPr>
                    <w:pStyle w:val="NormalOCAshurst"/>
                    <w:pBdr>
                      <w:bottom w:val="single" w:sz="4" w:space="1" w:color="auto"/>
                    </w:pBdr>
                    <w:spacing w:after="0"/>
                    <w:jc w:val="center"/>
                    <w:rPr>
                      <w:b/>
                      <w:bCs/>
                      <w:sz w:val="14"/>
                      <w:szCs w:val="14"/>
                    </w:rPr>
                  </w:pPr>
                  <w:r w:rsidRPr="00726AB5">
                    <w:rPr>
                      <w:b/>
                      <w:bCs/>
                      <w:sz w:val="14"/>
                      <w:szCs w:val="14"/>
                    </w:rPr>
                    <w:t>Adjustments</w:t>
                  </w:r>
                </w:p>
              </w:tc>
              <w:tc>
                <w:tcPr>
                  <w:tcW w:w="653" w:type="pct"/>
                  <w:vMerge w:val="restart"/>
                  <w:tcMar>
                    <w:left w:w="28" w:type="dxa"/>
                    <w:right w:w="28" w:type="dxa"/>
                  </w:tcMar>
                  <w:vAlign w:val="bottom"/>
                </w:tcPr>
                <w:p w14:paraId="19451E0F" w14:textId="77777777" w:rsidR="007619EA" w:rsidRPr="00726AB5" w:rsidRDefault="007619EA" w:rsidP="00396E87">
                  <w:pPr>
                    <w:pStyle w:val="NormalOCAshurst"/>
                    <w:pBdr>
                      <w:bottom w:val="single" w:sz="4" w:space="1" w:color="auto"/>
                    </w:pBdr>
                    <w:spacing w:after="0"/>
                    <w:jc w:val="center"/>
                    <w:rPr>
                      <w:b/>
                      <w:bCs/>
                      <w:sz w:val="14"/>
                      <w:szCs w:val="14"/>
                    </w:rPr>
                  </w:pPr>
                  <w:r w:rsidRPr="00726AB5">
                    <w:rPr>
                      <w:b/>
                      <w:bCs/>
                      <w:sz w:val="14"/>
                      <w:szCs w:val="14"/>
                    </w:rPr>
                    <w:t>Pro forma total</w:t>
                  </w:r>
                </w:p>
              </w:tc>
            </w:tr>
            <w:tr w:rsidR="007619EA" w:rsidRPr="00726AB5" w14:paraId="4C7EB305" w14:textId="77777777" w:rsidTr="00284BEE">
              <w:tc>
                <w:tcPr>
                  <w:tcW w:w="863" w:type="pct"/>
                  <w:tcMar>
                    <w:left w:w="28" w:type="dxa"/>
                    <w:right w:w="28" w:type="dxa"/>
                  </w:tcMar>
                </w:tcPr>
                <w:p w14:paraId="6895C686" w14:textId="77777777" w:rsidR="007619EA" w:rsidRPr="00726AB5" w:rsidRDefault="007619EA" w:rsidP="00396E87">
                  <w:pPr>
                    <w:pStyle w:val="NormalOCAshurst"/>
                    <w:spacing w:after="0"/>
                    <w:jc w:val="left"/>
                    <w:rPr>
                      <w:sz w:val="14"/>
                      <w:szCs w:val="14"/>
                    </w:rPr>
                  </w:pPr>
                </w:p>
              </w:tc>
              <w:tc>
                <w:tcPr>
                  <w:tcW w:w="596" w:type="pct"/>
                  <w:vMerge/>
                  <w:tcMar>
                    <w:left w:w="28" w:type="dxa"/>
                    <w:right w:w="28" w:type="dxa"/>
                  </w:tcMar>
                  <w:vAlign w:val="bottom"/>
                </w:tcPr>
                <w:p w14:paraId="54EE01D5" w14:textId="77777777" w:rsidR="007619EA" w:rsidRPr="00726AB5" w:rsidRDefault="007619EA" w:rsidP="00396E87">
                  <w:pPr>
                    <w:pStyle w:val="NormalOCAshurst"/>
                    <w:pBdr>
                      <w:bottom w:val="single" w:sz="4" w:space="1" w:color="auto"/>
                    </w:pBdr>
                    <w:spacing w:after="0"/>
                    <w:jc w:val="center"/>
                    <w:rPr>
                      <w:b/>
                      <w:bCs/>
                      <w:sz w:val="14"/>
                      <w:szCs w:val="14"/>
                    </w:rPr>
                  </w:pPr>
                </w:p>
              </w:tc>
              <w:tc>
                <w:tcPr>
                  <w:tcW w:w="577" w:type="pct"/>
                  <w:tcMar>
                    <w:left w:w="28" w:type="dxa"/>
                    <w:right w:w="28" w:type="dxa"/>
                  </w:tcMar>
                  <w:vAlign w:val="bottom"/>
                </w:tcPr>
                <w:p w14:paraId="49C92B95" w14:textId="77777777" w:rsidR="007619EA" w:rsidRPr="00726AB5" w:rsidRDefault="007619EA" w:rsidP="00396E87">
                  <w:pPr>
                    <w:pStyle w:val="NormalOCAshurst"/>
                    <w:pBdr>
                      <w:bottom w:val="single" w:sz="4" w:space="1" w:color="auto"/>
                    </w:pBdr>
                    <w:spacing w:after="0"/>
                    <w:jc w:val="center"/>
                    <w:rPr>
                      <w:b/>
                      <w:bCs/>
                      <w:sz w:val="14"/>
                      <w:szCs w:val="14"/>
                    </w:rPr>
                  </w:pPr>
                  <w:r w:rsidRPr="00726AB5">
                    <w:rPr>
                      <w:b/>
                      <w:bCs/>
                      <w:sz w:val="14"/>
                      <w:szCs w:val="14"/>
                    </w:rPr>
                    <w:t>Golden Eagle Asset assets and liabilities as at 31 December 2020</w:t>
                  </w:r>
                </w:p>
              </w:tc>
              <w:tc>
                <w:tcPr>
                  <w:tcW w:w="577" w:type="pct"/>
                  <w:tcMar>
                    <w:left w:w="28" w:type="dxa"/>
                    <w:right w:w="28" w:type="dxa"/>
                  </w:tcMar>
                  <w:vAlign w:val="bottom"/>
                </w:tcPr>
                <w:p w14:paraId="4599DFDA" w14:textId="77777777" w:rsidR="007619EA" w:rsidRPr="00726AB5" w:rsidRDefault="007619EA" w:rsidP="00396E87">
                  <w:pPr>
                    <w:pStyle w:val="NormalOCAshurst"/>
                    <w:pBdr>
                      <w:bottom w:val="single" w:sz="4" w:space="1" w:color="auto"/>
                    </w:pBdr>
                    <w:spacing w:after="0"/>
                    <w:jc w:val="center"/>
                    <w:rPr>
                      <w:b/>
                      <w:bCs/>
                      <w:sz w:val="14"/>
                      <w:szCs w:val="14"/>
                    </w:rPr>
                  </w:pPr>
                  <w:r w:rsidRPr="00726AB5">
                    <w:rPr>
                      <w:b/>
                      <w:bCs/>
                      <w:sz w:val="14"/>
                      <w:szCs w:val="14"/>
                    </w:rPr>
                    <w:t>Acquisition</w:t>
                  </w:r>
                </w:p>
              </w:tc>
              <w:tc>
                <w:tcPr>
                  <w:tcW w:w="577" w:type="pct"/>
                  <w:tcMar>
                    <w:left w:w="28" w:type="dxa"/>
                    <w:right w:w="28" w:type="dxa"/>
                  </w:tcMar>
                  <w:vAlign w:val="bottom"/>
                </w:tcPr>
                <w:p w14:paraId="3B2D772D" w14:textId="77777777" w:rsidR="007619EA" w:rsidRPr="00726AB5" w:rsidRDefault="007619EA" w:rsidP="00396E87">
                  <w:pPr>
                    <w:pStyle w:val="NormalOCAshurst"/>
                    <w:pBdr>
                      <w:bottom w:val="single" w:sz="4" w:space="1" w:color="auto"/>
                    </w:pBdr>
                    <w:spacing w:after="0"/>
                    <w:jc w:val="center"/>
                    <w:rPr>
                      <w:b/>
                      <w:bCs/>
                      <w:sz w:val="14"/>
                      <w:szCs w:val="14"/>
                    </w:rPr>
                  </w:pPr>
                  <w:r w:rsidRPr="00726AB5">
                    <w:rPr>
                      <w:b/>
                      <w:bCs/>
                      <w:sz w:val="14"/>
                      <w:szCs w:val="14"/>
                    </w:rPr>
                    <w:t>Deferred tax recognition</w:t>
                  </w:r>
                </w:p>
              </w:tc>
              <w:tc>
                <w:tcPr>
                  <w:tcW w:w="577" w:type="pct"/>
                  <w:tcMar>
                    <w:left w:w="28" w:type="dxa"/>
                    <w:right w:w="28" w:type="dxa"/>
                  </w:tcMar>
                  <w:vAlign w:val="bottom"/>
                </w:tcPr>
                <w:p w14:paraId="5A41D00A" w14:textId="77777777" w:rsidR="007619EA" w:rsidRPr="00726AB5" w:rsidRDefault="007619EA" w:rsidP="00396E87">
                  <w:pPr>
                    <w:pStyle w:val="NormalOCAshurst"/>
                    <w:pBdr>
                      <w:bottom w:val="single" w:sz="4" w:space="1" w:color="auto"/>
                    </w:pBdr>
                    <w:spacing w:after="0"/>
                    <w:jc w:val="center"/>
                    <w:rPr>
                      <w:b/>
                      <w:bCs/>
                      <w:sz w:val="14"/>
                      <w:szCs w:val="14"/>
                    </w:rPr>
                  </w:pPr>
                  <w:r w:rsidRPr="00726AB5">
                    <w:rPr>
                      <w:b/>
                      <w:bCs/>
                      <w:sz w:val="14"/>
                      <w:szCs w:val="14"/>
                    </w:rPr>
                    <w:t>Refinancing</w:t>
                  </w:r>
                </w:p>
              </w:tc>
              <w:tc>
                <w:tcPr>
                  <w:tcW w:w="579" w:type="pct"/>
                  <w:tcMar>
                    <w:left w:w="28" w:type="dxa"/>
                    <w:right w:w="28" w:type="dxa"/>
                  </w:tcMar>
                  <w:vAlign w:val="bottom"/>
                </w:tcPr>
                <w:p w14:paraId="29D6EF8B" w14:textId="77777777" w:rsidR="007619EA" w:rsidRPr="00726AB5" w:rsidRDefault="007619EA" w:rsidP="00396E87">
                  <w:pPr>
                    <w:pStyle w:val="NormalOCAshurst"/>
                    <w:pBdr>
                      <w:bottom w:val="single" w:sz="4" w:space="1" w:color="auto"/>
                    </w:pBdr>
                    <w:spacing w:after="0"/>
                    <w:jc w:val="center"/>
                    <w:rPr>
                      <w:b/>
                      <w:bCs/>
                      <w:sz w:val="14"/>
                      <w:szCs w:val="14"/>
                    </w:rPr>
                  </w:pPr>
                  <w:r w:rsidRPr="00726AB5">
                    <w:rPr>
                      <w:b/>
                      <w:bCs/>
                      <w:sz w:val="14"/>
                      <w:szCs w:val="14"/>
                    </w:rPr>
                    <w:t>Capital Raising net of fees</w:t>
                  </w:r>
                </w:p>
              </w:tc>
              <w:tc>
                <w:tcPr>
                  <w:tcW w:w="653" w:type="pct"/>
                  <w:vMerge/>
                  <w:tcMar>
                    <w:left w:w="28" w:type="dxa"/>
                    <w:right w:w="28" w:type="dxa"/>
                  </w:tcMar>
                  <w:vAlign w:val="bottom"/>
                </w:tcPr>
                <w:p w14:paraId="35B06E28" w14:textId="77777777" w:rsidR="007619EA" w:rsidRPr="00726AB5" w:rsidRDefault="007619EA" w:rsidP="00396E87">
                  <w:pPr>
                    <w:pStyle w:val="NormalOCAshurst"/>
                    <w:pBdr>
                      <w:bottom w:val="single" w:sz="4" w:space="1" w:color="auto"/>
                    </w:pBdr>
                    <w:spacing w:after="0"/>
                    <w:jc w:val="center"/>
                    <w:rPr>
                      <w:b/>
                      <w:bCs/>
                      <w:sz w:val="14"/>
                      <w:szCs w:val="14"/>
                    </w:rPr>
                  </w:pPr>
                </w:p>
              </w:tc>
            </w:tr>
            <w:tr w:rsidR="007619EA" w:rsidRPr="00726AB5" w14:paraId="7E83F789" w14:textId="77777777" w:rsidTr="00284BEE">
              <w:tc>
                <w:tcPr>
                  <w:tcW w:w="863" w:type="pct"/>
                  <w:tcMar>
                    <w:left w:w="28" w:type="dxa"/>
                    <w:right w:w="28" w:type="dxa"/>
                  </w:tcMar>
                </w:tcPr>
                <w:p w14:paraId="33A6B363" w14:textId="77777777" w:rsidR="007619EA" w:rsidRPr="00726AB5" w:rsidRDefault="007619EA" w:rsidP="00396E87">
                  <w:pPr>
                    <w:pStyle w:val="NormalOCAshurst"/>
                    <w:spacing w:after="0"/>
                    <w:jc w:val="left"/>
                    <w:rPr>
                      <w:b/>
                      <w:bCs/>
                      <w:sz w:val="14"/>
                      <w:szCs w:val="14"/>
                    </w:rPr>
                  </w:pPr>
                </w:p>
              </w:tc>
              <w:tc>
                <w:tcPr>
                  <w:tcW w:w="596" w:type="pct"/>
                  <w:tcMar>
                    <w:left w:w="28" w:type="dxa"/>
                    <w:right w:w="28" w:type="dxa"/>
                  </w:tcMar>
                </w:tcPr>
                <w:p w14:paraId="1D3CBE60" w14:textId="77777777" w:rsidR="007619EA" w:rsidRPr="00726AB5" w:rsidRDefault="007619EA" w:rsidP="00396E87">
                  <w:pPr>
                    <w:pStyle w:val="NormalOCAshurst"/>
                    <w:spacing w:after="0"/>
                    <w:rPr>
                      <w:sz w:val="14"/>
                      <w:szCs w:val="14"/>
                    </w:rPr>
                  </w:pPr>
                </w:p>
              </w:tc>
              <w:tc>
                <w:tcPr>
                  <w:tcW w:w="577" w:type="pct"/>
                  <w:tcMar>
                    <w:left w:w="28" w:type="dxa"/>
                    <w:right w:w="28" w:type="dxa"/>
                  </w:tcMar>
                </w:tcPr>
                <w:p w14:paraId="3E602172" w14:textId="77777777" w:rsidR="007619EA" w:rsidRPr="00726AB5" w:rsidRDefault="007619EA" w:rsidP="00396E87">
                  <w:pPr>
                    <w:pStyle w:val="NormalOCAshurst"/>
                    <w:spacing w:after="0"/>
                    <w:rPr>
                      <w:sz w:val="14"/>
                      <w:szCs w:val="14"/>
                    </w:rPr>
                  </w:pPr>
                </w:p>
              </w:tc>
              <w:tc>
                <w:tcPr>
                  <w:tcW w:w="577" w:type="pct"/>
                  <w:tcMar>
                    <w:left w:w="28" w:type="dxa"/>
                    <w:right w:w="28" w:type="dxa"/>
                  </w:tcMar>
                </w:tcPr>
                <w:p w14:paraId="08EFF194" w14:textId="77777777" w:rsidR="007619EA" w:rsidRPr="00726AB5" w:rsidRDefault="007619EA" w:rsidP="00396E87">
                  <w:pPr>
                    <w:pStyle w:val="NormalOCAshurst"/>
                    <w:spacing w:after="0"/>
                    <w:rPr>
                      <w:sz w:val="14"/>
                      <w:szCs w:val="14"/>
                    </w:rPr>
                  </w:pPr>
                </w:p>
              </w:tc>
              <w:tc>
                <w:tcPr>
                  <w:tcW w:w="577" w:type="pct"/>
                  <w:tcMar>
                    <w:left w:w="28" w:type="dxa"/>
                    <w:right w:w="28" w:type="dxa"/>
                  </w:tcMar>
                </w:tcPr>
                <w:p w14:paraId="7813621A" w14:textId="77777777" w:rsidR="007619EA" w:rsidRPr="00726AB5" w:rsidRDefault="007619EA" w:rsidP="00396E87">
                  <w:pPr>
                    <w:pStyle w:val="NormalOCAshurst"/>
                    <w:spacing w:after="0"/>
                    <w:rPr>
                      <w:sz w:val="14"/>
                      <w:szCs w:val="14"/>
                    </w:rPr>
                  </w:pPr>
                </w:p>
              </w:tc>
              <w:tc>
                <w:tcPr>
                  <w:tcW w:w="577" w:type="pct"/>
                  <w:tcMar>
                    <w:left w:w="28" w:type="dxa"/>
                    <w:right w:w="28" w:type="dxa"/>
                  </w:tcMar>
                </w:tcPr>
                <w:p w14:paraId="1AA76726" w14:textId="77777777" w:rsidR="007619EA" w:rsidRPr="00726AB5" w:rsidRDefault="007619EA" w:rsidP="00396E87">
                  <w:pPr>
                    <w:pStyle w:val="NormalOCAshurst"/>
                    <w:spacing w:after="0"/>
                    <w:rPr>
                      <w:sz w:val="14"/>
                      <w:szCs w:val="14"/>
                    </w:rPr>
                  </w:pPr>
                </w:p>
              </w:tc>
              <w:tc>
                <w:tcPr>
                  <w:tcW w:w="579" w:type="pct"/>
                  <w:tcMar>
                    <w:left w:w="28" w:type="dxa"/>
                    <w:right w:w="28" w:type="dxa"/>
                  </w:tcMar>
                </w:tcPr>
                <w:p w14:paraId="232CDF45" w14:textId="77777777" w:rsidR="007619EA" w:rsidRPr="00726AB5" w:rsidRDefault="007619EA" w:rsidP="00396E87">
                  <w:pPr>
                    <w:pStyle w:val="NormalOCAshurst"/>
                    <w:spacing w:after="0"/>
                    <w:rPr>
                      <w:sz w:val="14"/>
                      <w:szCs w:val="14"/>
                    </w:rPr>
                  </w:pPr>
                </w:p>
              </w:tc>
              <w:tc>
                <w:tcPr>
                  <w:tcW w:w="653" w:type="pct"/>
                  <w:tcMar>
                    <w:left w:w="28" w:type="dxa"/>
                    <w:right w:w="28" w:type="dxa"/>
                  </w:tcMar>
                </w:tcPr>
                <w:p w14:paraId="0B7E11F7" w14:textId="77777777" w:rsidR="007619EA" w:rsidRPr="00726AB5" w:rsidRDefault="007619EA" w:rsidP="00396E87">
                  <w:pPr>
                    <w:pStyle w:val="NormalOCAshurst"/>
                    <w:spacing w:after="0"/>
                    <w:rPr>
                      <w:sz w:val="14"/>
                      <w:szCs w:val="14"/>
                    </w:rPr>
                  </w:pPr>
                </w:p>
              </w:tc>
            </w:tr>
            <w:tr w:rsidR="007619EA" w:rsidRPr="00726AB5" w14:paraId="3B5BD306" w14:textId="77777777" w:rsidTr="00284BEE">
              <w:tc>
                <w:tcPr>
                  <w:tcW w:w="863" w:type="pct"/>
                  <w:tcMar>
                    <w:left w:w="28" w:type="dxa"/>
                    <w:right w:w="57" w:type="dxa"/>
                  </w:tcMar>
                </w:tcPr>
                <w:p w14:paraId="27BC3590" w14:textId="77777777" w:rsidR="007619EA" w:rsidRPr="00726AB5" w:rsidRDefault="007619EA" w:rsidP="00284BEE">
                  <w:pPr>
                    <w:pStyle w:val="NormalOCAshurst"/>
                    <w:tabs>
                      <w:tab w:val="left" w:pos="1365"/>
                    </w:tabs>
                    <w:spacing w:after="0"/>
                    <w:jc w:val="left"/>
                    <w:rPr>
                      <w:b/>
                      <w:bCs/>
                      <w:sz w:val="14"/>
                      <w:szCs w:val="14"/>
                    </w:rPr>
                  </w:pPr>
                  <w:r w:rsidRPr="00726AB5">
                    <w:rPr>
                      <w:b/>
                      <w:bCs/>
                      <w:sz w:val="14"/>
                      <w:szCs w:val="14"/>
                    </w:rPr>
                    <w:t>$ 000's</w:t>
                  </w:r>
                </w:p>
              </w:tc>
              <w:tc>
                <w:tcPr>
                  <w:tcW w:w="596" w:type="pct"/>
                </w:tcPr>
                <w:p w14:paraId="7A5F9346" w14:textId="77777777" w:rsidR="007619EA" w:rsidRPr="00726AB5" w:rsidRDefault="007619EA" w:rsidP="00396E87">
                  <w:pPr>
                    <w:pStyle w:val="NormalOCAshurst"/>
                    <w:spacing w:after="0"/>
                    <w:jc w:val="center"/>
                    <w:rPr>
                      <w:b/>
                      <w:bCs/>
                      <w:sz w:val="14"/>
                      <w:szCs w:val="14"/>
                    </w:rPr>
                  </w:pPr>
                </w:p>
              </w:tc>
              <w:tc>
                <w:tcPr>
                  <w:tcW w:w="577" w:type="pct"/>
                </w:tcPr>
                <w:p w14:paraId="3FA1ECF3" w14:textId="77777777" w:rsidR="007619EA" w:rsidRPr="00726AB5" w:rsidRDefault="007619EA" w:rsidP="00396E87">
                  <w:pPr>
                    <w:pStyle w:val="NormalOCAshurst"/>
                    <w:spacing w:after="0"/>
                    <w:jc w:val="center"/>
                    <w:rPr>
                      <w:b/>
                      <w:bCs/>
                      <w:sz w:val="14"/>
                      <w:szCs w:val="14"/>
                    </w:rPr>
                  </w:pPr>
                </w:p>
              </w:tc>
              <w:tc>
                <w:tcPr>
                  <w:tcW w:w="577" w:type="pct"/>
                </w:tcPr>
                <w:p w14:paraId="420BFE51" w14:textId="77777777" w:rsidR="007619EA" w:rsidRPr="00726AB5" w:rsidRDefault="007619EA" w:rsidP="00396E87">
                  <w:pPr>
                    <w:pStyle w:val="NormalOCAshurst"/>
                    <w:spacing w:after="0"/>
                    <w:jc w:val="center"/>
                    <w:rPr>
                      <w:b/>
                      <w:bCs/>
                      <w:sz w:val="14"/>
                      <w:szCs w:val="14"/>
                    </w:rPr>
                  </w:pPr>
                </w:p>
              </w:tc>
              <w:tc>
                <w:tcPr>
                  <w:tcW w:w="577" w:type="pct"/>
                </w:tcPr>
                <w:p w14:paraId="612853AC" w14:textId="77777777" w:rsidR="007619EA" w:rsidRPr="00726AB5" w:rsidRDefault="007619EA" w:rsidP="00396E87">
                  <w:pPr>
                    <w:pStyle w:val="NormalOCAshurst"/>
                    <w:spacing w:after="0"/>
                    <w:jc w:val="center"/>
                    <w:rPr>
                      <w:b/>
                      <w:bCs/>
                      <w:sz w:val="14"/>
                      <w:szCs w:val="14"/>
                    </w:rPr>
                  </w:pPr>
                </w:p>
              </w:tc>
              <w:tc>
                <w:tcPr>
                  <w:tcW w:w="577" w:type="pct"/>
                </w:tcPr>
                <w:p w14:paraId="631EDD0D" w14:textId="77777777" w:rsidR="007619EA" w:rsidRPr="00726AB5" w:rsidRDefault="007619EA" w:rsidP="00396E87">
                  <w:pPr>
                    <w:pStyle w:val="NormalOCAshurst"/>
                    <w:spacing w:after="0"/>
                    <w:jc w:val="center"/>
                    <w:rPr>
                      <w:b/>
                      <w:bCs/>
                      <w:sz w:val="14"/>
                      <w:szCs w:val="14"/>
                    </w:rPr>
                  </w:pPr>
                </w:p>
              </w:tc>
              <w:tc>
                <w:tcPr>
                  <w:tcW w:w="579" w:type="pct"/>
                </w:tcPr>
                <w:p w14:paraId="32132752" w14:textId="77777777" w:rsidR="007619EA" w:rsidRPr="00726AB5" w:rsidRDefault="007619EA" w:rsidP="00396E87">
                  <w:pPr>
                    <w:pStyle w:val="NormalOCAshurst"/>
                    <w:spacing w:after="0"/>
                    <w:jc w:val="center"/>
                    <w:rPr>
                      <w:b/>
                      <w:bCs/>
                      <w:sz w:val="14"/>
                      <w:szCs w:val="14"/>
                    </w:rPr>
                  </w:pPr>
                </w:p>
              </w:tc>
              <w:tc>
                <w:tcPr>
                  <w:tcW w:w="653" w:type="pct"/>
                </w:tcPr>
                <w:p w14:paraId="23D84856" w14:textId="77777777" w:rsidR="007619EA" w:rsidRPr="00726AB5" w:rsidRDefault="007619EA" w:rsidP="00396E87">
                  <w:pPr>
                    <w:pStyle w:val="NormalOCAshurst"/>
                    <w:spacing w:after="0"/>
                    <w:jc w:val="center"/>
                    <w:rPr>
                      <w:b/>
                      <w:bCs/>
                      <w:sz w:val="14"/>
                      <w:szCs w:val="14"/>
                    </w:rPr>
                  </w:pPr>
                </w:p>
              </w:tc>
            </w:tr>
            <w:tr w:rsidR="007619EA" w:rsidRPr="00726AB5" w14:paraId="5D4B3F4C" w14:textId="77777777" w:rsidTr="00284BEE">
              <w:tc>
                <w:tcPr>
                  <w:tcW w:w="863" w:type="pct"/>
                  <w:tcMar>
                    <w:left w:w="28" w:type="dxa"/>
                    <w:right w:w="57" w:type="dxa"/>
                  </w:tcMar>
                </w:tcPr>
                <w:p w14:paraId="4CBB6778" w14:textId="77777777" w:rsidR="007619EA" w:rsidRPr="00726AB5" w:rsidRDefault="007619EA" w:rsidP="00284BEE">
                  <w:pPr>
                    <w:pStyle w:val="NormalOCAshurst"/>
                    <w:tabs>
                      <w:tab w:val="left" w:pos="1365"/>
                    </w:tabs>
                    <w:spacing w:after="0"/>
                    <w:jc w:val="left"/>
                    <w:rPr>
                      <w:sz w:val="14"/>
                      <w:szCs w:val="14"/>
                    </w:rPr>
                  </w:pPr>
                  <w:r w:rsidRPr="00726AB5">
                    <w:rPr>
                      <w:sz w:val="14"/>
                      <w:szCs w:val="14"/>
                    </w:rPr>
                    <w:t xml:space="preserve"> </w:t>
                  </w:r>
                </w:p>
              </w:tc>
              <w:tc>
                <w:tcPr>
                  <w:tcW w:w="596" w:type="pct"/>
                  <w:vAlign w:val="bottom"/>
                </w:tcPr>
                <w:p w14:paraId="4C7D3BB6" w14:textId="77777777" w:rsidR="007619EA" w:rsidRPr="00726AB5" w:rsidRDefault="007619EA" w:rsidP="00396E87">
                  <w:pPr>
                    <w:pStyle w:val="NormalOCAshurst"/>
                    <w:spacing w:after="0"/>
                    <w:jc w:val="right"/>
                    <w:rPr>
                      <w:sz w:val="14"/>
                      <w:szCs w:val="14"/>
                    </w:rPr>
                  </w:pPr>
                </w:p>
              </w:tc>
              <w:tc>
                <w:tcPr>
                  <w:tcW w:w="577" w:type="pct"/>
                  <w:vAlign w:val="bottom"/>
                </w:tcPr>
                <w:p w14:paraId="7B689C24" w14:textId="77777777" w:rsidR="007619EA" w:rsidRPr="00726AB5" w:rsidRDefault="007619EA" w:rsidP="00396E87">
                  <w:pPr>
                    <w:pStyle w:val="NormalOCAshurst"/>
                    <w:spacing w:after="0"/>
                    <w:jc w:val="right"/>
                    <w:rPr>
                      <w:sz w:val="14"/>
                      <w:szCs w:val="14"/>
                    </w:rPr>
                  </w:pPr>
                </w:p>
              </w:tc>
              <w:tc>
                <w:tcPr>
                  <w:tcW w:w="577" w:type="pct"/>
                  <w:vAlign w:val="bottom"/>
                </w:tcPr>
                <w:p w14:paraId="773B07E9" w14:textId="77777777" w:rsidR="007619EA" w:rsidRPr="00726AB5" w:rsidRDefault="007619EA" w:rsidP="00396E87">
                  <w:pPr>
                    <w:pStyle w:val="NormalOCAshurst"/>
                    <w:spacing w:after="0"/>
                    <w:jc w:val="right"/>
                    <w:rPr>
                      <w:sz w:val="14"/>
                      <w:szCs w:val="14"/>
                    </w:rPr>
                  </w:pPr>
                </w:p>
              </w:tc>
              <w:tc>
                <w:tcPr>
                  <w:tcW w:w="577" w:type="pct"/>
                  <w:vAlign w:val="bottom"/>
                </w:tcPr>
                <w:p w14:paraId="2EAB7925" w14:textId="77777777" w:rsidR="007619EA" w:rsidRPr="00726AB5" w:rsidRDefault="007619EA" w:rsidP="00396E87">
                  <w:pPr>
                    <w:pStyle w:val="NormalOCAshurst"/>
                    <w:spacing w:after="0"/>
                    <w:jc w:val="right"/>
                    <w:rPr>
                      <w:sz w:val="14"/>
                      <w:szCs w:val="14"/>
                    </w:rPr>
                  </w:pPr>
                </w:p>
              </w:tc>
              <w:tc>
                <w:tcPr>
                  <w:tcW w:w="577" w:type="pct"/>
                  <w:vAlign w:val="bottom"/>
                </w:tcPr>
                <w:p w14:paraId="035351E4" w14:textId="77777777" w:rsidR="007619EA" w:rsidRPr="00726AB5" w:rsidRDefault="007619EA" w:rsidP="00396E87">
                  <w:pPr>
                    <w:pStyle w:val="NormalOCAshurst"/>
                    <w:spacing w:after="0"/>
                    <w:jc w:val="right"/>
                    <w:rPr>
                      <w:sz w:val="14"/>
                      <w:szCs w:val="14"/>
                    </w:rPr>
                  </w:pPr>
                </w:p>
              </w:tc>
              <w:tc>
                <w:tcPr>
                  <w:tcW w:w="579" w:type="pct"/>
                  <w:vAlign w:val="bottom"/>
                </w:tcPr>
                <w:p w14:paraId="2E795C50" w14:textId="77777777" w:rsidR="007619EA" w:rsidRPr="00726AB5" w:rsidRDefault="007619EA" w:rsidP="00396E87">
                  <w:pPr>
                    <w:pStyle w:val="NormalOCAshurst"/>
                    <w:spacing w:after="0"/>
                    <w:jc w:val="right"/>
                    <w:rPr>
                      <w:sz w:val="14"/>
                      <w:szCs w:val="14"/>
                    </w:rPr>
                  </w:pPr>
                </w:p>
              </w:tc>
              <w:tc>
                <w:tcPr>
                  <w:tcW w:w="653" w:type="pct"/>
                  <w:vAlign w:val="bottom"/>
                </w:tcPr>
                <w:p w14:paraId="00D743A8" w14:textId="77777777" w:rsidR="007619EA" w:rsidRPr="00726AB5" w:rsidRDefault="007619EA" w:rsidP="00396E87">
                  <w:pPr>
                    <w:pStyle w:val="NormalOCAshurst"/>
                    <w:spacing w:after="0"/>
                    <w:jc w:val="right"/>
                    <w:rPr>
                      <w:sz w:val="14"/>
                      <w:szCs w:val="14"/>
                    </w:rPr>
                  </w:pPr>
                </w:p>
              </w:tc>
            </w:tr>
            <w:tr w:rsidR="007619EA" w:rsidRPr="00726AB5" w14:paraId="488D09D4" w14:textId="77777777" w:rsidTr="00284BEE">
              <w:tc>
                <w:tcPr>
                  <w:tcW w:w="863" w:type="pct"/>
                  <w:tcMar>
                    <w:left w:w="28" w:type="dxa"/>
                    <w:right w:w="57" w:type="dxa"/>
                  </w:tcMar>
                </w:tcPr>
                <w:p w14:paraId="2AC83A74" w14:textId="77777777" w:rsidR="007619EA" w:rsidRPr="00726AB5" w:rsidRDefault="007619EA" w:rsidP="00284BEE">
                  <w:pPr>
                    <w:pStyle w:val="NormalOCAshurst"/>
                    <w:tabs>
                      <w:tab w:val="left" w:pos="1227"/>
                      <w:tab w:val="left" w:pos="1365"/>
                    </w:tabs>
                    <w:spacing w:after="0"/>
                    <w:jc w:val="left"/>
                    <w:rPr>
                      <w:b/>
                      <w:bCs/>
                      <w:sz w:val="14"/>
                      <w:szCs w:val="14"/>
                    </w:rPr>
                  </w:pPr>
                  <w:r w:rsidRPr="00726AB5">
                    <w:rPr>
                      <w:b/>
                      <w:bCs/>
                      <w:sz w:val="14"/>
                      <w:szCs w:val="14"/>
                    </w:rPr>
                    <w:t>Assets</w:t>
                  </w:r>
                </w:p>
              </w:tc>
              <w:tc>
                <w:tcPr>
                  <w:tcW w:w="596" w:type="pct"/>
                  <w:vAlign w:val="bottom"/>
                </w:tcPr>
                <w:p w14:paraId="5E772C09" w14:textId="77777777" w:rsidR="007619EA" w:rsidRPr="00726AB5" w:rsidRDefault="007619EA" w:rsidP="00396E87">
                  <w:pPr>
                    <w:pStyle w:val="NormalOCAshurst"/>
                    <w:spacing w:after="0"/>
                    <w:jc w:val="right"/>
                    <w:rPr>
                      <w:b/>
                      <w:bCs/>
                      <w:sz w:val="14"/>
                      <w:szCs w:val="14"/>
                    </w:rPr>
                  </w:pPr>
                </w:p>
              </w:tc>
              <w:tc>
                <w:tcPr>
                  <w:tcW w:w="577" w:type="pct"/>
                  <w:vAlign w:val="bottom"/>
                </w:tcPr>
                <w:p w14:paraId="1CE14271" w14:textId="77777777" w:rsidR="007619EA" w:rsidRPr="00726AB5" w:rsidRDefault="007619EA" w:rsidP="00396E87">
                  <w:pPr>
                    <w:pStyle w:val="NormalOCAshurst"/>
                    <w:spacing w:after="0"/>
                    <w:jc w:val="right"/>
                    <w:rPr>
                      <w:b/>
                      <w:bCs/>
                      <w:sz w:val="14"/>
                      <w:szCs w:val="14"/>
                    </w:rPr>
                  </w:pPr>
                </w:p>
              </w:tc>
              <w:tc>
                <w:tcPr>
                  <w:tcW w:w="577" w:type="pct"/>
                  <w:vAlign w:val="bottom"/>
                </w:tcPr>
                <w:p w14:paraId="08BEB57B" w14:textId="77777777" w:rsidR="007619EA" w:rsidRPr="00726AB5" w:rsidRDefault="007619EA" w:rsidP="00396E87">
                  <w:pPr>
                    <w:pStyle w:val="NormalOCAshurst"/>
                    <w:spacing w:after="0"/>
                    <w:jc w:val="right"/>
                    <w:rPr>
                      <w:b/>
                      <w:bCs/>
                      <w:sz w:val="14"/>
                      <w:szCs w:val="14"/>
                    </w:rPr>
                  </w:pPr>
                </w:p>
              </w:tc>
              <w:tc>
                <w:tcPr>
                  <w:tcW w:w="577" w:type="pct"/>
                  <w:vAlign w:val="bottom"/>
                </w:tcPr>
                <w:p w14:paraId="1744EDA7" w14:textId="77777777" w:rsidR="007619EA" w:rsidRPr="00726AB5" w:rsidRDefault="007619EA" w:rsidP="00396E87">
                  <w:pPr>
                    <w:pStyle w:val="NormalOCAshurst"/>
                    <w:spacing w:after="0"/>
                    <w:jc w:val="right"/>
                    <w:rPr>
                      <w:b/>
                      <w:bCs/>
                      <w:sz w:val="14"/>
                      <w:szCs w:val="14"/>
                    </w:rPr>
                  </w:pPr>
                </w:p>
              </w:tc>
              <w:tc>
                <w:tcPr>
                  <w:tcW w:w="577" w:type="pct"/>
                  <w:vAlign w:val="bottom"/>
                </w:tcPr>
                <w:p w14:paraId="4A5DDB76" w14:textId="77777777" w:rsidR="007619EA" w:rsidRPr="00726AB5" w:rsidRDefault="007619EA" w:rsidP="00396E87">
                  <w:pPr>
                    <w:pStyle w:val="NormalOCAshurst"/>
                    <w:spacing w:after="0"/>
                    <w:jc w:val="right"/>
                    <w:rPr>
                      <w:b/>
                      <w:bCs/>
                      <w:sz w:val="14"/>
                      <w:szCs w:val="14"/>
                    </w:rPr>
                  </w:pPr>
                </w:p>
              </w:tc>
              <w:tc>
                <w:tcPr>
                  <w:tcW w:w="579" w:type="pct"/>
                  <w:vAlign w:val="bottom"/>
                </w:tcPr>
                <w:p w14:paraId="0DB915C3" w14:textId="77777777" w:rsidR="007619EA" w:rsidRPr="00726AB5" w:rsidRDefault="007619EA" w:rsidP="00396E87">
                  <w:pPr>
                    <w:pStyle w:val="NormalOCAshurst"/>
                    <w:spacing w:after="0"/>
                    <w:jc w:val="right"/>
                    <w:rPr>
                      <w:b/>
                      <w:bCs/>
                      <w:sz w:val="14"/>
                      <w:szCs w:val="14"/>
                    </w:rPr>
                  </w:pPr>
                </w:p>
              </w:tc>
              <w:tc>
                <w:tcPr>
                  <w:tcW w:w="653" w:type="pct"/>
                  <w:vAlign w:val="bottom"/>
                </w:tcPr>
                <w:p w14:paraId="10848FCB" w14:textId="77777777" w:rsidR="007619EA" w:rsidRPr="00726AB5" w:rsidRDefault="007619EA" w:rsidP="00396E87">
                  <w:pPr>
                    <w:pStyle w:val="NormalOCAshurst"/>
                    <w:spacing w:after="0"/>
                    <w:jc w:val="right"/>
                    <w:rPr>
                      <w:b/>
                      <w:bCs/>
                      <w:sz w:val="14"/>
                      <w:szCs w:val="14"/>
                    </w:rPr>
                  </w:pPr>
                </w:p>
              </w:tc>
            </w:tr>
            <w:tr w:rsidR="007619EA" w:rsidRPr="00726AB5" w14:paraId="5879FD68" w14:textId="77777777" w:rsidTr="00284BEE">
              <w:tc>
                <w:tcPr>
                  <w:tcW w:w="863" w:type="pct"/>
                  <w:tcMar>
                    <w:left w:w="28" w:type="dxa"/>
                    <w:right w:w="57" w:type="dxa"/>
                  </w:tcMar>
                </w:tcPr>
                <w:p w14:paraId="65BEF4DD" w14:textId="77777777" w:rsidR="007619EA" w:rsidRPr="00726AB5" w:rsidRDefault="007619EA" w:rsidP="00284BEE">
                  <w:pPr>
                    <w:pStyle w:val="NormalOCAshurst"/>
                    <w:tabs>
                      <w:tab w:val="left" w:pos="1227"/>
                      <w:tab w:val="left" w:pos="1365"/>
                    </w:tabs>
                    <w:spacing w:after="0"/>
                    <w:jc w:val="left"/>
                    <w:rPr>
                      <w:sz w:val="14"/>
                      <w:szCs w:val="14"/>
                    </w:rPr>
                  </w:pPr>
                  <w:r w:rsidRPr="00726AB5">
                    <w:rPr>
                      <w:sz w:val="14"/>
                      <w:szCs w:val="14"/>
                    </w:rPr>
                    <w:t xml:space="preserve"> </w:t>
                  </w:r>
                </w:p>
              </w:tc>
              <w:tc>
                <w:tcPr>
                  <w:tcW w:w="596" w:type="pct"/>
                  <w:vAlign w:val="bottom"/>
                </w:tcPr>
                <w:p w14:paraId="69C49CDF" w14:textId="77777777" w:rsidR="007619EA" w:rsidRPr="00726AB5" w:rsidRDefault="007619EA" w:rsidP="00396E87">
                  <w:pPr>
                    <w:pStyle w:val="NormalOCAshurst"/>
                    <w:spacing w:after="0"/>
                    <w:jc w:val="right"/>
                    <w:rPr>
                      <w:sz w:val="14"/>
                      <w:szCs w:val="14"/>
                    </w:rPr>
                  </w:pPr>
                </w:p>
              </w:tc>
              <w:tc>
                <w:tcPr>
                  <w:tcW w:w="577" w:type="pct"/>
                  <w:vAlign w:val="bottom"/>
                </w:tcPr>
                <w:p w14:paraId="36C30801" w14:textId="77777777" w:rsidR="007619EA" w:rsidRPr="00726AB5" w:rsidRDefault="007619EA" w:rsidP="00396E87">
                  <w:pPr>
                    <w:pStyle w:val="NormalOCAshurst"/>
                    <w:spacing w:after="0"/>
                    <w:jc w:val="right"/>
                    <w:rPr>
                      <w:sz w:val="14"/>
                      <w:szCs w:val="14"/>
                    </w:rPr>
                  </w:pPr>
                </w:p>
              </w:tc>
              <w:tc>
                <w:tcPr>
                  <w:tcW w:w="577" w:type="pct"/>
                  <w:vAlign w:val="bottom"/>
                </w:tcPr>
                <w:p w14:paraId="7316E4E7" w14:textId="77777777" w:rsidR="007619EA" w:rsidRPr="00726AB5" w:rsidRDefault="007619EA" w:rsidP="00396E87">
                  <w:pPr>
                    <w:pStyle w:val="NormalOCAshurst"/>
                    <w:spacing w:after="0"/>
                    <w:jc w:val="right"/>
                    <w:rPr>
                      <w:sz w:val="14"/>
                      <w:szCs w:val="14"/>
                    </w:rPr>
                  </w:pPr>
                </w:p>
              </w:tc>
              <w:tc>
                <w:tcPr>
                  <w:tcW w:w="577" w:type="pct"/>
                  <w:vAlign w:val="bottom"/>
                </w:tcPr>
                <w:p w14:paraId="50586A41" w14:textId="77777777" w:rsidR="007619EA" w:rsidRPr="00726AB5" w:rsidRDefault="007619EA" w:rsidP="00396E87">
                  <w:pPr>
                    <w:pStyle w:val="NormalOCAshurst"/>
                    <w:spacing w:after="0"/>
                    <w:jc w:val="right"/>
                    <w:rPr>
                      <w:sz w:val="14"/>
                      <w:szCs w:val="14"/>
                    </w:rPr>
                  </w:pPr>
                </w:p>
              </w:tc>
              <w:tc>
                <w:tcPr>
                  <w:tcW w:w="577" w:type="pct"/>
                  <w:vAlign w:val="bottom"/>
                </w:tcPr>
                <w:p w14:paraId="6AF10EA9" w14:textId="77777777" w:rsidR="007619EA" w:rsidRPr="00726AB5" w:rsidRDefault="007619EA" w:rsidP="00396E87">
                  <w:pPr>
                    <w:pStyle w:val="NormalOCAshurst"/>
                    <w:spacing w:after="0"/>
                    <w:jc w:val="right"/>
                    <w:rPr>
                      <w:sz w:val="14"/>
                      <w:szCs w:val="14"/>
                    </w:rPr>
                  </w:pPr>
                </w:p>
              </w:tc>
              <w:tc>
                <w:tcPr>
                  <w:tcW w:w="579" w:type="pct"/>
                  <w:vAlign w:val="bottom"/>
                </w:tcPr>
                <w:p w14:paraId="3CCC5B70" w14:textId="77777777" w:rsidR="007619EA" w:rsidRPr="00726AB5" w:rsidRDefault="007619EA" w:rsidP="00396E87">
                  <w:pPr>
                    <w:pStyle w:val="NormalOCAshurst"/>
                    <w:spacing w:after="0"/>
                    <w:jc w:val="right"/>
                    <w:rPr>
                      <w:sz w:val="14"/>
                      <w:szCs w:val="14"/>
                    </w:rPr>
                  </w:pPr>
                </w:p>
              </w:tc>
              <w:tc>
                <w:tcPr>
                  <w:tcW w:w="653" w:type="pct"/>
                  <w:vAlign w:val="bottom"/>
                </w:tcPr>
                <w:p w14:paraId="06DC9CDA" w14:textId="77777777" w:rsidR="007619EA" w:rsidRPr="00726AB5" w:rsidRDefault="007619EA" w:rsidP="00396E87">
                  <w:pPr>
                    <w:pStyle w:val="NormalOCAshurst"/>
                    <w:spacing w:after="0"/>
                    <w:jc w:val="right"/>
                    <w:rPr>
                      <w:sz w:val="14"/>
                      <w:szCs w:val="14"/>
                    </w:rPr>
                  </w:pPr>
                </w:p>
              </w:tc>
            </w:tr>
            <w:tr w:rsidR="007619EA" w:rsidRPr="00726AB5" w14:paraId="1E7E64CA" w14:textId="77777777" w:rsidTr="00284BEE">
              <w:tc>
                <w:tcPr>
                  <w:tcW w:w="863" w:type="pct"/>
                  <w:tcMar>
                    <w:left w:w="28" w:type="dxa"/>
                    <w:right w:w="57" w:type="dxa"/>
                  </w:tcMar>
                  <w:vAlign w:val="bottom"/>
                </w:tcPr>
                <w:p w14:paraId="5AFB710C" w14:textId="77777777" w:rsidR="007619EA" w:rsidRPr="00726AB5" w:rsidRDefault="007619EA" w:rsidP="00284BEE">
                  <w:pPr>
                    <w:pStyle w:val="NormalOCAshurst"/>
                    <w:tabs>
                      <w:tab w:val="left" w:pos="1227"/>
                      <w:tab w:val="left" w:pos="1365"/>
                    </w:tabs>
                    <w:spacing w:after="0"/>
                    <w:jc w:val="left"/>
                    <w:rPr>
                      <w:b/>
                      <w:bCs/>
                      <w:sz w:val="14"/>
                      <w:szCs w:val="14"/>
                    </w:rPr>
                  </w:pPr>
                  <w:r w:rsidRPr="00726AB5">
                    <w:rPr>
                      <w:b/>
                      <w:bCs/>
                      <w:sz w:val="14"/>
                      <w:szCs w:val="14"/>
                    </w:rPr>
                    <w:lastRenderedPageBreak/>
                    <w:t>Non-current assets</w:t>
                  </w:r>
                </w:p>
              </w:tc>
              <w:tc>
                <w:tcPr>
                  <w:tcW w:w="596" w:type="pct"/>
                  <w:vAlign w:val="bottom"/>
                </w:tcPr>
                <w:p w14:paraId="7B2CB345" w14:textId="77777777" w:rsidR="007619EA" w:rsidRPr="00726AB5" w:rsidRDefault="007619EA" w:rsidP="00396E87">
                  <w:pPr>
                    <w:pStyle w:val="NormalOCAshurst"/>
                    <w:spacing w:after="0"/>
                    <w:jc w:val="right"/>
                    <w:rPr>
                      <w:sz w:val="14"/>
                      <w:szCs w:val="14"/>
                    </w:rPr>
                  </w:pPr>
                </w:p>
              </w:tc>
              <w:tc>
                <w:tcPr>
                  <w:tcW w:w="577" w:type="pct"/>
                  <w:vAlign w:val="bottom"/>
                </w:tcPr>
                <w:p w14:paraId="7CE65D11" w14:textId="77777777" w:rsidR="007619EA" w:rsidRPr="00726AB5" w:rsidRDefault="007619EA" w:rsidP="00396E87">
                  <w:pPr>
                    <w:pStyle w:val="NormalOCAshurst"/>
                    <w:spacing w:after="0"/>
                    <w:jc w:val="right"/>
                    <w:rPr>
                      <w:sz w:val="14"/>
                      <w:szCs w:val="14"/>
                    </w:rPr>
                  </w:pPr>
                </w:p>
              </w:tc>
              <w:tc>
                <w:tcPr>
                  <w:tcW w:w="577" w:type="pct"/>
                  <w:vAlign w:val="bottom"/>
                </w:tcPr>
                <w:p w14:paraId="2C8D50E2" w14:textId="77777777" w:rsidR="007619EA" w:rsidRPr="00726AB5" w:rsidRDefault="007619EA" w:rsidP="00396E87">
                  <w:pPr>
                    <w:pStyle w:val="NormalOCAshurst"/>
                    <w:spacing w:after="0"/>
                    <w:jc w:val="right"/>
                    <w:rPr>
                      <w:sz w:val="14"/>
                      <w:szCs w:val="14"/>
                    </w:rPr>
                  </w:pPr>
                </w:p>
              </w:tc>
              <w:tc>
                <w:tcPr>
                  <w:tcW w:w="577" w:type="pct"/>
                  <w:vAlign w:val="bottom"/>
                </w:tcPr>
                <w:p w14:paraId="4464C3BF" w14:textId="77777777" w:rsidR="007619EA" w:rsidRPr="00726AB5" w:rsidRDefault="007619EA" w:rsidP="00396E87">
                  <w:pPr>
                    <w:pStyle w:val="NormalOCAshurst"/>
                    <w:spacing w:after="0"/>
                    <w:jc w:val="right"/>
                    <w:rPr>
                      <w:sz w:val="14"/>
                      <w:szCs w:val="14"/>
                    </w:rPr>
                  </w:pPr>
                </w:p>
              </w:tc>
              <w:tc>
                <w:tcPr>
                  <w:tcW w:w="577" w:type="pct"/>
                  <w:vAlign w:val="bottom"/>
                </w:tcPr>
                <w:p w14:paraId="68B64176" w14:textId="77777777" w:rsidR="007619EA" w:rsidRPr="00726AB5" w:rsidRDefault="007619EA" w:rsidP="00396E87">
                  <w:pPr>
                    <w:pStyle w:val="NormalOCAshurst"/>
                    <w:spacing w:after="0"/>
                    <w:jc w:val="right"/>
                    <w:rPr>
                      <w:sz w:val="14"/>
                      <w:szCs w:val="14"/>
                    </w:rPr>
                  </w:pPr>
                </w:p>
              </w:tc>
              <w:tc>
                <w:tcPr>
                  <w:tcW w:w="579" w:type="pct"/>
                  <w:vAlign w:val="bottom"/>
                </w:tcPr>
                <w:p w14:paraId="32FA4C38" w14:textId="77777777" w:rsidR="007619EA" w:rsidRPr="00726AB5" w:rsidRDefault="007619EA" w:rsidP="00396E87">
                  <w:pPr>
                    <w:pStyle w:val="NormalOCAshurst"/>
                    <w:spacing w:after="0"/>
                    <w:jc w:val="right"/>
                    <w:rPr>
                      <w:sz w:val="14"/>
                      <w:szCs w:val="14"/>
                    </w:rPr>
                  </w:pPr>
                </w:p>
              </w:tc>
              <w:tc>
                <w:tcPr>
                  <w:tcW w:w="653" w:type="pct"/>
                  <w:vAlign w:val="bottom"/>
                </w:tcPr>
                <w:p w14:paraId="474ADFF4" w14:textId="77777777" w:rsidR="007619EA" w:rsidRPr="00726AB5" w:rsidRDefault="007619EA" w:rsidP="00396E87">
                  <w:pPr>
                    <w:pStyle w:val="NormalOCAshurst"/>
                    <w:spacing w:after="0"/>
                    <w:jc w:val="right"/>
                    <w:rPr>
                      <w:sz w:val="14"/>
                      <w:szCs w:val="14"/>
                    </w:rPr>
                  </w:pPr>
                </w:p>
              </w:tc>
            </w:tr>
            <w:tr w:rsidR="007619EA" w:rsidRPr="00726AB5" w14:paraId="11E001BF" w14:textId="77777777" w:rsidTr="00284BEE">
              <w:tc>
                <w:tcPr>
                  <w:tcW w:w="863" w:type="pct"/>
                  <w:tcMar>
                    <w:left w:w="28" w:type="dxa"/>
                    <w:right w:w="57" w:type="dxa"/>
                  </w:tcMar>
                  <w:vAlign w:val="bottom"/>
                </w:tcPr>
                <w:p w14:paraId="71ED685B" w14:textId="5BA45E37" w:rsidR="007619EA" w:rsidRPr="00726AB5" w:rsidRDefault="007619EA" w:rsidP="00284BEE">
                  <w:pPr>
                    <w:pStyle w:val="StandardOCAshurst"/>
                    <w:tabs>
                      <w:tab w:val="left" w:leader="dot" w:pos="1279"/>
                    </w:tabs>
                    <w:jc w:val="left"/>
                    <w:rPr>
                      <w:sz w:val="14"/>
                      <w:szCs w:val="14"/>
                    </w:rPr>
                  </w:pPr>
                  <w:r w:rsidRPr="00726AB5">
                    <w:rPr>
                      <w:sz w:val="14"/>
                      <w:szCs w:val="14"/>
                    </w:rPr>
                    <w:t>Property, plant and equipment</w:t>
                  </w:r>
                  <w:r w:rsidR="00284BEE">
                    <w:rPr>
                      <w:sz w:val="14"/>
                      <w:szCs w:val="14"/>
                    </w:rPr>
                    <w:tab/>
                  </w:r>
                </w:p>
              </w:tc>
              <w:tc>
                <w:tcPr>
                  <w:tcW w:w="596" w:type="pct"/>
                  <w:vAlign w:val="bottom"/>
                </w:tcPr>
                <w:p w14:paraId="3BC95622" w14:textId="77777777" w:rsidR="007619EA" w:rsidRPr="00726AB5" w:rsidRDefault="007619EA" w:rsidP="00396E87">
                  <w:pPr>
                    <w:pStyle w:val="StandardOCAshurst"/>
                    <w:jc w:val="right"/>
                    <w:rPr>
                      <w:sz w:val="14"/>
                      <w:szCs w:val="14"/>
                    </w:rPr>
                  </w:pPr>
                  <w:r w:rsidRPr="000E0825">
                    <w:rPr>
                      <w:sz w:val="14"/>
                      <w:szCs w:val="14"/>
                    </w:rPr>
                    <w:t>2,633,917</w:t>
                  </w:r>
                </w:p>
              </w:tc>
              <w:tc>
                <w:tcPr>
                  <w:tcW w:w="577" w:type="pct"/>
                  <w:vAlign w:val="bottom"/>
                </w:tcPr>
                <w:p w14:paraId="35FA1F8F" w14:textId="77777777" w:rsidR="007619EA" w:rsidRPr="00726AB5" w:rsidRDefault="007619EA" w:rsidP="00396E87">
                  <w:pPr>
                    <w:pStyle w:val="StandardOCAshurst"/>
                    <w:jc w:val="right"/>
                    <w:rPr>
                      <w:sz w:val="14"/>
                      <w:szCs w:val="14"/>
                    </w:rPr>
                  </w:pPr>
                  <w:r w:rsidRPr="000E0825">
                    <w:rPr>
                      <w:sz w:val="14"/>
                      <w:szCs w:val="14"/>
                    </w:rPr>
                    <w:t>131,</w:t>
                  </w:r>
                  <w:r>
                    <w:rPr>
                      <w:sz w:val="14"/>
                      <w:szCs w:val="14"/>
                    </w:rPr>
                    <w:t>191</w:t>
                  </w:r>
                </w:p>
              </w:tc>
              <w:tc>
                <w:tcPr>
                  <w:tcW w:w="577" w:type="pct"/>
                  <w:vAlign w:val="bottom"/>
                </w:tcPr>
                <w:p w14:paraId="5799762F" w14:textId="77777777" w:rsidR="007619EA" w:rsidRPr="00726AB5" w:rsidRDefault="007619EA" w:rsidP="00396E87">
                  <w:pPr>
                    <w:pStyle w:val="StandardOCAshurst"/>
                    <w:jc w:val="right"/>
                    <w:rPr>
                      <w:sz w:val="14"/>
                      <w:szCs w:val="14"/>
                    </w:rPr>
                  </w:pPr>
                  <w:r w:rsidRPr="000E0825">
                    <w:rPr>
                      <w:sz w:val="14"/>
                      <w:szCs w:val="14"/>
                    </w:rPr>
                    <w:t>333,602</w:t>
                  </w:r>
                </w:p>
              </w:tc>
              <w:tc>
                <w:tcPr>
                  <w:tcW w:w="577" w:type="pct"/>
                  <w:vAlign w:val="bottom"/>
                </w:tcPr>
                <w:p w14:paraId="3557BC9F" w14:textId="77777777" w:rsidR="007619EA" w:rsidRPr="00726AB5" w:rsidRDefault="007619EA" w:rsidP="00396E87">
                  <w:pPr>
                    <w:pStyle w:val="StandardOCAshurst"/>
                    <w:jc w:val="right"/>
                    <w:rPr>
                      <w:sz w:val="14"/>
                      <w:szCs w:val="14"/>
                    </w:rPr>
                  </w:pPr>
                </w:p>
              </w:tc>
              <w:tc>
                <w:tcPr>
                  <w:tcW w:w="577" w:type="pct"/>
                  <w:vAlign w:val="bottom"/>
                </w:tcPr>
                <w:p w14:paraId="01EBE78C" w14:textId="77777777" w:rsidR="007619EA" w:rsidRPr="00726AB5" w:rsidRDefault="007619EA" w:rsidP="00396E87">
                  <w:pPr>
                    <w:pStyle w:val="StandardOCAshurst"/>
                    <w:jc w:val="right"/>
                    <w:rPr>
                      <w:sz w:val="14"/>
                      <w:szCs w:val="14"/>
                    </w:rPr>
                  </w:pPr>
                </w:p>
              </w:tc>
              <w:tc>
                <w:tcPr>
                  <w:tcW w:w="579" w:type="pct"/>
                  <w:vAlign w:val="bottom"/>
                </w:tcPr>
                <w:p w14:paraId="521E99C9" w14:textId="77777777" w:rsidR="007619EA" w:rsidRPr="00726AB5" w:rsidRDefault="007619EA" w:rsidP="00396E87">
                  <w:pPr>
                    <w:pStyle w:val="StandardOCAshurst"/>
                    <w:jc w:val="right"/>
                    <w:rPr>
                      <w:sz w:val="14"/>
                      <w:szCs w:val="14"/>
                    </w:rPr>
                  </w:pPr>
                </w:p>
              </w:tc>
              <w:tc>
                <w:tcPr>
                  <w:tcW w:w="653" w:type="pct"/>
                  <w:vAlign w:val="bottom"/>
                </w:tcPr>
                <w:p w14:paraId="7AFE8923" w14:textId="77777777" w:rsidR="007619EA" w:rsidRPr="00726AB5" w:rsidRDefault="007619EA" w:rsidP="00396E87">
                  <w:pPr>
                    <w:pStyle w:val="StandardOCAshurst"/>
                    <w:jc w:val="right"/>
                    <w:rPr>
                      <w:sz w:val="14"/>
                      <w:szCs w:val="14"/>
                    </w:rPr>
                  </w:pPr>
                  <w:r>
                    <w:rPr>
                      <w:sz w:val="14"/>
                      <w:szCs w:val="14"/>
                    </w:rPr>
                    <w:t>3,098,710</w:t>
                  </w:r>
                </w:p>
              </w:tc>
            </w:tr>
            <w:tr w:rsidR="007619EA" w:rsidRPr="00726AB5" w14:paraId="7A00683B" w14:textId="77777777" w:rsidTr="00284BEE">
              <w:tc>
                <w:tcPr>
                  <w:tcW w:w="863" w:type="pct"/>
                  <w:tcMar>
                    <w:left w:w="28" w:type="dxa"/>
                    <w:right w:w="57" w:type="dxa"/>
                  </w:tcMar>
                  <w:vAlign w:val="bottom"/>
                </w:tcPr>
                <w:p w14:paraId="59AFC3F1" w14:textId="4BBF557F" w:rsidR="007619EA" w:rsidRPr="00726AB5" w:rsidRDefault="007619EA" w:rsidP="00284BEE">
                  <w:pPr>
                    <w:pStyle w:val="StandardOCAshurst"/>
                    <w:tabs>
                      <w:tab w:val="left" w:leader="dot" w:pos="1279"/>
                    </w:tabs>
                    <w:jc w:val="left"/>
                    <w:rPr>
                      <w:sz w:val="14"/>
                      <w:szCs w:val="14"/>
                    </w:rPr>
                  </w:pPr>
                  <w:r w:rsidRPr="00726AB5">
                    <w:rPr>
                      <w:sz w:val="14"/>
                      <w:szCs w:val="14"/>
                    </w:rPr>
                    <w:t>Goodwill</w:t>
                  </w:r>
                  <w:r w:rsidR="00284BEE">
                    <w:rPr>
                      <w:sz w:val="14"/>
                      <w:szCs w:val="14"/>
                    </w:rPr>
                    <w:tab/>
                  </w:r>
                </w:p>
              </w:tc>
              <w:tc>
                <w:tcPr>
                  <w:tcW w:w="596" w:type="pct"/>
                  <w:vAlign w:val="bottom"/>
                </w:tcPr>
                <w:p w14:paraId="46FCE04C" w14:textId="77777777" w:rsidR="007619EA" w:rsidRPr="00726AB5" w:rsidRDefault="007619EA" w:rsidP="00396E87">
                  <w:pPr>
                    <w:pStyle w:val="StandardOCAshurst"/>
                    <w:jc w:val="right"/>
                    <w:rPr>
                      <w:sz w:val="14"/>
                      <w:szCs w:val="14"/>
                    </w:rPr>
                  </w:pPr>
                  <w:r w:rsidRPr="000E0825">
                    <w:rPr>
                      <w:sz w:val="14"/>
                      <w:szCs w:val="14"/>
                    </w:rPr>
                    <w:t>134,400</w:t>
                  </w:r>
                </w:p>
              </w:tc>
              <w:tc>
                <w:tcPr>
                  <w:tcW w:w="577" w:type="pct"/>
                  <w:vAlign w:val="bottom"/>
                </w:tcPr>
                <w:p w14:paraId="6E35A517" w14:textId="77777777" w:rsidR="007619EA" w:rsidRPr="00726AB5" w:rsidRDefault="007619EA" w:rsidP="00396E87">
                  <w:pPr>
                    <w:pStyle w:val="StandardOCAshurst"/>
                    <w:jc w:val="right"/>
                    <w:rPr>
                      <w:sz w:val="14"/>
                      <w:szCs w:val="14"/>
                    </w:rPr>
                  </w:pPr>
                </w:p>
              </w:tc>
              <w:tc>
                <w:tcPr>
                  <w:tcW w:w="577" w:type="pct"/>
                  <w:vAlign w:val="bottom"/>
                </w:tcPr>
                <w:p w14:paraId="1B0B4943" w14:textId="77777777" w:rsidR="007619EA" w:rsidRPr="00726AB5" w:rsidRDefault="007619EA" w:rsidP="00396E87">
                  <w:pPr>
                    <w:pStyle w:val="StandardOCAshurst"/>
                    <w:jc w:val="right"/>
                    <w:rPr>
                      <w:sz w:val="14"/>
                      <w:szCs w:val="14"/>
                    </w:rPr>
                  </w:pPr>
                </w:p>
              </w:tc>
              <w:tc>
                <w:tcPr>
                  <w:tcW w:w="577" w:type="pct"/>
                  <w:vAlign w:val="bottom"/>
                </w:tcPr>
                <w:p w14:paraId="1B064404" w14:textId="77777777" w:rsidR="007619EA" w:rsidRPr="00726AB5" w:rsidRDefault="007619EA" w:rsidP="00396E87">
                  <w:pPr>
                    <w:pStyle w:val="StandardOCAshurst"/>
                    <w:jc w:val="right"/>
                    <w:rPr>
                      <w:sz w:val="14"/>
                      <w:szCs w:val="14"/>
                    </w:rPr>
                  </w:pPr>
                </w:p>
              </w:tc>
              <w:tc>
                <w:tcPr>
                  <w:tcW w:w="577" w:type="pct"/>
                  <w:vAlign w:val="bottom"/>
                </w:tcPr>
                <w:p w14:paraId="5A6C1B87" w14:textId="77777777" w:rsidR="007619EA" w:rsidRPr="00726AB5" w:rsidRDefault="007619EA" w:rsidP="00396E87">
                  <w:pPr>
                    <w:pStyle w:val="StandardOCAshurst"/>
                    <w:jc w:val="right"/>
                    <w:rPr>
                      <w:sz w:val="14"/>
                      <w:szCs w:val="14"/>
                    </w:rPr>
                  </w:pPr>
                </w:p>
              </w:tc>
              <w:tc>
                <w:tcPr>
                  <w:tcW w:w="579" w:type="pct"/>
                  <w:vAlign w:val="bottom"/>
                </w:tcPr>
                <w:p w14:paraId="0068EE3A" w14:textId="77777777" w:rsidR="007619EA" w:rsidRPr="00726AB5" w:rsidRDefault="007619EA" w:rsidP="00396E87">
                  <w:pPr>
                    <w:pStyle w:val="StandardOCAshurst"/>
                    <w:jc w:val="right"/>
                    <w:rPr>
                      <w:sz w:val="14"/>
                      <w:szCs w:val="14"/>
                    </w:rPr>
                  </w:pPr>
                </w:p>
              </w:tc>
              <w:tc>
                <w:tcPr>
                  <w:tcW w:w="653" w:type="pct"/>
                  <w:vAlign w:val="bottom"/>
                </w:tcPr>
                <w:p w14:paraId="5487D4ED" w14:textId="77777777" w:rsidR="007619EA" w:rsidRPr="00726AB5" w:rsidRDefault="007619EA" w:rsidP="00396E87">
                  <w:pPr>
                    <w:pStyle w:val="StandardOCAshurst"/>
                    <w:jc w:val="right"/>
                    <w:rPr>
                      <w:sz w:val="14"/>
                      <w:szCs w:val="14"/>
                    </w:rPr>
                  </w:pPr>
                  <w:r w:rsidRPr="000E0825">
                    <w:rPr>
                      <w:sz w:val="14"/>
                      <w:szCs w:val="14"/>
                    </w:rPr>
                    <w:t>134,400</w:t>
                  </w:r>
                </w:p>
              </w:tc>
            </w:tr>
            <w:tr w:rsidR="007619EA" w:rsidRPr="00726AB5" w14:paraId="2EC431FC" w14:textId="77777777" w:rsidTr="00284BEE">
              <w:tc>
                <w:tcPr>
                  <w:tcW w:w="863" w:type="pct"/>
                  <w:tcMar>
                    <w:left w:w="28" w:type="dxa"/>
                    <w:right w:w="57" w:type="dxa"/>
                  </w:tcMar>
                  <w:vAlign w:val="bottom"/>
                </w:tcPr>
                <w:p w14:paraId="7CAB8961" w14:textId="063FCA19" w:rsidR="007619EA" w:rsidRPr="00726AB5" w:rsidRDefault="007619EA" w:rsidP="00284BEE">
                  <w:pPr>
                    <w:pStyle w:val="StandardOCAshurst"/>
                    <w:tabs>
                      <w:tab w:val="left" w:leader="dot" w:pos="1279"/>
                    </w:tabs>
                    <w:jc w:val="left"/>
                    <w:rPr>
                      <w:sz w:val="14"/>
                      <w:szCs w:val="14"/>
                    </w:rPr>
                  </w:pPr>
                  <w:r w:rsidRPr="00726AB5">
                    <w:rPr>
                      <w:sz w:val="14"/>
                      <w:szCs w:val="14"/>
                    </w:rPr>
                    <w:t>Intangible oil and gas assets</w:t>
                  </w:r>
                  <w:r w:rsidR="00284BEE">
                    <w:rPr>
                      <w:sz w:val="14"/>
                      <w:szCs w:val="14"/>
                    </w:rPr>
                    <w:tab/>
                  </w:r>
                </w:p>
              </w:tc>
              <w:tc>
                <w:tcPr>
                  <w:tcW w:w="596" w:type="pct"/>
                  <w:vAlign w:val="bottom"/>
                </w:tcPr>
                <w:p w14:paraId="5BC24872" w14:textId="77777777" w:rsidR="007619EA" w:rsidRPr="00726AB5" w:rsidRDefault="007619EA" w:rsidP="00396E87">
                  <w:pPr>
                    <w:pStyle w:val="StandardOCAshurst"/>
                    <w:jc w:val="right"/>
                    <w:rPr>
                      <w:sz w:val="14"/>
                      <w:szCs w:val="14"/>
                    </w:rPr>
                  </w:pPr>
                  <w:r w:rsidRPr="000E0825">
                    <w:rPr>
                      <w:sz w:val="14"/>
                      <w:szCs w:val="14"/>
                    </w:rPr>
                    <w:t>27,546</w:t>
                  </w:r>
                </w:p>
              </w:tc>
              <w:tc>
                <w:tcPr>
                  <w:tcW w:w="577" w:type="pct"/>
                  <w:vAlign w:val="bottom"/>
                </w:tcPr>
                <w:p w14:paraId="47622125" w14:textId="77777777" w:rsidR="007619EA" w:rsidRPr="00726AB5" w:rsidRDefault="007619EA" w:rsidP="00396E87">
                  <w:pPr>
                    <w:pStyle w:val="StandardOCAshurst"/>
                    <w:jc w:val="right"/>
                    <w:rPr>
                      <w:sz w:val="14"/>
                      <w:szCs w:val="14"/>
                    </w:rPr>
                  </w:pPr>
                  <w:r>
                    <w:rPr>
                      <w:sz w:val="14"/>
                      <w:szCs w:val="14"/>
                    </w:rPr>
                    <w:t>502</w:t>
                  </w:r>
                </w:p>
              </w:tc>
              <w:tc>
                <w:tcPr>
                  <w:tcW w:w="577" w:type="pct"/>
                  <w:vAlign w:val="bottom"/>
                </w:tcPr>
                <w:p w14:paraId="1A9E5937" w14:textId="77777777" w:rsidR="007619EA" w:rsidRPr="00726AB5" w:rsidRDefault="007619EA" w:rsidP="00396E87">
                  <w:pPr>
                    <w:pStyle w:val="StandardOCAshurst"/>
                    <w:jc w:val="right"/>
                    <w:rPr>
                      <w:sz w:val="14"/>
                      <w:szCs w:val="14"/>
                    </w:rPr>
                  </w:pPr>
                </w:p>
              </w:tc>
              <w:tc>
                <w:tcPr>
                  <w:tcW w:w="577" w:type="pct"/>
                  <w:vAlign w:val="bottom"/>
                </w:tcPr>
                <w:p w14:paraId="47D1657A" w14:textId="77777777" w:rsidR="007619EA" w:rsidRPr="00726AB5" w:rsidRDefault="007619EA" w:rsidP="00396E87">
                  <w:pPr>
                    <w:pStyle w:val="StandardOCAshurst"/>
                    <w:jc w:val="right"/>
                    <w:rPr>
                      <w:sz w:val="14"/>
                      <w:szCs w:val="14"/>
                    </w:rPr>
                  </w:pPr>
                </w:p>
              </w:tc>
              <w:tc>
                <w:tcPr>
                  <w:tcW w:w="577" w:type="pct"/>
                  <w:vAlign w:val="bottom"/>
                </w:tcPr>
                <w:p w14:paraId="472ED2A2" w14:textId="77777777" w:rsidR="007619EA" w:rsidRPr="00726AB5" w:rsidRDefault="007619EA" w:rsidP="00396E87">
                  <w:pPr>
                    <w:pStyle w:val="StandardOCAshurst"/>
                    <w:jc w:val="right"/>
                    <w:rPr>
                      <w:sz w:val="14"/>
                      <w:szCs w:val="14"/>
                    </w:rPr>
                  </w:pPr>
                </w:p>
              </w:tc>
              <w:tc>
                <w:tcPr>
                  <w:tcW w:w="579" w:type="pct"/>
                  <w:vAlign w:val="bottom"/>
                </w:tcPr>
                <w:p w14:paraId="6A537E78" w14:textId="77777777" w:rsidR="007619EA" w:rsidRPr="00726AB5" w:rsidRDefault="007619EA" w:rsidP="00396E87">
                  <w:pPr>
                    <w:pStyle w:val="StandardOCAshurst"/>
                    <w:jc w:val="right"/>
                    <w:rPr>
                      <w:sz w:val="14"/>
                      <w:szCs w:val="14"/>
                    </w:rPr>
                  </w:pPr>
                </w:p>
              </w:tc>
              <w:tc>
                <w:tcPr>
                  <w:tcW w:w="653" w:type="pct"/>
                  <w:vAlign w:val="bottom"/>
                </w:tcPr>
                <w:p w14:paraId="2027B7D5" w14:textId="77777777" w:rsidR="007619EA" w:rsidRPr="00726AB5" w:rsidRDefault="007619EA" w:rsidP="00396E87">
                  <w:pPr>
                    <w:pStyle w:val="StandardOCAshurst"/>
                    <w:jc w:val="right"/>
                    <w:rPr>
                      <w:sz w:val="14"/>
                      <w:szCs w:val="14"/>
                    </w:rPr>
                  </w:pPr>
                  <w:r>
                    <w:rPr>
                      <w:sz w:val="14"/>
                      <w:szCs w:val="14"/>
                    </w:rPr>
                    <w:t>28,048</w:t>
                  </w:r>
                </w:p>
              </w:tc>
            </w:tr>
            <w:tr w:rsidR="007619EA" w:rsidRPr="00726AB5" w14:paraId="51592DB1" w14:textId="77777777" w:rsidTr="00284BEE">
              <w:tc>
                <w:tcPr>
                  <w:tcW w:w="863" w:type="pct"/>
                  <w:tcMar>
                    <w:left w:w="28" w:type="dxa"/>
                    <w:right w:w="57" w:type="dxa"/>
                  </w:tcMar>
                  <w:vAlign w:val="bottom"/>
                </w:tcPr>
                <w:p w14:paraId="37BE4E97" w14:textId="5838D634" w:rsidR="007619EA" w:rsidRPr="00726AB5" w:rsidRDefault="007619EA" w:rsidP="00284BEE">
                  <w:pPr>
                    <w:pStyle w:val="StandardOCAshurst"/>
                    <w:tabs>
                      <w:tab w:val="left" w:leader="dot" w:pos="1279"/>
                    </w:tabs>
                    <w:jc w:val="left"/>
                    <w:rPr>
                      <w:sz w:val="14"/>
                      <w:szCs w:val="14"/>
                    </w:rPr>
                  </w:pPr>
                  <w:r w:rsidRPr="00726AB5">
                    <w:rPr>
                      <w:sz w:val="14"/>
                      <w:szCs w:val="14"/>
                    </w:rPr>
                    <w:t>Deferred tax assets</w:t>
                  </w:r>
                  <w:r w:rsidR="00284BEE">
                    <w:rPr>
                      <w:sz w:val="14"/>
                      <w:szCs w:val="14"/>
                    </w:rPr>
                    <w:tab/>
                  </w:r>
                </w:p>
              </w:tc>
              <w:tc>
                <w:tcPr>
                  <w:tcW w:w="596" w:type="pct"/>
                  <w:vAlign w:val="bottom"/>
                </w:tcPr>
                <w:p w14:paraId="1AD9B99F" w14:textId="60544391" w:rsidR="007619EA" w:rsidRPr="00726AB5" w:rsidRDefault="00701FD8" w:rsidP="00396E87">
                  <w:pPr>
                    <w:pStyle w:val="StandardOCAshurst"/>
                    <w:jc w:val="right"/>
                    <w:rPr>
                      <w:sz w:val="14"/>
                      <w:szCs w:val="14"/>
                    </w:rPr>
                  </w:pPr>
                  <w:r>
                    <w:rPr>
                      <w:sz w:val="14"/>
                      <w:szCs w:val="14"/>
                    </w:rPr>
                    <w:t>659,803</w:t>
                  </w:r>
                </w:p>
              </w:tc>
              <w:tc>
                <w:tcPr>
                  <w:tcW w:w="577" w:type="pct"/>
                  <w:vAlign w:val="bottom"/>
                </w:tcPr>
                <w:p w14:paraId="2DB2B62B" w14:textId="77777777" w:rsidR="007619EA" w:rsidRPr="00726AB5" w:rsidRDefault="007619EA" w:rsidP="00396E87">
                  <w:pPr>
                    <w:pStyle w:val="StandardOCAshurst"/>
                    <w:jc w:val="right"/>
                    <w:rPr>
                      <w:sz w:val="14"/>
                      <w:szCs w:val="14"/>
                    </w:rPr>
                  </w:pPr>
                  <w:r w:rsidRPr="000E0825">
                    <w:rPr>
                      <w:sz w:val="14"/>
                      <w:szCs w:val="14"/>
                    </w:rPr>
                    <w:t>2,209</w:t>
                  </w:r>
                </w:p>
              </w:tc>
              <w:tc>
                <w:tcPr>
                  <w:tcW w:w="577" w:type="pct"/>
                  <w:vAlign w:val="bottom"/>
                </w:tcPr>
                <w:p w14:paraId="3C036C4F" w14:textId="77777777" w:rsidR="007619EA" w:rsidRPr="00726AB5" w:rsidRDefault="007619EA" w:rsidP="00396E87">
                  <w:pPr>
                    <w:pStyle w:val="StandardOCAshurst"/>
                    <w:jc w:val="right"/>
                    <w:rPr>
                      <w:sz w:val="14"/>
                      <w:szCs w:val="14"/>
                    </w:rPr>
                  </w:pPr>
                </w:p>
              </w:tc>
              <w:tc>
                <w:tcPr>
                  <w:tcW w:w="577" w:type="pct"/>
                  <w:vAlign w:val="bottom"/>
                </w:tcPr>
                <w:p w14:paraId="6A5EE09F" w14:textId="4106EDEA" w:rsidR="007619EA" w:rsidRPr="00726AB5" w:rsidRDefault="007619EA" w:rsidP="00396E87">
                  <w:pPr>
                    <w:pStyle w:val="StandardOCAshurst"/>
                    <w:jc w:val="right"/>
                    <w:rPr>
                      <w:sz w:val="14"/>
                      <w:szCs w:val="14"/>
                    </w:rPr>
                  </w:pPr>
                  <w:r w:rsidRPr="000E0825">
                    <w:rPr>
                      <w:sz w:val="14"/>
                      <w:szCs w:val="14"/>
                    </w:rPr>
                    <w:t>2</w:t>
                  </w:r>
                  <w:r w:rsidR="009767FB">
                    <w:rPr>
                      <w:sz w:val="14"/>
                      <w:szCs w:val="14"/>
                    </w:rPr>
                    <w:t>15,205</w:t>
                  </w:r>
                </w:p>
              </w:tc>
              <w:tc>
                <w:tcPr>
                  <w:tcW w:w="577" w:type="pct"/>
                  <w:vAlign w:val="bottom"/>
                </w:tcPr>
                <w:p w14:paraId="54DC305E" w14:textId="77777777" w:rsidR="007619EA" w:rsidRPr="00726AB5" w:rsidRDefault="007619EA" w:rsidP="00396E87">
                  <w:pPr>
                    <w:pStyle w:val="StandardOCAshurst"/>
                    <w:jc w:val="right"/>
                    <w:rPr>
                      <w:sz w:val="14"/>
                      <w:szCs w:val="14"/>
                    </w:rPr>
                  </w:pPr>
                </w:p>
              </w:tc>
              <w:tc>
                <w:tcPr>
                  <w:tcW w:w="579" w:type="pct"/>
                  <w:vAlign w:val="bottom"/>
                </w:tcPr>
                <w:p w14:paraId="1E38629D" w14:textId="77777777" w:rsidR="007619EA" w:rsidRPr="00726AB5" w:rsidRDefault="007619EA" w:rsidP="00396E87">
                  <w:pPr>
                    <w:pStyle w:val="StandardOCAshurst"/>
                    <w:jc w:val="right"/>
                    <w:rPr>
                      <w:sz w:val="14"/>
                      <w:szCs w:val="14"/>
                    </w:rPr>
                  </w:pPr>
                </w:p>
              </w:tc>
              <w:tc>
                <w:tcPr>
                  <w:tcW w:w="653" w:type="pct"/>
                  <w:vAlign w:val="bottom"/>
                </w:tcPr>
                <w:p w14:paraId="742BDA0D" w14:textId="41E1FAA2" w:rsidR="007619EA" w:rsidRPr="00726AB5" w:rsidRDefault="009767FB" w:rsidP="009767FB">
                  <w:pPr>
                    <w:pStyle w:val="StandardOCAshurst"/>
                    <w:jc w:val="right"/>
                    <w:rPr>
                      <w:sz w:val="14"/>
                      <w:szCs w:val="14"/>
                    </w:rPr>
                  </w:pPr>
                  <w:r>
                    <w:rPr>
                      <w:sz w:val="14"/>
                      <w:szCs w:val="14"/>
                    </w:rPr>
                    <w:t>877,217</w:t>
                  </w:r>
                </w:p>
              </w:tc>
            </w:tr>
            <w:tr w:rsidR="007619EA" w:rsidRPr="00726AB5" w14:paraId="46AD543C" w14:textId="77777777" w:rsidTr="00284BEE">
              <w:tc>
                <w:tcPr>
                  <w:tcW w:w="863" w:type="pct"/>
                  <w:tcMar>
                    <w:left w:w="28" w:type="dxa"/>
                    <w:right w:w="57" w:type="dxa"/>
                  </w:tcMar>
                  <w:vAlign w:val="bottom"/>
                </w:tcPr>
                <w:p w14:paraId="653ABAA3" w14:textId="177E80C7" w:rsidR="007619EA" w:rsidRPr="00726AB5" w:rsidRDefault="007619EA" w:rsidP="00284BEE">
                  <w:pPr>
                    <w:pStyle w:val="StandardOCAshurst"/>
                    <w:tabs>
                      <w:tab w:val="left" w:leader="dot" w:pos="1279"/>
                    </w:tabs>
                    <w:jc w:val="left"/>
                    <w:rPr>
                      <w:sz w:val="14"/>
                      <w:szCs w:val="14"/>
                    </w:rPr>
                  </w:pPr>
                  <w:r w:rsidRPr="00726AB5">
                    <w:rPr>
                      <w:sz w:val="14"/>
                      <w:szCs w:val="14"/>
                    </w:rPr>
                    <w:t>Other financial assets</w:t>
                  </w:r>
                  <w:r w:rsidR="00284BEE">
                    <w:rPr>
                      <w:sz w:val="14"/>
                      <w:szCs w:val="14"/>
                    </w:rPr>
                    <w:tab/>
                  </w:r>
                </w:p>
              </w:tc>
              <w:tc>
                <w:tcPr>
                  <w:tcW w:w="596" w:type="pct"/>
                  <w:vAlign w:val="bottom"/>
                </w:tcPr>
                <w:p w14:paraId="1916E92B"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7</w:t>
                  </w:r>
                </w:p>
              </w:tc>
              <w:tc>
                <w:tcPr>
                  <w:tcW w:w="577" w:type="pct"/>
                  <w:vAlign w:val="bottom"/>
                </w:tcPr>
                <w:p w14:paraId="1EFBC3F4"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3B993D5C"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00D3C479"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57250576" w14:textId="77777777" w:rsidR="007619EA" w:rsidRPr="00726AB5" w:rsidRDefault="007619EA" w:rsidP="00396E87">
                  <w:pPr>
                    <w:pStyle w:val="StandardOCAshurst"/>
                    <w:pBdr>
                      <w:bottom w:val="single" w:sz="4" w:space="1" w:color="auto"/>
                    </w:pBdr>
                    <w:jc w:val="right"/>
                    <w:rPr>
                      <w:sz w:val="14"/>
                      <w:szCs w:val="14"/>
                    </w:rPr>
                  </w:pPr>
                </w:p>
              </w:tc>
              <w:tc>
                <w:tcPr>
                  <w:tcW w:w="579" w:type="pct"/>
                  <w:vAlign w:val="bottom"/>
                </w:tcPr>
                <w:p w14:paraId="424F5FDA" w14:textId="77777777" w:rsidR="007619EA" w:rsidRPr="00726AB5" w:rsidRDefault="007619EA" w:rsidP="00396E87">
                  <w:pPr>
                    <w:pStyle w:val="StandardOCAshurst"/>
                    <w:pBdr>
                      <w:bottom w:val="single" w:sz="4" w:space="1" w:color="auto"/>
                    </w:pBdr>
                    <w:jc w:val="right"/>
                    <w:rPr>
                      <w:sz w:val="14"/>
                      <w:szCs w:val="14"/>
                    </w:rPr>
                  </w:pPr>
                </w:p>
              </w:tc>
              <w:tc>
                <w:tcPr>
                  <w:tcW w:w="653" w:type="pct"/>
                  <w:vAlign w:val="bottom"/>
                </w:tcPr>
                <w:p w14:paraId="7A1D0748"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7</w:t>
                  </w:r>
                </w:p>
              </w:tc>
            </w:tr>
            <w:tr w:rsidR="007619EA" w:rsidRPr="00726AB5" w14:paraId="0024E3C0" w14:textId="77777777" w:rsidTr="00284BEE">
              <w:tc>
                <w:tcPr>
                  <w:tcW w:w="863" w:type="pct"/>
                  <w:tcMar>
                    <w:left w:w="28" w:type="dxa"/>
                    <w:right w:w="57" w:type="dxa"/>
                  </w:tcMar>
                  <w:vAlign w:val="bottom"/>
                </w:tcPr>
                <w:p w14:paraId="02855E0A" w14:textId="6B1F1DBE" w:rsidR="007619EA" w:rsidRPr="00726AB5" w:rsidRDefault="007619EA" w:rsidP="00284BEE">
                  <w:pPr>
                    <w:pStyle w:val="StandardOCAshurst"/>
                    <w:tabs>
                      <w:tab w:val="left" w:leader="dot" w:pos="1279"/>
                    </w:tabs>
                    <w:jc w:val="left"/>
                    <w:rPr>
                      <w:b/>
                      <w:bCs/>
                      <w:sz w:val="14"/>
                      <w:szCs w:val="14"/>
                    </w:rPr>
                  </w:pPr>
                  <w:r w:rsidRPr="00726AB5">
                    <w:rPr>
                      <w:b/>
                      <w:bCs/>
                      <w:sz w:val="14"/>
                      <w:szCs w:val="14"/>
                    </w:rPr>
                    <w:t>Total non-current assets</w:t>
                  </w:r>
                  <w:r w:rsidR="00284BEE" w:rsidRPr="00284BEE">
                    <w:rPr>
                      <w:sz w:val="14"/>
                      <w:szCs w:val="14"/>
                    </w:rPr>
                    <w:tab/>
                  </w:r>
                </w:p>
              </w:tc>
              <w:tc>
                <w:tcPr>
                  <w:tcW w:w="596" w:type="pct"/>
                  <w:vAlign w:val="bottom"/>
                </w:tcPr>
                <w:p w14:paraId="517549BF" w14:textId="6D53781B" w:rsidR="007619EA" w:rsidRPr="00726AB5" w:rsidRDefault="007619EA" w:rsidP="00396E87">
                  <w:pPr>
                    <w:pStyle w:val="StandardOCAshurst"/>
                    <w:pBdr>
                      <w:bottom w:val="single" w:sz="4" w:space="1" w:color="auto"/>
                    </w:pBdr>
                    <w:jc w:val="right"/>
                    <w:rPr>
                      <w:sz w:val="14"/>
                      <w:szCs w:val="14"/>
                    </w:rPr>
                  </w:pPr>
                  <w:r w:rsidRPr="000E0825">
                    <w:rPr>
                      <w:sz w:val="14"/>
                      <w:szCs w:val="14"/>
                    </w:rPr>
                    <w:t>3,</w:t>
                  </w:r>
                  <w:r w:rsidR="00701FD8">
                    <w:rPr>
                      <w:sz w:val="14"/>
                      <w:szCs w:val="14"/>
                    </w:rPr>
                    <w:t>455,673</w:t>
                  </w:r>
                </w:p>
              </w:tc>
              <w:tc>
                <w:tcPr>
                  <w:tcW w:w="577" w:type="pct"/>
                  <w:vAlign w:val="bottom"/>
                </w:tcPr>
                <w:p w14:paraId="1B9B135C"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133,902</w:t>
                  </w:r>
                </w:p>
              </w:tc>
              <w:tc>
                <w:tcPr>
                  <w:tcW w:w="577" w:type="pct"/>
                  <w:vAlign w:val="bottom"/>
                </w:tcPr>
                <w:p w14:paraId="27427B47"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333,602</w:t>
                  </w:r>
                </w:p>
              </w:tc>
              <w:tc>
                <w:tcPr>
                  <w:tcW w:w="577" w:type="pct"/>
                  <w:vAlign w:val="bottom"/>
                </w:tcPr>
                <w:p w14:paraId="3C8017E1" w14:textId="1558DD6A" w:rsidR="007619EA" w:rsidRPr="00726AB5" w:rsidRDefault="007619EA" w:rsidP="00396E87">
                  <w:pPr>
                    <w:pStyle w:val="StandardOCAshurst"/>
                    <w:pBdr>
                      <w:bottom w:val="single" w:sz="4" w:space="1" w:color="auto"/>
                    </w:pBdr>
                    <w:jc w:val="right"/>
                    <w:rPr>
                      <w:sz w:val="14"/>
                      <w:szCs w:val="14"/>
                    </w:rPr>
                  </w:pPr>
                  <w:r w:rsidRPr="000E0825">
                    <w:rPr>
                      <w:sz w:val="14"/>
                      <w:szCs w:val="14"/>
                    </w:rPr>
                    <w:t>2</w:t>
                  </w:r>
                  <w:r w:rsidR="009767FB">
                    <w:rPr>
                      <w:sz w:val="14"/>
                      <w:szCs w:val="14"/>
                    </w:rPr>
                    <w:t>15,205</w:t>
                  </w:r>
                </w:p>
              </w:tc>
              <w:tc>
                <w:tcPr>
                  <w:tcW w:w="577" w:type="pct"/>
                  <w:vAlign w:val="bottom"/>
                </w:tcPr>
                <w:p w14:paraId="1920D859"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0</w:t>
                  </w:r>
                </w:p>
              </w:tc>
              <w:tc>
                <w:tcPr>
                  <w:tcW w:w="579" w:type="pct"/>
                  <w:vAlign w:val="bottom"/>
                </w:tcPr>
                <w:p w14:paraId="1C189E5C"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0</w:t>
                  </w:r>
                </w:p>
              </w:tc>
              <w:tc>
                <w:tcPr>
                  <w:tcW w:w="653" w:type="pct"/>
                  <w:vAlign w:val="bottom"/>
                </w:tcPr>
                <w:p w14:paraId="777FE298" w14:textId="0D32E6B4" w:rsidR="007619EA" w:rsidRPr="00726AB5" w:rsidRDefault="007619EA" w:rsidP="00396E87">
                  <w:pPr>
                    <w:pStyle w:val="StandardOCAshurst"/>
                    <w:pBdr>
                      <w:bottom w:val="single" w:sz="4" w:space="1" w:color="auto"/>
                    </w:pBdr>
                    <w:jc w:val="right"/>
                    <w:rPr>
                      <w:sz w:val="14"/>
                      <w:szCs w:val="14"/>
                    </w:rPr>
                  </w:pPr>
                  <w:r w:rsidRPr="000E0825">
                    <w:rPr>
                      <w:sz w:val="14"/>
                      <w:szCs w:val="14"/>
                    </w:rPr>
                    <w:t>4,</w:t>
                  </w:r>
                  <w:r w:rsidR="009767FB">
                    <w:rPr>
                      <w:sz w:val="14"/>
                      <w:szCs w:val="14"/>
                    </w:rPr>
                    <w:t>138,382</w:t>
                  </w:r>
                </w:p>
              </w:tc>
            </w:tr>
            <w:tr w:rsidR="007619EA" w:rsidRPr="00726AB5" w14:paraId="4DD0829A" w14:textId="77777777" w:rsidTr="00284BEE">
              <w:tc>
                <w:tcPr>
                  <w:tcW w:w="863" w:type="pct"/>
                  <w:tcMar>
                    <w:left w:w="28" w:type="dxa"/>
                    <w:right w:w="57" w:type="dxa"/>
                  </w:tcMar>
                  <w:vAlign w:val="bottom"/>
                </w:tcPr>
                <w:p w14:paraId="2241DA0D" w14:textId="77777777" w:rsidR="007619EA" w:rsidRPr="00726AB5" w:rsidRDefault="007619EA" w:rsidP="00284BEE">
                  <w:pPr>
                    <w:pStyle w:val="StandardOCAshurst"/>
                    <w:tabs>
                      <w:tab w:val="left" w:leader="dot" w:pos="1279"/>
                    </w:tabs>
                    <w:jc w:val="left"/>
                    <w:rPr>
                      <w:sz w:val="14"/>
                      <w:szCs w:val="14"/>
                    </w:rPr>
                  </w:pPr>
                  <w:r w:rsidRPr="00726AB5">
                    <w:rPr>
                      <w:sz w:val="14"/>
                      <w:szCs w:val="14"/>
                    </w:rPr>
                    <w:t xml:space="preserve"> </w:t>
                  </w:r>
                </w:p>
              </w:tc>
              <w:tc>
                <w:tcPr>
                  <w:tcW w:w="596" w:type="pct"/>
                  <w:vAlign w:val="bottom"/>
                </w:tcPr>
                <w:p w14:paraId="5356D906" w14:textId="77777777" w:rsidR="007619EA" w:rsidRPr="00726AB5" w:rsidRDefault="007619EA" w:rsidP="00396E87">
                  <w:pPr>
                    <w:pStyle w:val="StandardOCAshurst"/>
                    <w:jc w:val="right"/>
                    <w:rPr>
                      <w:sz w:val="14"/>
                      <w:szCs w:val="14"/>
                    </w:rPr>
                  </w:pPr>
                </w:p>
              </w:tc>
              <w:tc>
                <w:tcPr>
                  <w:tcW w:w="577" w:type="pct"/>
                  <w:vAlign w:val="bottom"/>
                </w:tcPr>
                <w:p w14:paraId="45D09B2A" w14:textId="77777777" w:rsidR="007619EA" w:rsidRPr="00726AB5" w:rsidRDefault="007619EA" w:rsidP="00396E87">
                  <w:pPr>
                    <w:pStyle w:val="StandardOCAshurst"/>
                    <w:jc w:val="right"/>
                    <w:rPr>
                      <w:sz w:val="14"/>
                      <w:szCs w:val="14"/>
                    </w:rPr>
                  </w:pPr>
                </w:p>
              </w:tc>
              <w:tc>
                <w:tcPr>
                  <w:tcW w:w="577" w:type="pct"/>
                  <w:vAlign w:val="bottom"/>
                </w:tcPr>
                <w:p w14:paraId="6EDD67E2" w14:textId="77777777" w:rsidR="007619EA" w:rsidRPr="00726AB5" w:rsidRDefault="007619EA" w:rsidP="00396E87">
                  <w:pPr>
                    <w:pStyle w:val="StandardOCAshurst"/>
                    <w:jc w:val="right"/>
                    <w:rPr>
                      <w:sz w:val="14"/>
                      <w:szCs w:val="14"/>
                    </w:rPr>
                  </w:pPr>
                </w:p>
              </w:tc>
              <w:tc>
                <w:tcPr>
                  <w:tcW w:w="577" w:type="pct"/>
                  <w:vAlign w:val="bottom"/>
                </w:tcPr>
                <w:p w14:paraId="3EE729D6" w14:textId="77777777" w:rsidR="007619EA" w:rsidRPr="00726AB5" w:rsidRDefault="007619EA" w:rsidP="00396E87">
                  <w:pPr>
                    <w:pStyle w:val="StandardOCAshurst"/>
                    <w:jc w:val="right"/>
                    <w:rPr>
                      <w:sz w:val="14"/>
                      <w:szCs w:val="14"/>
                    </w:rPr>
                  </w:pPr>
                </w:p>
              </w:tc>
              <w:tc>
                <w:tcPr>
                  <w:tcW w:w="577" w:type="pct"/>
                  <w:vAlign w:val="bottom"/>
                </w:tcPr>
                <w:p w14:paraId="453CBD66" w14:textId="77777777" w:rsidR="007619EA" w:rsidRPr="00726AB5" w:rsidRDefault="007619EA" w:rsidP="00396E87">
                  <w:pPr>
                    <w:pStyle w:val="StandardOCAshurst"/>
                    <w:jc w:val="right"/>
                    <w:rPr>
                      <w:sz w:val="14"/>
                      <w:szCs w:val="14"/>
                    </w:rPr>
                  </w:pPr>
                </w:p>
              </w:tc>
              <w:tc>
                <w:tcPr>
                  <w:tcW w:w="579" w:type="pct"/>
                  <w:vAlign w:val="bottom"/>
                </w:tcPr>
                <w:p w14:paraId="463AD6E8" w14:textId="77777777" w:rsidR="007619EA" w:rsidRPr="00726AB5" w:rsidRDefault="007619EA" w:rsidP="00396E87">
                  <w:pPr>
                    <w:pStyle w:val="StandardOCAshurst"/>
                    <w:jc w:val="right"/>
                    <w:rPr>
                      <w:sz w:val="14"/>
                      <w:szCs w:val="14"/>
                    </w:rPr>
                  </w:pPr>
                </w:p>
              </w:tc>
              <w:tc>
                <w:tcPr>
                  <w:tcW w:w="653" w:type="pct"/>
                  <w:vAlign w:val="bottom"/>
                </w:tcPr>
                <w:p w14:paraId="5A536EDA" w14:textId="77777777" w:rsidR="007619EA" w:rsidRPr="00726AB5" w:rsidRDefault="007619EA" w:rsidP="00396E87">
                  <w:pPr>
                    <w:pStyle w:val="StandardOCAshurst"/>
                    <w:jc w:val="right"/>
                    <w:rPr>
                      <w:sz w:val="14"/>
                      <w:szCs w:val="14"/>
                    </w:rPr>
                  </w:pPr>
                </w:p>
              </w:tc>
            </w:tr>
            <w:tr w:rsidR="007619EA" w:rsidRPr="00726AB5" w14:paraId="095F3FDF" w14:textId="77777777" w:rsidTr="00284BEE">
              <w:tc>
                <w:tcPr>
                  <w:tcW w:w="863" w:type="pct"/>
                  <w:tcMar>
                    <w:left w:w="28" w:type="dxa"/>
                    <w:right w:w="57" w:type="dxa"/>
                  </w:tcMar>
                  <w:vAlign w:val="bottom"/>
                </w:tcPr>
                <w:p w14:paraId="532F2CE1" w14:textId="77777777" w:rsidR="007619EA" w:rsidRPr="00726AB5" w:rsidRDefault="007619EA" w:rsidP="00284BEE">
                  <w:pPr>
                    <w:pStyle w:val="StandardOCAshurst"/>
                    <w:tabs>
                      <w:tab w:val="left" w:leader="dot" w:pos="1279"/>
                    </w:tabs>
                    <w:jc w:val="left"/>
                    <w:rPr>
                      <w:b/>
                      <w:bCs/>
                      <w:sz w:val="14"/>
                      <w:szCs w:val="14"/>
                    </w:rPr>
                  </w:pPr>
                  <w:r w:rsidRPr="00726AB5">
                    <w:rPr>
                      <w:b/>
                      <w:bCs/>
                      <w:sz w:val="14"/>
                      <w:szCs w:val="14"/>
                    </w:rPr>
                    <w:t>Current assets</w:t>
                  </w:r>
                </w:p>
              </w:tc>
              <w:tc>
                <w:tcPr>
                  <w:tcW w:w="596" w:type="pct"/>
                  <w:vAlign w:val="bottom"/>
                </w:tcPr>
                <w:p w14:paraId="53D992E5" w14:textId="77777777" w:rsidR="007619EA" w:rsidRPr="00726AB5" w:rsidRDefault="007619EA" w:rsidP="00396E87">
                  <w:pPr>
                    <w:pStyle w:val="StandardOCAshurst"/>
                    <w:jc w:val="right"/>
                    <w:rPr>
                      <w:sz w:val="14"/>
                      <w:szCs w:val="14"/>
                    </w:rPr>
                  </w:pPr>
                </w:p>
              </w:tc>
              <w:tc>
                <w:tcPr>
                  <w:tcW w:w="577" w:type="pct"/>
                  <w:vAlign w:val="bottom"/>
                </w:tcPr>
                <w:p w14:paraId="5CE54F41" w14:textId="77777777" w:rsidR="007619EA" w:rsidRPr="00726AB5" w:rsidRDefault="007619EA" w:rsidP="00396E87">
                  <w:pPr>
                    <w:pStyle w:val="StandardOCAshurst"/>
                    <w:jc w:val="right"/>
                    <w:rPr>
                      <w:sz w:val="14"/>
                      <w:szCs w:val="14"/>
                    </w:rPr>
                  </w:pPr>
                </w:p>
              </w:tc>
              <w:tc>
                <w:tcPr>
                  <w:tcW w:w="577" w:type="pct"/>
                  <w:vAlign w:val="bottom"/>
                </w:tcPr>
                <w:p w14:paraId="641E5850" w14:textId="77777777" w:rsidR="007619EA" w:rsidRPr="00726AB5" w:rsidRDefault="007619EA" w:rsidP="00396E87">
                  <w:pPr>
                    <w:pStyle w:val="StandardOCAshurst"/>
                    <w:jc w:val="right"/>
                    <w:rPr>
                      <w:sz w:val="14"/>
                      <w:szCs w:val="14"/>
                    </w:rPr>
                  </w:pPr>
                </w:p>
              </w:tc>
              <w:tc>
                <w:tcPr>
                  <w:tcW w:w="577" w:type="pct"/>
                  <w:vAlign w:val="bottom"/>
                </w:tcPr>
                <w:p w14:paraId="7B2EDDE2" w14:textId="77777777" w:rsidR="007619EA" w:rsidRPr="00726AB5" w:rsidRDefault="007619EA" w:rsidP="00396E87">
                  <w:pPr>
                    <w:pStyle w:val="StandardOCAshurst"/>
                    <w:jc w:val="right"/>
                    <w:rPr>
                      <w:sz w:val="14"/>
                      <w:szCs w:val="14"/>
                    </w:rPr>
                  </w:pPr>
                </w:p>
              </w:tc>
              <w:tc>
                <w:tcPr>
                  <w:tcW w:w="577" w:type="pct"/>
                  <w:vAlign w:val="bottom"/>
                </w:tcPr>
                <w:p w14:paraId="50032BB9" w14:textId="77777777" w:rsidR="007619EA" w:rsidRPr="00726AB5" w:rsidRDefault="007619EA" w:rsidP="00396E87">
                  <w:pPr>
                    <w:pStyle w:val="StandardOCAshurst"/>
                    <w:jc w:val="right"/>
                    <w:rPr>
                      <w:sz w:val="14"/>
                      <w:szCs w:val="14"/>
                    </w:rPr>
                  </w:pPr>
                </w:p>
              </w:tc>
              <w:tc>
                <w:tcPr>
                  <w:tcW w:w="579" w:type="pct"/>
                  <w:vAlign w:val="bottom"/>
                </w:tcPr>
                <w:p w14:paraId="24B14588" w14:textId="77777777" w:rsidR="007619EA" w:rsidRPr="00726AB5" w:rsidRDefault="007619EA" w:rsidP="00396E87">
                  <w:pPr>
                    <w:pStyle w:val="StandardOCAshurst"/>
                    <w:jc w:val="right"/>
                    <w:rPr>
                      <w:sz w:val="14"/>
                      <w:szCs w:val="14"/>
                    </w:rPr>
                  </w:pPr>
                </w:p>
              </w:tc>
              <w:tc>
                <w:tcPr>
                  <w:tcW w:w="653" w:type="pct"/>
                  <w:vAlign w:val="bottom"/>
                </w:tcPr>
                <w:p w14:paraId="3FC52668" w14:textId="77777777" w:rsidR="007619EA" w:rsidRPr="00726AB5" w:rsidRDefault="007619EA" w:rsidP="00396E87">
                  <w:pPr>
                    <w:pStyle w:val="StandardOCAshurst"/>
                    <w:jc w:val="right"/>
                    <w:rPr>
                      <w:sz w:val="14"/>
                      <w:szCs w:val="14"/>
                    </w:rPr>
                  </w:pPr>
                </w:p>
              </w:tc>
            </w:tr>
            <w:tr w:rsidR="007619EA" w:rsidRPr="00726AB5" w14:paraId="38EF0FDB" w14:textId="77777777" w:rsidTr="00284BEE">
              <w:tc>
                <w:tcPr>
                  <w:tcW w:w="863" w:type="pct"/>
                  <w:tcMar>
                    <w:left w:w="28" w:type="dxa"/>
                    <w:right w:w="57" w:type="dxa"/>
                  </w:tcMar>
                  <w:vAlign w:val="bottom"/>
                </w:tcPr>
                <w:p w14:paraId="26220A8E" w14:textId="23C4FEDB" w:rsidR="007619EA" w:rsidRPr="00726AB5" w:rsidRDefault="007619EA" w:rsidP="00284BEE">
                  <w:pPr>
                    <w:pStyle w:val="StandardOCAshurst"/>
                    <w:tabs>
                      <w:tab w:val="left" w:leader="dot" w:pos="1279"/>
                    </w:tabs>
                    <w:jc w:val="left"/>
                    <w:rPr>
                      <w:sz w:val="14"/>
                      <w:szCs w:val="14"/>
                    </w:rPr>
                  </w:pPr>
                  <w:r w:rsidRPr="00726AB5">
                    <w:rPr>
                      <w:sz w:val="14"/>
                      <w:szCs w:val="14"/>
                    </w:rPr>
                    <w:t>Inventories</w:t>
                  </w:r>
                  <w:r w:rsidR="00284BEE">
                    <w:rPr>
                      <w:sz w:val="14"/>
                      <w:szCs w:val="14"/>
                    </w:rPr>
                    <w:tab/>
                  </w:r>
                </w:p>
              </w:tc>
              <w:tc>
                <w:tcPr>
                  <w:tcW w:w="596" w:type="pct"/>
                  <w:vAlign w:val="bottom"/>
                </w:tcPr>
                <w:p w14:paraId="02FBBA70" w14:textId="77777777" w:rsidR="007619EA" w:rsidRPr="00726AB5" w:rsidRDefault="007619EA" w:rsidP="00396E87">
                  <w:pPr>
                    <w:pStyle w:val="StandardOCAshurst"/>
                    <w:jc w:val="right"/>
                    <w:rPr>
                      <w:sz w:val="14"/>
                      <w:szCs w:val="14"/>
                    </w:rPr>
                  </w:pPr>
                  <w:r w:rsidRPr="000E0825">
                    <w:rPr>
                      <w:sz w:val="14"/>
                      <w:szCs w:val="14"/>
                    </w:rPr>
                    <w:t>59,784</w:t>
                  </w:r>
                </w:p>
              </w:tc>
              <w:tc>
                <w:tcPr>
                  <w:tcW w:w="577" w:type="pct"/>
                  <w:vAlign w:val="bottom"/>
                </w:tcPr>
                <w:p w14:paraId="0E2C0DCB" w14:textId="77777777" w:rsidR="007619EA" w:rsidRPr="00726AB5" w:rsidRDefault="007619EA" w:rsidP="00396E87">
                  <w:pPr>
                    <w:pStyle w:val="StandardOCAshurst"/>
                    <w:jc w:val="right"/>
                    <w:rPr>
                      <w:sz w:val="14"/>
                      <w:szCs w:val="14"/>
                    </w:rPr>
                  </w:pPr>
                  <w:r w:rsidRPr="000E0825">
                    <w:rPr>
                      <w:sz w:val="14"/>
                      <w:szCs w:val="14"/>
                    </w:rPr>
                    <w:t>13,411</w:t>
                  </w:r>
                </w:p>
              </w:tc>
              <w:tc>
                <w:tcPr>
                  <w:tcW w:w="577" w:type="pct"/>
                  <w:vAlign w:val="bottom"/>
                </w:tcPr>
                <w:p w14:paraId="4B19D394" w14:textId="77777777" w:rsidR="007619EA" w:rsidRPr="00726AB5" w:rsidRDefault="007619EA" w:rsidP="00396E87">
                  <w:pPr>
                    <w:pStyle w:val="StandardOCAshurst"/>
                    <w:jc w:val="right"/>
                    <w:rPr>
                      <w:sz w:val="14"/>
                      <w:szCs w:val="14"/>
                    </w:rPr>
                  </w:pPr>
                </w:p>
              </w:tc>
              <w:tc>
                <w:tcPr>
                  <w:tcW w:w="577" w:type="pct"/>
                  <w:vAlign w:val="bottom"/>
                </w:tcPr>
                <w:p w14:paraId="38D6B367" w14:textId="77777777" w:rsidR="007619EA" w:rsidRPr="00726AB5" w:rsidRDefault="007619EA" w:rsidP="00396E87">
                  <w:pPr>
                    <w:pStyle w:val="StandardOCAshurst"/>
                    <w:jc w:val="right"/>
                    <w:rPr>
                      <w:sz w:val="14"/>
                      <w:szCs w:val="14"/>
                    </w:rPr>
                  </w:pPr>
                </w:p>
              </w:tc>
              <w:tc>
                <w:tcPr>
                  <w:tcW w:w="577" w:type="pct"/>
                  <w:vAlign w:val="bottom"/>
                </w:tcPr>
                <w:p w14:paraId="1FAD39B5" w14:textId="77777777" w:rsidR="007619EA" w:rsidRPr="00726AB5" w:rsidRDefault="007619EA" w:rsidP="00396E87">
                  <w:pPr>
                    <w:pStyle w:val="StandardOCAshurst"/>
                    <w:jc w:val="right"/>
                    <w:rPr>
                      <w:sz w:val="14"/>
                      <w:szCs w:val="14"/>
                    </w:rPr>
                  </w:pPr>
                </w:p>
              </w:tc>
              <w:tc>
                <w:tcPr>
                  <w:tcW w:w="579" w:type="pct"/>
                  <w:vAlign w:val="bottom"/>
                </w:tcPr>
                <w:p w14:paraId="538B8C93" w14:textId="77777777" w:rsidR="007619EA" w:rsidRPr="00726AB5" w:rsidRDefault="007619EA" w:rsidP="00396E87">
                  <w:pPr>
                    <w:pStyle w:val="StandardOCAshurst"/>
                    <w:jc w:val="right"/>
                    <w:rPr>
                      <w:sz w:val="14"/>
                      <w:szCs w:val="14"/>
                    </w:rPr>
                  </w:pPr>
                </w:p>
              </w:tc>
              <w:tc>
                <w:tcPr>
                  <w:tcW w:w="653" w:type="pct"/>
                  <w:vAlign w:val="bottom"/>
                </w:tcPr>
                <w:p w14:paraId="2B9CC99B" w14:textId="77777777" w:rsidR="007619EA" w:rsidRPr="00726AB5" w:rsidRDefault="007619EA" w:rsidP="00396E87">
                  <w:pPr>
                    <w:pStyle w:val="StandardOCAshurst"/>
                    <w:jc w:val="right"/>
                    <w:rPr>
                      <w:sz w:val="14"/>
                      <w:szCs w:val="14"/>
                    </w:rPr>
                  </w:pPr>
                  <w:r w:rsidRPr="000E0825">
                    <w:rPr>
                      <w:sz w:val="14"/>
                      <w:szCs w:val="14"/>
                    </w:rPr>
                    <w:t>73,195</w:t>
                  </w:r>
                </w:p>
              </w:tc>
            </w:tr>
            <w:tr w:rsidR="007619EA" w:rsidRPr="00726AB5" w14:paraId="7A772147" w14:textId="77777777" w:rsidTr="00284BEE">
              <w:tc>
                <w:tcPr>
                  <w:tcW w:w="863" w:type="pct"/>
                  <w:tcMar>
                    <w:left w:w="28" w:type="dxa"/>
                    <w:right w:w="57" w:type="dxa"/>
                  </w:tcMar>
                  <w:vAlign w:val="bottom"/>
                </w:tcPr>
                <w:p w14:paraId="46402883" w14:textId="48A33ADA" w:rsidR="007619EA" w:rsidRPr="00726AB5" w:rsidRDefault="007619EA" w:rsidP="00284BEE">
                  <w:pPr>
                    <w:pStyle w:val="StandardOCAshurst"/>
                    <w:tabs>
                      <w:tab w:val="left" w:leader="dot" w:pos="1279"/>
                    </w:tabs>
                    <w:jc w:val="left"/>
                    <w:rPr>
                      <w:sz w:val="14"/>
                      <w:szCs w:val="14"/>
                    </w:rPr>
                  </w:pPr>
                  <w:r w:rsidRPr="00726AB5">
                    <w:rPr>
                      <w:sz w:val="14"/>
                      <w:szCs w:val="14"/>
                    </w:rPr>
                    <w:t>Trade and other receivables</w:t>
                  </w:r>
                  <w:r w:rsidR="00284BEE">
                    <w:rPr>
                      <w:sz w:val="14"/>
                      <w:szCs w:val="14"/>
                    </w:rPr>
                    <w:tab/>
                  </w:r>
                </w:p>
              </w:tc>
              <w:tc>
                <w:tcPr>
                  <w:tcW w:w="596" w:type="pct"/>
                  <w:vAlign w:val="bottom"/>
                </w:tcPr>
                <w:p w14:paraId="265F0F45" w14:textId="77777777" w:rsidR="007619EA" w:rsidRPr="00726AB5" w:rsidRDefault="007619EA" w:rsidP="00396E87">
                  <w:pPr>
                    <w:pStyle w:val="StandardOCAshurst"/>
                    <w:jc w:val="right"/>
                    <w:rPr>
                      <w:sz w:val="14"/>
                      <w:szCs w:val="14"/>
                    </w:rPr>
                  </w:pPr>
                  <w:r w:rsidRPr="000E0825">
                    <w:rPr>
                      <w:sz w:val="14"/>
                      <w:szCs w:val="14"/>
                    </w:rPr>
                    <w:t>118,715</w:t>
                  </w:r>
                </w:p>
              </w:tc>
              <w:tc>
                <w:tcPr>
                  <w:tcW w:w="577" w:type="pct"/>
                  <w:vAlign w:val="bottom"/>
                </w:tcPr>
                <w:p w14:paraId="27D99033" w14:textId="77777777" w:rsidR="007619EA" w:rsidRPr="00726AB5" w:rsidRDefault="007619EA" w:rsidP="00396E87">
                  <w:pPr>
                    <w:pStyle w:val="StandardOCAshurst"/>
                    <w:jc w:val="right"/>
                    <w:rPr>
                      <w:sz w:val="14"/>
                      <w:szCs w:val="14"/>
                    </w:rPr>
                  </w:pPr>
                  <w:r w:rsidRPr="000E0825">
                    <w:rPr>
                      <w:sz w:val="14"/>
                      <w:szCs w:val="14"/>
                    </w:rPr>
                    <w:t>11,123</w:t>
                  </w:r>
                </w:p>
              </w:tc>
              <w:tc>
                <w:tcPr>
                  <w:tcW w:w="577" w:type="pct"/>
                  <w:vAlign w:val="bottom"/>
                </w:tcPr>
                <w:p w14:paraId="607DCEF7" w14:textId="77777777" w:rsidR="007619EA" w:rsidRPr="00726AB5" w:rsidRDefault="007619EA" w:rsidP="00396E87">
                  <w:pPr>
                    <w:pStyle w:val="StandardOCAshurst"/>
                    <w:jc w:val="right"/>
                    <w:rPr>
                      <w:sz w:val="14"/>
                      <w:szCs w:val="14"/>
                    </w:rPr>
                  </w:pPr>
                </w:p>
              </w:tc>
              <w:tc>
                <w:tcPr>
                  <w:tcW w:w="577" w:type="pct"/>
                  <w:vAlign w:val="bottom"/>
                </w:tcPr>
                <w:p w14:paraId="5579BCC9" w14:textId="77777777" w:rsidR="007619EA" w:rsidRPr="00726AB5" w:rsidRDefault="007619EA" w:rsidP="00396E87">
                  <w:pPr>
                    <w:pStyle w:val="StandardOCAshurst"/>
                    <w:jc w:val="right"/>
                    <w:rPr>
                      <w:sz w:val="14"/>
                      <w:szCs w:val="14"/>
                    </w:rPr>
                  </w:pPr>
                </w:p>
              </w:tc>
              <w:tc>
                <w:tcPr>
                  <w:tcW w:w="577" w:type="pct"/>
                  <w:vAlign w:val="bottom"/>
                </w:tcPr>
                <w:p w14:paraId="3A4C49CE" w14:textId="77777777" w:rsidR="007619EA" w:rsidRPr="00726AB5" w:rsidRDefault="007619EA" w:rsidP="00396E87">
                  <w:pPr>
                    <w:pStyle w:val="StandardOCAshurst"/>
                    <w:jc w:val="right"/>
                    <w:rPr>
                      <w:sz w:val="14"/>
                      <w:szCs w:val="14"/>
                    </w:rPr>
                  </w:pPr>
                </w:p>
              </w:tc>
              <w:tc>
                <w:tcPr>
                  <w:tcW w:w="579" w:type="pct"/>
                  <w:vAlign w:val="bottom"/>
                </w:tcPr>
                <w:p w14:paraId="1BB83510" w14:textId="77777777" w:rsidR="007619EA" w:rsidRPr="00726AB5" w:rsidRDefault="007619EA" w:rsidP="00396E87">
                  <w:pPr>
                    <w:pStyle w:val="StandardOCAshurst"/>
                    <w:jc w:val="right"/>
                    <w:rPr>
                      <w:sz w:val="14"/>
                      <w:szCs w:val="14"/>
                    </w:rPr>
                  </w:pPr>
                </w:p>
              </w:tc>
              <w:tc>
                <w:tcPr>
                  <w:tcW w:w="653" w:type="pct"/>
                  <w:vAlign w:val="bottom"/>
                </w:tcPr>
                <w:p w14:paraId="04D85665" w14:textId="77777777" w:rsidR="007619EA" w:rsidRPr="00726AB5" w:rsidRDefault="007619EA" w:rsidP="00396E87">
                  <w:pPr>
                    <w:pStyle w:val="StandardOCAshurst"/>
                    <w:jc w:val="right"/>
                    <w:rPr>
                      <w:sz w:val="14"/>
                      <w:szCs w:val="14"/>
                    </w:rPr>
                  </w:pPr>
                  <w:r w:rsidRPr="000E0825">
                    <w:rPr>
                      <w:sz w:val="14"/>
                      <w:szCs w:val="14"/>
                    </w:rPr>
                    <w:t>129,838</w:t>
                  </w:r>
                </w:p>
              </w:tc>
            </w:tr>
            <w:tr w:rsidR="007619EA" w:rsidRPr="00726AB5" w14:paraId="0DA629CC" w14:textId="77777777" w:rsidTr="00284BEE">
              <w:tc>
                <w:tcPr>
                  <w:tcW w:w="863" w:type="pct"/>
                  <w:tcMar>
                    <w:left w:w="28" w:type="dxa"/>
                    <w:right w:w="57" w:type="dxa"/>
                  </w:tcMar>
                  <w:vAlign w:val="bottom"/>
                </w:tcPr>
                <w:p w14:paraId="474490A9" w14:textId="391588A6" w:rsidR="007619EA" w:rsidRPr="00726AB5" w:rsidRDefault="007619EA" w:rsidP="00284BEE">
                  <w:pPr>
                    <w:pStyle w:val="StandardOCAshurst"/>
                    <w:tabs>
                      <w:tab w:val="left" w:leader="dot" w:pos="1279"/>
                    </w:tabs>
                    <w:jc w:val="left"/>
                    <w:rPr>
                      <w:sz w:val="14"/>
                      <w:szCs w:val="14"/>
                    </w:rPr>
                  </w:pPr>
                  <w:r w:rsidRPr="00726AB5">
                    <w:rPr>
                      <w:sz w:val="14"/>
                      <w:szCs w:val="14"/>
                    </w:rPr>
                    <w:t>Current tax receivable</w:t>
                  </w:r>
                  <w:r w:rsidR="00284BEE">
                    <w:rPr>
                      <w:sz w:val="14"/>
                      <w:szCs w:val="14"/>
                    </w:rPr>
                    <w:tab/>
                  </w:r>
                </w:p>
              </w:tc>
              <w:tc>
                <w:tcPr>
                  <w:tcW w:w="596" w:type="pct"/>
                  <w:vAlign w:val="bottom"/>
                </w:tcPr>
                <w:p w14:paraId="2C6E8494" w14:textId="77777777" w:rsidR="007619EA" w:rsidRPr="00726AB5" w:rsidRDefault="007619EA" w:rsidP="00396E87">
                  <w:pPr>
                    <w:pStyle w:val="StandardOCAshurst"/>
                    <w:jc w:val="right"/>
                    <w:rPr>
                      <w:sz w:val="14"/>
                      <w:szCs w:val="14"/>
                    </w:rPr>
                  </w:pPr>
                  <w:r w:rsidRPr="000E0825">
                    <w:rPr>
                      <w:sz w:val="14"/>
                      <w:szCs w:val="14"/>
                    </w:rPr>
                    <w:t>5,601</w:t>
                  </w:r>
                </w:p>
              </w:tc>
              <w:tc>
                <w:tcPr>
                  <w:tcW w:w="577" w:type="pct"/>
                  <w:vAlign w:val="bottom"/>
                </w:tcPr>
                <w:p w14:paraId="26E0EBCC" w14:textId="77777777" w:rsidR="007619EA" w:rsidRPr="00726AB5" w:rsidRDefault="007619EA" w:rsidP="00396E87">
                  <w:pPr>
                    <w:pStyle w:val="StandardOCAshurst"/>
                    <w:jc w:val="right"/>
                    <w:rPr>
                      <w:sz w:val="14"/>
                      <w:szCs w:val="14"/>
                    </w:rPr>
                  </w:pPr>
                </w:p>
              </w:tc>
              <w:tc>
                <w:tcPr>
                  <w:tcW w:w="577" w:type="pct"/>
                  <w:vAlign w:val="bottom"/>
                </w:tcPr>
                <w:p w14:paraId="1DC2B645" w14:textId="77777777" w:rsidR="007619EA" w:rsidRPr="00726AB5" w:rsidRDefault="007619EA" w:rsidP="00396E87">
                  <w:pPr>
                    <w:pStyle w:val="StandardOCAshurst"/>
                    <w:jc w:val="right"/>
                    <w:rPr>
                      <w:sz w:val="14"/>
                      <w:szCs w:val="14"/>
                    </w:rPr>
                  </w:pPr>
                </w:p>
              </w:tc>
              <w:tc>
                <w:tcPr>
                  <w:tcW w:w="577" w:type="pct"/>
                  <w:vAlign w:val="bottom"/>
                </w:tcPr>
                <w:p w14:paraId="51D741A4" w14:textId="77777777" w:rsidR="007619EA" w:rsidRPr="00726AB5" w:rsidRDefault="007619EA" w:rsidP="00396E87">
                  <w:pPr>
                    <w:pStyle w:val="StandardOCAshurst"/>
                    <w:jc w:val="right"/>
                    <w:rPr>
                      <w:sz w:val="14"/>
                      <w:szCs w:val="14"/>
                    </w:rPr>
                  </w:pPr>
                </w:p>
              </w:tc>
              <w:tc>
                <w:tcPr>
                  <w:tcW w:w="577" w:type="pct"/>
                  <w:vAlign w:val="bottom"/>
                </w:tcPr>
                <w:p w14:paraId="49FE22D8" w14:textId="77777777" w:rsidR="007619EA" w:rsidRPr="00726AB5" w:rsidRDefault="007619EA" w:rsidP="00396E87">
                  <w:pPr>
                    <w:pStyle w:val="StandardOCAshurst"/>
                    <w:jc w:val="right"/>
                    <w:rPr>
                      <w:sz w:val="14"/>
                      <w:szCs w:val="14"/>
                    </w:rPr>
                  </w:pPr>
                </w:p>
              </w:tc>
              <w:tc>
                <w:tcPr>
                  <w:tcW w:w="579" w:type="pct"/>
                  <w:vAlign w:val="bottom"/>
                </w:tcPr>
                <w:p w14:paraId="358B9262" w14:textId="77777777" w:rsidR="007619EA" w:rsidRPr="00726AB5" w:rsidRDefault="007619EA" w:rsidP="00396E87">
                  <w:pPr>
                    <w:pStyle w:val="StandardOCAshurst"/>
                    <w:jc w:val="right"/>
                    <w:rPr>
                      <w:sz w:val="14"/>
                      <w:szCs w:val="14"/>
                    </w:rPr>
                  </w:pPr>
                </w:p>
              </w:tc>
              <w:tc>
                <w:tcPr>
                  <w:tcW w:w="653" w:type="pct"/>
                  <w:vAlign w:val="bottom"/>
                </w:tcPr>
                <w:p w14:paraId="467B923E" w14:textId="77777777" w:rsidR="007619EA" w:rsidRPr="00726AB5" w:rsidRDefault="007619EA" w:rsidP="00396E87">
                  <w:pPr>
                    <w:pStyle w:val="StandardOCAshurst"/>
                    <w:jc w:val="right"/>
                    <w:rPr>
                      <w:sz w:val="14"/>
                      <w:szCs w:val="14"/>
                    </w:rPr>
                  </w:pPr>
                  <w:r w:rsidRPr="000E0825">
                    <w:rPr>
                      <w:sz w:val="14"/>
                      <w:szCs w:val="14"/>
                    </w:rPr>
                    <w:t>5,601</w:t>
                  </w:r>
                </w:p>
              </w:tc>
            </w:tr>
            <w:tr w:rsidR="007619EA" w:rsidRPr="00726AB5" w14:paraId="7129773C" w14:textId="77777777" w:rsidTr="00284BEE">
              <w:tc>
                <w:tcPr>
                  <w:tcW w:w="863" w:type="pct"/>
                  <w:tcMar>
                    <w:left w:w="28" w:type="dxa"/>
                    <w:right w:w="57" w:type="dxa"/>
                  </w:tcMar>
                  <w:vAlign w:val="bottom"/>
                </w:tcPr>
                <w:p w14:paraId="3A9E1F59" w14:textId="0A281EC7" w:rsidR="007619EA" w:rsidRPr="00726AB5" w:rsidRDefault="007619EA" w:rsidP="00284BEE">
                  <w:pPr>
                    <w:pStyle w:val="StandardOCAshurst"/>
                    <w:tabs>
                      <w:tab w:val="left" w:leader="dot" w:pos="1279"/>
                    </w:tabs>
                    <w:jc w:val="left"/>
                    <w:rPr>
                      <w:sz w:val="14"/>
                      <w:szCs w:val="14"/>
                    </w:rPr>
                  </w:pPr>
                  <w:r w:rsidRPr="00726AB5">
                    <w:rPr>
                      <w:sz w:val="14"/>
                      <w:szCs w:val="14"/>
                    </w:rPr>
                    <w:t>Cash and cash equivalents</w:t>
                  </w:r>
                  <w:r w:rsidR="00284BEE">
                    <w:rPr>
                      <w:sz w:val="14"/>
                      <w:szCs w:val="14"/>
                    </w:rPr>
                    <w:tab/>
                  </w:r>
                </w:p>
              </w:tc>
              <w:tc>
                <w:tcPr>
                  <w:tcW w:w="596" w:type="pct"/>
                  <w:vAlign w:val="bottom"/>
                </w:tcPr>
                <w:p w14:paraId="5F256190"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222,830</w:t>
                  </w:r>
                </w:p>
              </w:tc>
              <w:tc>
                <w:tcPr>
                  <w:tcW w:w="577" w:type="pct"/>
                  <w:vAlign w:val="bottom"/>
                </w:tcPr>
                <w:p w14:paraId="381CAF0C"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3F74421D"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(319,558)</w:t>
                  </w:r>
                </w:p>
              </w:tc>
              <w:tc>
                <w:tcPr>
                  <w:tcW w:w="577" w:type="pct"/>
                  <w:vAlign w:val="bottom"/>
                </w:tcPr>
                <w:p w14:paraId="6A193BCF"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651855E7"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53,812</w:t>
                  </w:r>
                </w:p>
              </w:tc>
              <w:tc>
                <w:tcPr>
                  <w:tcW w:w="579" w:type="pct"/>
                  <w:vAlign w:val="bottom"/>
                </w:tcPr>
                <w:p w14:paraId="71A479B9"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45,376</w:t>
                  </w:r>
                </w:p>
              </w:tc>
              <w:tc>
                <w:tcPr>
                  <w:tcW w:w="653" w:type="pct"/>
                  <w:vAlign w:val="bottom"/>
                </w:tcPr>
                <w:p w14:paraId="4DDEA33F"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2,460</w:t>
                  </w:r>
                </w:p>
              </w:tc>
            </w:tr>
            <w:tr w:rsidR="007619EA" w:rsidRPr="00726AB5" w14:paraId="5C7E33E4" w14:textId="77777777" w:rsidTr="00284BEE">
              <w:tc>
                <w:tcPr>
                  <w:tcW w:w="863" w:type="pct"/>
                  <w:tcMar>
                    <w:left w:w="28" w:type="dxa"/>
                    <w:right w:w="57" w:type="dxa"/>
                  </w:tcMar>
                  <w:vAlign w:val="bottom"/>
                </w:tcPr>
                <w:p w14:paraId="5ED02059" w14:textId="40315CEF" w:rsidR="007619EA" w:rsidRPr="00726AB5" w:rsidRDefault="007619EA" w:rsidP="00284BEE">
                  <w:pPr>
                    <w:pStyle w:val="StandardOCAshurst"/>
                    <w:tabs>
                      <w:tab w:val="left" w:leader="dot" w:pos="1279"/>
                    </w:tabs>
                    <w:jc w:val="left"/>
                    <w:rPr>
                      <w:b/>
                      <w:bCs/>
                      <w:sz w:val="14"/>
                      <w:szCs w:val="14"/>
                    </w:rPr>
                  </w:pPr>
                  <w:r w:rsidRPr="00726AB5">
                    <w:rPr>
                      <w:b/>
                      <w:bCs/>
                      <w:sz w:val="14"/>
                      <w:szCs w:val="14"/>
                    </w:rPr>
                    <w:t>Total current assets</w:t>
                  </w:r>
                  <w:r w:rsidR="00284BEE" w:rsidRPr="00284BEE">
                    <w:rPr>
                      <w:sz w:val="14"/>
                      <w:szCs w:val="14"/>
                    </w:rPr>
                    <w:tab/>
                  </w:r>
                </w:p>
              </w:tc>
              <w:tc>
                <w:tcPr>
                  <w:tcW w:w="596" w:type="pct"/>
                  <w:vAlign w:val="bottom"/>
                </w:tcPr>
                <w:p w14:paraId="7175D15E"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406,930</w:t>
                  </w:r>
                </w:p>
              </w:tc>
              <w:tc>
                <w:tcPr>
                  <w:tcW w:w="577" w:type="pct"/>
                  <w:vAlign w:val="bottom"/>
                </w:tcPr>
                <w:p w14:paraId="4FEDF796"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24,534</w:t>
                  </w:r>
                </w:p>
              </w:tc>
              <w:tc>
                <w:tcPr>
                  <w:tcW w:w="577" w:type="pct"/>
                  <w:vAlign w:val="bottom"/>
                </w:tcPr>
                <w:p w14:paraId="774019D1"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(319,558)</w:t>
                  </w:r>
                </w:p>
              </w:tc>
              <w:tc>
                <w:tcPr>
                  <w:tcW w:w="577" w:type="pct"/>
                  <w:vAlign w:val="bottom"/>
                </w:tcPr>
                <w:p w14:paraId="712B6F71"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0</w:t>
                  </w:r>
                </w:p>
              </w:tc>
              <w:tc>
                <w:tcPr>
                  <w:tcW w:w="577" w:type="pct"/>
                  <w:vAlign w:val="bottom"/>
                </w:tcPr>
                <w:p w14:paraId="2A5F4075"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53,812</w:t>
                  </w:r>
                </w:p>
              </w:tc>
              <w:tc>
                <w:tcPr>
                  <w:tcW w:w="579" w:type="pct"/>
                  <w:vAlign w:val="bottom"/>
                </w:tcPr>
                <w:p w14:paraId="23388C77"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45,376</w:t>
                  </w:r>
                </w:p>
              </w:tc>
              <w:tc>
                <w:tcPr>
                  <w:tcW w:w="653" w:type="pct"/>
                  <w:vAlign w:val="bottom"/>
                </w:tcPr>
                <w:p w14:paraId="4B718167"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211,094</w:t>
                  </w:r>
                </w:p>
              </w:tc>
            </w:tr>
            <w:tr w:rsidR="007619EA" w:rsidRPr="00726AB5" w14:paraId="401C51BB" w14:textId="77777777" w:rsidTr="00284BEE">
              <w:tc>
                <w:tcPr>
                  <w:tcW w:w="863" w:type="pct"/>
                  <w:tcMar>
                    <w:left w:w="28" w:type="dxa"/>
                    <w:right w:w="57" w:type="dxa"/>
                  </w:tcMar>
                  <w:vAlign w:val="bottom"/>
                </w:tcPr>
                <w:p w14:paraId="7099AC1C" w14:textId="77777777" w:rsidR="007619EA" w:rsidRPr="00726AB5" w:rsidRDefault="007619EA" w:rsidP="00284BEE">
                  <w:pPr>
                    <w:pStyle w:val="StandardOCAshurst"/>
                    <w:tabs>
                      <w:tab w:val="left" w:leader="dot" w:pos="1279"/>
                    </w:tabs>
                    <w:jc w:val="left"/>
                    <w:rPr>
                      <w:sz w:val="14"/>
                      <w:szCs w:val="14"/>
                    </w:rPr>
                  </w:pPr>
                  <w:r w:rsidRPr="00726AB5">
                    <w:rPr>
                      <w:sz w:val="14"/>
                      <w:szCs w:val="14"/>
                    </w:rPr>
                    <w:t xml:space="preserve"> </w:t>
                  </w:r>
                </w:p>
              </w:tc>
              <w:tc>
                <w:tcPr>
                  <w:tcW w:w="596" w:type="pct"/>
                  <w:vAlign w:val="bottom"/>
                </w:tcPr>
                <w:p w14:paraId="526C98CB"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2B2E8FDF"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3452159C"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4C13D2F8"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2F915102" w14:textId="77777777" w:rsidR="007619EA" w:rsidRPr="00726AB5" w:rsidRDefault="007619EA" w:rsidP="00396E87">
                  <w:pPr>
                    <w:pStyle w:val="StandardOCAshurst"/>
                    <w:pBdr>
                      <w:bottom w:val="single" w:sz="4" w:space="1" w:color="auto"/>
                    </w:pBdr>
                    <w:jc w:val="right"/>
                    <w:rPr>
                      <w:sz w:val="14"/>
                      <w:szCs w:val="14"/>
                    </w:rPr>
                  </w:pPr>
                </w:p>
              </w:tc>
              <w:tc>
                <w:tcPr>
                  <w:tcW w:w="579" w:type="pct"/>
                  <w:vAlign w:val="bottom"/>
                </w:tcPr>
                <w:p w14:paraId="74DD7631" w14:textId="77777777" w:rsidR="007619EA" w:rsidRPr="00726AB5" w:rsidRDefault="007619EA" w:rsidP="00396E87">
                  <w:pPr>
                    <w:pStyle w:val="StandardOCAshurst"/>
                    <w:pBdr>
                      <w:bottom w:val="single" w:sz="4" w:space="1" w:color="auto"/>
                    </w:pBdr>
                    <w:jc w:val="right"/>
                    <w:rPr>
                      <w:sz w:val="14"/>
                      <w:szCs w:val="14"/>
                    </w:rPr>
                  </w:pPr>
                </w:p>
              </w:tc>
              <w:tc>
                <w:tcPr>
                  <w:tcW w:w="653" w:type="pct"/>
                  <w:vAlign w:val="bottom"/>
                </w:tcPr>
                <w:p w14:paraId="6F0C260A" w14:textId="77777777" w:rsidR="007619EA" w:rsidRPr="00726AB5" w:rsidRDefault="007619EA" w:rsidP="00396E87">
                  <w:pPr>
                    <w:pStyle w:val="StandardOCAshurst"/>
                    <w:pBdr>
                      <w:bottom w:val="single" w:sz="4" w:space="1" w:color="auto"/>
                    </w:pBdr>
                    <w:jc w:val="right"/>
                    <w:rPr>
                      <w:sz w:val="14"/>
                      <w:szCs w:val="14"/>
                    </w:rPr>
                  </w:pPr>
                </w:p>
              </w:tc>
            </w:tr>
            <w:tr w:rsidR="007619EA" w:rsidRPr="00726AB5" w14:paraId="7B6E8EC7" w14:textId="77777777" w:rsidTr="00284BEE">
              <w:tc>
                <w:tcPr>
                  <w:tcW w:w="863" w:type="pct"/>
                  <w:tcMar>
                    <w:left w:w="28" w:type="dxa"/>
                    <w:right w:w="57" w:type="dxa"/>
                  </w:tcMar>
                  <w:vAlign w:val="bottom"/>
                </w:tcPr>
                <w:p w14:paraId="197855C4" w14:textId="40C70FD8" w:rsidR="007619EA" w:rsidRPr="00726AB5" w:rsidRDefault="007619EA" w:rsidP="00284BEE">
                  <w:pPr>
                    <w:pStyle w:val="StandardOCAshurst"/>
                    <w:tabs>
                      <w:tab w:val="left" w:leader="dot" w:pos="1279"/>
                    </w:tabs>
                    <w:jc w:val="left"/>
                    <w:rPr>
                      <w:b/>
                      <w:bCs/>
                      <w:sz w:val="14"/>
                      <w:szCs w:val="14"/>
                    </w:rPr>
                  </w:pPr>
                  <w:r w:rsidRPr="00726AB5">
                    <w:rPr>
                      <w:b/>
                      <w:bCs/>
                      <w:sz w:val="14"/>
                      <w:szCs w:val="14"/>
                    </w:rPr>
                    <w:t>Total assets</w:t>
                  </w:r>
                  <w:r w:rsidR="00284BEE" w:rsidRPr="00284BEE">
                    <w:rPr>
                      <w:sz w:val="14"/>
                      <w:szCs w:val="14"/>
                    </w:rPr>
                    <w:tab/>
                  </w:r>
                </w:p>
              </w:tc>
              <w:tc>
                <w:tcPr>
                  <w:tcW w:w="596" w:type="pct"/>
                  <w:vAlign w:val="bottom"/>
                </w:tcPr>
                <w:p w14:paraId="387F0A15" w14:textId="739E3610" w:rsidR="007619EA" w:rsidRPr="00726AB5" w:rsidRDefault="007619EA" w:rsidP="00396E87">
                  <w:pPr>
                    <w:pStyle w:val="StandardOCAshurst"/>
                    <w:pBdr>
                      <w:bottom w:val="single" w:sz="4" w:space="1" w:color="auto"/>
                    </w:pBdr>
                    <w:jc w:val="right"/>
                    <w:rPr>
                      <w:sz w:val="14"/>
                      <w:szCs w:val="14"/>
                    </w:rPr>
                  </w:pPr>
                  <w:r w:rsidRPr="000E0825">
                    <w:rPr>
                      <w:sz w:val="14"/>
                      <w:szCs w:val="14"/>
                    </w:rPr>
                    <w:t>3,</w:t>
                  </w:r>
                  <w:r w:rsidR="00701FD8">
                    <w:rPr>
                      <w:sz w:val="14"/>
                      <w:szCs w:val="14"/>
                    </w:rPr>
                    <w:t>862,603</w:t>
                  </w:r>
                </w:p>
              </w:tc>
              <w:tc>
                <w:tcPr>
                  <w:tcW w:w="577" w:type="pct"/>
                  <w:vAlign w:val="bottom"/>
                </w:tcPr>
                <w:p w14:paraId="7CB2A536"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158,436</w:t>
                  </w:r>
                </w:p>
              </w:tc>
              <w:tc>
                <w:tcPr>
                  <w:tcW w:w="577" w:type="pct"/>
                  <w:vAlign w:val="bottom"/>
                </w:tcPr>
                <w:p w14:paraId="6C7903CC"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14,044</w:t>
                  </w:r>
                </w:p>
              </w:tc>
              <w:tc>
                <w:tcPr>
                  <w:tcW w:w="577" w:type="pct"/>
                  <w:vAlign w:val="bottom"/>
                </w:tcPr>
                <w:p w14:paraId="79939A9F" w14:textId="74C94DE5" w:rsidR="007619EA" w:rsidRPr="00726AB5" w:rsidRDefault="007619EA" w:rsidP="00396E87">
                  <w:pPr>
                    <w:pStyle w:val="StandardOCAshurst"/>
                    <w:pBdr>
                      <w:bottom w:val="single" w:sz="4" w:space="1" w:color="auto"/>
                    </w:pBdr>
                    <w:jc w:val="right"/>
                    <w:rPr>
                      <w:sz w:val="14"/>
                      <w:szCs w:val="14"/>
                    </w:rPr>
                  </w:pPr>
                  <w:r w:rsidRPr="000E0825">
                    <w:rPr>
                      <w:sz w:val="14"/>
                      <w:szCs w:val="14"/>
                    </w:rPr>
                    <w:t>2</w:t>
                  </w:r>
                  <w:r w:rsidR="009767FB">
                    <w:rPr>
                      <w:sz w:val="14"/>
                      <w:szCs w:val="14"/>
                    </w:rPr>
                    <w:t>15,205</w:t>
                  </w:r>
                </w:p>
              </w:tc>
              <w:tc>
                <w:tcPr>
                  <w:tcW w:w="577" w:type="pct"/>
                  <w:vAlign w:val="bottom"/>
                </w:tcPr>
                <w:p w14:paraId="2E9FCD29"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53,812</w:t>
                  </w:r>
                </w:p>
              </w:tc>
              <w:tc>
                <w:tcPr>
                  <w:tcW w:w="579" w:type="pct"/>
                  <w:vAlign w:val="bottom"/>
                </w:tcPr>
                <w:p w14:paraId="438E5A10"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45,376</w:t>
                  </w:r>
                </w:p>
              </w:tc>
              <w:tc>
                <w:tcPr>
                  <w:tcW w:w="653" w:type="pct"/>
                  <w:vAlign w:val="bottom"/>
                </w:tcPr>
                <w:p w14:paraId="4721EC2F" w14:textId="69BE4778" w:rsidR="007619EA" w:rsidRPr="00726AB5" w:rsidRDefault="007619EA" w:rsidP="00396E87">
                  <w:pPr>
                    <w:pStyle w:val="StandardOCAshurst"/>
                    <w:pBdr>
                      <w:bottom w:val="single" w:sz="4" w:space="1" w:color="auto"/>
                    </w:pBdr>
                    <w:jc w:val="right"/>
                    <w:rPr>
                      <w:sz w:val="14"/>
                      <w:szCs w:val="14"/>
                    </w:rPr>
                  </w:pPr>
                  <w:r w:rsidRPr="000E0825">
                    <w:rPr>
                      <w:sz w:val="14"/>
                      <w:szCs w:val="14"/>
                    </w:rPr>
                    <w:t>4,</w:t>
                  </w:r>
                  <w:r w:rsidR="009767FB">
                    <w:rPr>
                      <w:sz w:val="14"/>
                      <w:szCs w:val="14"/>
                    </w:rPr>
                    <w:t>349,476</w:t>
                  </w:r>
                </w:p>
              </w:tc>
            </w:tr>
            <w:tr w:rsidR="007619EA" w:rsidRPr="00726AB5" w14:paraId="70748BE2" w14:textId="77777777" w:rsidTr="00284BEE">
              <w:tc>
                <w:tcPr>
                  <w:tcW w:w="863" w:type="pct"/>
                  <w:tcMar>
                    <w:left w:w="28" w:type="dxa"/>
                    <w:right w:w="57" w:type="dxa"/>
                  </w:tcMar>
                  <w:vAlign w:val="bottom"/>
                </w:tcPr>
                <w:p w14:paraId="5B6861FA" w14:textId="77777777" w:rsidR="007619EA" w:rsidRPr="00726AB5" w:rsidRDefault="007619EA" w:rsidP="00284BEE">
                  <w:pPr>
                    <w:pStyle w:val="StandardOCAshurst"/>
                    <w:tabs>
                      <w:tab w:val="left" w:leader="dot" w:pos="1279"/>
                    </w:tabs>
                    <w:jc w:val="left"/>
                    <w:rPr>
                      <w:sz w:val="14"/>
                      <w:szCs w:val="14"/>
                    </w:rPr>
                  </w:pPr>
                </w:p>
              </w:tc>
              <w:tc>
                <w:tcPr>
                  <w:tcW w:w="596" w:type="pct"/>
                  <w:vAlign w:val="bottom"/>
                </w:tcPr>
                <w:p w14:paraId="4E838D0F" w14:textId="77777777" w:rsidR="007619EA" w:rsidRPr="00726AB5" w:rsidRDefault="007619EA" w:rsidP="00396E87">
                  <w:pPr>
                    <w:pStyle w:val="StandardOCAshurst"/>
                    <w:jc w:val="right"/>
                    <w:rPr>
                      <w:sz w:val="14"/>
                      <w:szCs w:val="14"/>
                    </w:rPr>
                  </w:pPr>
                </w:p>
              </w:tc>
              <w:tc>
                <w:tcPr>
                  <w:tcW w:w="577" w:type="pct"/>
                  <w:vAlign w:val="bottom"/>
                </w:tcPr>
                <w:p w14:paraId="27C75F1A" w14:textId="77777777" w:rsidR="007619EA" w:rsidRPr="00726AB5" w:rsidRDefault="007619EA" w:rsidP="00396E87">
                  <w:pPr>
                    <w:pStyle w:val="StandardOCAshurst"/>
                    <w:jc w:val="right"/>
                    <w:rPr>
                      <w:sz w:val="14"/>
                      <w:szCs w:val="14"/>
                    </w:rPr>
                  </w:pPr>
                </w:p>
              </w:tc>
              <w:tc>
                <w:tcPr>
                  <w:tcW w:w="577" w:type="pct"/>
                  <w:vAlign w:val="bottom"/>
                </w:tcPr>
                <w:p w14:paraId="26983C71" w14:textId="77777777" w:rsidR="007619EA" w:rsidRPr="00726AB5" w:rsidRDefault="007619EA" w:rsidP="00396E87">
                  <w:pPr>
                    <w:pStyle w:val="StandardOCAshurst"/>
                    <w:jc w:val="right"/>
                    <w:rPr>
                      <w:sz w:val="14"/>
                      <w:szCs w:val="14"/>
                    </w:rPr>
                  </w:pPr>
                </w:p>
              </w:tc>
              <w:tc>
                <w:tcPr>
                  <w:tcW w:w="577" w:type="pct"/>
                  <w:vAlign w:val="bottom"/>
                </w:tcPr>
                <w:p w14:paraId="39538648" w14:textId="77777777" w:rsidR="007619EA" w:rsidRPr="00726AB5" w:rsidRDefault="007619EA" w:rsidP="00396E87">
                  <w:pPr>
                    <w:pStyle w:val="StandardOCAshurst"/>
                    <w:jc w:val="right"/>
                    <w:rPr>
                      <w:sz w:val="14"/>
                      <w:szCs w:val="14"/>
                    </w:rPr>
                  </w:pPr>
                </w:p>
              </w:tc>
              <w:tc>
                <w:tcPr>
                  <w:tcW w:w="577" w:type="pct"/>
                  <w:vAlign w:val="bottom"/>
                </w:tcPr>
                <w:p w14:paraId="545339B8" w14:textId="77777777" w:rsidR="007619EA" w:rsidRPr="00726AB5" w:rsidRDefault="007619EA" w:rsidP="00396E87">
                  <w:pPr>
                    <w:pStyle w:val="StandardOCAshurst"/>
                    <w:jc w:val="right"/>
                    <w:rPr>
                      <w:sz w:val="14"/>
                      <w:szCs w:val="14"/>
                    </w:rPr>
                  </w:pPr>
                </w:p>
              </w:tc>
              <w:tc>
                <w:tcPr>
                  <w:tcW w:w="579" w:type="pct"/>
                  <w:vAlign w:val="bottom"/>
                </w:tcPr>
                <w:p w14:paraId="17DA1F37" w14:textId="77777777" w:rsidR="007619EA" w:rsidRPr="00726AB5" w:rsidRDefault="007619EA" w:rsidP="00396E87">
                  <w:pPr>
                    <w:pStyle w:val="StandardOCAshurst"/>
                    <w:jc w:val="right"/>
                    <w:rPr>
                      <w:sz w:val="14"/>
                      <w:szCs w:val="14"/>
                    </w:rPr>
                  </w:pPr>
                </w:p>
              </w:tc>
              <w:tc>
                <w:tcPr>
                  <w:tcW w:w="653" w:type="pct"/>
                  <w:vAlign w:val="bottom"/>
                </w:tcPr>
                <w:p w14:paraId="25EC2C84" w14:textId="77777777" w:rsidR="007619EA" w:rsidRPr="00726AB5" w:rsidRDefault="007619EA" w:rsidP="00396E87">
                  <w:pPr>
                    <w:pStyle w:val="StandardOCAshurst"/>
                    <w:jc w:val="right"/>
                    <w:rPr>
                      <w:sz w:val="14"/>
                      <w:szCs w:val="14"/>
                    </w:rPr>
                  </w:pPr>
                </w:p>
              </w:tc>
            </w:tr>
            <w:tr w:rsidR="007619EA" w:rsidRPr="00726AB5" w14:paraId="096135EA" w14:textId="77777777" w:rsidTr="00284BEE">
              <w:tc>
                <w:tcPr>
                  <w:tcW w:w="863" w:type="pct"/>
                  <w:tcMar>
                    <w:left w:w="28" w:type="dxa"/>
                    <w:right w:w="57" w:type="dxa"/>
                  </w:tcMar>
                  <w:vAlign w:val="bottom"/>
                </w:tcPr>
                <w:p w14:paraId="42274554" w14:textId="77777777" w:rsidR="007619EA" w:rsidRPr="00726AB5" w:rsidRDefault="007619EA" w:rsidP="00284BEE">
                  <w:pPr>
                    <w:pStyle w:val="StandardOCAshurst"/>
                    <w:tabs>
                      <w:tab w:val="left" w:leader="dot" w:pos="1279"/>
                    </w:tabs>
                    <w:jc w:val="left"/>
                    <w:rPr>
                      <w:b/>
                      <w:bCs/>
                      <w:sz w:val="14"/>
                      <w:szCs w:val="14"/>
                    </w:rPr>
                  </w:pPr>
                  <w:r w:rsidRPr="00726AB5">
                    <w:rPr>
                      <w:b/>
                      <w:bCs/>
                      <w:sz w:val="14"/>
                      <w:szCs w:val="14"/>
                    </w:rPr>
                    <w:t>Liabilities</w:t>
                  </w:r>
                </w:p>
              </w:tc>
              <w:tc>
                <w:tcPr>
                  <w:tcW w:w="596" w:type="pct"/>
                  <w:vAlign w:val="bottom"/>
                </w:tcPr>
                <w:p w14:paraId="779B7477" w14:textId="77777777" w:rsidR="007619EA" w:rsidRPr="00726AB5" w:rsidRDefault="007619EA" w:rsidP="00396E87">
                  <w:pPr>
                    <w:pStyle w:val="StandardOCAshurst"/>
                    <w:jc w:val="right"/>
                    <w:rPr>
                      <w:sz w:val="14"/>
                      <w:szCs w:val="14"/>
                    </w:rPr>
                  </w:pPr>
                </w:p>
              </w:tc>
              <w:tc>
                <w:tcPr>
                  <w:tcW w:w="577" w:type="pct"/>
                  <w:vAlign w:val="bottom"/>
                </w:tcPr>
                <w:p w14:paraId="21CFE7FA" w14:textId="77777777" w:rsidR="007619EA" w:rsidRPr="00726AB5" w:rsidRDefault="007619EA" w:rsidP="00396E87">
                  <w:pPr>
                    <w:pStyle w:val="StandardOCAshurst"/>
                    <w:jc w:val="right"/>
                    <w:rPr>
                      <w:sz w:val="14"/>
                      <w:szCs w:val="14"/>
                    </w:rPr>
                  </w:pPr>
                </w:p>
              </w:tc>
              <w:tc>
                <w:tcPr>
                  <w:tcW w:w="577" w:type="pct"/>
                  <w:vAlign w:val="bottom"/>
                </w:tcPr>
                <w:p w14:paraId="40032747" w14:textId="77777777" w:rsidR="007619EA" w:rsidRPr="00726AB5" w:rsidRDefault="007619EA" w:rsidP="00396E87">
                  <w:pPr>
                    <w:pStyle w:val="StandardOCAshurst"/>
                    <w:jc w:val="right"/>
                    <w:rPr>
                      <w:sz w:val="14"/>
                      <w:szCs w:val="14"/>
                    </w:rPr>
                  </w:pPr>
                </w:p>
              </w:tc>
              <w:tc>
                <w:tcPr>
                  <w:tcW w:w="577" w:type="pct"/>
                  <w:vAlign w:val="bottom"/>
                </w:tcPr>
                <w:p w14:paraId="5406B73E" w14:textId="77777777" w:rsidR="007619EA" w:rsidRPr="00726AB5" w:rsidRDefault="007619EA" w:rsidP="00396E87">
                  <w:pPr>
                    <w:pStyle w:val="StandardOCAshurst"/>
                    <w:jc w:val="right"/>
                    <w:rPr>
                      <w:sz w:val="14"/>
                      <w:szCs w:val="14"/>
                    </w:rPr>
                  </w:pPr>
                </w:p>
              </w:tc>
              <w:tc>
                <w:tcPr>
                  <w:tcW w:w="577" w:type="pct"/>
                  <w:vAlign w:val="bottom"/>
                </w:tcPr>
                <w:p w14:paraId="20B0A74F" w14:textId="77777777" w:rsidR="007619EA" w:rsidRPr="00726AB5" w:rsidRDefault="007619EA" w:rsidP="00396E87">
                  <w:pPr>
                    <w:pStyle w:val="StandardOCAshurst"/>
                    <w:jc w:val="right"/>
                    <w:rPr>
                      <w:sz w:val="14"/>
                      <w:szCs w:val="14"/>
                    </w:rPr>
                  </w:pPr>
                </w:p>
              </w:tc>
              <w:tc>
                <w:tcPr>
                  <w:tcW w:w="579" w:type="pct"/>
                  <w:vAlign w:val="bottom"/>
                </w:tcPr>
                <w:p w14:paraId="340F36C0" w14:textId="77777777" w:rsidR="007619EA" w:rsidRPr="00726AB5" w:rsidRDefault="007619EA" w:rsidP="00396E87">
                  <w:pPr>
                    <w:pStyle w:val="StandardOCAshurst"/>
                    <w:jc w:val="right"/>
                    <w:rPr>
                      <w:sz w:val="14"/>
                      <w:szCs w:val="14"/>
                    </w:rPr>
                  </w:pPr>
                </w:p>
              </w:tc>
              <w:tc>
                <w:tcPr>
                  <w:tcW w:w="653" w:type="pct"/>
                  <w:vAlign w:val="bottom"/>
                </w:tcPr>
                <w:p w14:paraId="46B42E4E" w14:textId="77777777" w:rsidR="007619EA" w:rsidRPr="00726AB5" w:rsidRDefault="007619EA" w:rsidP="00396E87">
                  <w:pPr>
                    <w:pStyle w:val="StandardOCAshurst"/>
                    <w:jc w:val="right"/>
                    <w:rPr>
                      <w:sz w:val="14"/>
                      <w:szCs w:val="14"/>
                    </w:rPr>
                  </w:pPr>
                </w:p>
              </w:tc>
            </w:tr>
            <w:tr w:rsidR="007619EA" w:rsidRPr="00726AB5" w14:paraId="38C6D563" w14:textId="77777777" w:rsidTr="00284BEE">
              <w:tc>
                <w:tcPr>
                  <w:tcW w:w="863" w:type="pct"/>
                  <w:tcMar>
                    <w:left w:w="28" w:type="dxa"/>
                    <w:right w:w="57" w:type="dxa"/>
                  </w:tcMar>
                  <w:vAlign w:val="bottom"/>
                </w:tcPr>
                <w:p w14:paraId="715E01BC" w14:textId="77777777" w:rsidR="007619EA" w:rsidRPr="00726AB5" w:rsidRDefault="007619EA" w:rsidP="00284BEE">
                  <w:pPr>
                    <w:pStyle w:val="StandardOCAshurst"/>
                    <w:tabs>
                      <w:tab w:val="left" w:leader="dot" w:pos="1279"/>
                    </w:tabs>
                    <w:jc w:val="left"/>
                    <w:rPr>
                      <w:sz w:val="14"/>
                      <w:szCs w:val="14"/>
                    </w:rPr>
                  </w:pPr>
                  <w:r w:rsidRPr="00726AB5">
                    <w:rPr>
                      <w:sz w:val="14"/>
                      <w:szCs w:val="14"/>
                    </w:rPr>
                    <w:t xml:space="preserve"> </w:t>
                  </w:r>
                </w:p>
              </w:tc>
              <w:tc>
                <w:tcPr>
                  <w:tcW w:w="596" w:type="pct"/>
                  <w:vAlign w:val="bottom"/>
                </w:tcPr>
                <w:p w14:paraId="3E757E2F" w14:textId="77777777" w:rsidR="007619EA" w:rsidRPr="00726AB5" w:rsidRDefault="007619EA" w:rsidP="00396E87">
                  <w:pPr>
                    <w:pStyle w:val="StandardOCAshurst"/>
                    <w:jc w:val="right"/>
                    <w:rPr>
                      <w:sz w:val="14"/>
                      <w:szCs w:val="14"/>
                    </w:rPr>
                  </w:pPr>
                </w:p>
              </w:tc>
              <w:tc>
                <w:tcPr>
                  <w:tcW w:w="577" w:type="pct"/>
                  <w:vAlign w:val="bottom"/>
                </w:tcPr>
                <w:p w14:paraId="3C76B8B3" w14:textId="77777777" w:rsidR="007619EA" w:rsidRPr="00726AB5" w:rsidRDefault="007619EA" w:rsidP="00396E87">
                  <w:pPr>
                    <w:pStyle w:val="StandardOCAshurst"/>
                    <w:jc w:val="right"/>
                    <w:rPr>
                      <w:sz w:val="14"/>
                      <w:szCs w:val="14"/>
                    </w:rPr>
                  </w:pPr>
                </w:p>
              </w:tc>
              <w:tc>
                <w:tcPr>
                  <w:tcW w:w="577" w:type="pct"/>
                  <w:vAlign w:val="bottom"/>
                </w:tcPr>
                <w:p w14:paraId="31988CE3" w14:textId="77777777" w:rsidR="007619EA" w:rsidRPr="00726AB5" w:rsidRDefault="007619EA" w:rsidP="00396E87">
                  <w:pPr>
                    <w:pStyle w:val="StandardOCAshurst"/>
                    <w:jc w:val="right"/>
                    <w:rPr>
                      <w:sz w:val="14"/>
                      <w:szCs w:val="14"/>
                    </w:rPr>
                  </w:pPr>
                </w:p>
              </w:tc>
              <w:tc>
                <w:tcPr>
                  <w:tcW w:w="577" w:type="pct"/>
                  <w:vAlign w:val="bottom"/>
                </w:tcPr>
                <w:p w14:paraId="44619C7C" w14:textId="77777777" w:rsidR="007619EA" w:rsidRPr="00726AB5" w:rsidRDefault="007619EA" w:rsidP="00396E87">
                  <w:pPr>
                    <w:pStyle w:val="StandardOCAshurst"/>
                    <w:jc w:val="right"/>
                    <w:rPr>
                      <w:sz w:val="14"/>
                      <w:szCs w:val="14"/>
                    </w:rPr>
                  </w:pPr>
                </w:p>
              </w:tc>
              <w:tc>
                <w:tcPr>
                  <w:tcW w:w="577" w:type="pct"/>
                  <w:vAlign w:val="bottom"/>
                </w:tcPr>
                <w:p w14:paraId="6FBD077A" w14:textId="77777777" w:rsidR="007619EA" w:rsidRPr="00726AB5" w:rsidRDefault="007619EA" w:rsidP="00396E87">
                  <w:pPr>
                    <w:pStyle w:val="StandardOCAshurst"/>
                    <w:jc w:val="right"/>
                    <w:rPr>
                      <w:sz w:val="14"/>
                      <w:szCs w:val="14"/>
                    </w:rPr>
                  </w:pPr>
                </w:p>
              </w:tc>
              <w:tc>
                <w:tcPr>
                  <w:tcW w:w="579" w:type="pct"/>
                  <w:vAlign w:val="bottom"/>
                </w:tcPr>
                <w:p w14:paraId="41D4C9A2" w14:textId="77777777" w:rsidR="007619EA" w:rsidRPr="00726AB5" w:rsidRDefault="007619EA" w:rsidP="00396E87">
                  <w:pPr>
                    <w:pStyle w:val="StandardOCAshurst"/>
                    <w:jc w:val="right"/>
                    <w:rPr>
                      <w:sz w:val="14"/>
                      <w:szCs w:val="14"/>
                    </w:rPr>
                  </w:pPr>
                </w:p>
              </w:tc>
              <w:tc>
                <w:tcPr>
                  <w:tcW w:w="653" w:type="pct"/>
                  <w:vAlign w:val="bottom"/>
                </w:tcPr>
                <w:p w14:paraId="1B481E80" w14:textId="77777777" w:rsidR="007619EA" w:rsidRPr="00726AB5" w:rsidRDefault="007619EA" w:rsidP="00396E87">
                  <w:pPr>
                    <w:pStyle w:val="StandardOCAshurst"/>
                    <w:jc w:val="right"/>
                    <w:rPr>
                      <w:sz w:val="14"/>
                      <w:szCs w:val="14"/>
                    </w:rPr>
                  </w:pPr>
                </w:p>
              </w:tc>
            </w:tr>
            <w:tr w:rsidR="007619EA" w:rsidRPr="00726AB5" w14:paraId="3DD862D8" w14:textId="77777777" w:rsidTr="00284BEE">
              <w:tc>
                <w:tcPr>
                  <w:tcW w:w="863" w:type="pct"/>
                  <w:tcMar>
                    <w:left w:w="28" w:type="dxa"/>
                    <w:right w:w="57" w:type="dxa"/>
                  </w:tcMar>
                  <w:vAlign w:val="bottom"/>
                </w:tcPr>
                <w:p w14:paraId="3EF51C58" w14:textId="77777777" w:rsidR="007619EA" w:rsidRPr="00726AB5" w:rsidRDefault="007619EA" w:rsidP="00284BEE">
                  <w:pPr>
                    <w:pStyle w:val="StandardOCAshurst"/>
                    <w:tabs>
                      <w:tab w:val="left" w:leader="dot" w:pos="1279"/>
                    </w:tabs>
                    <w:jc w:val="left"/>
                    <w:rPr>
                      <w:b/>
                      <w:bCs/>
                      <w:sz w:val="14"/>
                      <w:szCs w:val="14"/>
                    </w:rPr>
                  </w:pPr>
                  <w:r w:rsidRPr="00726AB5">
                    <w:rPr>
                      <w:b/>
                      <w:bCs/>
                      <w:sz w:val="14"/>
                      <w:szCs w:val="14"/>
                    </w:rPr>
                    <w:t>Current liabilities</w:t>
                  </w:r>
                </w:p>
              </w:tc>
              <w:tc>
                <w:tcPr>
                  <w:tcW w:w="596" w:type="pct"/>
                  <w:vAlign w:val="bottom"/>
                </w:tcPr>
                <w:p w14:paraId="5C4D2C97" w14:textId="77777777" w:rsidR="007619EA" w:rsidRPr="00726AB5" w:rsidRDefault="007619EA" w:rsidP="00396E87">
                  <w:pPr>
                    <w:pStyle w:val="StandardOCAshurst"/>
                    <w:jc w:val="right"/>
                    <w:rPr>
                      <w:sz w:val="14"/>
                      <w:szCs w:val="14"/>
                    </w:rPr>
                  </w:pPr>
                </w:p>
              </w:tc>
              <w:tc>
                <w:tcPr>
                  <w:tcW w:w="577" w:type="pct"/>
                  <w:vAlign w:val="bottom"/>
                </w:tcPr>
                <w:p w14:paraId="17B487C8" w14:textId="77777777" w:rsidR="007619EA" w:rsidRPr="00726AB5" w:rsidRDefault="007619EA" w:rsidP="00396E87">
                  <w:pPr>
                    <w:pStyle w:val="StandardOCAshurst"/>
                    <w:jc w:val="right"/>
                    <w:rPr>
                      <w:sz w:val="14"/>
                      <w:szCs w:val="14"/>
                    </w:rPr>
                  </w:pPr>
                </w:p>
              </w:tc>
              <w:tc>
                <w:tcPr>
                  <w:tcW w:w="577" w:type="pct"/>
                  <w:vAlign w:val="bottom"/>
                </w:tcPr>
                <w:p w14:paraId="03C9BEDB" w14:textId="77777777" w:rsidR="007619EA" w:rsidRPr="00726AB5" w:rsidRDefault="007619EA" w:rsidP="00396E87">
                  <w:pPr>
                    <w:pStyle w:val="StandardOCAshurst"/>
                    <w:jc w:val="right"/>
                    <w:rPr>
                      <w:sz w:val="14"/>
                      <w:szCs w:val="14"/>
                    </w:rPr>
                  </w:pPr>
                </w:p>
              </w:tc>
              <w:tc>
                <w:tcPr>
                  <w:tcW w:w="577" w:type="pct"/>
                  <w:vAlign w:val="bottom"/>
                </w:tcPr>
                <w:p w14:paraId="6DAB77B3" w14:textId="77777777" w:rsidR="007619EA" w:rsidRPr="00726AB5" w:rsidRDefault="007619EA" w:rsidP="00396E87">
                  <w:pPr>
                    <w:pStyle w:val="StandardOCAshurst"/>
                    <w:jc w:val="right"/>
                    <w:rPr>
                      <w:sz w:val="14"/>
                      <w:szCs w:val="14"/>
                    </w:rPr>
                  </w:pPr>
                </w:p>
              </w:tc>
              <w:tc>
                <w:tcPr>
                  <w:tcW w:w="577" w:type="pct"/>
                  <w:vAlign w:val="bottom"/>
                </w:tcPr>
                <w:p w14:paraId="661C0B4E" w14:textId="77777777" w:rsidR="007619EA" w:rsidRPr="00726AB5" w:rsidRDefault="007619EA" w:rsidP="00396E87">
                  <w:pPr>
                    <w:pStyle w:val="StandardOCAshurst"/>
                    <w:jc w:val="right"/>
                    <w:rPr>
                      <w:sz w:val="14"/>
                      <w:szCs w:val="14"/>
                    </w:rPr>
                  </w:pPr>
                </w:p>
              </w:tc>
              <w:tc>
                <w:tcPr>
                  <w:tcW w:w="579" w:type="pct"/>
                  <w:vAlign w:val="bottom"/>
                </w:tcPr>
                <w:p w14:paraId="5CEAA426" w14:textId="77777777" w:rsidR="007619EA" w:rsidRPr="00726AB5" w:rsidRDefault="007619EA" w:rsidP="00396E87">
                  <w:pPr>
                    <w:pStyle w:val="StandardOCAshurst"/>
                    <w:jc w:val="right"/>
                    <w:rPr>
                      <w:sz w:val="14"/>
                      <w:szCs w:val="14"/>
                    </w:rPr>
                  </w:pPr>
                </w:p>
              </w:tc>
              <w:tc>
                <w:tcPr>
                  <w:tcW w:w="653" w:type="pct"/>
                  <w:vAlign w:val="bottom"/>
                </w:tcPr>
                <w:p w14:paraId="30A82677" w14:textId="77777777" w:rsidR="007619EA" w:rsidRPr="00726AB5" w:rsidRDefault="007619EA" w:rsidP="00396E87">
                  <w:pPr>
                    <w:pStyle w:val="StandardOCAshurst"/>
                    <w:jc w:val="right"/>
                    <w:rPr>
                      <w:sz w:val="14"/>
                      <w:szCs w:val="14"/>
                    </w:rPr>
                  </w:pPr>
                </w:p>
              </w:tc>
            </w:tr>
            <w:tr w:rsidR="007619EA" w:rsidRPr="00726AB5" w14:paraId="13DA8813" w14:textId="77777777" w:rsidTr="00284BEE">
              <w:tc>
                <w:tcPr>
                  <w:tcW w:w="863" w:type="pct"/>
                  <w:tcMar>
                    <w:left w:w="28" w:type="dxa"/>
                    <w:right w:w="57" w:type="dxa"/>
                  </w:tcMar>
                  <w:vAlign w:val="bottom"/>
                </w:tcPr>
                <w:p w14:paraId="3154DA7A" w14:textId="2FB7B533" w:rsidR="007619EA" w:rsidRPr="00726AB5" w:rsidRDefault="007619EA" w:rsidP="00284BEE">
                  <w:pPr>
                    <w:pStyle w:val="StandardOCAshurst"/>
                    <w:tabs>
                      <w:tab w:val="left" w:leader="dot" w:pos="1279"/>
                    </w:tabs>
                    <w:jc w:val="left"/>
                    <w:rPr>
                      <w:sz w:val="14"/>
                      <w:szCs w:val="14"/>
                    </w:rPr>
                  </w:pPr>
                  <w:r w:rsidRPr="00726AB5">
                    <w:rPr>
                      <w:sz w:val="14"/>
                      <w:szCs w:val="14"/>
                    </w:rPr>
                    <w:t>Borrowings</w:t>
                  </w:r>
                  <w:r w:rsidR="00284BEE">
                    <w:rPr>
                      <w:sz w:val="14"/>
                      <w:szCs w:val="14"/>
                    </w:rPr>
                    <w:tab/>
                  </w:r>
                </w:p>
              </w:tc>
              <w:tc>
                <w:tcPr>
                  <w:tcW w:w="596" w:type="pct"/>
                  <w:vAlign w:val="bottom"/>
                </w:tcPr>
                <w:p w14:paraId="1F4E4447" w14:textId="77777777" w:rsidR="007619EA" w:rsidRPr="00726AB5" w:rsidRDefault="007619EA" w:rsidP="00396E87">
                  <w:pPr>
                    <w:pStyle w:val="StandardOCAshurst"/>
                    <w:jc w:val="right"/>
                    <w:rPr>
                      <w:sz w:val="14"/>
                      <w:szCs w:val="14"/>
                    </w:rPr>
                  </w:pPr>
                  <w:r w:rsidRPr="000E0825">
                    <w:rPr>
                      <w:sz w:val="14"/>
                      <w:szCs w:val="14"/>
                    </w:rPr>
                    <w:t>414,430</w:t>
                  </w:r>
                </w:p>
              </w:tc>
              <w:tc>
                <w:tcPr>
                  <w:tcW w:w="577" w:type="pct"/>
                  <w:vAlign w:val="bottom"/>
                </w:tcPr>
                <w:p w14:paraId="189E15FC" w14:textId="77777777" w:rsidR="007619EA" w:rsidRPr="00726AB5" w:rsidRDefault="007619EA" w:rsidP="00396E87">
                  <w:pPr>
                    <w:pStyle w:val="StandardOCAshurst"/>
                    <w:jc w:val="right"/>
                    <w:rPr>
                      <w:sz w:val="14"/>
                      <w:szCs w:val="14"/>
                    </w:rPr>
                  </w:pPr>
                </w:p>
              </w:tc>
              <w:tc>
                <w:tcPr>
                  <w:tcW w:w="577" w:type="pct"/>
                  <w:vAlign w:val="bottom"/>
                </w:tcPr>
                <w:p w14:paraId="03BE3540" w14:textId="77777777" w:rsidR="007619EA" w:rsidRPr="00726AB5" w:rsidRDefault="007619EA" w:rsidP="00396E87">
                  <w:pPr>
                    <w:pStyle w:val="StandardOCAshurst"/>
                    <w:jc w:val="right"/>
                    <w:rPr>
                      <w:sz w:val="14"/>
                      <w:szCs w:val="14"/>
                    </w:rPr>
                  </w:pPr>
                </w:p>
              </w:tc>
              <w:tc>
                <w:tcPr>
                  <w:tcW w:w="577" w:type="pct"/>
                  <w:vAlign w:val="bottom"/>
                </w:tcPr>
                <w:p w14:paraId="330D7D6A" w14:textId="77777777" w:rsidR="007619EA" w:rsidRPr="00726AB5" w:rsidRDefault="007619EA" w:rsidP="00396E87">
                  <w:pPr>
                    <w:pStyle w:val="StandardOCAshurst"/>
                    <w:jc w:val="right"/>
                    <w:rPr>
                      <w:sz w:val="14"/>
                      <w:szCs w:val="14"/>
                    </w:rPr>
                  </w:pPr>
                </w:p>
              </w:tc>
              <w:tc>
                <w:tcPr>
                  <w:tcW w:w="577" w:type="pct"/>
                  <w:vAlign w:val="bottom"/>
                </w:tcPr>
                <w:p w14:paraId="279128F2" w14:textId="77777777" w:rsidR="007619EA" w:rsidRPr="00726AB5" w:rsidRDefault="007619EA" w:rsidP="00396E87">
                  <w:pPr>
                    <w:pStyle w:val="StandardOCAshurst"/>
                    <w:jc w:val="right"/>
                    <w:rPr>
                      <w:sz w:val="14"/>
                      <w:szCs w:val="14"/>
                    </w:rPr>
                  </w:pPr>
                  <w:r w:rsidRPr="000E0825">
                    <w:rPr>
                      <w:sz w:val="14"/>
                      <w:szCs w:val="14"/>
                    </w:rPr>
                    <w:t>(405,193)</w:t>
                  </w:r>
                </w:p>
              </w:tc>
              <w:tc>
                <w:tcPr>
                  <w:tcW w:w="579" w:type="pct"/>
                  <w:vAlign w:val="bottom"/>
                </w:tcPr>
                <w:p w14:paraId="06DC92CD" w14:textId="77777777" w:rsidR="007619EA" w:rsidRPr="00726AB5" w:rsidRDefault="007619EA" w:rsidP="00396E87">
                  <w:pPr>
                    <w:pStyle w:val="StandardOCAshurst"/>
                    <w:jc w:val="right"/>
                    <w:rPr>
                      <w:sz w:val="14"/>
                      <w:szCs w:val="14"/>
                    </w:rPr>
                  </w:pPr>
                </w:p>
              </w:tc>
              <w:tc>
                <w:tcPr>
                  <w:tcW w:w="653" w:type="pct"/>
                  <w:vAlign w:val="bottom"/>
                </w:tcPr>
                <w:p w14:paraId="56F86F81" w14:textId="77777777" w:rsidR="007619EA" w:rsidRPr="00726AB5" w:rsidRDefault="007619EA" w:rsidP="00396E87">
                  <w:pPr>
                    <w:pStyle w:val="StandardOCAshurst"/>
                    <w:jc w:val="right"/>
                    <w:rPr>
                      <w:sz w:val="14"/>
                      <w:szCs w:val="14"/>
                    </w:rPr>
                  </w:pPr>
                  <w:r w:rsidRPr="000E0825">
                    <w:rPr>
                      <w:sz w:val="14"/>
                      <w:szCs w:val="14"/>
                    </w:rPr>
                    <w:t>9,237</w:t>
                  </w:r>
                </w:p>
              </w:tc>
            </w:tr>
            <w:tr w:rsidR="007619EA" w:rsidRPr="00726AB5" w14:paraId="72896DFA" w14:textId="77777777" w:rsidTr="00284BEE">
              <w:tc>
                <w:tcPr>
                  <w:tcW w:w="863" w:type="pct"/>
                  <w:tcMar>
                    <w:left w:w="28" w:type="dxa"/>
                    <w:right w:w="57" w:type="dxa"/>
                  </w:tcMar>
                  <w:vAlign w:val="bottom"/>
                </w:tcPr>
                <w:p w14:paraId="41A2FD12" w14:textId="35AF364D" w:rsidR="007619EA" w:rsidRPr="00726AB5" w:rsidRDefault="007619EA" w:rsidP="00284BEE">
                  <w:pPr>
                    <w:pStyle w:val="StandardOCAshurst"/>
                    <w:tabs>
                      <w:tab w:val="left" w:leader="dot" w:pos="1279"/>
                    </w:tabs>
                    <w:jc w:val="left"/>
                    <w:rPr>
                      <w:sz w:val="14"/>
                      <w:szCs w:val="14"/>
                    </w:rPr>
                  </w:pPr>
                  <w:r w:rsidRPr="00726AB5">
                    <w:rPr>
                      <w:sz w:val="14"/>
                      <w:szCs w:val="14"/>
                    </w:rPr>
                    <w:t>Leases liability</w:t>
                  </w:r>
                  <w:r w:rsidR="00284BEE">
                    <w:rPr>
                      <w:sz w:val="14"/>
                      <w:szCs w:val="14"/>
                    </w:rPr>
                    <w:tab/>
                  </w:r>
                </w:p>
              </w:tc>
              <w:tc>
                <w:tcPr>
                  <w:tcW w:w="596" w:type="pct"/>
                  <w:vAlign w:val="bottom"/>
                </w:tcPr>
                <w:p w14:paraId="24D36FE9" w14:textId="77777777" w:rsidR="007619EA" w:rsidRPr="00726AB5" w:rsidRDefault="007619EA" w:rsidP="00396E87">
                  <w:pPr>
                    <w:pStyle w:val="StandardOCAshurst"/>
                    <w:jc w:val="right"/>
                    <w:rPr>
                      <w:sz w:val="14"/>
                      <w:szCs w:val="14"/>
                    </w:rPr>
                  </w:pPr>
                  <w:r w:rsidRPr="000E0825">
                    <w:rPr>
                      <w:sz w:val="14"/>
                      <w:szCs w:val="14"/>
                    </w:rPr>
                    <w:t>99,439</w:t>
                  </w:r>
                </w:p>
              </w:tc>
              <w:tc>
                <w:tcPr>
                  <w:tcW w:w="577" w:type="pct"/>
                  <w:vAlign w:val="bottom"/>
                </w:tcPr>
                <w:p w14:paraId="5E790559" w14:textId="77777777" w:rsidR="007619EA" w:rsidRPr="00726AB5" w:rsidRDefault="007619EA" w:rsidP="00396E87">
                  <w:pPr>
                    <w:pStyle w:val="StandardOCAshurst"/>
                    <w:jc w:val="right"/>
                    <w:rPr>
                      <w:sz w:val="14"/>
                      <w:szCs w:val="14"/>
                    </w:rPr>
                  </w:pPr>
                </w:p>
              </w:tc>
              <w:tc>
                <w:tcPr>
                  <w:tcW w:w="577" w:type="pct"/>
                  <w:vAlign w:val="bottom"/>
                </w:tcPr>
                <w:p w14:paraId="63CF2104" w14:textId="77777777" w:rsidR="007619EA" w:rsidRPr="00726AB5" w:rsidRDefault="007619EA" w:rsidP="00396E87">
                  <w:pPr>
                    <w:pStyle w:val="StandardOCAshurst"/>
                    <w:jc w:val="right"/>
                    <w:rPr>
                      <w:sz w:val="14"/>
                      <w:szCs w:val="14"/>
                    </w:rPr>
                  </w:pPr>
                </w:p>
              </w:tc>
              <w:tc>
                <w:tcPr>
                  <w:tcW w:w="577" w:type="pct"/>
                  <w:vAlign w:val="bottom"/>
                </w:tcPr>
                <w:p w14:paraId="1C326FB2" w14:textId="77777777" w:rsidR="007619EA" w:rsidRPr="00726AB5" w:rsidRDefault="007619EA" w:rsidP="00396E87">
                  <w:pPr>
                    <w:pStyle w:val="StandardOCAshurst"/>
                    <w:jc w:val="right"/>
                    <w:rPr>
                      <w:sz w:val="14"/>
                      <w:szCs w:val="14"/>
                    </w:rPr>
                  </w:pPr>
                </w:p>
              </w:tc>
              <w:tc>
                <w:tcPr>
                  <w:tcW w:w="577" w:type="pct"/>
                  <w:vAlign w:val="bottom"/>
                </w:tcPr>
                <w:p w14:paraId="55F3BFF4" w14:textId="77777777" w:rsidR="007619EA" w:rsidRPr="00726AB5" w:rsidRDefault="007619EA" w:rsidP="00396E87">
                  <w:pPr>
                    <w:pStyle w:val="StandardOCAshurst"/>
                    <w:jc w:val="right"/>
                    <w:rPr>
                      <w:sz w:val="14"/>
                      <w:szCs w:val="14"/>
                    </w:rPr>
                  </w:pPr>
                </w:p>
              </w:tc>
              <w:tc>
                <w:tcPr>
                  <w:tcW w:w="579" w:type="pct"/>
                  <w:vAlign w:val="bottom"/>
                </w:tcPr>
                <w:p w14:paraId="0317C7A4" w14:textId="77777777" w:rsidR="007619EA" w:rsidRPr="00726AB5" w:rsidRDefault="007619EA" w:rsidP="00396E87">
                  <w:pPr>
                    <w:pStyle w:val="StandardOCAshurst"/>
                    <w:jc w:val="right"/>
                    <w:rPr>
                      <w:sz w:val="14"/>
                      <w:szCs w:val="14"/>
                    </w:rPr>
                  </w:pPr>
                </w:p>
              </w:tc>
              <w:tc>
                <w:tcPr>
                  <w:tcW w:w="653" w:type="pct"/>
                  <w:vAlign w:val="bottom"/>
                </w:tcPr>
                <w:p w14:paraId="42528371" w14:textId="77777777" w:rsidR="007619EA" w:rsidRPr="00726AB5" w:rsidRDefault="007619EA" w:rsidP="00396E87">
                  <w:pPr>
                    <w:pStyle w:val="StandardOCAshurst"/>
                    <w:jc w:val="right"/>
                    <w:rPr>
                      <w:sz w:val="14"/>
                      <w:szCs w:val="14"/>
                    </w:rPr>
                  </w:pPr>
                  <w:r w:rsidRPr="000E0825">
                    <w:rPr>
                      <w:sz w:val="14"/>
                      <w:szCs w:val="14"/>
                    </w:rPr>
                    <w:t>99,439</w:t>
                  </w:r>
                </w:p>
              </w:tc>
            </w:tr>
            <w:tr w:rsidR="007619EA" w:rsidRPr="00726AB5" w14:paraId="46ADFB89" w14:textId="77777777" w:rsidTr="00284BEE">
              <w:tc>
                <w:tcPr>
                  <w:tcW w:w="863" w:type="pct"/>
                  <w:tcMar>
                    <w:left w:w="28" w:type="dxa"/>
                    <w:right w:w="57" w:type="dxa"/>
                  </w:tcMar>
                  <w:vAlign w:val="bottom"/>
                </w:tcPr>
                <w:p w14:paraId="1D4CFE31" w14:textId="1DC2FA79" w:rsidR="007619EA" w:rsidRPr="00726AB5" w:rsidRDefault="007619EA" w:rsidP="00284BEE">
                  <w:pPr>
                    <w:pStyle w:val="StandardOCAshurst"/>
                    <w:tabs>
                      <w:tab w:val="left" w:leader="dot" w:pos="1279"/>
                    </w:tabs>
                    <w:jc w:val="left"/>
                    <w:rPr>
                      <w:sz w:val="14"/>
                      <w:szCs w:val="14"/>
                    </w:rPr>
                  </w:pPr>
                  <w:r w:rsidRPr="00726AB5">
                    <w:rPr>
                      <w:sz w:val="14"/>
                      <w:szCs w:val="14"/>
                    </w:rPr>
                    <w:t>Contingent consideration</w:t>
                  </w:r>
                  <w:r w:rsidR="00284BEE">
                    <w:rPr>
                      <w:sz w:val="14"/>
                      <w:szCs w:val="14"/>
                    </w:rPr>
                    <w:tab/>
                  </w:r>
                </w:p>
              </w:tc>
              <w:tc>
                <w:tcPr>
                  <w:tcW w:w="596" w:type="pct"/>
                  <w:vAlign w:val="bottom"/>
                </w:tcPr>
                <w:p w14:paraId="2DC066B5" w14:textId="77777777" w:rsidR="007619EA" w:rsidRPr="00726AB5" w:rsidRDefault="007619EA" w:rsidP="00396E87">
                  <w:pPr>
                    <w:pStyle w:val="StandardOCAshurst"/>
                    <w:jc w:val="right"/>
                    <w:rPr>
                      <w:sz w:val="14"/>
                      <w:szCs w:val="14"/>
                    </w:rPr>
                  </w:pPr>
                  <w:r w:rsidRPr="000E0825">
                    <w:rPr>
                      <w:sz w:val="14"/>
                      <w:szCs w:val="14"/>
                    </w:rPr>
                    <w:t>73,877</w:t>
                  </w:r>
                </w:p>
              </w:tc>
              <w:tc>
                <w:tcPr>
                  <w:tcW w:w="577" w:type="pct"/>
                  <w:vAlign w:val="bottom"/>
                </w:tcPr>
                <w:p w14:paraId="4930FD7A" w14:textId="77777777" w:rsidR="007619EA" w:rsidRPr="00726AB5" w:rsidRDefault="007619EA" w:rsidP="00396E87">
                  <w:pPr>
                    <w:pStyle w:val="StandardOCAshurst"/>
                    <w:jc w:val="right"/>
                    <w:rPr>
                      <w:sz w:val="14"/>
                      <w:szCs w:val="14"/>
                    </w:rPr>
                  </w:pPr>
                </w:p>
              </w:tc>
              <w:tc>
                <w:tcPr>
                  <w:tcW w:w="577" w:type="pct"/>
                  <w:vAlign w:val="bottom"/>
                </w:tcPr>
                <w:p w14:paraId="77791559" w14:textId="77777777" w:rsidR="007619EA" w:rsidRPr="00726AB5" w:rsidRDefault="007619EA" w:rsidP="00396E87">
                  <w:pPr>
                    <w:pStyle w:val="StandardOCAshurst"/>
                    <w:jc w:val="right"/>
                    <w:rPr>
                      <w:sz w:val="14"/>
                      <w:szCs w:val="14"/>
                    </w:rPr>
                  </w:pPr>
                </w:p>
              </w:tc>
              <w:tc>
                <w:tcPr>
                  <w:tcW w:w="577" w:type="pct"/>
                  <w:vAlign w:val="bottom"/>
                </w:tcPr>
                <w:p w14:paraId="7B34E3FA" w14:textId="77777777" w:rsidR="007619EA" w:rsidRPr="00726AB5" w:rsidRDefault="007619EA" w:rsidP="00396E87">
                  <w:pPr>
                    <w:pStyle w:val="StandardOCAshurst"/>
                    <w:jc w:val="right"/>
                    <w:rPr>
                      <w:sz w:val="14"/>
                      <w:szCs w:val="14"/>
                    </w:rPr>
                  </w:pPr>
                </w:p>
              </w:tc>
              <w:tc>
                <w:tcPr>
                  <w:tcW w:w="577" w:type="pct"/>
                  <w:vAlign w:val="bottom"/>
                </w:tcPr>
                <w:p w14:paraId="371AD659" w14:textId="77777777" w:rsidR="007619EA" w:rsidRPr="00726AB5" w:rsidRDefault="007619EA" w:rsidP="00396E87">
                  <w:pPr>
                    <w:pStyle w:val="StandardOCAshurst"/>
                    <w:jc w:val="right"/>
                    <w:rPr>
                      <w:sz w:val="14"/>
                      <w:szCs w:val="14"/>
                    </w:rPr>
                  </w:pPr>
                  <w:r w:rsidRPr="000E0825">
                    <w:rPr>
                      <w:sz w:val="14"/>
                      <w:szCs w:val="14"/>
                    </w:rPr>
                    <w:t>(27,626)</w:t>
                  </w:r>
                </w:p>
              </w:tc>
              <w:tc>
                <w:tcPr>
                  <w:tcW w:w="579" w:type="pct"/>
                  <w:vAlign w:val="bottom"/>
                </w:tcPr>
                <w:p w14:paraId="1B9DD6CC" w14:textId="77777777" w:rsidR="007619EA" w:rsidRPr="00726AB5" w:rsidRDefault="007619EA" w:rsidP="00396E87">
                  <w:pPr>
                    <w:pStyle w:val="StandardOCAshurst"/>
                    <w:jc w:val="right"/>
                    <w:rPr>
                      <w:sz w:val="14"/>
                      <w:szCs w:val="14"/>
                    </w:rPr>
                  </w:pPr>
                </w:p>
              </w:tc>
              <w:tc>
                <w:tcPr>
                  <w:tcW w:w="653" w:type="pct"/>
                  <w:vAlign w:val="bottom"/>
                </w:tcPr>
                <w:p w14:paraId="11460802" w14:textId="77777777" w:rsidR="007619EA" w:rsidRPr="00726AB5" w:rsidRDefault="007619EA" w:rsidP="00396E87">
                  <w:pPr>
                    <w:pStyle w:val="StandardOCAshurst"/>
                    <w:jc w:val="right"/>
                    <w:rPr>
                      <w:sz w:val="14"/>
                      <w:szCs w:val="14"/>
                    </w:rPr>
                  </w:pPr>
                  <w:r w:rsidRPr="000E0825">
                    <w:rPr>
                      <w:sz w:val="14"/>
                      <w:szCs w:val="14"/>
                    </w:rPr>
                    <w:t>46,251</w:t>
                  </w:r>
                </w:p>
              </w:tc>
            </w:tr>
            <w:tr w:rsidR="007619EA" w:rsidRPr="00726AB5" w14:paraId="4D6254CE" w14:textId="77777777" w:rsidTr="00284BEE">
              <w:tc>
                <w:tcPr>
                  <w:tcW w:w="863" w:type="pct"/>
                  <w:tcMar>
                    <w:left w:w="28" w:type="dxa"/>
                    <w:right w:w="57" w:type="dxa"/>
                  </w:tcMar>
                  <w:vAlign w:val="bottom"/>
                </w:tcPr>
                <w:p w14:paraId="1B978333" w14:textId="5C0FA6E8" w:rsidR="007619EA" w:rsidRPr="00726AB5" w:rsidRDefault="007619EA" w:rsidP="00284BEE">
                  <w:pPr>
                    <w:pStyle w:val="StandardOCAshurst"/>
                    <w:tabs>
                      <w:tab w:val="left" w:leader="dot" w:pos="1279"/>
                    </w:tabs>
                    <w:jc w:val="left"/>
                    <w:rPr>
                      <w:sz w:val="14"/>
                      <w:szCs w:val="14"/>
                    </w:rPr>
                  </w:pPr>
                  <w:r w:rsidRPr="00726AB5">
                    <w:rPr>
                      <w:sz w:val="14"/>
                      <w:szCs w:val="14"/>
                    </w:rPr>
                    <w:t>Provisions</w:t>
                  </w:r>
                  <w:r w:rsidR="00284BEE">
                    <w:rPr>
                      <w:sz w:val="14"/>
                      <w:szCs w:val="14"/>
                    </w:rPr>
                    <w:tab/>
                  </w:r>
                </w:p>
              </w:tc>
              <w:tc>
                <w:tcPr>
                  <w:tcW w:w="596" w:type="pct"/>
                  <w:vAlign w:val="bottom"/>
                </w:tcPr>
                <w:p w14:paraId="1E90F97F" w14:textId="77777777" w:rsidR="007619EA" w:rsidRPr="00726AB5" w:rsidRDefault="007619EA" w:rsidP="00396E87">
                  <w:pPr>
                    <w:pStyle w:val="StandardOCAshurst"/>
                    <w:jc w:val="right"/>
                    <w:rPr>
                      <w:sz w:val="14"/>
                      <w:szCs w:val="14"/>
                    </w:rPr>
                  </w:pPr>
                  <w:r w:rsidRPr="000E0825">
                    <w:rPr>
                      <w:sz w:val="14"/>
                      <w:szCs w:val="14"/>
                    </w:rPr>
                    <w:t>98,954</w:t>
                  </w:r>
                </w:p>
              </w:tc>
              <w:tc>
                <w:tcPr>
                  <w:tcW w:w="577" w:type="pct"/>
                  <w:vAlign w:val="bottom"/>
                </w:tcPr>
                <w:p w14:paraId="3AC038EE" w14:textId="77777777" w:rsidR="007619EA" w:rsidRPr="00726AB5" w:rsidRDefault="007619EA" w:rsidP="00396E87">
                  <w:pPr>
                    <w:pStyle w:val="StandardOCAshurst"/>
                    <w:jc w:val="right"/>
                    <w:rPr>
                      <w:sz w:val="14"/>
                      <w:szCs w:val="14"/>
                    </w:rPr>
                  </w:pPr>
                </w:p>
              </w:tc>
              <w:tc>
                <w:tcPr>
                  <w:tcW w:w="577" w:type="pct"/>
                  <w:vAlign w:val="bottom"/>
                </w:tcPr>
                <w:p w14:paraId="7B54DA59" w14:textId="77777777" w:rsidR="007619EA" w:rsidRPr="00726AB5" w:rsidRDefault="007619EA" w:rsidP="00396E87">
                  <w:pPr>
                    <w:pStyle w:val="StandardOCAshurst"/>
                    <w:jc w:val="right"/>
                    <w:rPr>
                      <w:sz w:val="14"/>
                      <w:szCs w:val="14"/>
                    </w:rPr>
                  </w:pPr>
                </w:p>
              </w:tc>
              <w:tc>
                <w:tcPr>
                  <w:tcW w:w="577" w:type="pct"/>
                  <w:vAlign w:val="bottom"/>
                </w:tcPr>
                <w:p w14:paraId="01498B03" w14:textId="77777777" w:rsidR="007619EA" w:rsidRPr="00726AB5" w:rsidRDefault="007619EA" w:rsidP="00396E87">
                  <w:pPr>
                    <w:pStyle w:val="StandardOCAshurst"/>
                    <w:jc w:val="right"/>
                    <w:rPr>
                      <w:sz w:val="14"/>
                      <w:szCs w:val="14"/>
                    </w:rPr>
                  </w:pPr>
                </w:p>
              </w:tc>
              <w:tc>
                <w:tcPr>
                  <w:tcW w:w="577" w:type="pct"/>
                  <w:vAlign w:val="bottom"/>
                </w:tcPr>
                <w:p w14:paraId="7D669D2C" w14:textId="77777777" w:rsidR="007619EA" w:rsidRPr="00726AB5" w:rsidRDefault="007619EA" w:rsidP="00396E87">
                  <w:pPr>
                    <w:pStyle w:val="StandardOCAshurst"/>
                    <w:jc w:val="right"/>
                    <w:rPr>
                      <w:sz w:val="14"/>
                      <w:szCs w:val="14"/>
                    </w:rPr>
                  </w:pPr>
                </w:p>
              </w:tc>
              <w:tc>
                <w:tcPr>
                  <w:tcW w:w="579" w:type="pct"/>
                  <w:vAlign w:val="bottom"/>
                </w:tcPr>
                <w:p w14:paraId="64A88BD5" w14:textId="77777777" w:rsidR="007619EA" w:rsidRPr="00726AB5" w:rsidRDefault="007619EA" w:rsidP="00396E87">
                  <w:pPr>
                    <w:pStyle w:val="StandardOCAshurst"/>
                    <w:jc w:val="right"/>
                    <w:rPr>
                      <w:sz w:val="14"/>
                      <w:szCs w:val="14"/>
                    </w:rPr>
                  </w:pPr>
                </w:p>
              </w:tc>
              <w:tc>
                <w:tcPr>
                  <w:tcW w:w="653" w:type="pct"/>
                  <w:vAlign w:val="bottom"/>
                </w:tcPr>
                <w:p w14:paraId="31095082" w14:textId="77777777" w:rsidR="007619EA" w:rsidRPr="00726AB5" w:rsidRDefault="007619EA" w:rsidP="00396E87">
                  <w:pPr>
                    <w:pStyle w:val="StandardOCAshurst"/>
                    <w:jc w:val="right"/>
                    <w:rPr>
                      <w:sz w:val="14"/>
                      <w:szCs w:val="14"/>
                    </w:rPr>
                  </w:pPr>
                  <w:r w:rsidRPr="000E0825">
                    <w:rPr>
                      <w:sz w:val="14"/>
                      <w:szCs w:val="14"/>
                    </w:rPr>
                    <w:t>98,954</w:t>
                  </w:r>
                </w:p>
              </w:tc>
            </w:tr>
            <w:tr w:rsidR="007619EA" w:rsidRPr="00726AB5" w14:paraId="33BCB5B8" w14:textId="77777777" w:rsidTr="00284BEE">
              <w:tc>
                <w:tcPr>
                  <w:tcW w:w="863" w:type="pct"/>
                  <w:tcMar>
                    <w:left w:w="28" w:type="dxa"/>
                    <w:right w:w="57" w:type="dxa"/>
                  </w:tcMar>
                  <w:vAlign w:val="bottom"/>
                </w:tcPr>
                <w:p w14:paraId="505C4AE9" w14:textId="5F82FFE6" w:rsidR="007619EA" w:rsidRPr="00726AB5" w:rsidRDefault="007619EA" w:rsidP="00284BEE">
                  <w:pPr>
                    <w:pStyle w:val="StandardOCAshurst"/>
                    <w:tabs>
                      <w:tab w:val="left" w:leader="dot" w:pos="1279"/>
                    </w:tabs>
                    <w:jc w:val="left"/>
                    <w:rPr>
                      <w:sz w:val="14"/>
                      <w:szCs w:val="14"/>
                    </w:rPr>
                  </w:pPr>
                  <w:r w:rsidRPr="00726AB5">
                    <w:rPr>
                      <w:sz w:val="14"/>
                      <w:szCs w:val="14"/>
                    </w:rPr>
                    <w:t>Trade and other payables</w:t>
                  </w:r>
                  <w:r w:rsidR="00284BEE">
                    <w:rPr>
                      <w:sz w:val="14"/>
                      <w:szCs w:val="14"/>
                    </w:rPr>
                    <w:tab/>
                  </w:r>
                </w:p>
              </w:tc>
              <w:tc>
                <w:tcPr>
                  <w:tcW w:w="596" w:type="pct"/>
                  <w:vAlign w:val="bottom"/>
                </w:tcPr>
                <w:p w14:paraId="7FB2B1F2" w14:textId="77777777" w:rsidR="007619EA" w:rsidRPr="00726AB5" w:rsidRDefault="007619EA" w:rsidP="00396E87">
                  <w:pPr>
                    <w:pStyle w:val="StandardOCAshurst"/>
                    <w:jc w:val="right"/>
                    <w:rPr>
                      <w:sz w:val="14"/>
                      <w:szCs w:val="14"/>
                    </w:rPr>
                  </w:pPr>
                  <w:r w:rsidRPr="000E0825">
                    <w:rPr>
                      <w:sz w:val="14"/>
                      <w:szCs w:val="14"/>
                    </w:rPr>
                    <w:t>255,155</w:t>
                  </w:r>
                </w:p>
              </w:tc>
              <w:tc>
                <w:tcPr>
                  <w:tcW w:w="577" w:type="pct"/>
                  <w:vAlign w:val="bottom"/>
                </w:tcPr>
                <w:p w14:paraId="056180F0" w14:textId="77777777" w:rsidR="007619EA" w:rsidRPr="00726AB5" w:rsidRDefault="007619EA" w:rsidP="00396E87">
                  <w:pPr>
                    <w:pStyle w:val="StandardOCAshurst"/>
                    <w:jc w:val="right"/>
                    <w:rPr>
                      <w:sz w:val="14"/>
                      <w:szCs w:val="14"/>
                    </w:rPr>
                  </w:pPr>
                  <w:r w:rsidRPr="000E0825">
                    <w:rPr>
                      <w:sz w:val="14"/>
                      <w:szCs w:val="14"/>
                    </w:rPr>
                    <w:t>14,040</w:t>
                  </w:r>
                </w:p>
              </w:tc>
              <w:tc>
                <w:tcPr>
                  <w:tcW w:w="577" w:type="pct"/>
                  <w:vAlign w:val="bottom"/>
                </w:tcPr>
                <w:p w14:paraId="089C1995" w14:textId="77777777" w:rsidR="007619EA" w:rsidRPr="00726AB5" w:rsidRDefault="007619EA" w:rsidP="00396E87">
                  <w:pPr>
                    <w:pStyle w:val="StandardOCAshurst"/>
                    <w:jc w:val="right"/>
                    <w:rPr>
                      <w:sz w:val="14"/>
                      <w:szCs w:val="14"/>
                    </w:rPr>
                  </w:pPr>
                </w:p>
              </w:tc>
              <w:tc>
                <w:tcPr>
                  <w:tcW w:w="577" w:type="pct"/>
                  <w:vAlign w:val="bottom"/>
                </w:tcPr>
                <w:p w14:paraId="678E2AEA" w14:textId="77777777" w:rsidR="007619EA" w:rsidRPr="00726AB5" w:rsidRDefault="007619EA" w:rsidP="00396E87">
                  <w:pPr>
                    <w:pStyle w:val="StandardOCAshurst"/>
                    <w:jc w:val="right"/>
                    <w:rPr>
                      <w:sz w:val="14"/>
                      <w:szCs w:val="14"/>
                    </w:rPr>
                  </w:pPr>
                </w:p>
              </w:tc>
              <w:tc>
                <w:tcPr>
                  <w:tcW w:w="577" w:type="pct"/>
                  <w:vAlign w:val="bottom"/>
                </w:tcPr>
                <w:p w14:paraId="54113F47" w14:textId="77777777" w:rsidR="007619EA" w:rsidRPr="00726AB5" w:rsidRDefault="007619EA" w:rsidP="00396E87">
                  <w:pPr>
                    <w:pStyle w:val="StandardOCAshurst"/>
                    <w:jc w:val="right"/>
                    <w:rPr>
                      <w:sz w:val="14"/>
                      <w:szCs w:val="14"/>
                    </w:rPr>
                  </w:pPr>
                </w:p>
              </w:tc>
              <w:tc>
                <w:tcPr>
                  <w:tcW w:w="579" w:type="pct"/>
                  <w:vAlign w:val="bottom"/>
                </w:tcPr>
                <w:p w14:paraId="34B572B1" w14:textId="77777777" w:rsidR="007619EA" w:rsidRPr="00726AB5" w:rsidRDefault="007619EA" w:rsidP="00396E87">
                  <w:pPr>
                    <w:pStyle w:val="StandardOCAshurst"/>
                    <w:jc w:val="right"/>
                    <w:rPr>
                      <w:sz w:val="14"/>
                      <w:szCs w:val="14"/>
                    </w:rPr>
                  </w:pPr>
                </w:p>
              </w:tc>
              <w:tc>
                <w:tcPr>
                  <w:tcW w:w="653" w:type="pct"/>
                  <w:vAlign w:val="bottom"/>
                </w:tcPr>
                <w:p w14:paraId="2FFDB95B" w14:textId="77777777" w:rsidR="007619EA" w:rsidRPr="00726AB5" w:rsidRDefault="007619EA" w:rsidP="00396E87">
                  <w:pPr>
                    <w:pStyle w:val="StandardOCAshurst"/>
                    <w:jc w:val="right"/>
                    <w:rPr>
                      <w:sz w:val="14"/>
                      <w:szCs w:val="14"/>
                    </w:rPr>
                  </w:pPr>
                  <w:r w:rsidRPr="000E0825">
                    <w:rPr>
                      <w:sz w:val="14"/>
                      <w:szCs w:val="14"/>
                    </w:rPr>
                    <w:t>269,195</w:t>
                  </w:r>
                </w:p>
              </w:tc>
            </w:tr>
            <w:tr w:rsidR="007619EA" w:rsidRPr="00726AB5" w14:paraId="2F73C122" w14:textId="77777777" w:rsidTr="00284BEE">
              <w:tc>
                <w:tcPr>
                  <w:tcW w:w="863" w:type="pct"/>
                  <w:tcMar>
                    <w:left w:w="28" w:type="dxa"/>
                    <w:right w:w="57" w:type="dxa"/>
                  </w:tcMar>
                  <w:vAlign w:val="bottom"/>
                </w:tcPr>
                <w:p w14:paraId="69942FA1" w14:textId="3FA010CB" w:rsidR="007619EA" w:rsidRPr="00726AB5" w:rsidRDefault="007619EA" w:rsidP="00284BEE">
                  <w:pPr>
                    <w:pStyle w:val="StandardOCAshurst"/>
                    <w:tabs>
                      <w:tab w:val="left" w:leader="dot" w:pos="1279"/>
                    </w:tabs>
                    <w:jc w:val="left"/>
                    <w:rPr>
                      <w:sz w:val="14"/>
                      <w:szCs w:val="14"/>
                    </w:rPr>
                  </w:pPr>
                  <w:r w:rsidRPr="00726AB5">
                    <w:rPr>
                      <w:sz w:val="14"/>
                      <w:szCs w:val="14"/>
                    </w:rPr>
                    <w:t>Other financial liabilities</w:t>
                  </w:r>
                  <w:r w:rsidR="00284BEE">
                    <w:rPr>
                      <w:sz w:val="14"/>
                      <w:szCs w:val="14"/>
                    </w:rPr>
                    <w:tab/>
                  </w:r>
                </w:p>
              </w:tc>
              <w:tc>
                <w:tcPr>
                  <w:tcW w:w="596" w:type="pct"/>
                  <w:vAlign w:val="bottom"/>
                </w:tcPr>
                <w:p w14:paraId="74F420E1" w14:textId="77777777" w:rsidR="007619EA" w:rsidRPr="00726AB5" w:rsidRDefault="007619EA" w:rsidP="00396E87">
                  <w:pPr>
                    <w:pStyle w:val="StandardOCAshurst"/>
                    <w:jc w:val="right"/>
                    <w:rPr>
                      <w:sz w:val="14"/>
                      <w:szCs w:val="14"/>
                    </w:rPr>
                  </w:pPr>
                  <w:r w:rsidRPr="000E0825">
                    <w:rPr>
                      <w:sz w:val="14"/>
                      <w:szCs w:val="14"/>
                    </w:rPr>
                    <w:t>2,007</w:t>
                  </w:r>
                </w:p>
              </w:tc>
              <w:tc>
                <w:tcPr>
                  <w:tcW w:w="577" w:type="pct"/>
                  <w:vAlign w:val="bottom"/>
                </w:tcPr>
                <w:p w14:paraId="549E5F6F" w14:textId="77777777" w:rsidR="007619EA" w:rsidRPr="00726AB5" w:rsidRDefault="007619EA" w:rsidP="00396E87">
                  <w:pPr>
                    <w:pStyle w:val="StandardOCAshurst"/>
                    <w:jc w:val="right"/>
                    <w:rPr>
                      <w:sz w:val="14"/>
                      <w:szCs w:val="14"/>
                    </w:rPr>
                  </w:pPr>
                </w:p>
              </w:tc>
              <w:tc>
                <w:tcPr>
                  <w:tcW w:w="577" w:type="pct"/>
                  <w:vAlign w:val="bottom"/>
                </w:tcPr>
                <w:p w14:paraId="5ABFFD5D" w14:textId="77777777" w:rsidR="007619EA" w:rsidRPr="00726AB5" w:rsidRDefault="007619EA" w:rsidP="00396E87">
                  <w:pPr>
                    <w:pStyle w:val="StandardOCAshurst"/>
                    <w:jc w:val="right"/>
                    <w:rPr>
                      <w:sz w:val="14"/>
                      <w:szCs w:val="14"/>
                    </w:rPr>
                  </w:pPr>
                </w:p>
              </w:tc>
              <w:tc>
                <w:tcPr>
                  <w:tcW w:w="577" w:type="pct"/>
                  <w:vAlign w:val="bottom"/>
                </w:tcPr>
                <w:p w14:paraId="1267C309" w14:textId="77777777" w:rsidR="007619EA" w:rsidRPr="00726AB5" w:rsidRDefault="007619EA" w:rsidP="00396E87">
                  <w:pPr>
                    <w:pStyle w:val="StandardOCAshurst"/>
                    <w:jc w:val="right"/>
                    <w:rPr>
                      <w:sz w:val="14"/>
                      <w:szCs w:val="14"/>
                    </w:rPr>
                  </w:pPr>
                </w:p>
              </w:tc>
              <w:tc>
                <w:tcPr>
                  <w:tcW w:w="577" w:type="pct"/>
                  <w:vAlign w:val="bottom"/>
                </w:tcPr>
                <w:p w14:paraId="31B1F97A" w14:textId="77777777" w:rsidR="007619EA" w:rsidRPr="00726AB5" w:rsidRDefault="007619EA" w:rsidP="00396E87">
                  <w:pPr>
                    <w:pStyle w:val="StandardOCAshurst"/>
                    <w:jc w:val="right"/>
                    <w:rPr>
                      <w:sz w:val="14"/>
                      <w:szCs w:val="14"/>
                    </w:rPr>
                  </w:pPr>
                </w:p>
              </w:tc>
              <w:tc>
                <w:tcPr>
                  <w:tcW w:w="579" w:type="pct"/>
                  <w:vAlign w:val="bottom"/>
                </w:tcPr>
                <w:p w14:paraId="13BC828F" w14:textId="77777777" w:rsidR="007619EA" w:rsidRPr="00726AB5" w:rsidRDefault="007619EA" w:rsidP="00396E87">
                  <w:pPr>
                    <w:pStyle w:val="StandardOCAshurst"/>
                    <w:jc w:val="right"/>
                    <w:rPr>
                      <w:sz w:val="14"/>
                      <w:szCs w:val="14"/>
                    </w:rPr>
                  </w:pPr>
                </w:p>
              </w:tc>
              <w:tc>
                <w:tcPr>
                  <w:tcW w:w="653" w:type="pct"/>
                  <w:vAlign w:val="bottom"/>
                </w:tcPr>
                <w:p w14:paraId="41E95522" w14:textId="77777777" w:rsidR="007619EA" w:rsidRPr="00726AB5" w:rsidRDefault="007619EA" w:rsidP="00396E87">
                  <w:pPr>
                    <w:pStyle w:val="StandardOCAshurst"/>
                    <w:jc w:val="right"/>
                    <w:rPr>
                      <w:sz w:val="14"/>
                      <w:szCs w:val="14"/>
                    </w:rPr>
                  </w:pPr>
                  <w:r w:rsidRPr="000E0825">
                    <w:rPr>
                      <w:sz w:val="14"/>
                      <w:szCs w:val="14"/>
                    </w:rPr>
                    <w:t>2,007</w:t>
                  </w:r>
                </w:p>
              </w:tc>
            </w:tr>
            <w:tr w:rsidR="007619EA" w:rsidRPr="00726AB5" w14:paraId="32853B47" w14:textId="77777777" w:rsidTr="00284BEE">
              <w:tc>
                <w:tcPr>
                  <w:tcW w:w="863" w:type="pct"/>
                  <w:tcMar>
                    <w:left w:w="28" w:type="dxa"/>
                    <w:right w:w="57" w:type="dxa"/>
                  </w:tcMar>
                  <w:vAlign w:val="bottom"/>
                </w:tcPr>
                <w:p w14:paraId="06C50FA5" w14:textId="7AB10758" w:rsidR="007619EA" w:rsidRPr="00726AB5" w:rsidRDefault="007619EA" w:rsidP="00284BEE">
                  <w:pPr>
                    <w:pStyle w:val="StandardOCAshurst"/>
                    <w:tabs>
                      <w:tab w:val="left" w:leader="dot" w:pos="1279"/>
                    </w:tabs>
                    <w:jc w:val="left"/>
                    <w:rPr>
                      <w:sz w:val="14"/>
                      <w:szCs w:val="14"/>
                    </w:rPr>
                  </w:pPr>
                  <w:r w:rsidRPr="00726AB5">
                    <w:rPr>
                      <w:sz w:val="14"/>
                      <w:szCs w:val="14"/>
                    </w:rPr>
                    <w:t>Current tax payable</w:t>
                  </w:r>
                  <w:r w:rsidR="00284BEE">
                    <w:rPr>
                      <w:sz w:val="14"/>
                      <w:szCs w:val="14"/>
                    </w:rPr>
                    <w:tab/>
                  </w:r>
                </w:p>
              </w:tc>
              <w:tc>
                <w:tcPr>
                  <w:tcW w:w="596" w:type="pct"/>
                  <w:vAlign w:val="bottom"/>
                </w:tcPr>
                <w:p w14:paraId="50F5DBB2"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0</w:t>
                  </w:r>
                </w:p>
              </w:tc>
              <w:tc>
                <w:tcPr>
                  <w:tcW w:w="577" w:type="pct"/>
                  <w:vAlign w:val="bottom"/>
                </w:tcPr>
                <w:p w14:paraId="02FA22B2"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0</w:t>
                  </w:r>
                </w:p>
              </w:tc>
              <w:tc>
                <w:tcPr>
                  <w:tcW w:w="577" w:type="pct"/>
                  <w:vAlign w:val="bottom"/>
                </w:tcPr>
                <w:p w14:paraId="5111B0C6"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2EB778EB"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4FA6A9CF" w14:textId="77777777" w:rsidR="007619EA" w:rsidRPr="00726AB5" w:rsidRDefault="007619EA" w:rsidP="00396E87">
                  <w:pPr>
                    <w:pStyle w:val="StandardOCAshurst"/>
                    <w:pBdr>
                      <w:bottom w:val="single" w:sz="4" w:space="1" w:color="auto"/>
                    </w:pBdr>
                    <w:jc w:val="right"/>
                    <w:rPr>
                      <w:sz w:val="14"/>
                      <w:szCs w:val="14"/>
                    </w:rPr>
                  </w:pPr>
                </w:p>
              </w:tc>
              <w:tc>
                <w:tcPr>
                  <w:tcW w:w="579" w:type="pct"/>
                  <w:vAlign w:val="bottom"/>
                </w:tcPr>
                <w:p w14:paraId="47CD4D41" w14:textId="77777777" w:rsidR="007619EA" w:rsidRPr="00726AB5" w:rsidRDefault="007619EA" w:rsidP="00396E87">
                  <w:pPr>
                    <w:pStyle w:val="StandardOCAshurst"/>
                    <w:pBdr>
                      <w:bottom w:val="single" w:sz="4" w:space="1" w:color="auto"/>
                    </w:pBdr>
                    <w:jc w:val="right"/>
                    <w:rPr>
                      <w:sz w:val="14"/>
                      <w:szCs w:val="14"/>
                    </w:rPr>
                  </w:pPr>
                </w:p>
              </w:tc>
              <w:tc>
                <w:tcPr>
                  <w:tcW w:w="653" w:type="pct"/>
                  <w:vAlign w:val="bottom"/>
                </w:tcPr>
                <w:p w14:paraId="2A199566"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0</w:t>
                  </w:r>
                </w:p>
              </w:tc>
            </w:tr>
            <w:tr w:rsidR="007619EA" w:rsidRPr="00726AB5" w14:paraId="79C0DBB9" w14:textId="77777777" w:rsidTr="00284BEE">
              <w:tc>
                <w:tcPr>
                  <w:tcW w:w="863" w:type="pct"/>
                  <w:tcMar>
                    <w:left w:w="28" w:type="dxa"/>
                    <w:right w:w="57" w:type="dxa"/>
                  </w:tcMar>
                  <w:vAlign w:val="bottom"/>
                </w:tcPr>
                <w:p w14:paraId="3C3FE8BC" w14:textId="79D4FDEA" w:rsidR="007619EA" w:rsidRPr="00726AB5" w:rsidRDefault="007619EA" w:rsidP="00284BEE">
                  <w:pPr>
                    <w:pStyle w:val="StandardOCAshurst"/>
                    <w:tabs>
                      <w:tab w:val="left" w:leader="dot" w:pos="1279"/>
                    </w:tabs>
                    <w:jc w:val="left"/>
                    <w:rPr>
                      <w:b/>
                      <w:bCs/>
                      <w:sz w:val="14"/>
                      <w:szCs w:val="14"/>
                    </w:rPr>
                  </w:pPr>
                  <w:r w:rsidRPr="00726AB5">
                    <w:rPr>
                      <w:b/>
                      <w:bCs/>
                      <w:sz w:val="14"/>
                      <w:szCs w:val="14"/>
                    </w:rPr>
                    <w:t>Total current liabilities</w:t>
                  </w:r>
                  <w:r w:rsidR="00284BEE" w:rsidRPr="00284BEE">
                    <w:rPr>
                      <w:sz w:val="14"/>
                      <w:szCs w:val="14"/>
                    </w:rPr>
                    <w:tab/>
                  </w:r>
                </w:p>
              </w:tc>
              <w:tc>
                <w:tcPr>
                  <w:tcW w:w="596" w:type="pct"/>
                  <w:vAlign w:val="bottom"/>
                </w:tcPr>
                <w:p w14:paraId="7AD05B3F"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943,862</w:t>
                  </w:r>
                </w:p>
              </w:tc>
              <w:tc>
                <w:tcPr>
                  <w:tcW w:w="577" w:type="pct"/>
                  <w:vAlign w:val="bottom"/>
                </w:tcPr>
                <w:p w14:paraId="26496FC2"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14,040</w:t>
                  </w:r>
                </w:p>
              </w:tc>
              <w:tc>
                <w:tcPr>
                  <w:tcW w:w="577" w:type="pct"/>
                  <w:vAlign w:val="bottom"/>
                </w:tcPr>
                <w:p w14:paraId="6A51204B"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0</w:t>
                  </w:r>
                </w:p>
              </w:tc>
              <w:tc>
                <w:tcPr>
                  <w:tcW w:w="577" w:type="pct"/>
                  <w:vAlign w:val="bottom"/>
                </w:tcPr>
                <w:p w14:paraId="4550CDA3"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0</w:t>
                  </w:r>
                </w:p>
              </w:tc>
              <w:tc>
                <w:tcPr>
                  <w:tcW w:w="577" w:type="pct"/>
                  <w:vAlign w:val="bottom"/>
                </w:tcPr>
                <w:p w14:paraId="47EDD1BD"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(432,819)</w:t>
                  </w:r>
                </w:p>
              </w:tc>
              <w:tc>
                <w:tcPr>
                  <w:tcW w:w="579" w:type="pct"/>
                  <w:vAlign w:val="bottom"/>
                </w:tcPr>
                <w:p w14:paraId="09940C3E"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0</w:t>
                  </w:r>
                </w:p>
              </w:tc>
              <w:tc>
                <w:tcPr>
                  <w:tcW w:w="653" w:type="pct"/>
                  <w:vAlign w:val="bottom"/>
                </w:tcPr>
                <w:p w14:paraId="0FA64C11" w14:textId="0EC27320" w:rsidR="007619EA" w:rsidRPr="00726AB5" w:rsidRDefault="007619EA" w:rsidP="00396E87">
                  <w:pPr>
                    <w:pStyle w:val="StandardOCAshurst"/>
                    <w:pBdr>
                      <w:bottom w:val="single" w:sz="4" w:space="1" w:color="auto"/>
                    </w:pBdr>
                    <w:jc w:val="right"/>
                    <w:rPr>
                      <w:sz w:val="14"/>
                      <w:szCs w:val="14"/>
                    </w:rPr>
                  </w:pPr>
                  <w:r w:rsidRPr="000E0825">
                    <w:rPr>
                      <w:sz w:val="14"/>
                      <w:szCs w:val="14"/>
                    </w:rPr>
                    <w:t>525,08</w:t>
                  </w:r>
                  <w:r w:rsidR="00762F56">
                    <w:rPr>
                      <w:sz w:val="14"/>
                      <w:szCs w:val="14"/>
                    </w:rPr>
                    <w:t>3</w:t>
                  </w:r>
                </w:p>
              </w:tc>
            </w:tr>
            <w:tr w:rsidR="007619EA" w:rsidRPr="00726AB5" w14:paraId="6A24D6A4" w14:textId="77777777" w:rsidTr="00284BEE">
              <w:tc>
                <w:tcPr>
                  <w:tcW w:w="863" w:type="pct"/>
                  <w:tcMar>
                    <w:left w:w="28" w:type="dxa"/>
                    <w:right w:w="57" w:type="dxa"/>
                  </w:tcMar>
                  <w:vAlign w:val="bottom"/>
                </w:tcPr>
                <w:p w14:paraId="76BA4735" w14:textId="77777777" w:rsidR="007619EA" w:rsidRPr="00726AB5" w:rsidRDefault="007619EA" w:rsidP="00284BEE">
                  <w:pPr>
                    <w:pStyle w:val="StandardOCAshurst"/>
                    <w:tabs>
                      <w:tab w:val="left" w:leader="dot" w:pos="1279"/>
                    </w:tabs>
                    <w:jc w:val="left"/>
                    <w:rPr>
                      <w:sz w:val="14"/>
                      <w:szCs w:val="14"/>
                    </w:rPr>
                  </w:pPr>
                  <w:r w:rsidRPr="00726AB5">
                    <w:rPr>
                      <w:sz w:val="14"/>
                      <w:szCs w:val="14"/>
                    </w:rPr>
                    <w:t xml:space="preserve"> </w:t>
                  </w:r>
                </w:p>
              </w:tc>
              <w:tc>
                <w:tcPr>
                  <w:tcW w:w="596" w:type="pct"/>
                  <w:vAlign w:val="bottom"/>
                </w:tcPr>
                <w:p w14:paraId="634AB7F5" w14:textId="77777777" w:rsidR="007619EA" w:rsidRPr="00726AB5" w:rsidRDefault="007619EA" w:rsidP="00396E87">
                  <w:pPr>
                    <w:pStyle w:val="StandardOCAshurst"/>
                    <w:jc w:val="right"/>
                    <w:rPr>
                      <w:sz w:val="14"/>
                      <w:szCs w:val="14"/>
                    </w:rPr>
                  </w:pPr>
                </w:p>
              </w:tc>
              <w:tc>
                <w:tcPr>
                  <w:tcW w:w="577" w:type="pct"/>
                  <w:vAlign w:val="bottom"/>
                </w:tcPr>
                <w:p w14:paraId="44802E03" w14:textId="77777777" w:rsidR="007619EA" w:rsidRPr="00726AB5" w:rsidRDefault="007619EA" w:rsidP="00396E87">
                  <w:pPr>
                    <w:pStyle w:val="StandardOCAshurst"/>
                    <w:jc w:val="right"/>
                    <w:rPr>
                      <w:sz w:val="14"/>
                      <w:szCs w:val="14"/>
                    </w:rPr>
                  </w:pPr>
                </w:p>
              </w:tc>
              <w:tc>
                <w:tcPr>
                  <w:tcW w:w="577" w:type="pct"/>
                  <w:vAlign w:val="bottom"/>
                </w:tcPr>
                <w:p w14:paraId="0471F42C" w14:textId="77777777" w:rsidR="007619EA" w:rsidRPr="00726AB5" w:rsidRDefault="007619EA" w:rsidP="00396E87">
                  <w:pPr>
                    <w:pStyle w:val="StandardOCAshurst"/>
                    <w:jc w:val="right"/>
                    <w:rPr>
                      <w:sz w:val="14"/>
                      <w:szCs w:val="14"/>
                    </w:rPr>
                  </w:pPr>
                </w:p>
              </w:tc>
              <w:tc>
                <w:tcPr>
                  <w:tcW w:w="577" w:type="pct"/>
                  <w:vAlign w:val="bottom"/>
                </w:tcPr>
                <w:p w14:paraId="22B0EF9D" w14:textId="77777777" w:rsidR="007619EA" w:rsidRPr="00726AB5" w:rsidRDefault="007619EA" w:rsidP="00396E87">
                  <w:pPr>
                    <w:pStyle w:val="StandardOCAshurst"/>
                    <w:jc w:val="right"/>
                    <w:rPr>
                      <w:sz w:val="14"/>
                      <w:szCs w:val="14"/>
                    </w:rPr>
                  </w:pPr>
                </w:p>
              </w:tc>
              <w:tc>
                <w:tcPr>
                  <w:tcW w:w="577" w:type="pct"/>
                  <w:vAlign w:val="bottom"/>
                </w:tcPr>
                <w:p w14:paraId="78E51347" w14:textId="77777777" w:rsidR="007619EA" w:rsidRPr="00726AB5" w:rsidRDefault="007619EA" w:rsidP="00396E87">
                  <w:pPr>
                    <w:pStyle w:val="StandardOCAshurst"/>
                    <w:jc w:val="right"/>
                    <w:rPr>
                      <w:sz w:val="14"/>
                      <w:szCs w:val="14"/>
                    </w:rPr>
                  </w:pPr>
                </w:p>
              </w:tc>
              <w:tc>
                <w:tcPr>
                  <w:tcW w:w="579" w:type="pct"/>
                  <w:vAlign w:val="bottom"/>
                </w:tcPr>
                <w:p w14:paraId="0721824F" w14:textId="77777777" w:rsidR="007619EA" w:rsidRPr="00726AB5" w:rsidRDefault="007619EA" w:rsidP="00396E87">
                  <w:pPr>
                    <w:pStyle w:val="StandardOCAshurst"/>
                    <w:jc w:val="right"/>
                    <w:rPr>
                      <w:sz w:val="14"/>
                      <w:szCs w:val="14"/>
                    </w:rPr>
                  </w:pPr>
                </w:p>
              </w:tc>
              <w:tc>
                <w:tcPr>
                  <w:tcW w:w="653" w:type="pct"/>
                  <w:vAlign w:val="bottom"/>
                </w:tcPr>
                <w:p w14:paraId="2B90B963" w14:textId="77777777" w:rsidR="007619EA" w:rsidRPr="00726AB5" w:rsidRDefault="007619EA" w:rsidP="00396E87">
                  <w:pPr>
                    <w:pStyle w:val="StandardOCAshurst"/>
                    <w:jc w:val="right"/>
                    <w:rPr>
                      <w:sz w:val="14"/>
                      <w:szCs w:val="14"/>
                    </w:rPr>
                  </w:pPr>
                </w:p>
              </w:tc>
            </w:tr>
            <w:tr w:rsidR="007619EA" w:rsidRPr="00726AB5" w14:paraId="3E10678F" w14:textId="77777777" w:rsidTr="00284BEE">
              <w:tc>
                <w:tcPr>
                  <w:tcW w:w="863" w:type="pct"/>
                  <w:tcMar>
                    <w:left w:w="28" w:type="dxa"/>
                    <w:right w:w="57" w:type="dxa"/>
                  </w:tcMar>
                  <w:vAlign w:val="bottom"/>
                </w:tcPr>
                <w:p w14:paraId="224B3CF4" w14:textId="77777777" w:rsidR="007619EA" w:rsidRPr="00726AB5" w:rsidRDefault="007619EA" w:rsidP="00284BEE">
                  <w:pPr>
                    <w:pStyle w:val="StandardOCAshurst"/>
                    <w:tabs>
                      <w:tab w:val="left" w:leader="dot" w:pos="1279"/>
                    </w:tabs>
                    <w:jc w:val="left"/>
                    <w:rPr>
                      <w:b/>
                      <w:bCs/>
                      <w:sz w:val="14"/>
                      <w:szCs w:val="14"/>
                    </w:rPr>
                  </w:pPr>
                  <w:r w:rsidRPr="00726AB5">
                    <w:rPr>
                      <w:b/>
                      <w:bCs/>
                      <w:sz w:val="14"/>
                      <w:szCs w:val="14"/>
                    </w:rPr>
                    <w:t>Non-current liabilities</w:t>
                  </w:r>
                </w:p>
              </w:tc>
              <w:tc>
                <w:tcPr>
                  <w:tcW w:w="596" w:type="pct"/>
                  <w:vAlign w:val="bottom"/>
                </w:tcPr>
                <w:p w14:paraId="3B6E1B48" w14:textId="77777777" w:rsidR="007619EA" w:rsidRPr="00726AB5" w:rsidRDefault="007619EA" w:rsidP="00396E87">
                  <w:pPr>
                    <w:pStyle w:val="StandardOCAshurst"/>
                    <w:jc w:val="right"/>
                    <w:rPr>
                      <w:sz w:val="14"/>
                      <w:szCs w:val="14"/>
                    </w:rPr>
                  </w:pPr>
                </w:p>
              </w:tc>
              <w:tc>
                <w:tcPr>
                  <w:tcW w:w="577" w:type="pct"/>
                  <w:vAlign w:val="bottom"/>
                </w:tcPr>
                <w:p w14:paraId="0A196D4E" w14:textId="77777777" w:rsidR="007619EA" w:rsidRPr="00726AB5" w:rsidRDefault="007619EA" w:rsidP="00396E87">
                  <w:pPr>
                    <w:pStyle w:val="StandardOCAshurst"/>
                    <w:jc w:val="right"/>
                    <w:rPr>
                      <w:sz w:val="14"/>
                      <w:szCs w:val="14"/>
                    </w:rPr>
                  </w:pPr>
                </w:p>
              </w:tc>
              <w:tc>
                <w:tcPr>
                  <w:tcW w:w="577" w:type="pct"/>
                  <w:vAlign w:val="bottom"/>
                </w:tcPr>
                <w:p w14:paraId="0C82FC24" w14:textId="77777777" w:rsidR="007619EA" w:rsidRPr="00726AB5" w:rsidRDefault="007619EA" w:rsidP="00396E87">
                  <w:pPr>
                    <w:pStyle w:val="StandardOCAshurst"/>
                    <w:jc w:val="right"/>
                    <w:rPr>
                      <w:sz w:val="14"/>
                      <w:szCs w:val="14"/>
                    </w:rPr>
                  </w:pPr>
                </w:p>
              </w:tc>
              <w:tc>
                <w:tcPr>
                  <w:tcW w:w="577" w:type="pct"/>
                  <w:vAlign w:val="bottom"/>
                </w:tcPr>
                <w:p w14:paraId="180FAA67" w14:textId="77777777" w:rsidR="007619EA" w:rsidRPr="00726AB5" w:rsidRDefault="007619EA" w:rsidP="00396E87">
                  <w:pPr>
                    <w:pStyle w:val="StandardOCAshurst"/>
                    <w:jc w:val="right"/>
                    <w:rPr>
                      <w:sz w:val="14"/>
                      <w:szCs w:val="14"/>
                    </w:rPr>
                  </w:pPr>
                </w:p>
              </w:tc>
              <w:tc>
                <w:tcPr>
                  <w:tcW w:w="577" w:type="pct"/>
                  <w:vAlign w:val="bottom"/>
                </w:tcPr>
                <w:p w14:paraId="2C08E32C" w14:textId="77777777" w:rsidR="007619EA" w:rsidRPr="00726AB5" w:rsidRDefault="007619EA" w:rsidP="00396E87">
                  <w:pPr>
                    <w:pStyle w:val="StandardOCAshurst"/>
                    <w:jc w:val="right"/>
                    <w:rPr>
                      <w:sz w:val="14"/>
                      <w:szCs w:val="14"/>
                    </w:rPr>
                  </w:pPr>
                </w:p>
              </w:tc>
              <w:tc>
                <w:tcPr>
                  <w:tcW w:w="579" w:type="pct"/>
                  <w:vAlign w:val="bottom"/>
                </w:tcPr>
                <w:p w14:paraId="6BFFD9D6" w14:textId="77777777" w:rsidR="007619EA" w:rsidRPr="00726AB5" w:rsidRDefault="007619EA" w:rsidP="00396E87">
                  <w:pPr>
                    <w:pStyle w:val="StandardOCAshurst"/>
                    <w:jc w:val="right"/>
                    <w:rPr>
                      <w:sz w:val="14"/>
                      <w:szCs w:val="14"/>
                    </w:rPr>
                  </w:pPr>
                </w:p>
              </w:tc>
              <w:tc>
                <w:tcPr>
                  <w:tcW w:w="653" w:type="pct"/>
                  <w:vAlign w:val="bottom"/>
                </w:tcPr>
                <w:p w14:paraId="5154D230" w14:textId="77777777" w:rsidR="007619EA" w:rsidRPr="00726AB5" w:rsidRDefault="007619EA" w:rsidP="00396E87">
                  <w:pPr>
                    <w:pStyle w:val="StandardOCAshurst"/>
                    <w:jc w:val="right"/>
                    <w:rPr>
                      <w:sz w:val="14"/>
                      <w:szCs w:val="14"/>
                    </w:rPr>
                  </w:pPr>
                </w:p>
              </w:tc>
            </w:tr>
            <w:tr w:rsidR="007619EA" w:rsidRPr="00726AB5" w14:paraId="4A860458" w14:textId="77777777" w:rsidTr="00284BEE">
              <w:tc>
                <w:tcPr>
                  <w:tcW w:w="863" w:type="pct"/>
                  <w:tcMar>
                    <w:left w:w="28" w:type="dxa"/>
                    <w:right w:w="57" w:type="dxa"/>
                  </w:tcMar>
                  <w:vAlign w:val="bottom"/>
                </w:tcPr>
                <w:p w14:paraId="1661B6EA" w14:textId="34045E44" w:rsidR="007619EA" w:rsidRPr="00726AB5" w:rsidRDefault="007619EA" w:rsidP="00284BEE">
                  <w:pPr>
                    <w:pStyle w:val="StandardOCAshurst"/>
                    <w:tabs>
                      <w:tab w:val="left" w:leader="dot" w:pos="1279"/>
                    </w:tabs>
                    <w:jc w:val="left"/>
                    <w:rPr>
                      <w:sz w:val="14"/>
                      <w:szCs w:val="14"/>
                    </w:rPr>
                  </w:pPr>
                  <w:r w:rsidRPr="00726AB5">
                    <w:rPr>
                      <w:sz w:val="14"/>
                      <w:szCs w:val="14"/>
                    </w:rPr>
                    <w:t>Borrowings</w:t>
                  </w:r>
                  <w:r w:rsidR="00284BEE">
                    <w:rPr>
                      <w:sz w:val="14"/>
                      <w:szCs w:val="14"/>
                    </w:rPr>
                    <w:tab/>
                  </w:r>
                </w:p>
              </w:tc>
              <w:tc>
                <w:tcPr>
                  <w:tcW w:w="596" w:type="pct"/>
                  <w:vAlign w:val="bottom"/>
                </w:tcPr>
                <w:p w14:paraId="3DB2D9F1" w14:textId="77777777" w:rsidR="007619EA" w:rsidRPr="00726AB5" w:rsidRDefault="007619EA" w:rsidP="00396E87">
                  <w:pPr>
                    <w:pStyle w:val="StandardOCAshurst"/>
                    <w:jc w:val="right"/>
                    <w:rPr>
                      <w:sz w:val="14"/>
                      <w:szCs w:val="14"/>
                    </w:rPr>
                  </w:pPr>
                  <w:r w:rsidRPr="000E0825">
                    <w:rPr>
                      <w:sz w:val="14"/>
                      <w:szCs w:val="14"/>
                    </w:rPr>
                    <w:t>37,854</w:t>
                  </w:r>
                </w:p>
              </w:tc>
              <w:tc>
                <w:tcPr>
                  <w:tcW w:w="577" w:type="pct"/>
                  <w:vAlign w:val="bottom"/>
                </w:tcPr>
                <w:p w14:paraId="115FCF77" w14:textId="77777777" w:rsidR="007619EA" w:rsidRPr="00726AB5" w:rsidRDefault="007619EA" w:rsidP="00396E87">
                  <w:pPr>
                    <w:pStyle w:val="StandardOCAshurst"/>
                    <w:jc w:val="right"/>
                    <w:rPr>
                      <w:sz w:val="14"/>
                      <w:szCs w:val="14"/>
                    </w:rPr>
                  </w:pPr>
                </w:p>
              </w:tc>
              <w:tc>
                <w:tcPr>
                  <w:tcW w:w="577" w:type="pct"/>
                  <w:vAlign w:val="bottom"/>
                </w:tcPr>
                <w:p w14:paraId="23A6C4B3" w14:textId="77777777" w:rsidR="007619EA" w:rsidRPr="00726AB5" w:rsidRDefault="007619EA" w:rsidP="00396E87">
                  <w:pPr>
                    <w:pStyle w:val="StandardOCAshurst"/>
                    <w:jc w:val="right"/>
                    <w:rPr>
                      <w:sz w:val="14"/>
                      <w:szCs w:val="14"/>
                    </w:rPr>
                  </w:pPr>
                </w:p>
              </w:tc>
              <w:tc>
                <w:tcPr>
                  <w:tcW w:w="577" w:type="pct"/>
                  <w:vAlign w:val="bottom"/>
                </w:tcPr>
                <w:p w14:paraId="4FD4D0E8" w14:textId="77777777" w:rsidR="007619EA" w:rsidRPr="00726AB5" w:rsidRDefault="007619EA" w:rsidP="00396E87">
                  <w:pPr>
                    <w:pStyle w:val="StandardOCAshurst"/>
                    <w:jc w:val="right"/>
                    <w:rPr>
                      <w:sz w:val="14"/>
                      <w:szCs w:val="14"/>
                    </w:rPr>
                  </w:pPr>
                </w:p>
              </w:tc>
              <w:tc>
                <w:tcPr>
                  <w:tcW w:w="577" w:type="pct"/>
                  <w:vAlign w:val="bottom"/>
                </w:tcPr>
                <w:p w14:paraId="325F31DE" w14:textId="77777777" w:rsidR="007619EA" w:rsidRPr="00726AB5" w:rsidRDefault="007619EA" w:rsidP="00396E87">
                  <w:pPr>
                    <w:pStyle w:val="StandardOCAshurst"/>
                    <w:jc w:val="right"/>
                    <w:rPr>
                      <w:sz w:val="14"/>
                      <w:szCs w:val="14"/>
                    </w:rPr>
                  </w:pPr>
                  <w:r w:rsidRPr="000E0825">
                    <w:rPr>
                      <w:sz w:val="14"/>
                      <w:szCs w:val="14"/>
                    </w:rPr>
                    <w:t>533,145</w:t>
                  </w:r>
                </w:p>
              </w:tc>
              <w:tc>
                <w:tcPr>
                  <w:tcW w:w="579" w:type="pct"/>
                  <w:vAlign w:val="bottom"/>
                </w:tcPr>
                <w:p w14:paraId="0908E679" w14:textId="77777777" w:rsidR="007619EA" w:rsidRPr="00726AB5" w:rsidRDefault="007619EA" w:rsidP="00396E87">
                  <w:pPr>
                    <w:pStyle w:val="StandardOCAshurst"/>
                    <w:jc w:val="right"/>
                    <w:rPr>
                      <w:sz w:val="14"/>
                      <w:szCs w:val="14"/>
                    </w:rPr>
                  </w:pPr>
                </w:p>
              </w:tc>
              <w:tc>
                <w:tcPr>
                  <w:tcW w:w="653" w:type="pct"/>
                  <w:vAlign w:val="bottom"/>
                </w:tcPr>
                <w:p w14:paraId="357E54BF" w14:textId="77777777" w:rsidR="007619EA" w:rsidRPr="00726AB5" w:rsidRDefault="007619EA" w:rsidP="00396E87">
                  <w:pPr>
                    <w:pStyle w:val="StandardOCAshurst"/>
                    <w:jc w:val="right"/>
                    <w:rPr>
                      <w:sz w:val="14"/>
                      <w:szCs w:val="14"/>
                    </w:rPr>
                  </w:pPr>
                  <w:r w:rsidRPr="000E0825">
                    <w:rPr>
                      <w:sz w:val="14"/>
                      <w:szCs w:val="14"/>
                    </w:rPr>
                    <w:t>570,999</w:t>
                  </w:r>
                </w:p>
              </w:tc>
            </w:tr>
            <w:tr w:rsidR="007619EA" w:rsidRPr="00726AB5" w14:paraId="25744B29" w14:textId="77777777" w:rsidTr="00284BEE">
              <w:tc>
                <w:tcPr>
                  <w:tcW w:w="863" w:type="pct"/>
                  <w:tcMar>
                    <w:left w:w="28" w:type="dxa"/>
                    <w:right w:w="57" w:type="dxa"/>
                  </w:tcMar>
                  <w:vAlign w:val="bottom"/>
                </w:tcPr>
                <w:p w14:paraId="12617F76" w14:textId="26A12A06" w:rsidR="007619EA" w:rsidRPr="00726AB5" w:rsidRDefault="007619EA" w:rsidP="00284BEE">
                  <w:pPr>
                    <w:pStyle w:val="StandardOCAshurst"/>
                    <w:tabs>
                      <w:tab w:val="left" w:leader="dot" w:pos="1279"/>
                    </w:tabs>
                    <w:jc w:val="left"/>
                    <w:rPr>
                      <w:sz w:val="14"/>
                      <w:szCs w:val="14"/>
                    </w:rPr>
                  </w:pPr>
                  <w:r w:rsidRPr="00726AB5">
                    <w:rPr>
                      <w:sz w:val="14"/>
                      <w:szCs w:val="14"/>
                    </w:rPr>
                    <w:t>Bonds</w:t>
                  </w:r>
                  <w:r w:rsidR="00284BEE">
                    <w:rPr>
                      <w:sz w:val="14"/>
                      <w:szCs w:val="14"/>
                    </w:rPr>
                    <w:tab/>
                  </w:r>
                </w:p>
              </w:tc>
              <w:tc>
                <w:tcPr>
                  <w:tcW w:w="596" w:type="pct"/>
                  <w:vAlign w:val="bottom"/>
                </w:tcPr>
                <w:p w14:paraId="41637D07" w14:textId="77777777" w:rsidR="007619EA" w:rsidRPr="00726AB5" w:rsidRDefault="007619EA" w:rsidP="00396E87">
                  <w:pPr>
                    <w:pStyle w:val="StandardOCAshurst"/>
                    <w:jc w:val="right"/>
                    <w:rPr>
                      <w:sz w:val="14"/>
                      <w:szCs w:val="14"/>
                    </w:rPr>
                  </w:pPr>
                  <w:r w:rsidRPr="000E0825">
                    <w:rPr>
                      <w:sz w:val="14"/>
                      <w:szCs w:val="14"/>
                    </w:rPr>
                    <w:t>1,045,041</w:t>
                  </w:r>
                </w:p>
              </w:tc>
              <w:tc>
                <w:tcPr>
                  <w:tcW w:w="577" w:type="pct"/>
                  <w:vAlign w:val="bottom"/>
                </w:tcPr>
                <w:p w14:paraId="20C040FF" w14:textId="77777777" w:rsidR="007619EA" w:rsidRPr="00726AB5" w:rsidRDefault="007619EA" w:rsidP="00396E87">
                  <w:pPr>
                    <w:pStyle w:val="StandardOCAshurst"/>
                    <w:jc w:val="right"/>
                    <w:rPr>
                      <w:sz w:val="14"/>
                      <w:szCs w:val="14"/>
                    </w:rPr>
                  </w:pPr>
                </w:p>
              </w:tc>
              <w:tc>
                <w:tcPr>
                  <w:tcW w:w="577" w:type="pct"/>
                  <w:vAlign w:val="bottom"/>
                </w:tcPr>
                <w:p w14:paraId="0A8A4D1C" w14:textId="77777777" w:rsidR="007619EA" w:rsidRPr="00726AB5" w:rsidRDefault="007619EA" w:rsidP="00396E87">
                  <w:pPr>
                    <w:pStyle w:val="StandardOCAshurst"/>
                    <w:jc w:val="right"/>
                    <w:rPr>
                      <w:sz w:val="14"/>
                      <w:szCs w:val="14"/>
                    </w:rPr>
                  </w:pPr>
                </w:p>
              </w:tc>
              <w:tc>
                <w:tcPr>
                  <w:tcW w:w="577" w:type="pct"/>
                  <w:vAlign w:val="bottom"/>
                </w:tcPr>
                <w:p w14:paraId="76BCCFCF" w14:textId="77777777" w:rsidR="007619EA" w:rsidRPr="00726AB5" w:rsidRDefault="007619EA" w:rsidP="00396E87">
                  <w:pPr>
                    <w:pStyle w:val="StandardOCAshurst"/>
                    <w:jc w:val="right"/>
                    <w:rPr>
                      <w:sz w:val="14"/>
                      <w:szCs w:val="14"/>
                    </w:rPr>
                  </w:pPr>
                </w:p>
              </w:tc>
              <w:tc>
                <w:tcPr>
                  <w:tcW w:w="577" w:type="pct"/>
                  <w:vAlign w:val="bottom"/>
                </w:tcPr>
                <w:p w14:paraId="447D3195" w14:textId="77777777" w:rsidR="007619EA" w:rsidRPr="00726AB5" w:rsidRDefault="007619EA" w:rsidP="00396E87">
                  <w:pPr>
                    <w:pStyle w:val="StandardOCAshurst"/>
                    <w:jc w:val="right"/>
                    <w:rPr>
                      <w:sz w:val="14"/>
                      <w:szCs w:val="14"/>
                    </w:rPr>
                  </w:pPr>
                </w:p>
              </w:tc>
              <w:tc>
                <w:tcPr>
                  <w:tcW w:w="579" w:type="pct"/>
                  <w:vAlign w:val="bottom"/>
                </w:tcPr>
                <w:p w14:paraId="11E404DD" w14:textId="77777777" w:rsidR="007619EA" w:rsidRPr="00726AB5" w:rsidRDefault="007619EA" w:rsidP="00396E87">
                  <w:pPr>
                    <w:pStyle w:val="StandardOCAshurst"/>
                    <w:jc w:val="right"/>
                    <w:rPr>
                      <w:sz w:val="14"/>
                      <w:szCs w:val="14"/>
                    </w:rPr>
                  </w:pPr>
                </w:p>
              </w:tc>
              <w:tc>
                <w:tcPr>
                  <w:tcW w:w="653" w:type="pct"/>
                  <w:vAlign w:val="bottom"/>
                </w:tcPr>
                <w:p w14:paraId="739B3CB1" w14:textId="77777777" w:rsidR="007619EA" w:rsidRPr="00726AB5" w:rsidRDefault="007619EA" w:rsidP="00396E87">
                  <w:pPr>
                    <w:pStyle w:val="StandardOCAshurst"/>
                    <w:jc w:val="right"/>
                    <w:rPr>
                      <w:sz w:val="14"/>
                      <w:szCs w:val="14"/>
                    </w:rPr>
                  </w:pPr>
                  <w:r w:rsidRPr="000E0825">
                    <w:rPr>
                      <w:sz w:val="14"/>
                      <w:szCs w:val="14"/>
                    </w:rPr>
                    <w:t>1,045,041</w:t>
                  </w:r>
                </w:p>
              </w:tc>
            </w:tr>
            <w:tr w:rsidR="007619EA" w:rsidRPr="00726AB5" w14:paraId="54D117DA" w14:textId="77777777" w:rsidTr="00284BEE">
              <w:tc>
                <w:tcPr>
                  <w:tcW w:w="863" w:type="pct"/>
                  <w:tcMar>
                    <w:left w:w="28" w:type="dxa"/>
                    <w:right w:w="57" w:type="dxa"/>
                  </w:tcMar>
                  <w:vAlign w:val="bottom"/>
                </w:tcPr>
                <w:p w14:paraId="79743D48" w14:textId="0FD6016C" w:rsidR="007619EA" w:rsidRPr="00726AB5" w:rsidRDefault="007619EA" w:rsidP="00284BEE">
                  <w:pPr>
                    <w:pStyle w:val="StandardOCAshurst"/>
                    <w:tabs>
                      <w:tab w:val="left" w:leader="dot" w:pos="1279"/>
                    </w:tabs>
                    <w:jc w:val="left"/>
                    <w:rPr>
                      <w:sz w:val="14"/>
                      <w:szCs w:val="14"/>
                    </w:rPr>
                  </w:pPr>
                  <w:r w:rsidRPr="00726AB5">
                    <w:rPr>
                      <w:sz w:val="14"/>
                      <w:szCs w:val="14"/>
                    </w:rPr>
                    <w:t>Leases liability</w:t>
                  </w:r>
                  <w:r w:rsidR="00284BEE">
                    <w:rPr>
                      <w:sz w:val="14"/>
                      <w:szCs w:val="14"/>
                    </w:rPr>
                    <w:tab/>
                  </w:r>
                </w:p>
              </w:tc>
              <w:tc>
                <w:tcPr>
                  <w:tcW w:w="596" w:type="pct"/>
                  <w:vAlign w:val="bottom"/>
                </w:tcPr>
                <w:p w14:paraId="7B5FE7BE" w14:textId="77777777" w:rsidR="007619EA" w:rsidRPr="00726AB5" w:rsidRDefault="007619EA" w:rsidP="00396E87">
                  <w:pPr>
                    <w:pStyle w:val="StandardOCAshurst"/>
                    <w:jc w:val="right"/>
                    <w:rPr>
                      <w:sz w:val="14"/>
                      <w:szCs w:val="14"/>
                    </w:rPr>
                  </w:pPr>
                  <w:r w:rsidRPr="000E0825">
                    <w:rPr>
                      <w:sz w:val="14"/>
                      <w:szCs w:val="14"/>
                    </w:rPr>
                    <w:t>548,407</w:t>
                  </w:r>
                </w:p>
              </w:tc>
              <w:tc>
                <w:tcPr>
                  <w:tcW w:w="577" w:type="pct"/>
                  <w:vAlign w:val="bottom"/>
                </w:tcPr>
                <w:p w14:paraId="294A5624" w14:textId="77777777" w:rsidR="007619EA" w:rsidRPr="00726AB5" w:rsidRDefault="007619EA" w:rsidP="00396E87">
                  <w:pPr>
                    <w:pStyle w:val="StandardOCAshurst"/>
                    <w:jc w:val="right"/>
                    <w:rPr>
                      <w:sz w:val="14"/>
                      <w:szCs w:val="14"/>
                    </w:rPr>
                  </w:pPr>
                </w:p>
              </w:tc>
              <w:tc>
                <w:tcPr>
                  <w:tcW w:w="577" w:type="pct"/>
                  <w:vAlign w:val="bottom"/>
                </w:tcPr>
                <w:p w14:paraId="23D76F22" w14:textId="77777777" w:rsidR="007619EA" w:rsidRPr="00726AB5" w:rsidRDefault="007619EA" w:rsidP="00396E87">
                  <w:pPr>
                    <w:pStyle w:val="StandardOCAshurst"/>
                    <w:jc w:val="right"/>
                    <w:rPr>
                      <w:sz w:val="14"/>
                      <w:szCs w:val="14"/>
                    </w:rPr>
                  </w:pPr>
                </w:p>
              </w:tc>
              <w:tc>
                <w:tcPr>
                  <w:tcW w:w="577" w:type="pct"/>
                  <w:vAlign w:val="bottom"/>
                </w:tcPr>
                <w:p w14:paraId="1ACF2CD7" w14:textId="77777777" w:rsidR="007619EA" w:rsidRPr="00726AB5" w:rsidRDefault="007619EA" w:rsidP="00396E87">
                  <w:pPr>
                    <w:pStyle w:val="StandardOCAshurst"/>
                    <w:jc w:val="right"/>
                    <w:rPr>
                      <w:sz w:val="14"/>
                      <w:szCs w:val="14"/>
                    </w:rPr>
                  </w:pPr>
                </w:p>
              </w:tc>
              <w:tc>
                <w:tcPr>
                  <w:tcW w:w="577" w:type="pct"/>
                  <w:vAlign w:val="bottom"/>
                </w:tcPr>
                <w:p w14:paraId="18F80482" w14:textId="77777777" w:rsidR="007619EA" w:rsidRPr="00726AB5" w:rsidRDefault="007619EA" w:rsidP="00396E87">
                  <w:pPr>
                    <w:pStyle w:val="StandardOCAshurst"/>
                    <w:jc w:val="right"/>
                    <w:rPr>
                      <w:sz w:val="14"/>
                      <w:szCs w:val="14"/>
                    </w:rPr>
                  </w:pPr>
                </w:p>
              </w:tc>
              <w:tc>
                <w:tcPr>
                  <w:tcW w:w="579" w:type="pct"/>
                  <w:vAlign w:val="bottom"/>
                </w:tcPr>
                <w:p w14:paraId="7DD19EE1" w14:textId="77777777" w:rsidR="007619EA" w:rsidRPr="00726AB5" w:rsidRDefault="007619EA" w:rsidP="00396E87">
                  <w:pPr>
                    <w:pStyle w:val="StandardOCAshurst"/>
                    <w:jc w:val="right"/>
                    <w:rPr>
                      <w:sz w:val="14"/>
                      <w:szCs w:val="14"/>
                    </w:rPr>
                  </w:pPr>
                </w:p>
              </w:tc>
              <w:tc>
                <w:tcPr>
                  <w:tcW w:w="653" w:type="pct"/>
                  <w:vAlign w:val="bottom"/>
                </w:tcPr>
                <w:p w14:paraId="6DC90BA8" w14:textId="77777777" w:rsidR="007619EA" w:rsidRPr="00726AB5" w:rsidRDefault="007619EA" w:rsidP="00396E87">
                  <w:pPr>
                    <w:pStyle w:val="StandardOCAshurst"/>
                    <w:jc w:val="right"/>
                    <w:rPr>
                      <w:sz w:val="14"/>
                      <w:szCs w:val="14"/>
                    </w:rPr>
                  </w:pPr>
                  <w:r w:rsidRPr="000E0825">
                    <w:rPr>
                      <w:sz w:val="14"/>
                      <w:szCs w:val="14"/>
                    </w:rPr>
                    <w:t>548,407</w:t>
                  </w:r>
                </w:p>
              </w:tc>
            </w:tr>
            <w:tr w:rsidR="007619EA" w:rsidRPr="00726AB5" w14:paraId="2F15B2C5" w14:textId="77777777" w:rsidTr="00284BEE">
              <w:tc>
                <w:tcPr>
                  <w:tcW w:w="863" w:type="pct"/>
                  <w:tcMar>
                    <w:left w:w="28" w:type="dxa"/>
                    <w:right w:w="57" w:type="dxa"/>
                  </w:tcMar>
                  <w:vAlign w:val="bottom"/>
                </w:tcPr>
                <w:p w14:paraId="748CEEB8" w14:textId="20014C86" w:rsidR="007619EA" w:rsidRPr="00726AB5" w:rsidRDefault="007619EA" w:rsidP="00284BEE">
                  <w:pPr>
                    <w:pStyle w:val="StandardOCAshurst"/>
                    <w:tabs>
                      <w:tab w:val="left" w:leader="dot" w:pos="1279"/>
                    </w:tabs>
                    <w:jc w:val="left"/>
                    <w:rPr>
                      <w:sz w:val="14"/>
                      <w:szCs w:val="14"/>
                    </w:rPr>
                  </w:pPr>
                  <w:r w:rsidRPr="00726AB5">
                    <w:rPr>
                      <w:sz w:val="14"/>
                      <w:szCs w:val="14"/>
                    </w:rPr>
                    <w:t>Contingent consideration</w:t>
                  </w:r>
                  <w:r w:rsidR="00284BEE">
                    <w:rPr>
                      <w:sz w:val="14"/>
                      <w:szCs w:val="14"/>
                    </w:rPr>
                    <w:tab/>
                  </w:r>
                </w:p>
              </w:tc>
              <w:tc>
                <w:tcPr>
                  <w:tcW w:w="596" w:type="pct"/>
                  <w:vAlign w:val="bottom"/>
                </w:tcPr>
                <w:p w14:paraId="5DAEF198" w14:textId="77777777" w:rsidR="007619EA" w:rsidRPr="00726AB5" w:rsidRDefault="007619EA" w:rsidP="00396E87">
                  <w:pPr>
                    <w:pStyle w:val="StandardOCAshurst"/>
                    <w:jc w:val="right"/>
                    <w:rPr>
                      <w:sz w:val="14"/>
                      <w:szCs w:val="14"/>
                    </w:rPr>
                  </w:pPr>
                  <w:r w:rsidRPr="000E0825">
                    <w:rPr>
                      <w:sz w:val="14"/>
                      <w:szCs w:val="14"/>
                    </w:rPr>
                    <w:t>448,384</w:t>
                  </w:r>
                </w:p>
              </w:tc>
              <w:tc>
                <w:tcPr>
                  <w:tcW w:w="577" w:type="pct"/>
                  <w:vAlign w:val="bottom"/>
                </w:tcPr>
                <w:p w14:paraId="1B772BAA" w14:textId="77777777" w:rsidR="007619EA" w:rsidRPr="00726AB5" w:rsidRDefault="007619EA" w:rsidP="00396E87">
                  <w:pPr>
                    <w:pStyle w:val="StandardOCAshurst"/>
                    <w:jc w:val="right"/>
                    <w:rPr>
                      <w:sz w:val="14"/>
                      <w:szCs w:val="14"/>
                    </w:rPr>
                  </w:pPr>
                </w:p>
              </w:tc>
              <w:tc>
                <w:tcPr>
                  <w:tcW w:w="577" w:type="pct"/>
                  <w:vAlign w:val="bottom"/>
                </w:tcPr>
                <w:p w14:paraId="45D2CB42" w14:textId="77777777" w:rsidR="007619EA" w:rsidRPr="00726AB5" w:rsidRDefault="007619EA" w:rsidP="00396E87">
                  <w:pPr>
                    <w:pStyle w:val="StandardOCAshurst"/>
                    <w:jc w:val="right"/>
                    <w:rPr>
                      <w:sz w:val="14"/>
                      <w:szCs w:val="14"/>
                    </w:rPr>
                  </w:pPr>
                  <w:r w:rsidRPr="000E0825">
                    <w:rPr>
                      <w:sz w:val="14"/>
                      <w:szCs w:val="14"/>
                    </w:rPr>
                    <w:t>19,700</w:t>
                  </w:r>
                </w:p>
              </w:tc>
              <w:tc>
                <w:tcPr>
                  <w:tcW w:w="577" w:type="pct"/>
                  <w:vAlign w:val="bottom"/>
                </w:tcPr>
                <w:p w14:paraId="42CC8D26" w14:textId="77777777" w:rsidR="007619EA" w:rsidRPr="00726AB5" w:rsidRDefault="007619EA" w:rsidP="00396E87">
                  <w:pPr>
                    <w:pStyle w:val="StandardOCAshurst"/>
                    <w:jc w:val="right"/>
                    <w:rPr>
                      <w:sz w:val="14"/>
                      <w:szCs w:val="14"/>
                    </w:rPr>
                  </w:pPr>
                </w:p>
              </w:tc>
              <w:tc>
                <w:tcPr>
                  <w:tcW w:w="577" w:type="pct"/>
                  <w:vAlign w:val="bottom"/>
                </w:tcPr>
                <w:p w14:paraId="3C4FD368" w14:textId="77777777" w:rsidR="007619EA" w:rsidRPr="00726AB5" w:rsidRDefault="007619EA" w:rsidP="00396E87">
                  <w:pPr>
                    <w:pStyle w:val="StandardOCAshurst"/>
                    <w:jc w:val="right"/>
                    <w:rPr>
                      <w:sz w:val="14"/>
                      <w:szCs w:val="14"/>
                    </w:rPr>
                  </w:pPr>
                  <w:r w:rsidRPr="000E0825">
                    <w:rPr>
                      <w:sz w:val="14"/>
                      <w:szCs w:val="14"/>
                    </w:rPr>
                    <w:t>(44,589)</w:t>
                  </w:r>
                </w:p>
              </w:tc>
              <w:tc>
                <w:tcPr>
                  <w:tcW w:w="579" w:type="pct"/>
                  <w:vAlign w:val="bottom"/>
                </w:tcPr>
                <w:p w14:paraId="5D6E0622" w14:textId="77777777" w:rsidR="007619EA" w:rsidRPr="00726AB5" w:rsidRDefault="007619EA" w:rsidP="00396E87">
                  <w:pPr>
                    <w:pStyle w:val="StandardOCAshurst"/>
                    <w:jc w:val="right"/>
                    <w:rPr>
                      <w:sz w:val="14"/>
                      <w:szCs w:val="14"/>
                    </w:rPr>
                  </w:pPr>
                </w:p>
              </w:tc>
              <w:tc>
                <w:tcPr>
                  <w:tcW w:w="653" w:type="pct"/>
                  <w:vAlign w:val="bottom"/>
                </w:tcPr>
                <w:p w14:paraId="60EE3FE2" w14:textId="77777777" w:rsidR="007619EA" w:rsidRPr="00726AB5" w:rsidRDefault="007619EA" w:rsidP="00396E87">
                  <w:pPr>
                    <w:pStyle w:val="StandardOCAshurst"/>
                    <w:jc w:val="right"/>
                    <w:rPr>
                      <w:sz w:val="14"/>
                      <w:szCs w:val="14"/>
                    </w:rPr>
                  </w:pPr>
                  <w:r w:rsidRPr="000E0825">
                    <w:rPr>
                      <w:sz w:val="14"/>
                      <w:szCs w:val="14"/>
                    </w:rPr>
                    <w:t>423,495</w:t>
                  </w:r>
                </w:p>
              </w:tc>
            </w:tr>
            <w:tr w:rsidR="007619EA" w:rsidRPr="00726AB5" w14:paraId="0F2E23E5" w14:textId="77777777" w:rsidTr="00284BEE">
              <w:tc>
                <w:tcPr>
                  <w:tcW w:w="863" w:type="pct"/>
                  <w:tcMar>
                    <w:left w:w="28" w:type="dxa"/>
                    <w:right w:w="57" w:type="dxa"/>
                  </w:tcMar>
                  <w:vAlign w:val="bottom"/>
                </w:tcPr>
                <w:p w14:paraId="6E77F818" w14:textId="6CE184AC" w:rsidR="007619EA" w:rsidRPr="00726AB5" w:rsidRDefault="007619EA" w:rsidP="00284BEE">
                  <w:pPr>
                    <w:pStyle w:val="StandardOCAshurst"/>
                    <w:tabs>
                      <w:tab w:val="left" w:leader="dot" w:pos="1279"/>
                    </w:tabs>
                    <w:jc w:val="left"/>
                    <w:rPr>
                      <w:sz w:val="14"/>
                      <w:szCs w:val="14"/>
                    </w:rPr>
                  </w:pPr>
                  <w:r w:rsidRPr="00726AB5">
                    <w:rPr>
                      <w:sz w:val="14"/>
                      <w:szCs w:val="14"/>
                    </w:rPr>
                    <w:t>Provisions</w:t>
                  </w:r>
                  <w:r w:rsidR="00284BEE">
                    <w:rPr>
                      <w:sz w:val="14"/>
                      <w:szCs w:val="14"/>
                    </w:rPr>
                    <w:tab/>
                  </w:r>
                </w:p>
              </w:tc>
              <w:tc>
                <w:tcPr>
                  <w:tcW w:w="596" w:type="pct"/>
                  <w:vAlign w:val="bottom"/>
                </w:tcPr>
                <w:p w14:paraId="0B75AA55" w14:textId="77777777" w:rsidR="007619EA" w:rsidRPr="00726AB5" w:rsidRDefault="007619EA" w:rsidP="00396E87">
                  <w:pPr>
                    <w:pStyle w:val="StandardOCAshurst"/>
                    <w:jc w:val="right"/>
                    <w:rPr>
                      <w:sz w:val="14"/>
                      <w:szCs w:val="14"/>
                    </w:rPr>
                  </w:pPr>
                  <w:r w:rsidRPr="000E0825">
                    <w:rPr>
                      <w:sz w:val="14"/>
                      <w:szCs w:val="14"/>
                    </w:rPr>
                    <w:t>741,453</w:t>
                  </w:r>
                </w:p>
              </w:tc>
              <w:tc>
                <w:tcPr>
                  <w:tcW w:w="577" w:type="pct"/>
                  <w:vAlign w:val="bottom"/>
                </w:tcPr>
                <w:p w14:paraId="3C142ADD" w14:textId="77777777" w:rsidR="007619EA" w:rsidRPr="00726AB5" w:rsidRDefault="007619EA" w:rsidP="00396E87">
                  <w:pPr>
                    <w:pStyle w:val="StandardOCAshurst"/>
                    <w:jc w:val="right"/>
                    <w:rPr>
                      <w:sz w:val="14"/>
                      <w:szCs w:val="14"/>
                    </w:rPr>
                  </w:pPr>
                  <w:r w:rsidRPr="000E0825">
                    <w:rPr>
                      <w:sz w:val="14"/>
                      <w:szCs w:val="14"/>
                    </w:rPr>
                    <w:t>138,740</w:t>
                  </w:r>
                </w:p>
              </w:tc>
              <w:tc>
                <w:tcPr>
                  <w:tcW w:w="577" w:type="pct"/>
                  <w:vAlign w:val="bottom"/>
                </w:tcPr>
                <w:p w14:paraId="6CBD2BA9" w14:textId="77777777" w:rsidR="007619EA" w:rsidRPr="00726AB5" w:rsidRDefault="007619EA" w:rsidP="00396E87">
                  <w:pPr>
                    <w:pStyle w:val="StandardOCAshurst"/>
                    <w:jc w:val="right"/>
                    <w:rPr>
                      <w:sz w:val="14"/>
                      <w:szCs w:val="14"/>
                    </w:rPr>
                  </w:pPr>
                </w:p>
              </w:tc>
              <w:tc>
                <w:tcPr>
                  <w:tcW w:w="577" w:type="pct"/>
                  <w:vAlign w:val="bottom"/>
                </w:tcPr>
                <w:p w14:paraId="3040E842" w14:textId="77777777" w:rsidR="007619EA" w:rsidRPr="00726AB5" w:rsidRDefault="007619EA" w:rsidP="00396E87">
                  <w:pPr>
                    <w:pStyle w:val="StandardOCAshurst"/>
                    <w:jc w:val="right"/>
                    <w:rPr>
                      <w:sz w:val="14"/>
                      <w:szCs w:val="14"/>
                    </w:rPr>
                  </w:pPr>
                </w:p>
              </w:tc>
              <w:tc>
                <w:tcPr>
                  <w:tcW w:w="577" w:type="pct"/>
                  <w:vAlign w:val="bottom"/>
                </w:tcPr>
                <w:p w14:paraId="451AFB2D" w14:textId="77777777" w:rsidR="007619EA" w:rsidRPr="00726AB5" w:rsidRDefault="007619EA" w:rsidP="00396E87">
                  <w:pPr>
                    <w:pStyle w:val="StandardOCAshurst"/>
                    <w:jc w:val="right"/>
                    <w:rPr>
                      <w:sz w:val="14"/>
                      <w:szCs w:val="14"/>
                    </w:rPr>
                  </w:pPr>
                </w:p>
              </w:tc>
              <w:tc>
                <w:tcPr>
                  <w:tcW w:w="579" w:type="pct"/>
                  <w:vAlign w:val="bottom"/>
                </w:tcPr>
                <w:p w14:paraId="3722C6F6" w14:textId="77777777" w:rsidR="007619EA" w:rsidRPr="00726AB5" w:rsidRDefault="007619EA" w:rsidP="00396E87">
                  <w:pPr>
                    <w:pStyle w:val="StandardOCAshurst"/>
                    <w:jc w:val="right"/>
                    <w:rPr>
                      <w:sz w:val="14"/>
                      <w:szCs w:val="14"/>
                    </w:rPr>
                  </w:pPr>
                </w:p>
              </w:tc>
              <w:tc>
                <w:tcPr>
                  <w:tcW w:w="653" w:type="pct"/>
                  <w:vAlign w:val="bottom"/>
                </w:tcPr>
                <w:p w14:paraId="4C37AE7F" w14:textId="77777777" w:rsidR="007619EA" w:rsidRPr="00726AB5" w:rsidRDefault="007619EA" w:rsidP="00396E87">
                  <w:pPr>
                    <w:pStyle w:val="StandardOCAshurst"/>
                    <w:jc w:val="right"/>
                    <w:rPr>
                      <w:sz w:val="14"/>
                      <w:szCs w:val="14"/>
                    </w:rPr>
                  </w:pPr>
                  <w:r w:rsidRPr="000E0825">
                    <w:rPr>
                      <w:sz w:val="14"/>
                      <w:szCs w:val="14"/>
                    </w:rPr>
                    <w:t>880,193</w:t>
                  </w:r>
                </w:p>
              </w:tc>
            </w:tr>
            <w:tr w:rsidR="007619EA" w:rsidRPr="00726AB5" w14:paraId="6C10F1B5" w14:textId="77777777" w:rsidTr="00284BEE">
              <w:tc>
                <w:tcPr>
                  <w:tcW w:w="863" w:type="pct"/>
                  <w:tcMar>
                    <w:left w:w="28" w:type="dxa"/>
                    <w:right w:w="57" w:type="dxa"/>
                  </w:tcMar>
                  <w:vAlign w:val="bottom"/>
                </w:tcPr>
                <w:p w14:paraId="7823AEED" w14:textId="22ABAC14" w:rsidR="007619EA" w:rsidRPr="00726AB5" w:rsidRDefault="007619EA" w:rsidP="00284BEE">
                  <w:pPr>
                    <w:pStyle w:val="StandardOCAshurst"/>
                    <w:tabs>
                      <w:tab w:val="left" w:leader="dot" w:pos="1279"/>
                    </w:tabs>
                    <w:jc w:val="left"/>
                    <w:rPr>
                      <w:sz w:val="14"/>
                      <w:szCs w:val="14"/>
                    </w:rPr>
                  </w:pPr>
                  <w:r w:rsidRPr="00726AB5">
                    <w:rPr>
                      <w:sz w:val="14"/>
                      <w:szCs w:val="14"/>
                    </w:rPr>
                    <w:t>Deferred tax liabilities</w:t>
                  </w:r>
                  <w:r w:rsidR="00284BEE">
                    <w:rPr>
                      <w:sz w:val="14"/>
                      <w:szCs w:val="14"/>
                    </w:rPr>
                    <w:tab/>
                  </w:r>
                </w:p>
              </w:tc>
              <w:tc>
                <w:tcPr>
                  <w:tcW w:w="596" w:type="pct"/>
                  <w:vAlign w:val="bottom"/>
                </w:tcPr>
                <w:p w14:paraId="0BFAB6C8"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6,385</w:t>
                  </w:r>
                </w:p>
              </w:tc>
              <w:tc>
                <w:tcPr>
                  <w:tcW w:w="577" w:type="pct"/>
                  <w:vAlign w:val="bottom"/>
                </w:tcPr>
                <w:p w14:paraId="2C42D3B9"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1AC13B79"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02134D94"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3993D838" w14:textId="77777777" w:rsidR="007619EA" w:rsidRPr="00726AB5" w:rsidRDefault="007619EA" w:rsidP="00396E87">
                  <w:pPr>
                    <w:pStyle w:val="StandardOCAshurst"/>
                    <w:pBdr>
                      <w:bottom w:val="single" w:sz="4" w:space="1" w:color="auto"/>
                    </w:pBdr>
                    <w:jc w:val="right"/>
                    <w:rPr>
                      <w:sz w:val="14"/>
                      <w:szCs w:val="14"/>
                    </w:rPr>
                  </w:pPr>
                </w:p>
              </w:tc>
              <w:tc>
                <w:tcPr>
                  <w:tcW w:w="579" w:type="pct"/>
                  <w:vAlign w:val="bottom"/>
                </w:tcPr>
                <w:p w14:paraId="77DAB1B0" w14:textId="77777777" w:rsidR="007619EA" w:rsidRPr="00726AB5" w:rsidRDefault="007619EA" w:rsidP="00396E87">
                  <w:pPr>
                    <w:pStyle w:val="StandardOCAshurst"/>
                    <w:pBdr>
                      <w:bottom w:val="single" w:sz="4" w:space="1" w:color="auto"/>
                    </w:pBdr>
                    <w:jc w:val="right"/>
                    <w:rPr>
                      <w:sz w:val="14"/>
                      <w:szCs w:val="14"/>
                    </w:rPr>
                  </w:pPr>
                </w:p>
              </w:tc>
              <w:tc>
                <w:tcPr>
                  <w:tcW w:w="653" w:type="pct"/>
                  <w:vAlign w:val="bottom"/>
                </w:tcPr>
                <w:p w14:paraId="1BDF9983" w14:textId="77777777" w:rsidR="007619EA" w:rsidRPr="00726AB5" w:rsidRDefault="007619EA" w:rsidP="00396E87">
                  <w:pPr>
                    <w:pStyle w:val="StandardOCAshurst"/>
                    <w:pBdr>
                      <w:bottom w:val="single" w:sz="4" w:space="1" w:color="auto"/>
                    </w:pBdr>
                    <w:jc w:val="right"/>
                    <w:rPr>
                      <w:sz w:val="14"/>
                      <w:szCs w:val="14"/>
                    </w:rPr>
                  </w:pPr>
                  <w:r w:rsidRPr="000E0825">
                    <w:rPr>
                      <w:sz w:val="14"/>
                      <w:szCs w:val="14"/>
                    </w:rPr>
                    <w:t>6,385</w:t>
                  </w:r>
                </w:p>
              </w:tc>
            </w:tr>
            <w:tr w:rsidR="007619EA" w:rsidRPr="00726AB5" w14:paraId="2B692F78" w14:textId="77777777" w:rsidTr="00284BEE">
              <w:tc>
                <w:tcPr>
                  <w:tcW w:w="863" w:type="pct"/>
                  <w:tcMar>
                    <w:left w:w="28" w:type="dxa"/>
                    <w:right w:w="57" w:type="dxa"/>
                  </w:tcMar>
                  <w:vAlign w:val="bottom"/>
                </w:tcPr>
                <w:p w14:paraId="611592A8" w14:textId="2EF53CD4" w:rsidR="007619EA" w:rsidRPr="00726AB5" w:rsidRDefault="007619EA" w:rsidP="00284BEE">
                  <w:pPr>
                    <w:pStyle w:val="StandardOCAshurst"/>
                    <w:tabs>
                      <w:tab w:val="left" w:leader="dot" w:pos="1279"/>
                    </w:tabs>
                    <w:jc w:val="left"/>
                    <w:rPr>
                      <w:b/>
                      <w:bCs/>
                      <w:sz w:val="14"/>
                      <w:szCs w:val="14"/>
                    </w:rPr>
                  </w:pPr>
                  <w:r w:rsidRPr="00726AB5">
                    <w:rPr>
                      <w:b/>
                      <w:bCs/>
                      <w:sz w:val="14"/>
                      <w:szCs w:val="14"/>
                    </w:rPr>
                    <w:t xml:space="preserve">Total non-current </w:t>
                  </w:r>
                  <w:r w:rsidRPr="00284BEE">
                    <w:rPr>
                      <w:b/>
                      <w:bCs/>
                      <w:sz w:val="14"/>
                      <w:szCs w:val="14"/>
                    </w:rPr>
                    <w:t>liabilities</w:t>
                  </w:r>
                  <w:r w:rsidR="00284BEE" w:rsidRPr="00284BEE">
                    <w:rPr>
                      <w:sz w:val="14"/>
                      <w:szCs w:val="14"/>
                    </w:rPr>
                    <w:tab/>
                  </w:r>
                </w:p>
              </w:tc>
              <w:tc>
                <w:tcPr>
                  <w:tcW w:w="596" w:type="pct"/>
                  <w:vAlign w:val="bottom"/>
                </w:tcPr>
                <w:p w14:paraId="13A81212"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2,827,524</w:t>
                  </w:r>
                </w:p>
              </w:tc>
              <w:tc>
                <w:tcPr>
                  <w:tcW w:w="577" w:type="pct"/>
                  <w:vAlign w:val="bottom"/>
                </w:tcPr>
                <w:p w14:paraId="31CA0A9E"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138,740</w:t>
                  </w:r>
                </w:p>
              </w:tc>
              <w:tc>
                <w:tcPr>
                  <w:tcW w:w="577" w:type="pct"/>
                  <w:vAlign w:val="bottom"/>
                </w:tcPr>
                <w:p w14:paraId="2F060D37"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19,700</w:t>
                  </w:r>
                </w:p>
              </w:tc>
              <w:tc>
                <w:tcPr>
                  <w:tcW w:w="577" w:type="pct"/>
                  <w:vAlign w:val="bottom"/>
                </w:tcPr>
                <w:p w14:paraId="1635CB34"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0</w:t>
                  </w:r>
                </w:p>
              </w:tc>
              <w:tc>
                <w:tcPr>
                  <w:tcW w:w="577" w:type="pct"/>
                  <w:vAlign w:val="bottom"/>
                </w:tcPr>
                <w:p w14:paraId="28C143A9"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488,556</w:t>
                  </w:r>
                </w:p>
              </w:tc>
              <w:tc>
                <w:tcPr>
                  <w:tcW w:w="579" w:type="pct"/>
                  <w:vAlign w:val="bottom"/>
                </w:tcPr>
                <w:p w14:paraId="194D85F6"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0</w:t>
                  </w:r>
                </w:p>
              </w:tc>
              <w:tc>
                <w:tcPr>
                  <w:tcW w:w="653" w:type="pct"/>
                  <w:vAlign w:val="bottom"/>
                </w:tcPr>
                <w:p w14:paraId="4E18E07E"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3,474,520</w:t>
                  </w:r>
                </w:p>
              </w:tc>
            </w:tr>
            <w:tr w:rsidR="007619EA" w:rsidRPr="00726AB5" w14:paraId="380532A1" w14:textId="77777777" w:rsidTr="00284BEE">
              <w:tc>
                <w:tcPr>
                  <w:tcW w:w="863" w:type="pct"/>
                  <w:tcMar>
                    <w:left w:w="28" w:type="dxa"/>
                    <w:right w:w="57" w:type="dxa"/>
                  </w:tcMar>
                  <w:vAlign w:val="bottom"/>
                </w:tcPr>
                <w:p w14:paraId="7D4EE56F" w14:textId="77777777" w:rsidR="007619EA" w:rsidRPr="00726AB5" w:rsidRDefault="007619EA" w:rsidP="00284BEE">
                  <w:pPr>
                    <w:pStyle w:val="StandardOCAshurst"/>
                    <w:tabs>
                      <w:tab w:val="left" w:leader="dot" w:pos="1279"/>
                    </w:tabs>
                    <w:jc w:val="left"/>
                    <w:rPr>
                      <w:sz w:val="14"/>
                      <w:szCs w:val="14"/>
                    </w:rPr>
                  </w:pPr>
                  <w:r w:rsidRPr="00726AB5">
                    <w:rPr>
                      <w:sz w:val="14"/>
                      <w:szCs w:val="14"/>
                    </w:rPr>
                    <w:t xml:space="preserve"> </w:t>
                  </w:r>
                </w:p>
              </w:tc>
              <w:tc>
                <w:tcPr>
                  <w:tcW w:w="596" w:type="pct"/>
                  <w:vAlign w:val="bottom"/>
                </w:tcPr>
                <w:p w14:paraId="56C4C12B"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5533738C"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31E4B566"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2E0FE758"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332AD3EA" w14:textId="77777777" w:rsidR="007619EA" w:rsidRPr="00726AB5" w:rsidRDefault="007619EA" w:rsidP="00396E87">
                  <w:pPr>
                    <w:pStyle w:val="StandardOCAshurst"/>
                    <w:pBdr>
                      <w:bottom w:val="single" w:sz="4" w:space="1" w:color="auto"/>
                    </w:pBdr>
                    <w:jc w:val="right"/>
                    <w:rPr>
                      <w:sz w:val="14"/>
                      <w:szCs w:val="14"/>
                    </w:rPr>
                  </w:pPr>
                </w:p>
              </w:tc>
              <w:tc>
                <w:tcPr>
                  <w:tcW w:w="579" w:type="pct"/>
                  <w:vAlign w:val="bottom"/>
                </w:tcPr>
                <w:p w14:paraId="0D1093A6" w14:textId="77777777" w:rsidR="007619EA" w:rsidRPr="00726AB5" w:rsidRDefault="007619EA" w:rsidP="00396E87">
                  <w:pPr>
                    <w:pStyle w:val="StandardOCAshurst"/>
                    <w:pBdr>
                      <w:bottom w:val="single" w:sz="4" w:space="1" w:color="auto"/>
                    </w:pBdr>
                    <w:jc w:val="right"/>
                    <w:rPr>
                      <w:sz w:val="14"/>
                      <w:szCs w:val="14"/>
                    </w:rPr>
                  </w:pPr>
                </w:p>
              </w:tc>
              <w:tc>
                <w:tcPr>
                  <w:tcW w:w="653" w:type="pct"/>
                  <w:vAlign w:val="bottom"/>
                </w:tcPr>
                <w:p w14:paraId="4FFD0066" w14:textId="77777777" w:rsidR="007619EA" w:rsidRPr="00726AB5" w:rsidRDefault="007619EA" w:rsidP="00396E87">
                  <w:pPr>
                    <w:pStyle w:val="StandardOCAshurst"/>
                    <w:pBdr>
                      <w:bottom w:val="single" w:sz="4" w:space="1" w:color="auto"/>
                    </w:pBdr>
                    <w:jc w:val="right"/>
                    <w:rPr>
                      <w:sz w:val="14"/>
                      <w:szCs w:val="14"/>
                    </w:rPr>
                  </w:pPr>
                </w:p>
              </w:tc>
            </w:tr>
            <w:tr w:rsidR="007619EA" w:rsidRPr="00726AB5" w14:paraId="283D1255" w14:textId="77777777" w:rsidTr="00284BEE">
              <w:tc>
                <w:tcPr>
                  <w:tcW w:w="863" w:type="pct"/>
                  <w:tcMar>
                    <w:left w:w="28" w:type="dxa"/>
                    <w:right w:w="57" w:type="dxa"/>
                  </w:tcMar>
                  <w:vAlign w:val="bottom"/>
                </w:tcPr>
                <w:p w14:paraId="3A7421B5" w14:textId="112B6863" w:rsidR="007619EA" w:rsidRPr="00726AB5" w:rsidRDefault="007619EA" w:rsidP="00284BEE">
                  <w:pPr>
                    <w:pStyle w:val="StandardOCAshurst"/>
                    <w:tabs>
                      <w:tab w:val="left" w:leader="dot" w:pos="1279"/>
                    </w:tabs>
                    <w:jc w:val="left"/>
                    <w:rPr>
                      <w:b/>
                      <w:bCs/>
                      <w:sz w:val="14"/>
                      <w:szCs w:val="14"/>
                    </w:rPr>
                  </w:pPr>
                  <w:r w:rsidRPr="00726AB5">
                    <w:rPr>
                      <w:b/>
                      <w:bCs/>
                      <w:sz w:val="14"/>
                      <w:szCs w:val="14"/>
                    </w:rPr>
                    <w:t>Total liabilities</w:t>
                  </w:r>
                  <w:r w:rsidR="00284BEE" w:rsidRPr="00284BEE">
                    <w:rPr>
                      <w:sz w:val="14"/>
                      <w:szCs w:val="14"/>
                    </w:rPr>
                    <w:tab/>
                  </w:r>
                </w:p>
              </w:tc>
              <w:tc>
                <w:tcPr>
                  <w:tcW w:w="596" w:type="pct"/>
                  <w:vAlign w:val="bottom"/>
                </w:tcPr>
                <w:p w14:paraId="143DE0B8"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3,771,386</w:t>
                  </w:r>
                </w:p>
              </w:tc>
              <w:tc>
                <w:tcPr>
                  <w:tcW w:w="577" w:type="pct"/>
                  <w:vAlign w:val="bottom"/>
                </w:tcPr>
                <w:p w14:paraId="24E29CA8"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152,780</w:t>
                  </w:r>
                </w:p>
              </w:tc>
              <w:tc>
                <w:tcPr>
                  <w:tcW w:w="577" w:type="pct"/>
                  <w:vAlign w:val="bottom"/>
                </w:tcPr>
                <w:p w14:paraId="24A09A25"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19,700</w:t>
                  </w:r>
                </w:p>
              </w:tc>
              <w:tc>
                <w:tcPr>
                  <w:tcW w:w="577" w:type="pct"/>
                  <w:vAlign w:val="bottom"/>
                </w:tcPr>
                <w:p w14:paraId="4046515D"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0</w:t>
                  </w:r>
                </w:p>
              </w:tc>
              <w:tc>
                <w:tcPr>
                  <w:tcW w:w="577" w:type="pct"/>
                  <w:vAlign w:val="bottom"/>
                </w:tcPr>
                <w:p w14:paraId="64AC210B"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55,737</w:t>
                  </w:r>
                </w:p>
              </w:tc>
              <w:tc>
                <w:tcPr>
                  <w:tcW w:w="579" w:type="pct"/>
                  <w:vAlign w:val="bottom"/>
                </w:tcPr>
                <w:p w14:paraId="3A7C8F0B"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0</w:t>
                  </w:r>
                </w:p>
              </w:tc>
              <w:tc>
                <w:tcPr>
                  <w:tcW w:w="653" w:type="pct"/>
                  <w:vAlign w:val="bottom"/>
                </w:tcPr>
                <w:p w14:paraId="57886FFD"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3,999,603</w:t>
                  </w:r>
                </w:p>
              </w:tc>
            </w:tr>
            <w:tr w:rsidR="007619EA" w:rsidRPr="00726AB5" w14:paraId="21C58C7D" w14:textId="77777777" w:rsidTr="00284BEE">
              <w:tc>
                <w:tcPr>
                  <w:tcW w:w="863" w:type="pct"/>
                  <w:tcMar>
                    <w:left w:w="28" w:type="dxa"/>
                    <w:right w:w="57" w:type="dxa"/>
                  </w:tcMar>
                  <w:vAlign w:val="bottom"/>
                </w:tcPr>
                <w:p w14:paraId="49F4FD0D" w14:textId="77777777" w:rsidR="007619EA" w:rsidRPr="00726AB5" w:rsidRDefault="007619EA" w:rsidP="00284BEE">
                  <w:pPr>
                    <w:pStyle w:val="StandardOCAshurst"/>
                    <w:tabs>
                      <w:tab w:val="left" w:leader="dot" w:pos="1279"/>
                    </w:tabs>
                    <w:jc w:val="left"/>
                    <w:rPr>
                      <w:sz w:val="14"/>
                      <w:szCs w:val="14"/>
                    </w:rPr>
                  </w:pPr>
                </w:p>
              </w:tc>
              <w:tc>
                <w:tcPr>
                  <w:tcW w:w="596" w:type="pct"/>
                  <w:vAlign w:val="bottom"/>
                </w:tcPr>
                <w:p w14:paraId="569CC213"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56CE3163"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3F497EAD"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018D9947" w14:textId="77777777" w:rsidR="007619EA" w:rsidRPr="00726AB5" w:rsidRDefault="007619EA" w:rsidP="00396E87">
                  <w:pPr>
                    <w:pStyle w:val="StandardOCAshurst"/>
                    <w:pBdr>
                      <w:bottom w:val="single" w:sz="4" w:space="1" w:color="auto"/>
                    </w:pBdr>
                    <w:jc w:val="right"/>
                    <w:rPr>
                      <w:sz w:val="14"/>
                      <w:szCs w:val="14"/>
                    </w:rPr>
                  </w:pPr>
                </w:p>
              </w:tc>
              <w:tc>
                <w:tcPr>
                  <w:tcW w:w="577" w:type="pct"/>
                  <w:vAlign w:val="bottom"/>
                </w:tcPr>
                <w:p w14:paraId="303DF7E2" w14:textId="77777777" w:rsidR="007619EA" w:rsidRPr="00726AB5" w:rsidRDefault="007619EA" w:rsidP="00396E87">
                  <w:pPr>
                    <w:pStyle w:val="StandardOCAshurst"/>
                    <w:pBdr>
                      <w:bottom w:val="single" w:sz="4" w:space="1" w:color="auto"/>
                    </w:pBdr>
                    <w:jc w:val="right"/>
                    <w:rPr>
                      <w:sz w:val="14"/>
                      <w:szCs w:val="14"/>
                    </w:rPr>
                  </w:pPr>
                </w:p>
              </w:tc>
              <w:tc>
                <w:tcPr>
                  <w:tcW w:w="579" w:type="pct"/>
                  <w:vAlign w:val="bottom"/>
                </w:tcPr>
                <w:p w14:paraId="545B70B1" w14:textId="77777777" w:rsidR="007619EA" w:rsidRPr="00726AB5" w:rsidRDefault="007619EA" w:rsidP="00396E87">
                  <w:pPr>
                    <w:pStyle w:val="StandardOCAshurst"/>
                    <w:pBdr>
                      <w:bottom w:val="single" w:sz="4" w:space="1" w:color="auto"/>
                    </w:pBdr>
                    <w:jc w:val="right"/>
                    <w:rPr>
                      <w:sz w:val="14"/>
                      <w:szCs w:val="14"/>
                    </w:rPr>
                  </w:pPr>
                </w:p>
              </w:tc>
              <w:tc>
                <w:tcPr>
                  <w:tcW w:w="653" w:type="pct"/>
                  <w:vAlign w:val="bottom"/>
                </w:tcPr>
                <w:p w14:paraId="52FF289A" w14:textId="77777777" w:rsidR="007619EA" w:rsidRPr="00726AB5" w:rsidRDefault="007619EA" w:rsidP="00396E87">
                  <w:pPr>
                    <w:pStyle w:val="StandardOCAshurst"/>
                    <w:pBdr>
                      <w:bottom w:val="single" w:sz="4" w:space="1" w:color="auto"/>
                    </w:pBdr>
                    <w:jc w:val="right"/>
                    <w:rPr>
                      <w:sz w:val="14"/>
                      <w:szCs w:val="14"/>
                    </w:rPr>
                  </w:pPr>
                </w:p>
              </w:tc>
            </w:tr>
            <w:tr w:rsidR="007619EA" w:rsidRPr="00726AB5" w14:paraId="3F478139" w14:textId="77777777" w:rsidTr="00284BEE">
              <w:tc>
                <w:tcPr>
                  <w:tcW w:w="863" w:type="pct"/>
                  <w:tcMar>
                    <w:left w:w="28" w:type="dxa"/>
                    <w:right w:w="57" w:type="dxa"/>
                  </w:tcMar>
                  <w:vAlign w:val="bottom"/>
                </w:tcPr>
                <w:p w14:paraId="32AB6A82" w14:textId="77777777" w:rsidR="007619EA" w:rsidRPr="00726AB5" w:rsidRDefault="007619EA" w:rsidP="00284BEE">
                  <w:pPr>
                    <w:pStyle w:val="StandardOCAshurst"/>
                    <w:tabs>
                      <w:tab w:val="left" w:leader="dot" w:pos="1279"/>
                    </w:tabs>
                    <w:jc w:val="left"/>
                    <w:rPr>
                      <w:b/>
                      <w:bCs/>
                      <w:sz w:val="14"/>
                      <w:szCs w:val="14"/>
                    </w:rPr>
                  </w:pPr>
                  <w:r w:rsidRPr="00726AB5">
                    <w:rPr>
                      <w:b/>
                      <w:bCs/>
                      <w:sz w:val="14"/>
                      <w:szCs w:val="14"/>
                    </w:rPr>
                    <w:t>Net (liabilities) / assets</w:t>
                  </w:r>
                </w:p>
              </w:tc>
              <w:tc>
                <w:tcPr>
                  <w:tcW w:w="596" w:type="pct"/>
                  <w:vAlign w:val="bottom"/>
                </w:tcPr>
                <w:p w14:paraId="7521C18F" w14:textId="14B263BA" w:rsidR="007619EA" w:rsidRPr="00726AB5" w:rsidRDefault="00701FD8" w:rsidP="00396E87">
                  <w:pPr>
                    <w:pStyle w:val="StandardOCAshurst"/>
                    <w:pBdr>
                      <w:bottom w:val="double" w:sz="4" w:space="1" w:color="auto"/>
                    </w:pBdr>
                    <w:jc w:val="right"/>
                    <w:rPr>
                      <w:sz w:val="14"/>
                      <w:szCs w:val="14"/>
                    </w:rPr>
                  </w:pPr>
                  <w:r>
                    <w:rPr>
                      <w:sz w:val="14"/>
                      <w:szCs w:val="14"/>
                    </w:rPr>
                    <w:t>91,217</w:t>
                  </w:r>
                </w:p>
              </w:tc>
              <w:tc>
                <w:tcPr>
                  <w:tcW w:w="577" w:type="pct"/>
                  <w:vAlign w:val="bottom"/>
                </w:tcPr>
                <w:p w14:paraId="2B0B7DF7"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5,656</w:t>
                  </w:r>
                </w:p>
              </w:tc>
              <w:tc>
                <w:tcPr>
                  <w:tcW w:w="577" w:type="pct"/>
                  <w:vAlign w:val="bottom"/>
                </w:tcPr>
                <w:p w14:paraId="72EC3FAC"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(5,656)</w:t>
                  </w:r>
                </w:p>
              </w:tc>
              <w:tc>
                <w:tcPr>
                  <w:tcW w:w="577" w:type="pct"/>
                  <w:vAlign w:val="bottom"/>
                </w:tcPr>
                <w:p w14:paraId="6C53AC9B" w14:textId="43C8BB68" w:rsidR="007619EA" w:rsidRPr="00726AB5" w:rsidRDefault="007619EA" w:rsidP="00396E87">
                  <w:pPr>
                    <w:pStyle w:val="StandardOCAshurst"/>
                    <w:pBdr>
                      <w:bottom w:val="double" w:sz="4" w:space="1" w:color="auto"/>
                    </w:pBdr>
                    <w:jc w:val="right"/>
                    <w:rPr>
                      <w:sz w:val="14"/>
                      <w:szCs w:val="14"/>
                    </w:rPr>
                  </w:pPr>
                  <w:r w:rsidRPr="000E0825">
                    <w:rPr>
                      <w:sz w:val="14"/>
                      <w:szCs w:val="14"/>
                    </w:rPr>
                    <w:t>2</w:t>
                  </w:r>
                  <w:r w:rsidR="006F0370">
                    <w:rPr>
                      <w:sz w:val="14"/>
                      <w:szCs w:val="14"/>
                    </w:rPr>
                    <w:t>15,205</w:t>
                  </w:r>
                </w:p>
              </w:tc>
              <w:tc>
                <w:tcPr>
                  <w:tcW w:w="577" w:type="pct"/>
                  <w:vAlign w:val="bottom"/>
                </w:tcPr>
                <w:p w14:paraId="6111B1B7"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(1,925)</w:t>
                  </w:r>
                </w:p>
              </w:tc>
              <w:tc>
                <w:tcPr>
                  <w:tcW w:w="579" w:type="pct"/>
                  <w:vAlign w:val="bottom"/>
                </w:tcPr>
                <w:p w14:paraId="7EDB999C" w14:textId="77777777" w:rsidR="007619EA" w:rsidRPr="00726AB5" w:rsidRDefault="007619EA" w:rsidP="00396E87">
                  <w:pPr>
                    <w:pStyle w:val="StandardOCAshurst"/>
                    <w:pBdr>
                      <w:bottom w:val="double" w:sz="4" w:space="1" w:color="auto"/>
                    </w:pBdr>
                    <w:jc w:val="right"/>
                    <w:rPr>
                      <w:sz w:val="14"/>
                      <w:szCs w:val="14"/>
                    </w:rPr>
                  </w:pPr>
                  <w:r w:rsidRPr="000E0825">
                    <w:rPr>
                      <w:sz w:val="14"/>
                      <w:szCs w:val="14"/>
                    </w:rPr>
                    <w:t>45,376</w:t>
                  </w:r>
                </w:p>
              </w:tc>
              <w:tc>
                <w:tcPr>
                  <w:tcW w:w="653" w:type="pct"/>
                  <w:vAlign w:val="bottom"/>
                </w:tcPr>
                <w:p w14:paraId="49A0F799" w14:textId="06CA6571" w:rsidR="007619EA" w:rsidRPr="00726AB5" w:rsidRDefault="006F0370" w:rsidP="00396E87">
                  <w:pPr>
                    <w:pStyle w:val="StandardOCAshurst"/>
                    <w:pBdr>
                      <w:bottom w:val="double" w:sz="4" w:space="1" w:color="auto"/>
                    </w:pBdr>
                    <w:jc w:val="right"/>
                    <w:rPr>
                      <w:sz w:val="14"/>
                      <w:szCs w:val="14"/>
                    </w:rPr>
                  </w:pPr>
                  <w:r>
                    <w:rPr>
                      <w:sz w:val="14"/>
                      <w:szCs w:val="14"/>
                    </w:rPr>
                    <w:t>349,873</w:t>
                  </w:r>
                </w:p>
              </w:tc>
            </w:tr>
          </w:tbl>
          <w:p w14:paraId="43A5CE9E" w14:textId="77777777" w:rsidR="007619EA" w:rsidRDefault="007619EA" w:rsidP="00396E87">
            <w:pPr>
              <w:pStyle w:val="NormalOCAshurst"/>
              <w:keepNext/>
            </w:pPr>
          </w:p>
          <w:p w14:paraId="35353CFA" w14:textId="417BC0F2" w:rsidR="001175CB" w:rsidRPr="007D6590" w:rsidRDefault="001175CB" w:rsidP="00396E87">
            <w:pPr>
              <w:pStyle w:val="NormalOCAshurst"/>
              <w:keepNext/>
            </w:pPr>
          </w:p>
        </w:tc>
      </w:tr>
    </w:tbl>
    <w:p w14:paraId="267DFBBC" w14:textId="77777777" w:rsidR="007619EA" w:rsidRDefault="007619EA" w:rsidP="00396E87">
      <w:pPr>
        <w:pStyle w:val="H1OCAshurst"/>
        <w:numPr>
          <w:ilvl w:val="0"/>
          <w:numId w:val="0"/>
        </w:numPr>
        <w:ind w:left="709" w:hanging="709"/>
      </w:pPr>
    </w:p>
    <w:p w14:paraId="0DD48B62" w14:textId="77777777" w:rsidR="007619EA" w:rsidRDefault="007619EA" w:rsidP="00396E87">
      <w:pPr>
        <w:pStyle w:val="H1OCAshurst"/>
        <w:numPr>
          <w:ilvl w:val="0"/>
          <w:numId w:val="0"/>
        </w:numPr>
        <w:ind w:left="709" w:hanging="709"/>
      </w:pPr>
    </w:p>
    <w:p w14:paraId="038AA488" w14:textId="77777777" w:rsidR="007619EA" w:rsidRDefault="007619EA" w:rsidP="00396E87">
      <w:pPr>
        <w:pStyle w:val="H1OCAshurst"/>
        <w:numPr>
          <w:ilvl w:val="0"/>
          <w:numId w:val="0"/>
        </w:numPr>
        <w:ind w:left="709" w:hanging="709"/>
      </w:pPr>
    </w:p>
    <w:p w14:paraId="4675BF5C" w14:textId="2DF3F855" w:rsidR="003C12DA" w:rsidRPr="00186BEA" w:rsidRDefault="003C12DA" w:rsidP="00396E87">
      <w:pPr>
        <w:pStyle w:val="H1OCAshurst"/>
        <w:numPr>
          <w:ilvl w:val="0"/>
          <w:numId w:val="0"/>
        </w:numPr>
        <w:sectPr w:rsidR="003C12DA" w:rsidRPr="00186BEA" w:rsidSect="00DE5AF2">
          <w:footerReference w:type="default" r:id="rId16"/>
          <w:pgSz w:w="11907" w:h="16839"/>
          <w:pgMar w:top="1440" w:right="1797" w:bottom="1440" w:left="1797" w:header="709" w:footer="709" w:gutter="0"/>
          <w:paperSrc w:first="265" w:other="265"/>
          <w:cols w:space="708"/>
          <w:docGrid w:linePitch="360"/>
        </w:sectPr>
      </w:pPr>
    </w:p>
    <w:p w14:paraId="0EDDD667" w14:textId="468AD918" w:rsidR="00DE5AF2" w:rsidRPr="00694AA5" w:rsidRDefault="00DE5AF2" w:rsidP="00396E87">
      <w:pPr>
        <w:pStyle w:val="SCHEDULEAshurst"/>
        <w:ind w:left="0"/>
        <w:rPr>
          <w:rFonts w:asciiTheme="majorHAnsi" w:hAnsiTheme="majorHAnsi" w:cstheme="majorHAnsi"/>
        </w:rPr>
      </w:pPr>
      <w:bookmarkStart w:id="30" w:name="_Ref65772195"/>
      <w:r w:rsidRPr="00694AA5">
        <w:rPr>
          <w:rFonts w:asciiTheme="majorHAnsi" w:hAnsiTheme="majorHAnsi" w:cstheme="majorHAnsi"/>
        </w:rPr>
        <w:lastRenderedPageBreak/>
        <w:t xml:space="preserve"> </w:t>
      </w:r>
      <w:bookmarkStart w:id="31" w:name="_Ref65767195"/>
      <w:bookmarkStart w:id="32" w:name="_Toc83904473"/>
      <w:r w:rsidRPr="00694AA5">
        <w:rPr>
          <w:rFonts w:asciiTheme="majorHAnsi" w:hAnsiTheme="majorHAnsi" w:cstheme="majorHAnsi"/>
        </w:rPr>
        <w:t>–</w:t>
      </w:r>
      <w:r w:rsidR="00D8619F">
        <w:rPr>
          <w:rFonts w:asciiTheme="majorHAnsi" w:hAnsiTheme="majorHAnsi" w:cstheme="majorHAnsi"/>
        </w:rPr>
        <w:t xml:space="preserve"> </w:t>
      </w:r>
      <w:r w:rsidR="004C22E7">
        <w:rPr>
          <w:rFonts w:asciiTheme="majorHAnsi" w:hAnsiTheme="majorHAnsi" w:cstheme="majorHAnsi"/>
        </w:rPr>
        <w:t>SUPPLEMENTAL</w:t>
      </w:r>
      <w:r w:rsidR="005F1C70">
        <w:rPr>
          <w:rFonts w:asciiTheme="majorHAnsi" w:hAnsiTheme="majorHAnsi" w:cstheme="majorHAnsi"/>
        </w:rPr>
        <w:t xml:space="preserve"> </w:t>
      </w:r>
      <w:r w:rsidRPr="00694AA5">
        <w:rPr>
          <w:rFonts w:asciiTheme="majorHAnsi" w:hAnsiTheme="majorHAnsi" w:cstheme="majorHAnsi"/>
        </w:rPr>
        <w:t>unaudited pro forma financial information</w:t>
      </w:r>
      <w:bookmarkEnd w:id="30"/>
      <w:bookmarkEnd w:id="31"/>
      <w:bookmarkEnd w:id="32"/>
      <w:r w:rsidRPr="00694AA5">
        <w:rPr>
          <w:rFonts w:asciiTheme="majorHAnsi" w:hAnsiTheme="majorHAnsi" w:cstheme="majorHAnsi"/>
        </w:rPr>
        <w:t xml:space="preserve"> </w:t>
      </w:r>
    </w:p>
    <w:p w14:paraId="6F76D44E" w14:textId="1E66559D" w:rsidR="00DE5AF2" w:rsidRPr="007D6590" w:rsidRDefault="00DE5AF2" w:rsidP="00396E87">
      <w:pPr>
        <w:pStyle w:val="NormalOCAshurst"/>
        <w:jc w:val="center"/>
        <w:rPr>
          <w:rFonts w:asciiTheme="majorHAnsi" w:hAnsiTheme="majorHAnsi" w:cstheme="majorHAnsi"/>
          <w:b/>
          <w:bCs/>
        </w:rPr>
      </w:pPr>
      <w:r w:rsidRPr="007D6590">
        <w:rPr>
          <w:rFonts w:asciiTheme="majorHAnsi" w:hAnsiTheme="majorHAnsi" w:cstheme="majorHAnsi"/>
          <w:b/>
          <w:bCs/>
        </w:rPr>
        <w:t>Section A: Unaudited Pro Forma Financial Information</w:t>
      </w:r>
    </w:p>
    <w:p w14:paraId="3CBB9897" w14:textId="14D95C89"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 xml:space="preserve">The unaudited pro forma </w:t>
      </w:r>
      <w:r w:rsidR="0029706E">
        <w:rPr>
          <w:rFonts w:asciiTheme="majorHAnsi" w:hAnsiTheme="majorHAnsi" w:cstheme="majorHAnsi"/>
        </w:rPr>
        <w:t xml:space="preserve">financial information </w:t>
      </w:r>
      <w:r w:rsidRPr="007D6590">
        <w:rPr>
          <w:rFonts w:asciiTheme="majorHAnsi" w:hAnsiTheme="majorHAnsi" w:cstheme="majorHAnsi"/>
        </w:rPr>
        <w:t xml:space="preserve">set out below </w:t>
      </w:r>
      <w:r w:rsidR="0029706E">
        <w:rPr>
          <w:rFonts w:asciiTheme="majorHAnsi" w:hAnsiTheme="majorHAnsi" w:cstheme="majorHAnsi"/>
        </w:rPr>
        <w:t>has</w:t>
      </w:r>
      <w:r w:rsidRPr="007D6590">
        <w:rPr>
          <w:rFonts w:asciiTheme="majorHAnsi" w:hAnsiTheme="majorHAnsi" w:cstheme="majorHAnsi"/>
        </w:rPr>
        <w:t xml:space="preserve"> been prepared for illustrative purposes only, in accordance with Annex 20 of Commission Delegated Regulation (EU) 2019/980 as it forms part of retained EU law as defined in the European Union (Withdrawal) Act 2018 and on the basis of the notes set out below.</w:t>
      </w:r>
    </w:p>
    <w:p w14:paraId="03D9B432" w14:textId="60D069F0" w:rsidR="00DE5AF2" w:rsidRDefault="00DE5AF2" w:rsidP="00396E87">
      <w:pPr>
        <w:pStyle w:val="NormalOCAshurst"/>
        <w:rPr>
          <w:rFonts w:asciiTheme="majorHAnsi" w:hAnsiTheme="majorHAnsi" w:cstheme="majorHAnsi"/>
        </w:rPr>
      </w:pPr>
      <w:r w:rsidRPr="007D6590">
        <w:rPr>
          <w:rFonts w:asciiTheme="majorHAnsi" w:hAnsiTheme="majorHAnsi" w:cstheme="majorHAnsi"/>
        </w:rPr>
        <w:t xml:space="preserve">The pro forma </w:t>
      </w:r>
      <w:r w:rsidR="0029706E" w:rsidRPr="0029706E">
        <w:rPr>
          <w:rFonts w:asciiTheme="majorHAnsi" w:hAnsiTheme="majorHAnsi" w:cstheme="majorHAnsi"/>
        </w:rPr>
        <w:t>financial information covers the unaudited pro forma income statement for the year</w:t>
      </w:r>
      <w:r w:rsidR="0029706E">
        <w:rPr>
          <w:rFonts w:asciiTheme="majorHAnsi" w:hAnsiTheme="majorHAnsi" w:cstheme="majorHAnsi"/>
        </w:rPr>
        <w:t xml:space="preserve"> </w:t>
      </w:r>
      <w:r w:rsidR="0029706E" w:rsidRPr="0029706E">
        <w:rPr>
          <w:rFonts w:asciiTheme="majorHAnsi" w:hAnsiTheme="majorHAnsi" w:cstheme="majorHAnsi"/>
        </w:rPr>
        <w:t>ended 31 December 2020 as if the Transaction and an RBL drawdown of $600 million had occurred on 1 January</w:t>
      </w:r>
      <w:r w:rsidR="0029706E">
        <w:rPr>
          <w:rFonts w:asciiTheme="majorHAnsi" w:hAnsiTheme="majorHAnsi" w:cstheme="majorHAnsi"/>
        </w:rPr>
        <w:t xml:space="preserve"> </w:t>
      </w:r>
      <w:r w:rsidR="0029706E" w:rsidRPr="0029706E">
        <w:rPr>
          <w:rFonts w:asciiTheme="majorHAnsi" w:hAnsiTheme="majorHAnsi" w:cstheme="majorHAnsi"/>
        </w:rPr>
        <w:t>2020 and the</w:t>
      </w:r>
      <w:r w:rsidR="00DE406E">
        <w:rPr>
          <w:rFonts w:asciiTheme="majorHAnsi" w:hAnsiTheme="majorHAnsi" w:cstheme="majorHAnsi"/>
        </w:rPr>
        <w:t xml:space="preserve"> </w:t>
      </w:r>
      <w:r w:rsidR="0029706E" w:rsidRPr="0029706E">
        <w:rPr>
          <w:rFonts w:asciiTheme="majorHAnsi" w:hAnsiTheme="majorHAnsi" w:cstheme="majorHAnsi"/>
        </w:rPr>
        <w:t>unaudited</w:t>
      </w:r>
      <w:r w:rsidR="0029706E">
        <w:rPr>
          <w:rFonts w:asciiTheme="majorHAnsi" w:hAnsiTheme="majorHAnsi" w:cstheme="majorHAnsi"/>
        </w:rPr>
        <w:t xml:space="preserve"> </w:t>
      </w:r>
      <w:r w:rsidRPr="007D6590">
        <w:rPr>
          <w:rFonts w:asciiTheme="majorHAnsi" w:hAnsiTheme="majorHAnsi" w:cstheme="majorHAnsi"/>
        </w:rPr>
        <w:t>statement of assets and liabilities</w:t>
      </w:r>
      <w:r w:rsidR="0029706E">
        <w:rPr>
          <w:rFonts w:asciiTheme="majorHAnsi" w:hAnsiTheme="majorHAnsi" w:cstheme="majorHAnsi"/>
        </w:rPr>
        <w:t xml:space="preserve"> that</w:t>
      </w:r>
      <w:r w:rsidRPr="007D6590">
        <w:rPr>
          <w:rFonts w:asciiTheme="majorHAnsi" w:hAnsiTheme="majorHAnsi" w:cstheme="majorHAnsi"/>
        </w:rPr>
        <w:t xml:space="preserve"> has been prepared to illustrate the effect on the consolidated assets and liabilities of EnQuest as at 31 December 2020 as if the Transaction and </w:t>
      </w:r>
      <w:r w:rsidR="003A78EB">
        <w:rPr>
          <w:rFonts w:asciiTheme="majorHAnsi" w:hAnsiTheme="majorHAnsi" w:cstheme="majorHAnsi"/>
        </w:rPr>
        <w:t>an</w:t>
      </w:r>
      <w:r w:rsidR="00142B83">
        <w:rPr>
          <w:rFonts w:asciiTheme="majorHAnsi" w:hAnsiTheme="majorHAnsi" w:cstheme="majorHAnsi"/>
        </w:rPr>
        <w:t xml:space="preserve"> </w:t>
      </w:r>
      <w:r w:rsidR="0029706E">
        <w:rPr>
          <w:rFonts w:asciiTheme="majorHAnsi" w:hAnsiTheme="majorHAnsi" w:cstheme="majorHAnsi"/>
        </w:rPr>
        <w:t>RBL</w:t>
      </w:r>
      <w:r w:rsidRPr="007D6590">
        <w:rPr>
          <w:rFonts w:asciiTheme="majorHAnsi" w:hAnsiTheme="majorHAnsi" w:cstheme="majorHAnsi"/>
        </w:rPr>
        <w:t xml:space="preserve"> drawdown </w:t>
      </w:r>
      <w:r w:rsidR="003A78EB">
        <w:rPr>
          <w:rFonts w:asciiTheme="majorHAnsi" w:hAnsiTheme="majorHAnsi" w:cstheme="majorHAnsi"/>
        </w:rPr>
        <w:t xml:space="preserve">of $600 million </w:t>
      </w:r>
      <w:r w:rsidRPr="007D6590">
        <w:rPr>
          <w:rFonts w:asciiTheme="majorHAnsi" w:hAnsiTheme="majorHAnsi" w:cstheme="majorHAnsi"/>
        </w:rPr>
        <w:t xml:space="preserve">had taken place on that date. </w:t>
      </w:r>
    </w:p>
    <w:p w14:paraId="7DC9B50C" w14:textId="130F9F24" w:rsidR="00277294" w:rsidRPr="00C05476" w:rsidRDefault="00277294" w:rsidP="00396E87">
      <w:pPr>
        <w:pStyle w:val="NormalOCAshurst"/>
        <w:rPr>
          <w:rFonts w:asciiTheme="majorHAnsi" w:hAnsiTheme="majorHAnsi" w:cstheme="majorHAnsi"/>
        </w:rPr>
      </w:pPr>
      <w:r w:rsidRPr="00C05476">
        <w:rPr>
          <w:rFonts w:asciiTheme="majorHAnsi" w:hAnsiTheme="majorHAnsi" w:cstheme="majorHAnsi"/>
        </w:rPr>
        <w:t>The unaudited pro forma fin</w:t>
      </w:r>
      <w:r w:rsidRPr="00C5357C">
        <w:rPr>
          <w:rFonts w:asciiTheme="majorHAnsi" w:hAnsiTheme="majorHAnsi" w:cstheme="majorHAnsi"/>
        </w:rPr>
        <w:t>ancial information ref</w:t>
      </w:r>
      <w:r w:rsidRPr="00C05476">
        <w:rPr>
          <w:rFonts w:asciiTheme="majorHAnsi" w:hAnsiTheme="majorHAnsi" w:cstheme="majorHAnsi"/>
        </w:rPr>
        <w:t xml:space="preserve">lects the impact of the Deferred Tax Asset Adjustment on the </w:t>
      </w:r>
      <w:r w:rsidR="00C05476">
        <w:rPr>
          <w:rFonts w:asciiTheme="majorHAnsi" w:hAnsiTheme="majorHAnsi" w:cstheme="majorHAnsi"/>
        </w:rPr>
        <w:t xml:space="preserve">EnQuest </w:t>
      </w:r>
      <w:r w:rsidRPr="00C05476">
        <w:rPr>
          <w:rFonts w:asciiTheme="majorHAnsi" w:hAnsiTheme="majorHAnsi" w:cstheme="majorHAnsi"/>
        </w:rPr>
        <w:t xml:space="preserve">Group's 2020 Financial Statements, which is explained in </w:t>
      </w:r>
      <w:r w:rsidR="00C05476">
        <w:rPr>
          <w:rFonts w:asciiTheme="majorHAnsi" w:hAnsiTheme="majorHAnsi" w:cstheme="majorHAnsi"/>
        </w:rPr>
        <w:t>paragraph</w:t>
      </w:r>
      <w:r w:rsidRPr="00C05476">
        <w:rPr>
          <w:rFonts w:asciiTheme="majorHAnsi" w:hAnsiTheme="majorHAnsi" w:cstheme="majorHAnsi"/>
        </w:rPr>
        <w:t xml:space="preserve"> </w:t>
      </w:r>
      <w:r w:rsidR="00C05476">
        <w:rPr>
          <w:rFonts w:asciiTheme="majorHAnsi" w:hAnsiTheme="majorHAnsi" w:cstheme="majorHAnsi"/>
        </w:rPr>
        <w:fldChar w:fldCharType="begin"/>
      </w:r>
      <w:r w:rsidR="00C05476">
        <w:rPr>
          <w:rFonts w:asciiTheme="majorHAnsi" w:hAnsiTheme="majorHAnsi" w:cstheme="majorHAnsi"/>
        </w:rPr>
        <w:instrText xml:space="preserve"> REF _Ref82166240 \r \h </w:instrText>
      </w:r>
      <w:r w:rsidR="00C05476">
        <w:rPr>
          <w:rFonts w:asciiTheme="majorHAnsi" w:hAnsiTheme="majorHAnsi" w:cstheme="majorHAnsi"/>
        </w:rPr>
      </w:r>
      <w:r w:rsidR="00C05476">
        <w:rPr>
          <w:rFonts w:asciiTheme="majorHAnsi" w:hAnsiTheme="majorHAnsi" w:cstheme="majorHAnsi"/>
        </w:rPr>
        <w:fldChar w:fldCharType="separate"/>
      </w:r>
      <w:r w:rsidR="002D487F">
        <w:rPr>
          <w:rFonts w:asciiTheme="majorHAnsi" w:hAnsiTheme="majorHAnsi" w:cstheme="majorHAnsi"/>
          <w:cs/>
        </w:rPr>
        <w:t>‎</w:t>
      </w:r>
      <w:r w:rsidR="002D487F">
        <w:rPr>
          <w:rFonts w:asciiTheme="majorHAnsi" w:hAnsiTheme="majorHAnsi" w:cstheme="majorHAnsi"/>
        </w:rPr>
        <w:t>1</w:t>
      </w:r>
      <w:r w:rsidR="00C05476">
        <w:rPr>
          <w:rFonts w:asciiTheme="majorHAnsi" w:hAnsiTheme="majorHAnsi" w:cstheme="majorHAnsi"/>
        </w:rPr>
        <w:fldChar w:fldCharType="end"/>
      </w:r>
      <w:r w:rsidR="00C05476">
        <w:rPr>
          <w:rFonts w:asciiTheme="majorHAnsi" w:hAnsiTheme="majorHAnsi" w:cstheme="majorHAnsi"/>
        </w:rPr>
        <w:t xml:space="preserve"> of</w:t>
      </w:r>
      <w:r w:rsidRPr="00C05476">
        <w:rPr>
          <w:rFonts w:asciiTheme="majorHAnsi" w:hAnsiTheme="majorHAnsi" w:cstheme="majorHAnsi"/>
        </w:rPr>
        <w:t xml:space="preserve"> </w:t>
      </w:r>
      <w:r w:rsidR="00C05476">
        <w:rPr>
          <w:rFonts w:asciiTheme="majorHAnsi" w:hAnsiTheme="majorHAnsi" w:cstheme="majorHAnsi"/>
        </w:rPr>
        <w:fldChar w:fldCharType="begin"/>
      </w:r>
      <w:r w:rsidR="00C05476">
        <w:rPr>
          <w:rFonts w:asciiTheme="majorHAnsi" w:hAnsiTheme="majorHAnsi" w:cstheme="majorHAnsi"/>
        </w:rPr>
        <w:instrText xml:space="preserve"> REF _Ref81837180 \r \h </w:instrText>
      </w:r>
      <w:r w:rsidR="00C05476">
        <w:rPr>
          <w:rFonts w:asciiTheme="majorHAnsi" w:hAnsiTheme="majorHAnsi" w:cstheme="majorHAnsi"/>
        </w:rPr>
      </w:r>
      <w:r w:rsidR="00C05476">
        <w:rPr>
          <w:rFonts w:asciiTheme="majorHAnsi" w:hAnsiTheme="majorHAnsi" w:cstheme="majorHAnsi"/>
        </w:rPr>
        <w:fldChar w:fldCharType="separate"/>
      </w:r>
      <w:r w:rsidR="002D487F">
        <w:rPr>
          <w:rFonts w:asciiTheme="majorHAnsi" w:hAnsiTheme="majorHAnsi" w:cstheme="majorHAnsi"/>
          <w:cs/>
        </w:rPr>
        <w:t>‎</w:t>
      </w:r>
      <w:r w:rsidR="002D487F">
        <w:rPr>
          <w:rFonts w:asciiTheme="majorHAnsi" w:hAnsiTheme="majorHAnsi" w:cstheme="majorHAnsi"/>
        </w:rPr>
        <w:t>Part 1</w:t>
      </w:r>
      <w:r w:rsidR="00C05476">
        <w:rPr>
          <w:rFonts w:asciiTheme="majorHAnsi" w:hAnsiTheme="majorHAnsi" w:cstheme="majorHAnsi"/>
        </w:rPr>
        <w:fldChar w:fldCharType="end"/>
      </w:r>
      <w:r w:rsidR="00C05476">
        <w:rPr>
          <w:rFonts w:asciiTheme="majorHAnsi" w:hAnsiTheme="majorHAnsi" w:cstheme="majorHAnsi"/>
        </w:rPr>
        <w:t xml:space="preserve"> </w:t>
      </w:r>
      <w:r w:rsidRPr="00C05476">
        <w:rPr>
          <w:rFonts w:asciiTheme="majorHAnsi" w:hAnsiTheme="majorHAnsi" w:cstheme="majorHAnsi"/>
          <w:i/>
          <w:iCs/>
        </w:rPr>
        <w:t xml:space="preserve">("Supplementary Information") </w:t>
      </w:r>
      <w:r w:rsidRPr="00C05476">
        <w:rPr>
          <w:rFonts w:asciiTheme="majorHAnsi" w:hAnsiTheme="majorHAnsi" w:cstheme="majorHAnsi"/>
        </w:rPr>
        <w:t>of this Supplementary Prospectus.</w:t>
      </w:r>
    </w:p>
    <w:p w14:paraId="6E953E06" w14:textId="750DC4C7" w:rsidR="00277294" w:rsidRPr="00C5357C" w:rsidRDefault="00277294" w:rsidP="00396E87">
      <w:pPr>
        <w:pStyle w:val="NormalOCAshurst"/>
        <w:rPr>
          <w:rFonts w:asciiTheme="majorHAnsi" w:hAnsiTheme="majorHAnsi" w:cstheme="majorHAnsi"/>
        </w:rPr>
      </w:pPr>
      <w:r w:rsidRPr="00C5357C">
        <w:rPr>
          <w:rFonts w:asciiTheme="majorHAnsi" w:hAnsiTheme="majorHAnsi" w:cstheme="majorHAnsi"/>
        </w:rPr>
        <w:t>In order to reflect the impact of the Deferred Tax Asset Adjustment, the following amendments have been made to the unaudited pro forma financial information that was presented in the Original Prospectus:</w:t>
      </w:r>
    </w:p>
    <w:p w14:paraId="494F31CA" w14:textId="3F731933" w:rsidR="00277294" w:rsidRPr="00C5357C" w:rsidRDefault="00C05476" w:rsidP="00C5357C">
      <w:pPr>
        <w:pStyle w:val="H3OCAshurst"/>
        <w:numPr>
          <w:ilvl w:val="2"/>
          <w:numId w:val="95"/>
        </w:numPr>
      </w:pPr>
      <w:r>
        <w:t>t</w:t>
      </w:r>
      <w:r w:rsidR="00C71875" w:rsidRPr="00C5357C">
        <w:t>he EnQuest Group's consolidated income statement for the year ended 31 December 2020 from the 2020 Financials Statements, as incorporated by reference in Part 14 of the Original Prospectus, has been adjusted for the restatement</w:t>
      </w:r>
      <w:r w:rsidR="002D487F">
        <w:t>s</w:t>
      </w:r>
      <w:r w:rsidR="00C71875" w:rsidRPr="00C5357C">
        <w:t xml:space="preserve"> explained in </w:t>
      </w:r>
      <w:r>
        <w:t>paragraph</w:t>
      </w:r>
      <w:r w:rsidR="002D487F">
        <w:t xml:space="preserve"> 2.1 o</w:t>
      </w:r>
      <w:r>
        <w:t>f</w:t>
      </w:r>
      <w:r w:rsidR="00C71875" w:rsidRPr="00C5357C">
        <w:t xml:space="preserve"> </w:t>
      </w:r>
      <w:r>
        <w:fldChar w:fldCharType="begin"/>
      </w:r>
      <w:r>
        <w:instrText xml:space="preserve"> REF _Ref81837180 \r \h </w:instrText>
      </w:r>
      <w:r>
        <w:fldChar w:fldCharType="separate"/>
      </w:r>
      <w:r w:rsidR="002D487F">
        <w:rPr>
          <w:cs/>
        </w:rPr>
        <w:t>‎</w:t>
      </w:r>
      <w:r w:rsidR="002D487F">
        <w:t>Part 1</w:t>
      </w:r>
      <w:r>
        <w:fldChar w:fldCharType="end"/>
      </w:r>
      <w:r w:rsidR="00C71875" w:rsidRPr="00C5357C">
        <w:t xml:space="preserve"> </w:t>
      </w:r>
      <w:r w:rsidR="00C71875" w:rsidRPr="00C5357C">
        <w:rPr>
          <w:i/>
          <w:iCs/>
        </w:rPr>
        <w:t>("Supplementary Information")</w:t>
      </w:r>
      <w:r w:rsidR="00C71875" w:rsidRPr="00C5357C">
        <w:t xml:space="preserve"> of this Supplementary Prospectus;</w:t>
      </w:r>
    </w:p>
    <w:p w14:paraId="3805A15A" w14:textId="6E6D6ACF" w:rsidR="00C71875" w:rsidRPr="00C5357C" w:rsidRDefault="00C05476" w:rsidP="00C5357C">
      <w:pPr>
        <w:pStyle w:val="H3OCAshurst"/>
      </w:pPr>
      <w:r>
        <w:t>t</w:t>
      </w:r>
      <w:r w:rsidR="00C71875" w:rsidRPr="00C5357C">
        <w:t>he En</w:t>
      </w:r>
      <w:r>
        <w:t>Q</w:t>
      </w:r>
      <w:r w:rsidR="00C71875" w:rsidRPr="00C5357C">
        <w:t>uest Group's assets and liabilities as at 31 December 2020 from the 2020 Financial Statements, as incorporated by reference in Part 14 of the Original Prospectus, have been adjusted for the restatement</w:t>
      </w:r>
      <w:r w:rsidR="002D487F">
        <w:t>s</w:t>
      </w:r>
      <w:r w:rsidR="00C71875" w:rsidRPr="00C5357C">
        <w:t xml:space="preserve"> explained in the </w:t>
      </w:r>
      <w:r w:rsidRPr="00C05476">
        <w:t>EnQuest 2021 Half Year Results</w:t>
      </w:r>
      <w:r w:rsidR="004D1D81">
        <w:t xml:space="preserve"> (and as reproduced at paragraph </w:t>
      </w:r>
      <w:r w:rsidR="002D487F">
        <w:t xml:space="preserve">2.1 </w:t>
      </w:r>
      <w:r w:rsidR="004D1D81">
        <w:t xml:space="preserve">of </w:t>
      </w:r>
      <w:r w:rsidR="004D1D81">
        <w:fldChar w:fldCharType="begin"/>
      </w:r>
      <w:r w:rsidR="004D1D81">
        <w:instrText xml:space="preserve"> REF _Ref81837180 \w \h </w:instrText>
      </w:r>
      <w:r w:rsidR="004D1D81">
        <w:fldChar w:fldCharType="separate"/>
      </w:r>
      <w:r w:rsidR="002D487F">
        <w:rPr>
          <w:cs/>
        </w:rPr>
        <w:t>‎</w:t>
      </w:r>
      <w:r w:rsidR="002D487F">
        <w:t>Part 1</w:t>
      </w:r>
      <w:r w:rsidR="004D1D81">
        <w:fldChar w:fldCharType="end"/>
      </w:r>
      <w:r w:rsidR="004D1D81">
        <w:t xml:space="preserve"> ("</w:t>
      </w:r>
      <w:r w:rsidR="004D1D81">
        <w:rPr>
          <w:i/>
          <w:iCs/>
        </w:rPr>
        <w:t xml:space="preserve">Supplementary </w:t>
      </w:r>
      <w:r w:rsidR="00D8619F">
        <w:rPr>
          <w:i/>
          <w:iCs/>
        </w:rPr>
        <w:t>Information</w:t>
      </w:r>
      <w:r w:rsidR="004D1D81">
        <w:t>") of this Supplementary Prospectus</w:t>
      </w:r>
      <w:r w:rsidR="00D8619F">
        <w:t>)</w:t>
      </w:r>
      <w:r w:rsidR="00C71875" w:rsidRPr="00C5357C">
        <w:t>; and</w:t>
      </w:r>
    </w:p>
    <w:p w14:paraId="39590BE0" w14:textId="231F16A9" w:rsidR="00C71875" w:rsidRPr="00C5357C" w:rsidRDefault="00C71875" w:rsidP="00C5357C">
      <w:pPr>
        <w:pStyle w:val="H3OCAshurst"/>
      </w:pPr>
      <w:r w:rsidRPr="00C5357C">
        <w:t>the pro forma a</w:t>
      </w:r>
      <w:r w:rsidRPr="00C05476">
        <w:t>dju</w:t>
      </w:r>
      <w:r w:rsidRPr="00C5357C">
        <w:t>stm</w:t>
      </w:r>
      <w:r w:rsidRPr="00C05476">
        <w:t xml:space="preserve">ent to reflect the forecast taxable profits expected to be generated by the Golden Eagle Asset and the recognition of the deferred tax asset and credit to the income statement has been amended to </w:t>
      </w:r>
      <w:r w:rsidRPr="00C5357C">
        <w:t>reflect the reduction of EnQuest's previously unrecognised tax losses, a portion of which were recognised in the Deferred Tax Asset Adjustment.</w:t>
      </w:r>
    </w:p>
    <w:p w14:paraId="7ADCBCF1" w14:textId="72E03D3F" w:rsidR="00C71875" w:rsidRPr="00C71875" w:rsidRDefault="00C71875" w:rsidP="00C05476">
      <w:pPr>
        <w:pStyle w:val="NormalOCAshurst"/>
        <w:rPr>
          <w:rFonts w:asciiTheme="majorHAnsi" w:hAnsiTheme="majorHAnsi" w:cstheme="majorHAnsi"/>
        </w:rPr>
      </w:pPr>
      <w:r w:rsidRPr="00C05476">
        <w:rPr>
          <w:rFonts w:asciiTheme="majorHAnsi" w:hAnsiTheme="majorHAnsi" w:cstheme="majorHAnsi"/>
        </w:rPr>
        <w:t>There have been no further changes to the unaudited pro forma financial information that was presented in the Or</w:t>
      </w:r>
      <w:r w:rsidRPr="00C5357C">
        <w:rPr>
          <w:rFonts w:asciiTheme="majorHAnsi" w:hAnsiTheme="majorHAnsi" w:cstheme="majorHAnsi"/>
        </w:rPr>
        <w:t>iginal Prospectus.  In particular, no changes have been made to the oil price assumptions made in the preparation of the unaudited pro forma financial information that was presented in the Original Prospectus.</w:t>
      </w:r>
    </w:p>
    <w:p w14:paraId="51E2A5C0" w14:textId="08360032"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The</w:t>
      </w:r>
      <w:r w:rsidR="00DE406E">
        <w:rPr>
          <w:rFonts w:asciiTheme="majorHAnsi" w:hAnsiTheme="majorHAnsi" w:cstheme="majorHAnsi"/>
        </w:rPr>
        <w:t xml:space="preserve"> </w:t>
      </w:r>
      <w:r w:rsidRPr="007D6590">
        <w:rPr>
          <w:rFonts w:asciiTheme="majorHAnsi" w:hAnsiTheme="majorHAnsi" w:cstheme="majorHAnsi"/>
        </w:rPr>
        <w:t xml:space="preserve">unaudited pro forma </w:t>
      </w:r>
      <w:r w:rsidR="0029706E">
        <w:rPr>
          <w:rFonts w:asciiTheme="majorHAnsi" w:hAnsiTheme="majorHAnsi" w:cstheme="majorHAnsi"/>
        </w:rPr>
        <w:t xml:space="preserve">financial information has </w:t>
      </w:r>
      <w:r w:rsidRPr="007D6590">
        <w:rPr>
          <w:rFonts w:asciiTheme="majorHAnsi" w:hAnsiTheme="majorHAnsi" w:cstheme="majorHAnsi"/>
        </w:rPr>
        <w:t xml:space="preserve">been prepared for illustrative purposes only and, by its nature, addresses a hypothetical situation and, does not, therefore, represent the EnQuest Group's actual financial position. </w:t>
      </w:r>
    </w:p>
    <w:p w14:paraId="7EFD8A71" w14:textId="3E8F3020"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The unaudited pro forma financial information has been prepared on the basis set out in the notes below and has been prepared in a manner consistent with the accounting policies applied by the EnQuest Group for the year ending 31 December 2020 and in accordance with the requirements of Item 2.1 of Annex 20 of Commission Delegated Regulation (EU) 2019/980 as it forms part of retained EU law as defined in the European Union (Withdrawal) Act 2018.</w:t>
      </w:r>
    </w:p>
    <w:p w14:paraId="3FC5A366" w14:textId="35F86500" w:rsidR="00DE5AF2" w:rsidRPr="007D6590" w:rsidRDefault="00DE5AF2">
      <w:pPr>
        <w:pStyle w:val="NormalOCAshurst"/>
      </w:pPr>
      <w:r w:rsidRPr="007D6590">
        <w:rPr>
          <w:rFonts w:asciiTheme="majorHAnsi" w:hAnsiTheme="majorHAnsi" w:cstheme="majorHAnsi"/>
        </w:rPr>
        <w:t>The</w:t>
      </w:r>
      <w:r w:rsidR="00DE406E">
        <w:rPr>
          <w:rFonts w:asciiTheme="majorHAnsi" w:hAnsiTheme="majorHAnsi" w:cstheme="majorHAnsi"/>
        </w:rPr>
        <w:t xml:space="preserve"> </w:t>
      </w:r>
      <w:r w:rsidRPr="007D6590">
        <w:rPr>
          <w:rFonts w:asciiTheme="majorHAnsi" w:hAnsiTheme="majorHAnsi" w:cstheme="majorHAnsi"/>
        </w:rPr>
        <w:t xml:space="preserve">unaudited pro forma financial information does not constitute financial statements within the meaning of section 434 of the Companies Act. Shareholders should read the whole of </w:t>
      </w:r>
      <w:r w:rsidR="00F42609">
        <w:rPr>
          <w:rFonts w:asciiTheme="majorHAnsi" w:hAnsiTheme="majorHAnsi" w:cstheme="majorHAnsi"/>
        </w:rPr>
        <w:t xml:space="preserve">the </w:t>
      </w:r>
      <w:r w:rsidR="00F42609" w:rsidRPr="00C05476">
        <w:rPr>
          <w:rFonts w:asciiTheme="majorHAnsi" w:hAnsiTheme="majorHAnsi" w:cstheme="majorHAnsi"/>
        </w:rPr>
        <w:t xml:space="preserve">Original Prospectus </w:t>
      </w:r>
      <w:r w:rsidR="00C05476">
        <w:rPr>
          <w:rFonts w:asciiTheme="majorHAnsi" w:hAnsiTheme="majorHAnsi" w:cstheme="majorHAnsi"/>
        </w:rPr>
        <w:t xml:space="preserve">(as supplemented by the </w:t>
      </w:r>
      <w:r w:rsidR="00F42609" w:rsidRPr="00C05476">
        <w:rPr>
          <w:rFonts w:asciiTheme="majorHAnsi" w:hAnsiTheme="majorHAnsi" w:cstheme="majorHAnsi"/>
        </w:rPr>
        <w:t>Supplementary Prospectus</w:t>
      </w:r>
      <w:r w:rsidR="00C05476">
        <w:rPr>
          <w:rFonts w:asciiTheme="majorHAnsi" w:hAnsiTheme="majorHAnsi" w:cstheme="majorHAnsi"/>
        </w:rPr>
        <w:t>)</w:t>
      </w:r>
      <w:r w:rsidRPr="007D6590">
        <w:rPr>
          <w:rFonts w:asciiTheme="majorHAnsi" w:hAnsiTheme="majorHAnsi" w:cstheme="majorHAnsi"/>
        </w:rPr>
        <w:t xml:space="preserve"> and not rely solely on the summarised financial information contained in this </w:t>
      </w:r>
      <w:r w:rsidR="00F42609">
        <w:rPr>
          <w:rFonts w:asciiTheme="majorHAnsi" w:hAnsiTheme="majorHAnsi" w:cstheme="majorHAnsi"/>
        </w:rPr>
        <w:fldChar w:fldCharType="begin"/>
      </w:r>
      <w:r w:rsidR="00F42609">
        <w:rPr>
          <w:rFonts w:asciiTheme="majorHAnsi" w:hAnsiTheme="majorHAnsi" w:cstheme="majorHAnsi"/>
        </w:rPr>
        <w:instrText xml:space="preserve"> REF _Ref65767195 \r \h </w:instrText>
      </w:r>
      <w:r w:rsidR="00F42609">
        <w:rPr>
          <w:rFonts w:asciiTheme="majorHAnsi" w:hAnsiTheme="majorHAnsi" w:cstheme="majorHAnsi"/>
        </w:rPr>
      </w:r>
      <w:r w:rsidR="00F42609">
        <w:rPr>
          <w:rFonts w:asciiTheme="majorHAnsi" w:hAnsiTheme="majorHAnsi" w:cstheme="majorHAnsi"/>
        </w:rPr>
        <w:fldChar w:fldCharType="separate"/>
      </w:r>
      <w:r w:rsidR="002D487F">
        <w:rPr>
          <w:rFonts w:asciiTheme="majorHAnsi" w:hAnsiTheme="majorHAnsi" w:cstheme="majorHAnsi"/>
          <w:cs/>
        </w:rPr>
        <w:t>‎</w:t>
      </w:r>
      <w:r w:rsidR="002D487F">
        <w:rPr>
          <w:rFonts w:asciiTheme="majorHAnsi" w:hAnsiTheme="majorHAnsi" w:cstheme="majorHAnsi"/>
        </w:rPr>
        <w:t>Part 2</w:t>
      </w:r>
      <w:r w:rsidR="00F42609">
        <w:rPr>
          <w:rFonts w:asciiTheme="majorHAnsi" w:hAnsiTheme="majorHAnsi" w:cstheme="majorHAnsi"/>
        </w:rPr>
        <w:fldChar w:fldCharType="end"/>
      </w:r>
      <w:r w:rsidRPr="007D6590">
        <w:rPr>
          <w:rFonts w:asciiTheme="majorHAnsi" w:hAnsiTheme="majorHAnsi" w:cstheme="majorHAnsi"/>
        </w:rPr>
        <w:t xml:space="preserve"> ("</w:t>
      </w:r>
      <w:r w:rsidR="004C22E7">
        <w:rPr>
          <w:rFonts w:asciiTheme="majorHAnsi" w:hAnsiTheme="majorHAnsi" w:cstheme="majorHAnsi"/>
          <w:i/>
          <w:iCs/>
        </w:rPr>
        <w:t>Supplemental</w:t>
      </w:r>
      <w:r w:rsidR="005F1C70">
        <w:rPr>
          <w:rFonts w:asciiTheme="majorHAnsi" w:hAnsiTheme="majorHAnsi" w:cstheme="majorHAnsi"/>
          <w:i/>
          <w:iCs/>
        </w:rPr>
        <w:t xml:space="preserve"> </w:t>
      </w:r>
      <w:r w:rsidRPr="007D6590">
        <w:rPr>
          <w:rFonts w:asciiTheme="majorHAnsi" w:hAnsiTheme="majorHAnsi" w:cstheme="majorHAnsi"/>
          <w:i/>
          <w:iCs/>
        </w:rPr>
        <w:t>Unaudited Pro Forma Financial Information</w:t>
      </w:r>
      <w:r w:rsidRPr="007D6590">
        <w:rPr>
          <w:rFonts w:asciiTheme="majorHAnsi" w:hAnsiTheme="majorHAnsi" w:cstheme="majorHAnsi"/>
        </w:rPr>
        <w:t xml:space="preserve">"). The independent accountant's report on </w:t>
      </w:r>
      <w:r w:rsidR="005F1C70">
        <w:rPr>
          <w:rFonts w:asciiTheme="majorHAnsi" w:hAnsiTheme="majorHAnsi" w:cstheme="majorHAnsi"/>
        </w:rPr>
        <w:t xml:space="preserve">the </w:t>
      </w:r>
      <w:r w:rsidR="004C22E7">
        <w:rPr>
          <w:rFonts w:asciiTheme="majorHAnsi" w:hAnsiTheme="majorHAnsi" w:cstheme="majorHAnsi"/>
        </w:rPr>
        <w:t>supplemental</w:t>
      </w:r>
      <w:r w:rsidR="005F1C70">
        <w:rPr>
          <w:rFonts w:asciiTheme="majorHAnsi" w:hAnsiTheme="majorHAnsi" w:cstheme="majorHAnsi"/>
        </w:rPr>
        <w:t xml:space="preserve"> unaudited</w:t>
      </w:r>
      <w:r w:rsidRPr="007D6590">
        <w:rPr>
          <w:rFonts w:asciiTheme="majorHAnsi" w:hAnsiTheme="majorHAnsi" w:cstheme="majorHAnsi"/>
        </w:rPr>
        <w:t xml:space="preserve"> pro forma financial information is set out in Section B of this </w:t>
      </w:r>
      <w:r w:rsidR="00F42609">
        <w:rPr>
          <w:rFonts w:asciiTheme="majorHAnsi" w:hAnsiTheme="majorHAnsi" w:cstheme="majorHAnsi"/>
        </w:rPr>
        <w:fldChar w:fldCharType="begin"/>
      </w:r>
      <w:r w:rsidR="00F42609">
        <w:rPr>
          <w:rFonts w:asciiTheme="majorHAnsi" w:hAnsiTheme="majorHAnsi" w:cstheme="majorHAnsi"/>
        </w:rPr>
        <w:instrText xml:space="preserve"> REF _Ref65767195 \r \h </w:instrText>
      </w:r>
      <w:r w:rsidR="00F42609">
        <w:rPr>
          <w:rFonts w:asciiTheme="majorHAnsi" w:hAnsiTheme="majorHAnsi" w:cstheme="majorHAnsi"/>
        </w:rPr>
      </w:r>
      <w:r w:rsidR="00F42609">
        <w:rPr>
          <w:rFonts w:asciiTheme="majorHAnsi" w:hAnsiTheme="majorHAnsi" w:cstheme="majorHAnsi"/>
        </w:rPr>
        <w:fldChar w:fldCharType="separate"/>
      </w:r>
      <w:r w:rsidR="002D487F">
        <w:rPr>
          <w:rFonts w:asciiTheme="majorHAnsi" w:hAnsiTheme="majorHAnsi" w:cstheme="majorHAnsi"/>
          <w:cs/>
        </w:rPr>
        <w:t>‎</w:t>
      </w:r>
      <w:r w:rsidR="002D487F">
        <w:rPr>
          <w:rFonts w:asciiTheme="majorHAnsi" w:hAnsiTheme="majorHAnsi" w:cstheme="majorHAnsi"/>
        </w:rPr>
        <w:t>Part 2</w:t>
      </w:r>
      <w:r w:rsidR="00F42609">
        <w:rPr>
          <w:rFonts w:asciiTheme="majorHAnsi" w:hAnsiTheme="majorHAnsi" w:cstheme="majorHAnsi"/>
        </w:rPr>
        <w:fldChar w:fldCharType="end"/>
      </w:r>
      <w:r w:rsidRPr="007D6590">
        <w:rPr>
          <w:rFonts w:asciiTheme="majorHAnsi" w:hAnsiTheme="majorHAnsi" w:cstheme="majorHAnsi"/>
        </w:rPr>
        <w:t xml:space="preserve"> ("</w:t>
      </w:r>
      <w:r w:rsidR="004C22E7">
        <w:rPr>
          <w:rFonts w:asciiTheme="majorHAnsi" w:hAnsiTheme="majorHAnsi" w:cstheme="majorHAnsi"/>
          <w:i/>
          <w:iCs/>
        </w:rPr>
        <w:t>Supplemental</w:t>
      </w:r>
      <w:r w:rsidR="005F1C70">
        <w:rPr>
          <w:rFonts w:asciiTheme="majorHAnsi" w:hAnsiTheme="majorHAnsi" w:cstheme="majorHAnsi"/>
          <w:i/>
          <w:iCs/>
        </w:rPr>
        <w:t xml:space="preserve"> </w:t>
      </w:r>
      <w:r w:rsidRPr="007D6590">
        <w:rPr>
          <w:rFonts w:asciiTheme="majorHAnsi" w:hAnsiTheme="majorHAnsi" w:cstheme="majorHAnsi"/>
          <w:i/>
          <w:iCs/>
        </w:rPr>
        <w:t>Unaudited Pro Forma Financial Information</w:t>
      </w:r>
      <w:r w:rsidRPr="007D6590">
        <w:rPr>
          <w:rFonts w:asciiTheme="majorHAnsi" w:hAnsiTheme="majorHAnsi" w:cstheme="majorHAnsi"/>
        </w:rPr>
        <w:t>").</w:t>
      </w:r>
      <w:r w:rsidRPr="007D6590">
        <w:br w:type="page"/>
      </w:r>
    </w:p>
    <w:p w14:paraId="395F1EB8" w14:textId="7B606A8C" w:rsidR="00DE5AF2" w:rsidRDefault="00C71875" w:rsidP="00396E87">
      <w:pPr>
        <w:pStyle w:val="NormalOCAshurst"/>
        <w:jc w:val="left"/>
        <w:rPr>
          <w:rFonts w:asciiTheme="majorHAnsi" w:hAnsiTheme="majorHAnsi" w:cstheme="majorHAnsi"/>
          <w:b/>
          <w:bCs/>
        </w:rPr>
      </w:pPr>
      <w:r>
        <w:rPr>
          <w:rFonts w:asciiTheme="majorHAnsi" w:hAnsiTheme="majorHAnsi" w:cstheme="majorHAnsi"/>
          <w:b/>
          <w:bCs/>
        </w:rPr>
        <w:lastRenderedPageBreak/>
        <w:t>U</w:t>
      </w:r>
      <w:r w:rsidR="00DE5AF2" w:rsidRPr="007D6590">
        <w:rPr>
          <w:rFonts w:asciiTheme="majorHAnsi" w:hAnsiTheme="majorHAnsi" w:cstheme="majorHAnsi"/>
          <w:b/>
          <w:bCs/>
        </w:rPr>
        <w:t xml:space="preserve">naudited pro forma </w:t>
      </w:r>
      <w:r w:rsidR="0029706E">
        <w:rPr>
          <w:rFonts w:asciiTheme="majorHAnsi" w:hAnsiTheme="majorHAnsi" w:cstheme="majorHAnsi"/>
          <w:b/>
          <w:bCs/>
        </w:rPr>
        <w:t xml:space="preserve">income </w:t>
      </w:r>
      <w:r w:rsidR="00DE5AF2" w:rsidRPr="007D6590">
        <w:rPr>
          <w:rFonts w:asciiTheme="majorHAnsi" w:hAnsiTheme="majorHAnsi" w:cstheme="majorHAnsi"/>
          <w:b/>
          <w:bCs/>
        </w:rPr>
        <w:t xml:space="preserve">statement </w:t>
      </w:r>
      <w:r w:rsidR="0029706E">
        <w:rPr>
          <w:rFonts w:asciiTheme="majorHAnsi" w:hAnsiTheme="majorHAnsi" w:cstheme="majorHAnsi"/>
          <w:b/>
          <w:bCs/>
        </w:rPr>
        <w:t>for the year ended 31 December 2020</w:t>
      </w:r>
    </w:p>
    <w:tbl>
      <w:tblPr>
        <w:tblStyle w:val="TableGrid"/>
        <w:tblW w:w="49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1261"/>
        <w:gridCol w:w="938"/>
        <w:gridCol w:w="938"/>
        <w:gridCol w:w="938"/>
        <w:gridCol w:w="938"/>
        <w:gridCol w:w="1260"/>
      </w:tblGrid>
      <w:tr w:rsidR="00F35211" w:rsidRPr="00F35211" w14:paraId="5DB5D8AC" w14:textId="77777777" w:rsidTr="00284BEE">
        <w:tc>
          <w:tcPr>
            <w:tcW w:w="1202" w:type="pct"/>
            <w:tcMar>
              <w:left w:w="57" w:type="dxa"/>
              <w:right w:w="57" w:type="dxa"/>
            </w:tcMar>
          </w:tcPr>
          <w:p w14:paraId="3C8CB884" w14:textId="77777777" w:rsidR="00F35211" w:rsidRPr="00AD6D18" w:rsidRDefault="00F35211" w:rsidP="00396E87">
            <w:pPr>
              <w:pStyle w:val="StandardOCAshurst"/>
              <w:rPr>
                <w:sz w:val="14"/>
                <w:szCs w:val="14"/>
              </w:rPr>
            </w:pPr>
          </w:p>
        </w:tc>
        <w:tc>
          <w:tcPr>
            <w:tcW w:w="763" w:type="pct"/>
            <w:vMerge w:val="restart"/>
            <w:tcMar>
              <w:left w:w="57" w:type="dxa"/>
              <w:right w:w="57" w:type="dxa"/>
            </w:tcMar>
            <w:vAlign w:val="bottom"/>
          </w:tcPr>
          <w:p w14:paraId="03DE76D2" w14:textId="4C0A3E01" w:rsidR="00F35211" w:rsidRPr="00AD6D18" w:rsidRDefault="00F35211" w:rsidP="00396E87">
            <w:pPr>
              <w:pStyle w:val="StandardOCAshurst"/>
              <w:pBdr>
                <w:bottom w:val="single" w:sz="4" w:space="1" w:color="auto"/>
              </w:pBdr>
              <w:jc w:val="center"/>
              <w:rPr>
                <w:sz w:val="14"/>
                <w:szCs w:val="14"/>
              </w:rPr>
            </w:pPr>
            <w:r w:rsidRPr="00AD6D18">
              <w:rPr>
                <w:b/>
                <w:bCs/>
                <w:sz w:val="14"/>
                <w:szCs w:val="14"/>
              </w:rPr>
              <w:t>Consolidated EnQuest results for the year ended 31 December 2020</w:t>
            </w:r>
            <w:r w:rsidR="00701FD8">
              <w:rPr>
                <w:b/>
                <w:bCs/>
                <w:sz w:val="14"/>
                <w:szCs w:val="14"/>
              </w:rPr>
              <w:t xml:space="preserve"> (Restated)</w:t>
            </w:r>
          </w:p>
        </w:tc>
        <w:tc>
          <w:tcPr>
            <w:tcW w:w="2271" w:type="pct"/>
            <w:gridSpan w:val="4"/>
            <w:tcMar>
              <w:left w:w="57" w:type="dxa"/>
              <w:right w:w="57" w:type="dxa"/>
            </w:tcMar>
          </w:tcPr>
          <w:p w14:paraId="2E05E71F" w14:textId="0CA34933" w:rsidR="00F35211" w:rsidRPr="00AD6D18" w:rsidRDefault="00F35211" w:rsidP="00396E87">
            <w:pPr>
              <w:pStyle w:val="StandardOCAshurst"/>
              <w:pBdr>
                <w:bottom w:val="single" w:sz="4" w:space="1" w:color="auto"/>
              </w:pBdr>
              <w:jc w:val="center"/>
              <w:rPr>
                <w:b/>
                <w:bCs/>
                <w:sz w:val="14"/>
                <w:szCs w:val="14"/>
              </w:rPr>
            </w:pPr>
            <w:r w:rsidRPr="00AD6D18">
              <w:rPr>
                <w:b/>
                <w:bCs/>
                <w:sz w:val="14"/>
                <w:szCs w:val="14"/>
              </w:rPr>
              <w:t>Adjustments</w:t>
            </w:r>
          </w:p>
        </w:tc>
        <w:tc>
          <w:tcPr>
            <w:tcW w:w="763" w:type="pct"/>
            <w:vMerge w:val="restart"/>
            <w:tcMar>
              <w:left w:w="57" w:type="dxa"/>
              <w:right w:w="57" w:type="dxa"/>
            </w:tcMar>
            <w:vAlign w:val="bottom"/>
          </w:tcPr>
          <w:p w14:paraId="338057D2" w14:textId="7F4A6DA7" w:rsidR="00F35211" w:rsidRPr="00AD6D18" w:rsidRDefault="00F35211" w:rsidP="00396E87">
            <w:pPr>
              <w:pStyle w:val="StandardOCAshurst"/>
              <w:pBdr>
                <w:bottom w:val="single" w:sz="4" w:space="1" w:color="auto"/>
              </w:pBdr>
              <w:jc w:val="center"/>
              <w:rPr>
                <w:sz w:val="14"/>
                <w:szCs w:val="14"/>
              </w:rPr>
            </w:pPr>
            <w:r w:rsidRPr="00AD6D18">
              <w:rPr>
                <w:b/>
                <w:bCs/>
                <w:sz w:val="14"/>
                <w:szCs w:val="14"/>
              </w:rPr>
              <w:t>Pro forma total</w:t>
            </w:r>
          </w:p>
        </w:tc>
      </w:tr>
      <w:tr w:rsidR="00F35211" w:rsidRPr="00F35211" w14:paraId="7E033DA4" w14:textId="77777777" w:rsidTr="00284BEE">
        <w:tc>
          <w:tcPr>
            <w:tcW w:w="1202" w:type="pct"/>
            <w:tcMar>
              <w:left w:w="57" w:type="dxa"/>
              <w:right w:w="57" w:type="dxa"/>
            </w:tcMar>
          </w:tcPr>
          <w:p w14:paraId="1A991452" w14:textId="77777777" w:rsidR="00F35211" w:rsidRPr="00AD6D18" w:rsidRDefault="00F35211" w:rsidP="00396E87">
            <w:pPr>
              <w:pStyle w:val="StandardOCAshurst"/>
              <w:rPr>
                <w:sz w:val="14"/>
                <w:szCs w:val="14"/>
              </w:rPr>
            </w:pPr>
          </w:p>
        </w:tc>
        <w:tc>
          <w:tcPr>
            <w:tcW w:w="763" w:type="pct"/>
            <w:vMerge/>
            <w:tcMar>
              <w:left w:w="57" w:type="dxa"/>
              <w:right w:w="57" w:type="dxa"/>
            </w:tcMar>
            <w:vAlign w:val="bottom"/>
          </w:tcPr>
          <w:p w14:paraId="7A9F4005" w14:textId="51E66C36" w:rsidR="00F35211" w:rsidRPr="00AD6D18" w:rsidRDefault="00F35211" w:rsidP="00396E87">
            <w:pPr>
              <w:pStyle w:val="StandardOCAshurst"/>
              <w:pBdr>
                <w:bottom w:val="single" w:sz="4" w:space="1" w:color="auto"/>
              </w:pBdr>
              <w:jc w:val="center"/>
              <w:rPr>
                <w:b/>
                <w:bCs/>
                <w:sz w:val="14"/>
                <w:szCs w:val="14"/>
              </w:rPr>
            </w:pPr>
          </w:p>
        </w:tc>
        <w:tc>
          <w:tcPr>
            <w:tcW w:w="568" w:type="pct"/>
            <w:tcMar>
              <w:left w:w="57" w:type="dxa"/>
              <w:right w:w="57" w:type="dxa"/>
            </w:tcMar>
            <w:vAlign w:val="bottom"/>
          </w:tcPr>
          <w:p w14:paraId="4A67EDE3" w14:textId="7F724439" w:rsidR="00F35211" w:rsidRPr="00AD6D18" w:rsidRDefault="00551E86" w:rsidP="00396E87">
            <w:pPr>
              <w:pStyle w:val="StandardOCAshurst"/>
              <w:pBdr>
                <w:bottom w:val="single" w:sz="4" w:space="1" w:color="auto"/>
              </w:pBdr>
              <w:jc w:val="center"/>
              <w:rPr>
                <w:b/>
                <w:bCs/>
                <w:sz w:val="14"/>
                <w:szCs w:val="14"/>
              </w:rPr>
            </w:pPr>
            <w:r>
              <w:rPr>
                <w:b/>
                <w:bCs/>
                <w:sz w:val="14"/>
                <w:szCs w:val="14"/>
              </w:rPr>
              <w:t>Golden Eagle Asset</w:t>
            </w:r>
            <w:r w:rsidR="00F35211" w:rsidRPr="00AD6D18">
              <w:rPr>
                <w:b/>
                <w:bCs/>
                <w:sz w:val="14"/>
                <w:szCs w:val="14"/>
              </w:rPr>
              <w:t xml:space="preserve"> results for the year ended 31 December 2020</w:t>
            </w:r>
          </w:p>
        </w:tc>
        <w:tc>
          <w:tcPr>
            <w:tcW w:w="568" w:type="pct"/>
            <w:tcMar>
              <w:left w:w="57" w:type="dxa"/>
              <w:right w:w="57" w:type="dxa"/>
            </w:tcMar>
            <w:vAlign w:val="bottom"/>
          </w:tcPr>
          <w:p w14:paraId="101DF0DD" w14:textId="5A3B606B" w:rsidR="00F35211" w:rsidRPr="00AD6D18" w:rsidRDefault="00F35211" w:rsidP="00396E87">
            <w:pPr>
              <w:pStyle w:val="StandardOCAshurst"/>
              <w:pBdr>
                <w:bottom w:val="single" w:sz="4" w:space="1" w:color="auto"/>
              </w:pBdr>
              <w:jc w:val="center"/>
              <w:rPr>
                <w:b/>
                <w:bCs/>
                <w:sz w:val="14"/>
                <w:szCs w:val="14"/>
              </w:rPr>
            </w:pPr>
            <w:r w:rsidRPr="00AD6D18">
              <w:rPr>
                <w:b/>
                <w:bCs/>
                <w:sz w:val="14"/>
                <w:szCs w:val="14"/>
              </w:rPr>
              <w:t>Increase in DD&amp;A</w:t>
            </w:r>
          </w:p>
        </w:tc>
        <w:tc>
          <w:tcPr>
            <w:tcW w:w="568" w:type="pct"/>
            <w:tcMar>
              <w:left w:w="57" w:type="dxa"/>
              <w:right w:w="57" w:type="dxa"/>
            </w:tcMar>
            <w:vAlign w:val="bottom"/>
          </w:tcPr>
          <w:p w14:paraId="67AE0821" w14:textId="7A72F8F4" w:rsidR="00F35211" w:rsidRPr="00AD6D18" w:rsidRDefault="00F35211" w:rsidP="00396E87">
            <w:pPr>
              <w:pStyle w:val="StandardOCAshurst"/>
              <w:pBdr>
                <w:bottom w:val="single" w:sz="4" w:space="1" w:color="auto"/>
              </w:pBdr>
              <w:jc w:val="center"/>
              <w:rPr>
                <w:b/>
                <w:bCs/>
                <w:sz w:val="14"/>
                <w:szCs w:val="14"/>
              </w:rPr>
            </w:pPr>
            <w:r w:rsidRPr="00AD6D18">
              <w:rPr>
                <w:b/>
                <w:bCs/>
                <w:sz w:val="14"/>
                <w:szCs w:val="14"/>
              </w:rPr>
              <w:t>Deferred tax recognition</w:t>
            </w:r>
          </w:p>
        </w:tc>
        <w:tc>
          <w:tcPr>
            <w:tcW w:w="568" w:type="pct"/>
            <w:tcMar>
              <w:left w:w="57" w:type="dxa"/>
              <w:right w:w="57" w:type="dxa"/>
            </w:tcMar>
            <w:vAlign w:val="bottom"/>
          </w:tcPr>
          <w:p w14:paraId="1A7ABC86" w14:textId="64B1BACD" w:rsidR="00F35211" w:rsidRPr="00AD6D18" w:rsidRDefault="00F35211" w:rsidP="00396E87">
            <w:pPr>
              <w:pStyle w:val="StandardOCAshurst"/>
              <w:pBdr>
                <w:bottom w:val="single" w:sz="4" w:space="1" w:color="auto"/>
              </w:pBdr>
              <w:jc w:val="center"/>
              <w:rPr>
                <w:b/>
                <w:bCs/>
                <w:sz w:val="14"/>
                <w:szCs w:val="14"/>
              </w:rPr>
            </w:pPr>
            <w:r w:rsidRPr="00AD6D18">
              <w:rPr>
                <w:b/>
                <w:bCs/>
                <w:sz w:val="14"/>
                <w:szCs w:val="14"/>
              </w:rPr>
              <w:t>Refinancing</w:t>
            </w:r>
          </w:p>
        </w:tc>
        <w:tc>
          <w:tcPr>
            <w:tcW w:w="763" w:type="pct"/>
            <w:vMerge/>
            <w:tcMar>
              <w:left w:w="57" w:type="dxa"/>
              <w:right w:w="57" w:type="dxa"/>
            </w:tcMar>
            <w:vAlign w:val="bottom"/>
          </w:tcPr>
          <w:p w14:paraId="719F0EAF" w14:textId="5A9A76E3" w:rsidR="00F35211" w:rsidRPr="00AD6D18" w:rsidRDefault="00F35211" w:rsidP="00396E87">
            <w:pPr>
              <w:pStyle w:val="StandardOCAshurst"/>
              <w:pBdr>
                <w:bottom w:val="single" w:sz="4" w:space="1" w:color="auto"/>
              </w:pBdr>
              <w:jc w:val="center"/>
              <w:rPr>
                <w:b/>
                <w:bCs/>
                <w:sz w:val="14"/>
                <w:szCs w:val="14"/>
              </w:rPr>
            </w:pPr>
          </w:p>
        </w:tc>
      </w:tr>
      <w:tr w:rsidR="00F35211" w:rsidRPr="00F35211" w14:paraId="545FE452" w14:textId="77777777" w:rsidTr="00284BEE">
        <w:tc>
          <w:tcPr>
            <w:tcW w:w="1202" w:type="pct"/>
            <w:tcMar>
              <w:left w:w="57" w:type="dxa"/>
              <w:right w:w="57" w:type="dxa"/>
            </w:tcMar>
          </w:tcPr>
          <w:p w14:paraId="35F0F29C" w14:textId="77777777" w:rsidR="00F35211" w:rsidRPr="00BF7C6B" w:rsidRDefault="00F35211" w:rsidP="00396E87">
            <w:pPr>
              <w:pStyle w:val="StandardOCAshurst"/>
              <w:rPr>
                <w:sz w:val="14"/>
                <w:szCs w:val="14"/>
              </w:rPr>
            </w:pPr>
          </w:p>
        </w:tc>
        <w:tc>
          <w:tcPr>
            <w:tcW w:w="763" w:type="pct"/>
            <w:tcMar>
              <w:left w:w="57" w:type="dxa"/>
              <w:right w:w="57" w:type="dxa"/>
            </w:tcMar>
            <w:vAlign w:val="bottom"/>
          </w:tcPr>
          <w:p w14:paraId="779816F2" w14:textId="77777777" w:rsidR="00F35211" w:rsidRPr="00F35211" w:rsidRDefault="00F35211" w:rsidP="00396E87">
            <w:pPr>
              <w:pStyle w:val="StandardOCAshurst"/>
              <w:jc w:val="center"/>
              <w:rPr>
                <w:b/>
                <w:bCs/>
                <w:sz w:val="14"/>
                <w:szCs w:val="14"/>
              </w:rPr>
            </w:pPr>
          </w:p>
        </w:tc>
        <w:tc>
          <w:tcPr>
            <w:tcW w:w="568" w:type="pct"/>
            <w:tcMar>
              <w:left w:w="57" w:type="dxa"/>
              <w:right w:w="57" w:type="dxa"/>
            </w:tcMar>
            <w:vAlign w:val="bottom"/>
          </w:tcPr>
          <w:p w14:paraId="20B53EAC" w14:textId="77777777" w:rsidR="00F35211" w:rsidRPr="00F35211" w:rsidRDefault="00F35211" w:rsidP="00396E87">
            <w:pPr>
              <w:pStyle w:val="StandardOCAshurst"/>
              <w:jc w:val="center"/>
              <w:rPr>
                <w:b/>
                <w:bCs/>
                <w:sz w:val="14"/>
                <w:szCs w:val="14"/>
              </w:rPr>
            </w:pPr>
          </w:p>
        </w:tc>
        <w:tc>
          <w:tcPr>
            <w:tcW w:w="568" w:type="pct"/>
            <w:tcMar>
              <w:left w:w="57" w:type="dxa"/>
              <w:right w:w="57" w:type="dxa"/>
            </w:tcMar>
            <w:vAlign w:val="bottom"/>
          </w:tcPr>
          <w:p w14:paraId="64321098" w14:textId="77777777" w:rsidR="00F35211" w:rsidRPr="00F35211" w:rsidRDefault="00F35211" w:rsidP="00396E87">
            <w:pPr>
              <w:pStyle w:val="StandardOCAshurst"/>
              <w:jc w:val="center"/>
              <w:rPr>
                <w:b/>
                <w:bCs/>
                <w:sz w:val="14"/>
                <w:szCs w:val="14"/>
              </w:rPr>
            </w:pPr>
          </w:p>
        </w:tc>
        <w:tc>
          <w:tcPr>
            <w:tcW w:w="568" w:type="pct"/>
            <w:tcMar>
              <w:left w:w="57" w:type="dxa"/>
              <w:right w:w="57" w:type="dxa"/>
            </w:tcMar>
            <w:vAlign w:val="bottom"/>
          </w:tcPr>
          <w:p w14:paraId="6FB37553" w14:textId="77777777" w:rsidR="00F35211" w:rsidRPr="00F35211" w:rsidRDefault="00F35211" w:rsidP="00396E87">
            <w:pPr>
              <w:pStyle w:val="StandardOCAshurst"/>
              <w:jc w:val="center"/>
              <w:rPr>
                <w:b/>
                <w:bCs/>
                <w:sz w:val="14"/>
                <w:szCs w:val="14"/>
              </w:rPr>
            </w:pPr>
          </w:p>
        </w:tc>
        <w:tc>
          <w:tcPr>
            <w:tcW w:w="568" w:type="pct"/>
            <w:tcMar>
              <w:left w:w="57" w:type="dxa"/>
              <w:right w:w="57" w:type="dxa"/>
            </w:tcMar>
            <w:vAlign w:val="bottom"/>
          </w:tcPr>
          <w:p w14:paraId="52A8F6C0" w14:textId="77777777" w:rsidR="00F35211" w:rsidRPr="00F35211" w:rsidRDefault="00F35211" w:rsidP="00396E87">
            <w:pPr>
              <w:pStyle w:val="StandardOCAshurst"/>
              <w:jc w:val="center"/>
              <w:rPr>
                <w:b/>
                <w:bCs/>
                <w:sz w:val="14"/>
                <w:szCs w:val="14"/>
              </w:rPr>
            </w:pPr>
          </w:p>
        </w:tc>
        <w:tc>
          <w:tcPr>
            <w:tcW w:w="763" w:type="pct"/>
            <w:tcMar>
              <w:left w:w="57" w:type="dxa"/>
              <w:right w:w="57" w:type="dxa"/>
            </w:tcMar>
            <w:vAlign w:val="bottom"/>
          </w:tcPr>
          <w:p w14:paraId="370EF87F" w14:textId="77777777" w:rsidR="00F35211" w:rsidRPr="00F35211" w:rsidRDefault="00F35211" w:rsidP="00396E87">
            <w:pPr>
              <w:pStyle w:val="StandardOCAshurst"/>
              <w:jc w:val="center"/>
              <w:rPr>
                <w:b/>
                <w:bCs/>
                <w:sz w:val="14"/>
                <w:szCs w:val="14"/>
              </w:rPr>
            </w:pPr>
          </w:p>
        </w:tc>
      </w:tr>
      <w:tr w:rsidR="00D03658" w:rsidRPr="00F35211" w14:paraId="3A0AE07F" w14:textId="77777777" w:rsidTr="00284BEE">
        <w:tc>
          <w:tcPr>
            <w:tcW w:w="1202" w:type="pct"/>
            <w:tcMar>
              <w:left w:w="57" w:type="dxa"/>
              <w:right w:w="57" w:type="dxa"/>
            </w:tcMar>
          </w:tcPr>
          <w:p w14:paraId="747F5D92" w14:textId="750BE573" w:rsidR="00696912" w:rsidRPr="00AD6D18" w:rsidRDefault="00696912" w:rsidP="00396E87">
            <w:pPr>
              <w:pStyle w:val="StandardOCAshurst"/>
              <w:tabs>
                <w:tab w:val="left" w:leader="dot" w:pos="2494"/>
              </w:tabs>
              <w:rPr>
                <w:b/>
                <w:bCs/>
                <w:sz w:val="14"/>
                <w:szCs w:val="14"/>
              </w:rPr>
            </w:pPr>
            <w:r w:rsidRPr="00AD6D18">
              <w:rPr>
                <w:b/>
                <w:bCs/>
                <w:sz w:val="14"/>
                <w:szCs w:val="14"/>
              </w:rPr>
              <w:t>$ 000's</w:t>
            </w:r>
          </w:p>
        </w:tc>
        <w:tc>
          <w:tcPr>
            <w:tcW w:w="763" w:type="pct"/>
            <w:tcMar>
              <w:left w:w="57" w:type="dxa"/>
              <w:right w:w="57" w:type="dxa"/>
            </w:tcMar>
            <w:vAlign w:val="center"/>
          </w:tcPr>
          <w:p w14:paraId="5535B328" w14:textId="25624AA4" w:rsidR="00696912" w:rsidRPr="00AD6D18" w:rsidRDefault="00F35211" w:rsidP="00396E87">
            <w:pPr>
              <w:pStyle w:val="StandardOCAshurst"/>
              <w:jc w:val="center"/>
              <w:rPr>
                <w:b/>
                <w:bCs/>
                <w:sz w:val="14"/>
                <w:szCs w:val="14"/>
              </w:rPr>
            </w:pPr>
            <w:r w:rsidRPr="00AD6D18">
              <w:rPr>
                <w:b/>
                <w:bCs/>
                <w:sz w:val="14"/>
                <w:szCs w:val="14"/>
              </w:rPr>
              <w:t>Note 1</w:t>
            </w:r>
          </w:p>
        </w:tc>
        <w:tc>
          <w:tcPr>
            <w:tcW w:w="568" w:type="pct"/>
            <w:tcMar>
              <w:left w:w="57" w:type="dxa"/>
              <w:right w:w="57" w:type="dxa"/>
            </w:tcMar>
            <w:vAlign w:val="center"/>
          </w:tcPr>
          <w:p w14:paraId="0826EEF6" w14:textId="7DD437DE" w:rsidR="00696912" w:rsidRPr="00AD6D18" w:rsidRDefault="00F35211" w:rsidP="00396E87">
            <w:pPr>
              <w:pStyle w:val="StandardOCAshurst"/>
              <w:jc w:val="center"/>
              <w:rPr>
                <w:b/>
                <w:bCs/>
                <w:sz w:val="14"/>
                <w:szCs w:val="14"/>
              </w:rPr>
            </w:pPr>
            <w:r w:rsidRPr="00AD6D18">
              <w:rPr>
                <w:b/>
                <w:bCs/>
                <w:sz w:val="14"/>
                <w:szCs w:val="14"/>
              </w:rPr>
              <w:t>Note 2</w:t>
            </w:r>
          </w:p>
        </w:tc>
        <w:tc>
          <w:tcPr>
            <w:tcW w:w="568" w:type="pct"/>
            <w:tcMar>
              <w:left w:w="57" w:type="dxa"/>
              <w:right w:w="57" w:type="dxa"/>
            </w:tcMar>
            <w:vAlign w:val="center"/>
          </w:tcPr>
          <w:p w14:paraId="58A9F648" w14:textId="4199372E" w:rsidR="00696912" w:rsidRPr="00AD6D18" w:rsidRDefault="00F35211" w:rsidP="00396E87">
            <w:pPr>
              <w:pStyle w:val="StandardOCAshurst"/>
              <w:jc w:val="center"/>
              <w:rPr>
                <w:b/>
                <w:bCs/>
                <w:sz w:val="14"/>
                <w:szCs w:val="14"/>
              </w:rPr>
            </w:pPr>
            <w:r w:rsidRPr="00AD6D18">
              <w:rPr>
                <w:b/>
                <w:bCs/>
                <w:sz w:val="14"/>
                <w:szCs w:val="14"/>
              </w:rPr>
              <w:t>Note 3</w:t>
            </w:r>
          </w:p>
        </w:tc>
        <w:tc>
          <w:tcPr>
            <w:tcW w:w="568" w:type="pct"/>
            <w:tcMar>
              <w:left w:w="57" w:type="dxa"/>
              <w:right w:w="57" w:type="dxa"/>
            </w:tcMar>
            <w:vAlign w:val="center"/>
          </w:tcPr>
          <w:p w14:paraId="0B5A1ABA" w14:textId="25FB0068" w:rsidR="00696912" w:rsidRPr="00AD6D18" w:rsidRDefault="00F35211" w:rsidP="00396E87">
            <w:pPr>
              <w:pStyle w:val="StandardOCAshurst"/>
              <w:jc w:val="center"/>
              <w:rPr>
                <w:b/>
                <w:bCs/>
                <w:sz w:val="14"/>
                <w:szCs w:val="14"/>
              </w:rPr>
            </w:pPr>
            <w:r w:rsidRPr="00AD6D18">
              <w:rPr>
                <w:b/>
                <w:bCs/>
                <w:sz w:val="14"/>
                <w:szCs w:val="14"/>
              </w:rPr>
              <w:t>Note 4</w:t>
            </w:r>
          </w:p>
        </w:tc>
        <w:tc>
          <w:tcPr>
            <w:tcW w:w="568" w:type="pct"/>
            <w:tcMar>
              <w:left w:w="57" w:type="dxa"/>
              <w:right w:w="57" w:type="dxa"/>
            </w:tcMar>
            <w:vAlign w:val="center"/>
          </w:tcPr>
          <w:p w14:paraId="1ABFFAA2" w14:textId="2308B5FB" w:rsidR="00696912" w:rsidRPr="00AD6D18" w:rsidRDefault="00F35211" w:rsidP="00396E87">
            <w:pPr>
              <w:pStyle w:val="StandardOCAshurst"/>
              <w:jc w:val="center"/>
              <w:rPr>
                <w:b/>
                <w:bCs/>
                <w:sz w:val="14"/>
                <w:szCs w:val="14"/>
              </w:rPr>
            </w:pPr>
            <w:r w:rsidRPr="00AD6D18">
              <w:rPr>
                <w:b/>
                <w:bCs/>
                <w:sz w:val="14"/>
                <w:szCs w:val="14"/>
              </w:rPr>
              <w:t>Note 5</w:t>
            </w:r>
          </w:p>
        </w:tc>
        <w:tc>
          <w:tcPr>
            <w:tcW w:w="763" w:type="pct"/>
            <w:tcMar>
              <w:left w:w="57" w:type="dxa"/>
              <w:right w:w="57" w:type="dxa"/>
            </w:tcMar>
            <w:vAlign w:val="center"/>
          </w:tcPr>
          <w:p w14:paraId="51FEE102" w14:textId="3859BABB" w:rsidR="00696912" w:rsidRPr="00AD6D18" w:rsidRDefault="00F35211" w:rsidP="00396E87">
            <w:pPr>
              <w:pStyle w:val="StandardOCAshurst"/>
              <w:jc w:val="center"/>
              <w:rPr>
                <w:b/>
                <w:bCs/>
                <w:sz w:val="14"/>
                <w:szCs w:val="14"/>
              </w:rPr>
            </w:pPr>
            <w:r w:rsidRPr="00AD6D18">
              <w:rPr>
                <w:b/>
                <w:bCs/>
                <w:sz w:val="14"/>
                <w:szCs w:val="14"/>
              </w:rPr>
              <w:t>Note 6</w:t>
            </w:r>
          </w:p>
        </w:tc>
      </w:tr>
      <w:tr w:rsidR="00D03658" w:rsidRPr="00F35211" w14:paraId="6B68CD87" w14:textId="77777777" w:rsidTr="00284BEE">
        <w:tc>
          <w:tcPr>
            <w:tcW w:w="1202" w:type="pct"/>
            <w:tcMar>
              <w:left w:w="57" w:type="dxa"/>
              <w:right w:w="57" w:type="dxa"/>
            </w:tcMar>
          </w:tcPr>
          <w:p w14:paraId="2CF51F7C" w14:textId="77777777" w:rsidR="00F35211" w:rsidRPr="00BF7C6B" w:rsidRDefault="00F35211" w:rsidP="00396E87">
            <w:pPr>
              <w:pStyle w:val="StandardOCAshurst"/>
              <w:tabs>
                <w:tab w:val="left" w:leader="dot" w:pos="2494"/>
              </w:tabs>
              <w:rPr>
                <w:b/>
                <w:bCs/>
                <w:sz w:val="14"/>
                <w:szCs w:val="14"/>
              </w:rPr>
            </w:pPr>
          </w:p>
        </w:tc>
        <w:tc>
          <w:tcPr>
            <w:tcW w:w="763" w:type="pct"/>
            <w:tcMar>
              <w:left w:w="57" w:type="dxa"/>
              <w:right w:w="57" w:type="dxa"/>
            </w:tcMar>
            <w:vAlign w:val="bottom"/>
          </w:tcPr>
          <w:p w14:paraId="52C5AD17" w14:textId="77777777" w:rsidR="00F35211" w:rsidRPr="00F35211" w:rsidRDefault="00F35211" w:rsidP="00396E87">
            <w:pPr>
              <w:pStyle w:val="StandardOCAshurst"/>
              <w:jc w:val="right"/>
              <w:rPr>
                <w:sz w:val="14"/>
                <w:szCs w:val="14"/>
              </w:rPr>
            </w:pPr>
          </w:p>
        </w:tc>
        <w:tc>
          <w:tcPr>
            <w:tcW w:w="568" w:type="pct"/>
            <w:tcMar>
              <w:left w:w="57" w:type="dxa"/>
              <w:right w:w="57" w:type="dxa"/>
            </w:tcMar>
            <w:vAlign w:val="bottom"/>
          </w:tcPr>
          <w:p w14:paraId="048E2B6B" w14:textId="77777777" w:rsidR="00F35211" w:rsidRPr="00F35211" w:rsidRDefault="00F35211" w:rsidP="00396E87">
            <w:pPr>
              <w:pStyle w:val="StandardOCAshurst"/>
              <w:jc w:val="right"/>
              <w:rPr>
                <w:sz w:val="14"/>
                <w:szCs w:val="14"/>
              </w:rPr>
            </w:pPr>
          </w:p>
        </w:tc>
        <w:tc>
          <w:tcPr>
            <w:tcW w:w="568" w:type="pct"/>
            <w:tcMar>
              <w:left w:w="57" w:type="dxa"/>
              <w:right w:w="57" w:type="dxa"/>
            </w:tcMar>
            <w:vAlign w:val="bottom"/>
          </w:tcPr>
          <w:p w14:paraId="5D24561A" w14:textId="77777777" w:rsidR="00F35211" w:rsidRPr="00F35211" w:rsidRDefault="00F35211" w:rsidP="00396E87">
            <w:pPr>
              <w:pStyle w:val="StandardOCAshurst"/>
              <w:jc w:val="right"/>
              <w:rPr>
                <w:sz w:val="14"/>
                <w:szCs w:val="14"/>
              </w:rPr>
            </w:pPr>
          </w:p>
        </w:tc>
        <w:tc>
          <w:tcPr>
            <w:tcW w:w="568" w:type="pct"/>
            <w:tcMar>
              <w:left w:w="57" w:type="dxa"/>
              <w:right w:w="57" w:type="dxa"/>
            </w:tcMar>
            <w:vAlign w:val="bottom"/>
          </w:tcPr>
          <w:p w14:paraId="5608000E" w14:textId="77777777" w:rsidR="00F35211" w:rsidRPr="00F35211" w:rsidRDefault="00F35211" w:rsidP="00396E87">
            <w:pPr>
              <w:pStyle w:val="StandardOCAshurst"/>
              <w:jc w:val="right"/>
              <w:rPr>
                <w:sz w:val="14"/>
                <w:szCs w:val="14"/>
              </w:rPr>
            </w:pPr>
          </w:p>
        </w:tc>
        <w:tc>
          <w:tcPr>
            <w:tcW w:w="568" w:type="pct"/>
            <w:tcMar>
              <w:left w:w="57" w:type="dxa"/>
              <w:right w:w="57" w:type="dxa"/>
            </w:tcMar>
            <w:vAlign w:val="bottom"/>
          </w:tcPr>
          <w:p w14:paraId="0BF70669" w14:textId="77777777" w:rsidR="00F35211" w:rsidRPr="00F35211" w:rsidRDefault="00F35211" w:rsidP="00396E87">
            <w:pPr>
              <w:pStyle w:val="StandardOCAshurst"/>
              <w:jc w:val="right"/>
              <w:rPr>
                <w:sz w:val="14"/>
                <w:szCs w:val="14"/>
              </w:rPr>
            </w:pPr>
          </w:p>
        </w:tc>
        <w:tc>
          <w:tcPr>
            <w:tcW w:w="763" w:type="pct"/>
            <w:tcMar>
              <w:left w:w="57" w:type="dxa"/>
              <w:right w:w="57" w:type="dxa"/>
            </w:tcMar>
            <w:vAlign w:val="bottom"/>
          </w:tcPr>
          <w:p w14:paraId="1EBD9E26" w14:textId="77777777" w:rsidR="00F35211" w:rsidRPr="00F35211" w:rsidRDefault="00F35211" w:rsidP="00396E87">
            <w:pPr>
              <w:pStyle w:val="StandardOCAshurst"/>
              <w:jc w:val="right"/>
              <w:rPr>
                <w:sz w:val="14"/>
                <w:szCs w:val="14"/>
              </w:rPr>
            </w:pPr>
          </w:p>
        </w:tc>
      </w:tr>
      <w:tr w:rsidR="00D03658" w:rsidRPr="00F35211" w14:paraId="1318BB9E" w14:textId="77777777" w:rsidTr="00284BEE">
        <w:tc>
          <w:tcPr>
            <w:tcW w:w="1202" w:type="pct"/>
            <w:tcMar>
              <w:left w:w="57" w:type="dxa"/>
              <w:right w:w="57" w:type="dxa"/>
            </w:tcMar>
          </w:tcPr>
          <w:p w14:paraId="729E3C18" w14:textId="478ADB90" w:rsidR="00D03658" w:rsidRPr="00C5357C" w:rsidRDefault="00D03658" w:rsidP="00284BEE">
            <w:pPr>
              <w:pStyle w:val="StandardOCAshurst"/>
              <w:tabs>
                <w:tab w:val="left" w:leader="dot" w:pos="1780"/>
              </w:tabs>
              <w:jc w:val="left"/>
              <w:rPr>
                <w:sz w:val="14"/>
                <w:szCs w:val="14"/>
              </w:rPr>
            </w:pPr>
            <w:r w:rsidRPr="00C05476">
              <w:rPr>
                <w:sz w:val="14"/>
                <w:szCs w:val="14"/>
              </w:rPr>
              <w:t>Revenue and other operating income</w:t>
            </w:r>
            <w:r w:rsidR="00284BEE" w:rsidRPr="00C5357C">
              <w:rPr>
                <w:sz w:val="14"/>
                <w:szCs w:val="14"/>
              </w:rPr>
              <w:tab/>
            </w:r>
          </w:p>
        </w:tc>
        <w:tc>
          <w:tcPr>
            <w:tcW w:w="763" w:type="pct"/>
            <w:tcMar>
              <w:left w:w="57" w:type="dxa"/>
              <w:right w:w="57" w:type="dxa"/>
            </w:tcMar>
            <w:vAlign w:val="bottom"/>
          </w:tcPr>
          <w:p w14:paraId="797358F2" w14:textId="623CA432" w:rsidR="00D03658" w:rsidRPr="00C5357C" w:rsidRDefault="00145FA3" w:rsidP="00396E87">
            <w:pPr>
              <w:pStyle w:val="StandardOCAshurst"/>
              <w:jc w:val="right"/>
              <w:rPr>
                <w:sz w:val="16"/>
                <w:szCs w:val="16"/>
              </w:rPr>
            </w:pPr>
            <w:r w:rsidRPr="00C5357C">
              <w:rPr>
                <w:sz w:val="16"/>
                <w:szCs w:val="16"/>
              </w:rPr>
              <w:t>863,852</w:t>
            </w:r>
          </w:p>
        </w:tc>
        <w:tc>
          <w:tcPr>
            <w:tcW w:w="568" w:type="pct"/>
            <w:tcMar>
              <w:left w:w="57" w:type="dxa"/>
              <w:right w:w="57" w:type="dxa"/>
            </w:tcMar>
            <w:vAlign w:val="bottom"/>
          </w:tcPr>
          <w:p w14:paraId="59283C31" w14:textId="4DF415CC" w:rsidR="00D03658" w:rsidRPr="00C5357C" w:rsidRDefault="00D03658" w:rsidP="00396E87">
            <w:pPr>
              <w:pStyle w:val="StandardOCAshurst"/>
              <w:jc w:val="right"/>
              <w:rPr>
                <w:sz w:val="16"/>
                <w:szCs w:val="16"/>
              </w:rPr>
            </w:pPr>
            <w:r w:rsidRPr="00C5357C">
              <w:rPr>
                <w:sz w:val="16"/>
                <w:szCs w:val="16"/>
              </w:rPr>
              <w:t>95,413</w:t>
            </w:r>
          </w:p>
        </w:tc>
        <w:tc>
          <w:tcPr>
            <w:tcW w:w="568" w:type="pct"/>
            <w:tcMar>
              <w:left w:w="57" w:type="dxa"/>
              <w:right w:w="57" w:type="dxa"/>
            </w:tcMar>
            <w:vAlign w:val="bottom"/>
          </w:tcPr>
          <w:p w14:paraId="7799FC70" w14:textId="77777777" w:rsidR="00D03658" w:rsidRPr="00C5357C" w:rsidRDefault="00D03658" w:rsidP="00396E87">
            <w:pPr>
              <w:pStyle w:val="StandardOCAshurst"/>
              <w:jc w:val="right"/>
              <w:rPr>
                <w:sz w:val="16"/>
                <w:szCs w:val="16"/>
              </w:rPr>
            </w:pPr>
            <w:r w:rsidRPr="00C5357C">
              <w:rPr>
                <w:sz w:val="16"/>
                <w:szCs w:val="16"/>
              </w:rPr>
              <w:t>-</w:t>
            </w:r>
          </w:p>
        </w:tc>
        <w:tc>
          <w:tcPr>
            <w:tcW w:w="568" w:type="pct"/>
            <w:tcMar>
              <w:left w:w="57" w:type="dxa"/>
              <w:right w:w="57" w:type="dxa"/>
            </w:tcMar>
            <w:vAlign w:val="bottom"/>
          </w:tcPr>
          <w:p w14:paraId="69765051" w14:textId="77777777" w:rsidR="00D03658" w:rsidRPr="00C5357C" w:rsidRDefault="00D03658" w:rsidP="00396E87">
            <w:pPr>
              <w:pStyle w:val="StandardOCAshurst"/>
              <w:jc w:val="right"/>
              <w:rPr>
                <w:sz w:val="16"/>
                <w:szCs w:val="16"/>
              </w:rPr>
            </w:pPr>
            <w:r w:rsidRPr="00C5357C">
              <w:rPr>
                <w:sz w:val="16"/>
                <w:szCs w:val="16"/>
              </w:rPr>
              <w:t>-</w:t>
            </w:r>
          </w:p>
        </w:tc>
        <w:tc>
          <w:tcPr>
            <w:tcW w:w="568" w:type="pct"/>
            <w:tcMar>
              <w:left w:w="57" w:type="dxa"/>
              <w:right w:w="57" w:type="dxa"/>
            </w:tcMar>
            <w:vAlign w:val="bottom"/>
          </w:tcPr>
          <w:p w14:paraId="7AF42889" w14:textId="77777777" w:rsidR="00D03658" w:rsidRPr="00C5357C" w:rsidRDefault="00D03658" w:rsidP="00396E87">
            <w:pPr>
              <w:pStyle w:val="StandardOCAshurst"/>
              <w:jc w:val="right"/>
              <w:rPr>
                <w:sz w:val="16"/>
                <w:szCs w:val="16"/>
              </w:rPr>
            </w:pPr>
            <w:r w:rsidRPr="00C5357C">
              <w:rPr>
                <w:sz w:val="16"/>
                <w:szCs w:val="16"/>
              </w:rPr>
              <w:t>-</w:t>
            </w:r>
          </w:p>
        </w:tc>
        <w:tc>
          <w:tcPr>
            <w:tcW w:w="763" w:type="pct"/>
            <w:tcMar>
              <w:left w:w="57" w:type="dxa"/>
              <w:right w:w="57" w:type="dxa"/>
            </w:tcMar>
            <w:vAlign w:val="bottom"/>
          </w:tcPr>
          <w:p w14:paraId="03C40C4E" w14:textId="4B741045" w:rsidR="00D03658" w:rsidRPr="00C5357C" w:rsidRDefault="00145FA3" w:rsidP="00396E87">
            <w:pPr>
              <w:pStyle w:val="StandardOCAshurst"/>
              <w:jc w:val="right"/>
              <w:rPr>
                <w:sz w:val="16"/>
                <w:szCs w:val="16"/>
              </w:rPr>
            </w:pPr>
            <w:r w:rsidRPr="00C5357C">
              <w:rPr>
                <w:sz w:val="16"/>
                <w:szCs w:val="16"/>
              </w:rPr>
              <w:t>959,265</w:t>
            </w:r>
          </w:p>
        </w:tc>
      </w:tr>
      <w:tr w:rsidR="00D03658" w:rsidRPr="00F35211" w14:paraId="44F2C29E" w14:textId="77777777" w:rsidTr="00284BEE">
        <w:tc>
          <w:tcPr>
            <w:tcW w:w="1202" w:type="pct"/>
            <w:tcMar>
              <w:left w:w="57" w:type="dxa"/>
              <w:right w:w="57" w:type="dxa"/>
            </w:tcMar>
          </w:tcPr>
          <w:p w14:paraId="36E2677A" w14:textId="3515EC38" w:rsidR="00D03658" w:rsidRPr="00C5357C" w:rsidRDefault="00D03658" w:rsidP="00284BEE">
            <w:pPr>
              <w:pStyle w:val="StandardOCAshurst"/>
              <w:tabs>
                <w:tab w:val="left" w:leader="dot" w:pos="1780"/>
              </w:tabs>
              <w:jc w:val="left"/>
              <w:rPr>
                <w:sz w:val="14"/>
                <w:szCs w:val="14"/>
              </w:rPr>
            </w:pPr>
            <w:r w:rsidRPr="00C05476">
              <w:rPr>
                <w:sz w:val="14"/>
                <w:szCs w:val="14"/>
              </w:rPr>
              <w:t>Cost of sales</w:t>
            </w:r>
            <w:r w:rsidR="00284BEE" w:rsidRPr="00C5357C">
              <w:rPr>
                <w:sz w:val="14"/>
                <w:szCs w:val="14"/>
              </w:rPr>
              <w:tab/>
            </w:r>
          </w:p>
        </w:tc>
        <w:tc>
          <w:tcPr>
            <w:tcW w:w="763" w:type="pct"/>
            <w:tcMar>
              <w:left w:w="57" w:type="dxa"/>
              <w:right w:w="57" w:type="dxa"/>
            </w:tcMar>
            <w:vAlign w:val="bottom"/>
          </w:tcPr>
          <w:p w14:paraId="2B41EF4F" w14:textId="77777777" w:rsidR="00D03658" w:rsidRPr="00C5357C" w:rsidRDefault="00D03658" w:rsidP="00396E87">
            <w:pPr>
              <w:pStyle w:val="StandardOCAshurst"/>
              <w:pBdr>
                <w:bottom w:val="single" w:sz="4" w:space="1" w:color="auto"/>
              </w:pBdr>
              <w:jc w:val="right"/>
              <w:rPr>
                <w:sz w:val="16"/>
                <w:szCs w:val="16"/>
              </w:rPr>
            </w:pPr>
            <w:r w:rsidRPr="00C5357C">
              <w:rPr>
                <w:sz w:val="16"/>
                <w:szCs w:val="16"/>
              </w:rPr>
              <w:t>(799,081)</w:t>
            </w:r>
          </w:p>
        </w:tc>
        <w:tc>
          <w:tcPr>
            <w:tcW w:w="568" w:type="pct"/>
            <w:tcMar>
              <w:left w:w="57" w:type="dxa"/>
              <w:right w:w="57" w:type="dxa"/>
            </w:tcMar>
            <w:vAlign w:val="bottom"/>
          </w:tcPr>
          <w:p w14:paraId="1B867AD9" w14:textId="706BA226" w:rsidR="00D03658" w:rsidRPr="00C5357C" w:rsidRDefault="00D03658" w:rsidP="00396E87">
            <w:pPr>
              <w:pStyle w:val="StandardOCAshurst"/>
              <w:pBdr>
                <w:bottom w:val="single" w:sz="4" w:space="1" w:color="auto"/>
              </w:pBdr>
              <w:jc w:val="right"/>
              <w:rPr>
                <w:sz w:val="16"/>
                <w:szCs w:val="16"/>
              </w:rPr>
            </w:pPr>
            <w:r w:rsidRPr="00C5357C">
              <w:rPr>
                <w:sz w:val="16"/>
                <w:szCs w:val="16"/>
              </w:rPr>
              <w:t>(66,630)</w:t>
            </w:r>
          </w:p>
        </w:tc>
        <w:tc>
          <w:tcPr>
            <w:tcW w:w="568" w:type="pct"/>
            <w:tcMar>
              <w:left w:w="57" w:type="dxa"/>
              <w:right w:w="57" w:type="dxa"/>
            </w:tcMar>
            <w:vAlign w:val="bottom"/>
          </w:tcPr>
          <w:p w14:paraId="1123A5CF" w14:textId="6C388902" w:rsidR="00D03658" w:rsidRPr="00C5357C" w:rsidRDefault="00D03658" w:rsidP="00396E87">
            <w:pPr>
              <w:pStyle w:val="StandardOCAshurst"/>
              <w:pBdr>
                <w:bottom w:val="single" w:sz="4" w:space="1" w:color="auto"/>
              </w:pBdr>
              <w:jc w:val="right"/>
              <w:rPr>
                <w:sz w:val="16"/>
                <w:szCs w:val="16"/>
              </w:rPr>
            </w:pPr>
            <w:r w:rsidRPr="00C5357C">
              <w:rPr>
                <w:sz w:val="16"/>
                <w:szCs w:val="16"/>
              </w:rPr>
              <w:t>(16,226)</w:t>
            </w:r>
          </w:p>
        </w:tc>
        <w:tc>
          <w:tcPr>
            <w:tcW w:w="568" w:type="pct"/>
            <w:tcMar>
              <w:left w:w="57" w:type="dxa"/>
              <w:right w:w="57" w:type="dxa"/>
            </w:tcMar>
            <w:vAlign w:val="bottom"/>
          </w:tcPr>
          <w:p w14:paraId="1F9CBAE9" w14:textId="77777777" w:rsidR="00D03658" w:rsidRPr="00C5357C" w:rsidRDefault="00D03658" w:rsidP="00396E87">
            <w:pPr>
              <w:pStyle w:val="StandardOCAshurst"/>
              <w:pBdr>
                <w:bottom w:val="single" w:sz="4" w:space="1" w:color="auto"/>
              </w:pBdr>
              <w:jc w:val="right"/>
              <w:rPr>
                <w:sz w:val="16"/>
                <w:szCs w:val="16"/>
              </w:rPr>
            </w:pPr>
            <w:r w:rsidRPr="00C5357C">
              <w:rPr>
                <w:sz w:val="16"/>
                <w:szCs w:val="16"/>
              </w:rPr>
              <w:t>-</w:t>
            </w:r>
          </w:p>
        </w:tc>
        <w:tc>
          <w:tcPr>
            <w:tcW w:w="568" w:type="pct"/>
            <w:tcMar>
              <w:left w:w="57" w:type="dxa"/>
              <w:right w:w="57" w:type="dxa"/>
            </w:tcMar>
            <w:vAlign w:val="bottom"/>
          </w:tcPr>
          <w:p w14:paraId="5ABB45C6" w14:textId="77777777" w:rsidR="00D03658" w:rsidRPr="00C5357C" w:rsidRDefault="00D03658" w:rsidP="00396E87">
            <w:pPr>
              <w:pStyle w:val="StandardOCAshurst"/>
              <w:pBdr>
                <w:bottom w:val="single" w:sz="4" w:space="1" w:color="auto"/>
              </w:pBdr>
              <w:jc w:val="right"/>
              <w:rPr>
                <w:sz w:val="16"/>
                <w:szCs w:val="16"/>
              </w:rPr>
            </w:pPr>
            <w:r w:rsidRPr="00C5357C">
              <w:rPr>
                <w:sz w:val="16"/>
                <w:szCs w:val="16"/>
              </w:rPr>
              <w:t>-</w:t>
            </w:r>
          </w:p>
        </w:tc>
        <w:tc>
          <w:tcPr>
            <w:tcW w:w="763" w:type="pct"/>
            <w:tcMar>
              <w:left w:w="57" w:type="dxa"/>
              <w:right w:w="57" w:type="dxa"/>
            </w:tcMar>
            <w:vAlign w:val="bottom"/>
          </w:tcPr>
          <w:p w14:paraId="5D70A18F" w14:textId="4FECFFA5" w:rsidR="00D03658" w:rsidRPr="00C5357C" w:rsidRDefault="00D03658" w:rsidP="00396E87">
            <w:pPr>
              <w:pStyle w:val="StandardOCAshurst"/>
              <w:pBdr>
                <w:bottom w:val="single" w:sz="4" w:space="1" w:color="auto"/>
              </w:pBdr>
              <w:jc w:val="right"/>
              <w:rPr>
                <w:sz w:val="16"/>
                <w:szCs w:val="16"/>
              </w:rPr>
            </w:pPr>
            <w:r w:rsidRPr="00C5357C">
              <w:rPr>
                <w:sz w:val="16"/>
                <w:szCs w:val="16"/>
              </w:rPr>
              <w:t>(881,937)</w:t>
            </w:r>
          </w:p>
        </w:tc>
      </w:tr>
      <w:tr w:rsidR="00D03658" w:rsidRPr="00F35211" w14:paraId="3C2E746E" w14:textId="77777777" w:rsidTr="00284BEE">
        <w:tc>
          <w:tcPr>
            <w:tcW w:w="1202" w:type="pct"/>
            <w:tcMar>
              <w:left w:w="57" w:type="dxa"/>
              <w:right w:w="57" w:type="dxa"/>
            </w:tcMar>
          </w:tcPr>
          <w:p w14:paraId="3020EECE" w14:textId="2513F012" w:rsidR="00D03658" w:rsidRPr="00C5357C" w:rsidRDefault="00D03658" w:rsidP="00284BEE">
            <w:pPr>
              <w:pStyle w:val="StandardOCAshurst"/>
              <w:tabs>
                <w:tab w:val="left" w:leader="dot" w:pos="1780"/>
              </w:tabs>
              <w:jc w:val="left"/>
              <w:rPr>
                <w:b/>
                <w:bCs/>
                <w:sz w:val="14"/>
                <w:szCs w:val="14"/>
              </w:rPr>
            </w:pPr>
            <w:r w:rsidRPr="00C05476">
              <w:rPr>
                <w:b/>
                <w:bCs/>
                <w:sz w:val="14"/>
                <w:szCs w:val="14"/>
              </w:rPr>
              <w:t>Gross profit</w:t>
            </w:r>
            <w:r w:rsidR="00284BEE" w:rsidRPr="00C5357C">
              <w:rPr>
                <w:sz w:val="14"/>
                <w:szCs w:val="14"/>
              </w:rPr>
              <w:tab/>
            </w:r>
          </w:p>
        </w:tc>
        <w:tc>
          <w:tcPr>
            <w:tcW w:w="763" w:type="pct"/>
            <w:tcMar>
              <w:left w:w="57" w:type="dxa"/>
              <w:right w:w="57" w:type="dxa"/>
            </w:tcMar>
            <w:vAlign w:val="bottom"/>
          </w:tcPr>
          <w:p w14:paraId="2381CDAB" w14:textId="3EA0F571" w:rsidR="00D03658" w:rsidRPr="00C5357C" w:rsidRDefault="00145FA3" w:rsidP="00396E87">
            <w:pPr>
              <w:pStyle w:val="StandardOCAshurst"/>
              <w:pBdr>
                <w:bottom w:val="double" w:sz="4" w:space="1" w:color="auto"/>
              </w:pBdr>
              <w:jc w:val="right"/>
              <w:rPr>
                <w:b/>
                <w:bCs/>
                <w:sz w:val="16"/>
                <w:szCs w:val="16"/>
              </w:rPr>
            </w:pPr>
            <w:r w:rsidRPr="00C5357C">
              <w:rPr>
                <w:b/>
                <w:bCs/>
                <w:sz w:val="16"/>
                <w:szCs w:val="16"/>
              </w:rPr>
              <w:t>64,771</w:t>
            </w:r>
          </w:p>
        </w:tc>
        <w:tc>
          <w:tcPr>
            <w:tcW w:w="568" w:type="pct"/>
            <w:tcMar>
              <w:left w:w="57" w:type="dxa"/>
              <w:right w:w="57" w:type="dxa"/>
            </w:tcMar>
            <w:vAlign w:val="bottom"/>
          </w:tcPr>
          <w:p w14:paraId="45BBD7FC" w14:textId="3CE469E1" w:rsidR="00D03658" w:rsidRPr="00C5357C" w:rsidRDefault="00D03658" w:rsidP="00396E87">
            <w:pPr>
              <w:pStyle w:val="StandardOCAshurst"/>
              <w:pBdr>
                <w:bottom w:val="double" w:sz="4" w:space="1" w:color="auto"/>
              </w:pBdr>
              <w:jc w:val="right"/>
              <w:rPr>
                <w:b/>
                <w:bCs/>
                <w:sz w:val="16"/>
                <w:szCs w:val="16"/>
              </w:rPr>
            </w:pPr>
            <w:r w:rsidRPr="00C5357C">
              <w:rPr>
                <w:b/>
                <w:bCs/>
                <w:sz w:val="16"/>
                <w:szCs w:val="16"/>
              </w:rPr>
              <w:t>28,</w:t>
            </w:r>
            <w:r w:rsidR="00762F56">
              <w:rPr>
                <w:b/>
                <w:bCs/>
                <w:sz w:val="16"/>
                <w:szCs w:val="16"/>
              </w:rPr>
              <w:t>783</w:t>
            </w:r>
          </w:p>
        </w:tc>
        <w:tc>
          <w:tcPr>
            <w:tcW w:w="568" w:type="pct"/>
            <w:tcMar>
              <w:left w:w="57" w:type="dxa"/>
              <w:right w:w="57" w:type="dxa"/>
            </w:tcMar>
            <w:vAlign w:val="bottom"/>
          </w:tcPr>
          <w:p w14:paraId="5259C798" w14:textId="54847DAA" w:rsidR="00D03658" w:rsidRPr="00C5357C" w:rsidRDefault="00D03658" w:rsidP="00396E87">
            <w:pPr>
              <w:pStyle w:val="StandardOCAshurst"/>
              <w:pBdr>
                <w:bottom w:val="double" w:sz="4" w:space="1" w:color="auto"/>
              </w:pBdr>
              <w:jc w:val="right"/>
              <w:rPr>
                <w:b/>
                <w:bCs/>
                <w:sz w:val="16"/>
                <w:szCs w:val="16"/>
              </w:rPr>
            </w:pPr>
            <w:r w:rsidRPr="00C5357C">
              <w:rPr>
                <w:b/>
                <w:bCs/>
                <w:sz w:val="16"/>
                <w:szCs w:val="16"/>
              </w:rPr>
              <w:t>(16,226)</w:t>
            </w:r>
          </w:p>
        </w:tc>
        <w:tc>
          <w:tcPr>
            <w:tcW w:w="568" w:type="pct"/>
            <w:tcMar>
              <w:left w:w="57" w:type="dxa"/>
              <w:right w:w="57" w:type="dxa"/>
            </w:tcMar>
            <w:vAlign w:val="bottom"/>
          </w:tcPr>
          <w:p w14:paraId="594B0562" w14:textId="77777777" w:rsidR="00D03658" w:rsidRPr="00C5357C" w:rsidRDefault="00D03658" w:rsidP="00396E87">
            <w:pPr>
              <w:pStyle w:val="StandardOCAshurst"/>
              <w:pBdr>
                <w:bottom w:val="double" w:sz="4" w:space="1" w:color="auto"/>
              </w:pBdr>
              <w:jc w:val="right"/>
              <w:rPr>
                <w:b/>
                <w:bCs/>
                <w:sz w:val="16"/>
                <w:szCs w:val="16"/>
              </w:rPr>
            </w:pPr>
            <w:r w:rsidRPr="00C5357C">
              <w:rPr>
                <w:b/>
                <w:bCs/>
                <w:sz w:val="16"/>
                <w:szCs w:val="16"/>
              </w:rPr>
              <w:t>-</w:t>
            </w:r>
          </w:p>
        </w:tc>
        <w:tc>
          <w:tcPr>
            <w:tcW w:w="568" w:type="pct"/>
            <w:tcMar>
              <w:left w:w="57" w:type="dxa"/>
              <w:right w:w="57" w:type="dxa"/>
            </w:tcMar>
            <w:vAlign w:val="bottom"/>
          </w:tcPr>
          <w:p w14:paraId="2E1A6169" w14:textId="77777777" w:rsidR="00D03658" w:rsidRPr="00C5357C" w:rsidRDefault="00D03658" w:rsidP="00396E87">
            <w:pPr>
              <w:pStyle w:val="StandardOCAshurst"/>
              <w:pBdr>
                <w:bottom w:val="double" w:sz="4" w:space="1" w:color="auto"/>
              </w:pBdr>
              <w:jc w:val="right"/>
              <w:rPr>
                <w:b/>
                <w:bCs/>
                <w:sz w:val="16"/>
                <w:szCs w:val="16"/>
              </w:rPr>
            </w:pPr>
            <w:r w:rsidRPr="00C5357C">
              <w:rPr>
                <w:b/>
                <w:bCs/>
                <w:sz w:val="16"/>
                <w:szCs w:val="16"/>
              </w:rPr>
              <w:t>-</w:t>
            </w:r>
          </w:p>
        </w:tc>
        <w:tc>
          <w:tcPr>
            <w:tcW w:w="763" w:type="pct"/>
            <w:tcMar>
              <w:left w:w="57" w:type="dxa"/>
              <w:right w:w="57" w:type="dxa"/>
            </w:tcMar>
            <w:vAlign w:val="bottom"/>
          </w:tcPr>
          <w:p w14:paraId="4517C6B2" w14:textId="3FF4C9BE" w:rsidR="00D03658" w:rsidRPr="00C5357C" w:rsidRDefault="00145FA3" w:rsidP="00396E87">
            <w:pPr>
              <w:pStyle w:val="StandardOCAshurst"/>
              <w:pBdr>
                <w:bottom w:val="double" w:sz="4" w:space="1" w:color="auto"/>
              </w:pBdr>
              <w:jc w:val="right"/>
              <w:rPr>
                <w:b/>
                <w:bCs/>
                <w:sz w:val="16"/>
                <w:szCs w:val="16"/>
              </w:rPr>
            </w:pPr>
            <w:r w:rsidRPr="00C5357C">
              <w:rPr>
                <w:b/>
                <w:bCs/>
                <w:sz w:val="16"/>
                <w:szCs w:val="16"/>
              </w:rPr>
              <w:t>77,328</w:t>
            </w:r>
          </w:p>
        </w:tc>
      </w:tr>
      <w:tr w:rsidR="00D03658" w:rsidRPr="00F35211" w14:paraId="1D690331" w14:textId="77777777" w:rsidTr="00284BEE">
        <w:tc>
          <w:tcPr>
            <w:tcW w:w="1202" w:type="pct"/>
            <w:tcMar>
              <w:left w:w="57" w:type="dxa"/>
              <w:right w:w="57" w:type="dxa"/>
            </w:tcMar>
          </w:tcPr>
          <w:p w14:paraId="5D356AAA" w14:textId="08EDA035" w:rsidR="00D03658" w:rsidRPr="00C5357C" w:rsidRDefault="00D03658" w:rsidP="00284BEE">
            <w:pPr>
              <w:pStyle w:val="StandardOCAshurst"/>
              <w:tabs>
                <w:tab w:val="left" w:leader="dot" w:pos="1780"/>
              </w:tabs>
              <w:jc w:val="left"/>
              <w:rPr>
                <w:sz w:val="14"/>
                <w:szCs w:val="14"/>
              </w:rPr>
            </w:pPr>
            <w:r w:rsidRPr="00C05476">
              <w:rPr>
                <w:sz w:val="14"/>
                <w:szCs w:val="14"/>
              </w:rPr>
              <w:t>Net impairment to oil and gas assets</w:t>
            </w:r>
            <w:r w:rsidR="00284BEE" w:rsidRPr="00C5357C">
              <w:rPr>
                <w:sz w:val="14"/>
                <w:szCs w:val="14"/>
              </w:rPr>
              <w:tab/>
            </w:r>
          </w:p>
        </w:tc>
        <w:tc>
          <w:tcPr>
            <w:tcW w:w="763" w:type="pct"/>
            <w:tcMar>
              <w:left w:w="57" w:type="dxa"/>
              <w:right w:w="57" w:type="dxa"/>
            </w:tcMar>
            <w:vAlign w:val="bottom"/>
          </w:tcPr>
          <w:p w14:paraId="5D20F9EA" w14:textId="77777777" w:rsidR="00D03658" w:rsidRPr="00C5357C" w:rsidRDefault="00D03658" w:rsidP="00396E87">
            <w:pPr>
              <w:pStyle w:val="StandardOCAshurst"/>
              <w:jc w:val="right"/>
              <w:rPr>
                <w:sz w:val="16"/>
                <w:szCs w:val="16"/>
              </w:rPr>
            </w:pPr>
            <w:r w:rsidRPr="00C5357C">
              <w:rPr>
                <w:sz w:val="16"/>
                <w:szCs w:val="16"/>
              </w:rPr>
              <w:t>(422,495)</w:t>
            </w:r>
          </w:p>
        </w:tc>
        <w:tc>
          <w:tcPr>
            <w:tcW w:w="568" w:type="pct"/>
            <w:tcMar>
              <w:left w:w="57" w:type="dxa"/>
              <w:right w:w="57" w:type="dxa"/>
            </w:tcMar>
            <w:vAlign w:val="bottom"/>
          </w:tcPr>
          <w:p w14:paraId="55207BA5" w14:textId="77777777" w:rsidR="00D03658" w:rsidRPr="00C5357C" w:rsidRDefault="00D03658" w:rsidP="00396E87">
            <w:pPr>
              <w:pStyle w:val="StandardOCAshurst"/>
              <w:jc w:val="right"/>
              <w:rPr>
                <w:sz w:val="16"/>
                <w:szCs w:val="16"/>
              </w:rPr>
            </w:pPr>
            <w:r w:rsidRPr="00C5357C">
              <w:rPr>
                <w:sz w:val="16"/>
                <w:szCs w:val="16"/>
              </w:rPr>
              <w:t>-</w:t>
            </w:r>
          </w:p>
        </w:tc>
        <w:tc>
          <w:tcPr>
            <w:tcW w:w="568" w:type="pct"/>
            <w:tcMar>
              <w:left w:w="57" w:type="dxa"/>
              <w:right w:w="57" w:type="dxa"/>
            </w:tcMar>
            <w:vAlign w:val="bottom"/>
          </w:tcPr>
          <w:p w14:paraId="5A344986" w14:textId="77777777" w:rsidR="00D03658" w:rsidRPr="00C5357C" w:rsidRDefault="00D03658" w:rsidP="00396E87">
            <w:pPr>
              <w:pStyle w:val="StandardOCAshurst"/>
              <w:jc w:val="right"/>
              <w:rPr>
                <w:sz w:val="16"/>
                <w:szCs w:val="16"/>
              </w:rPr>
            </w:pPr>
            <w:r w:rsidRPr="00C5357C">
              <w:rPr>
                <w:sz w:val="16"/>
                <w:szCs w:val="16"/>
              </w:rPr>
              <w:t>-</w:t>
            </w:r>
          </w:p>
        </w:tc>
        <w:tc>
          <w:tcPr>
            <w:tcW w:w="568" w:type="pct"/>
            <w:tcMar>
              <w:left w:w="57" w:type="dxa"/>
              <w:right w:w="57" w:type="dxa"/>
            </w:tcMar>
            <w:vAlign w:val="bottom"/>
          </w:tcPr>
          <w:p w14:paraId="22F578B1" w14:textId="77777777" w:rsidR="00D03658" w:rsidRPr="00C5357C" w:rsidRDefault="00D03658" w:rsidP="00396E87">
            <w:pPr>
              <w:pStyle w:val="StandardOCAshurst"/>
              <w:jc w:val="right"/>
              <w:rPr>
                <w:sz w:val="16"/>
                <w:szCs w:val="16"/>
              </w:rPr>
            </w:pPr>
            <w:r w:rsidRPr="00C5357C">
              <w:rPr>
                <w:sz w:val="16"/>
                <w:szCs w:val="16"/>
              </w:rPr>
              <w:t>-</w:t>
            </w:r>
          </w:p>
        </w:tc>
        <w:tc>
          <w:tcPr>
            <w:tcW w:w="568" w:type="pct"/>
            <w:tcMar>
              <w:left w:w="57" w:type="dxa"/>
              <w:right w:w="57" w:type="dxa"/>
            </w:tcMar>
            <w:vAlign w:val="bottom"/>
          </w:tcPr>
          <w:p w14:paraId="3E23DE11" w14:textId="77777777" w:rsidR="00D03658" w:rsidRPr="00C5357C" w:rsidRDefault="00D03658" w:rsidP="00396E87">
            <w:pPr>
              <w:pStyle w:val="StandardOCAshurst"/>
              <w:jc w:val="right"/>
              <w:rPr>
                <w:sz w:val="16"/>
                <w:szCs w:val="16"/>
              </w:rPr>
            </w:pPr>
            <w:r w:rsidRPr="00C5357C">
              <w:rPr>
                <w:sz w:val="16"/>
                <w:szCs w:val="16"/>
              </w:rPr>
              <w:t>-</w:t>
            </w:r>
          </w:p>
        </w:tc>
        <w:tc>
          <w:tcPr>
            <w:tcW w:w="763" w:type="pct"/>
            <w:tcMar>
              <w:left w:w="57" w:type="dxa"/>
              <w:right w:w="57" w:type="dxa"/>
            </w:tcMar>
            <w:vAlign w:val="bottom"/>
          </w:tcPr>
          <w:p w14:paraId="010AFBC2" w14:textId="09D045C9" w:rsidR="00D03658" w:rsidRPr="00C5357C" w:rsidRDefault="00D03658" w:rsidP="00396E87">
            <w:pPr>
              <w:pStyle w:val="StandardOCAshurst"/>
              <w:jc w:val="right"/>
              <w:rPr>
                <w:sz w:val="16"/>
                <w:szCs w:val="16"/>
              </w:rPr>
            </w:pPr>
            <w:r w:rsidRPr="00C5357C">
              <w:rPr>
                <w:sz w:val="16"/>
                <w:szCs w:val="16"/>
              </w:rPr>
              <w:t>(422,495)</w:t>
            </w:r>
          </w:p>
        </w:tc>
      </w:tr>
      <w:tr w:rsidR="00D03658" w:rsidRPr="00F35211" w14:paraId="09DD21EC" w14:textId="77777777" w:rsidTr="00284BEE">
        <w:tc>
          <w:tcPr>
            <w:tcW w:w="1202" w:type="pct"/>
            <w:tcMar>
              <w:left w:w="57" w:type="dxa"/>
              <w:right w:w="57" w:type="dxa"/>
            </w:tcMar>
          </w:tcPr>
          <w:p w14:paraId="60AC2DBD" w14:textId="1F27D78A" w:rsidR="00D03658" w:rsidRPr="00C5357C" w:rsidRDefault="00D03658" w:rsidP="00284BEE">
            <w:pPr>
              <w:pStyle w:val="StandardOCAshurst"/>
              <w:tabs>
                <w:tab w:val="left" w:leader="dot" w:pos="1780"/>
              </w:tabs>
              <w:jc w:val="left"/>
              <w:rPr>
                <w:sz w:val="14"/>
                <w:szCs w:val="14"/>
              </w:rPr>
            </w:pPr>
            <w:r w:rsidRPr="00C05476">
              <w:rPr>
                <w:sz w:val="14"/>
                <w:szCs w:val="14"/>
              </w:rPr>
              <w:t>General and administrative expenses</w:t>
            </w:r>
            <w:r w:rsidR="00284BEE" w:rsidRPr="00C5357C">
              <w:rPr>
                <w:sz w:val="14"/>
                <w:szCs w:val="14"/>
              </w:rPr>
              <w:tab/>
            </w:r>
          </w:p>
        </w:tc>
        <w:tc>
          <w:tcPr>
            <w:tcW w:w="763" w:type="pct"/>
            <w:tcMar>
              <w:left w:w="57" w:type="dxa"/>
              <w:right w:w="57" w:type="dxa"/>
            </w:tcMar>
            <w:vAlign w:val="bottom"/>
          </w:tcPr>
          <w:p w14:paraId="32116714" w14:textId="77777777" w:rsidR="00D03658" w:rsidRPr="00C5357C" w:rsidRDefault="00D03658" w:rsidP="00396E87">
            <w:pPr>
              <w:pStyle w:val="StandardOCAshurst"/>
              <w:jc w:val="right"/>
              <w:rPr>
                <w:sz w:val="16"/>
                <w:szCs w:val="16"/>
              </w:rPr>
            </w:pPr>
            <w:r w:rsidRPr="00C5357C">
              <w:rPr>
                <w:sz w:val="16"/>
                <w:szCs w:val="16"/>
              </w:rPr>
              <w:t>(6,105)</w:t>
            </w:r>
          </w:p>
        </w:tc>
        <w:tc>
          <w:tcPr>
            <w:tcW w:w="568" w:type="pct"/>
            <w:tcMar>
              <w:left w:w="57" w:type="dxa"/>
              <w:right w:w="57" w:type="dxa"/>
            </w:tcMar>
            <w:vAlign w:val="bottom"/>
          </w:tcPr>
          <w:p w14:paraId="60AC3C29" w14:textId="77777777" w:rsidR="00D03658" w:rsidRPr="00C5357C" w:rsidRDefault="00D03658" w:rsidP="00396E87">
            <w:pPr>
              <w:pStyle w:val="StandardOCAshurst"/>
              <w:jc w:val="right"/>
              <w:rPr>
                <w:sz w:val="16"/>
                <w:szCs w:val="16"/>
              </w:rPr>
            </w:pPr>
            <w:r w:rsidRPr="00C5357C">
              <w:rPr>
                <w:sz w:val="16"/>
                <w:szCs w:val="16"/>
              </w:rPr>
              <w:t>-</w:t>
            </w:r>
          </w:p>
        </w:tc>
        <w:tc>
          <w:tcPr>
            <w:tcW w:w="568" w:type="pct"/>
            <w:tcMar>
              <w:left w:w="57" w:type="dxa"/>
              <w:right w:w="57" w:type="dxa"/>
            </w:tcMar>
            <w:vAlign w:val="bottom"/>
          </w:tcPr>
          <w:p w14:paraId="4A8CDF30" w14:textId="77777777" w:rsidR="00D03658" w:rsidRPr="00C5357C" w:rsidRDefault="00D03658" w:rsidP="00396E87">
            <w:pPr>
              <w:pStyle w:val="StandardOCAshurst"/>
              <w:jc w:val="right"/>
              <w:rPr>
                <w:sz w:val="16"/>
                <w:szCs w:val="16"/>
              </w:rPr>
            </w:pPr>
            <w:r w:rsidRPr="00C5357C">
              <w:rPr>
                <w:sz w:val="16"/>
                <w:szCs w:val="16"/>
              </w:rPr>
              <w:t>-</w:t>
            </w:r>
          </w:p>
        </w:tc>
        <w:tc>
          <w:tcPr>
            <w:tcW w:w="568" w:type="pct"/>
            <w:tcMar>
              <w:left w:w="57" w:type="dxa"/>
              <w:right w:w="57" w:type="dxa"/>
            </w:tcMar>
            <w:vAlign w:val="bottom"/>
          </w:tcPr>
          <w:p w14:paraId="195B1CAA" w14:textId="77777777" w:rsidR="00D03658" w:rsidRPr="00C5357C" w:rsidRDefault="00D03658" w:rsidP="00396E87">
            <w:pPr>
              <w:pStyle w:val="StandardOCAshurst"/>
              <w:jc w:val="right"/>
              <w:rPr>
                <w:sz w:val="16"/>
                <w:szCs w:val="16"/>
              </w:rPr>
            </w:pPr>
            <w:r w:rsidRPr="00C5357C">
              <w:rPr>
                <w:sz w:val="16"/>
                <w:szCs w:val="16"/>
              </w:rPr>
              <w:t>-</w:t>
            </w:r>
          </w:p>
        </w:tc>
        <w:tc>
          <w:tcPr>
            <w:tcW w:w="568" w:type="pct"/>
            <w:tcMar>
              <w:left w:w="57" w:type="dxa"/>
              <w:right w:w="57" w:type="dxa"/>
            </w:tcMar>
            <w:vAlign w:val="bottom"/>
          </w:tcPr>
          <w:p w14:paraId="576772A2" w14:textId="77777777" w:rsidR="00D03658" w:rsidRPr="00C5357C" w:rsidRDefault="00D03658" w:rsidP="00396E87">
            <w:pPr>
              <w:pStyle w:val="StandardOCAshurst"/>
              <w:jc w:val="right"/>
              <w:rPr>
                <w:sz w:val="16"/>
                <w:szCs w:val="16"/>
              </w:rPr>
            </w:pPr>
            <w:r w:rsidRPr="00C5357C">
              <w:rPr>
                <w:sz w:val="16"/>
                <w:szCs w:val="16"/>
              </w:rPr>
              <w:t>-</w:t>
            </w:r>
          </w:p>
        </w:tc>
        <w:tc>
          <w:tcPr>
            <w:tcW w:w="763" w:type="pct"/>
            <w:tcMar>
              <w:left w:w="57" w:type="dxa"/>
              <w:right w:w="57" w:type="dxa"/>
            </w:tcMar>
            <w:vAlign w:val="bottom"/>
          </w:tcPr>
          <w:p w14:paraId="36A598A1" w14:textId="47CCEB3F" w:rsidR="00D03658" w:rsidRPr="00C5357C" w:rsidRDefault="00D03658" w:rsidP="00396E87">
            <w:pPr>
              <w:pStyle w:val="StandardOCAshurst"/>
              <w:jc w:val="right"/>
              <w:rPr>
                <w:sz w:val="16"/>
                <w:szCs w:val="16"/>
              </w:rPr>
            </w:pPr>
            <w:r w:rsidRPr="00C5357C">
              <w:rPr>
                <w:sz w:val="16"/>
                <w:szCs w:val="16"/>
              </w:rPr>
              <w:t>(6,105)</w:t>
            </w:r>
          </w:p>
        </w:tc>
      </w:tr>
      <w:tr w:rsidR="00D03658" w:rsidRPr="00F35211" w14:paraId="4495DB94" w14:textId="77777777" w:rsidTr="00284BEE">
        <w:tc>
          <w:tcPr>
            <w:tcW w:w="1202" w:type="pct"/>
            <w:tcMar>
              <w:left w:w="57" w:type="dxa"/>
              <w:right w:w="57" w:type="dxa"/>
            </w:tcMar>
          </w:tcPr>
          <w:p w14:paraId="036B0E84" w14:textId="56848B25" w:rsidR="00D03658" w:rsidRPr="00C5357C" w:rsidRDefault="00D03658" w:rsidP="00284BEE">
            <w:pPr>
              <w:pStyle w:val="StandardOCAshurst"/>
              <w:tabs>
                <w:tab w:val="left" w:leader="dot" w:pos="1780"/>
              </w:tabs>
              <w:jc w:val="left"/>
              <w:rPr>
                <w:sz w:val="14"/>
                <w:szCs w:val="14"/>
              </w:rPr>
            </w:pPr>
            <w:r w:rsidRPr="00C05476">
              <w:rPr>
                <w:sz w:val="14"/>
                <w:szCs w:val="14"/>
              </w:rPr>
              <w:t>Other income</w:t>
            </w:r>
            <w:r w:rsidR="00284BEE" w:rsidRPr="00C5357C">
              <w:rPr>
                <w:sz w:val="14"/>
                <w:szCs w:val="14"/>
              </w:rPr>
              <w:tab/>
            </w:r>
          </w:p>
        </w:tc>
        <w:tc>
          <w:tcPr>
            <w:tcW w:w="763" w:type="pct"/>
            <w:tcMar>
              <w:left w:w="57" w:type="dxa"/>
              <w:right w:w="57" w:type="dxa"/>
            </w:tcMar>
            <w:vAlign w:val="bottom"/>
          </w:tcPr>
          <w:p w14:paraId="6FC43AD5" w14:textId="71CB52F7" w:rsidR="00D03658" w:rsidRPr="00C5357C" w:rsidRDefault="00297ED5" w:rsidP="00396E87">
            <w:pPr>
              <w:pStyle w:val="StandardOCAshurst"/>
              <w:jc w:val="right"/>
              <w:rPr>
                <w:sz w:val="16"/>
                <w:szCs w:val="16"/>
              </w:rPr>
            </w:pPr>
            <w:r w:rsidRPr="00C5357C">
              <w:rPr>
                <w:sz w:val="16"/>
                <w:szCs w:val="16"/>
              </w:rPr>
              <w:t>156,</w:t>
            </w:r>
            <w:r w:rsidR="006F0370" w:rsidRPr="00C5357C">
              <w:rPr>
                <w:sz w:val="16"/>
                <w:szCs w:val="16"/>
              </w:rPr>
              <w:t>349</w:t>
            </w:r>
          </w:p>
        </w:tc>
        <w:tc>
          <w:tcPr>
            <w:tcW w:w="568" w:type="pct"/>
            <w:tcMar>
              <w:left w:w="57" w:type="dxa"/>
              <w:right w:w="57" w:type="dxa"/>
            </w:tcMar>
            <w:vAlign w:val="bottom"/>
          </w:tcPr>
          <w:p w14:paraId="5611F377" w14:textId="42871B82" w:rsidR="00D03658" w:rsidRPr="00C5357C" w:rsidRDefault="00D03658" w:rsidP="00396E87">
            <w:pPr>
              <w:pStyle w:val="StandardOCAshurst"/>
              <w:jc w:val="right"/>
              <w:rPr>
                <w:sz w:val="16"/>
                <w:szCs w:val="16"/>
              </w:rPr>
            </w:pPr>
            <w:r w:rsidRPr="00C5357C">
              <w:rPr>
                <w:sz w:val="16"/>
                <w:szCs w:val="16"/>
              </w:rPr>
              <w:t>-</w:t>
            </w:r>
          </w:p>
        </w:tc>
        <w:tc>
          <w:tcPr>
            <w:tcW w:w="568" w:type="pct"/>
            <w:tcMar>
              <w:left w:w="57" w:type="dxa"/>
              <w:right w:w="57" w:type="dxa"/>
            </w:tcMar>
            <w:vAlign w:val="bottom"/>
          </w:tcPr>
          <w:p w14:paraId="09B60043" w14:textId="543710A9" w:rsidR="00D03658" w:rsidRPr="00C5357C" w:rsidRDefault="00D03658" w:rsidP="00396E87">
            <w:pPr>
              <w:pStyle w:val="StandardOCAshurst"/>
              <w:jc w:val="right"/>
              <w:rPr>
                <w:sz w:val="16"/>
                <w:szCs w:val="16"/>
              </w:rPr>
            </w:pPr>
            <w:r w:rsidRPr="00C5357C">
              <w:rPr>
                <w:sz w:val="16"/>
                <w:szCs w:val="16"/>
              </w:rPr>
              <w:t>-</w:t>
            </w:r>
          </w:p>
        </w:tc>
        <w:tc>
          <w:tcPr>
            <w:tcW w:w="568" w:type="pct"/>
            <w:tcMar>
              <w:left w:w="57" w:type="dxa"/>
              <w:right w:w="57" w:type="dxa"/>
            </w:tcMar>
            <w:vAlign w:val="bottom"/>
          </w:tcPr>
          <w:p w14:paraId="2634D0A0" w14:textId="5F86F357" w:rsidR="00D03658" w:rsidRPr="00C5357C" w:rsidRDefault="00D03658" w:rsidP="00396E87">
            <w:pPr>
              <w:pStyle w:val="StandardOCAshurst"/>
              <w:jc w:val="right"/>
              <w:rPr>
                <w:sz w:val="16"/>
                <w:szCs w:val="16"/>
              </w:rPr>
            </w:pPr>
            <w:r w:rsidRPr="00C5357C">
              <w:rPr>
                <w:sz w:val="16"/>
                <w:szCs w:val="16"/>
              </w:rPr>
              <w:t>-</w:t>
            </w:r>
          </w:p>
        </w:tc>
        <w:tc>
          <w:tcPr>
            <w:tcW w:w="568" w:type="pct"/>
            <w:tcMar>
              <w:left w:w="57" w:type="dxa"/>
              <w:right w:w="57" w:type="dxa"/>
            </w:tcMar>
            <w:vAlign w:val="bottom"/>
          </w:tcPr>
          <w:p w14:paraId="53344C23" w14:textId="5732498A" w:rsidR="00D03658" w:rsidRPr="00C5357C" w:rsidRDefault="00D03658" w:rsidP="00396E87">
            <w:pPr>
              <w:pStyle w:val="StandardOCAshurst"/>
              <w:jc w:val="right"/>
              <w:rPr>
                <w:sz w:val="16"/>
                <w:szCs w:val="16"/>
              </w:rPr>
            </w:pPr>
            <w:r w:rsidRPr="00C5357C">
              <w:rPr>
                <w:sz w:val="16"/>
                <w:szCs w:val="16"/>
              </w:rPr>
              <w:t>-</w:t>
            </w:r>
          </w:p>
        </w:tc>
        <w:tc>
          <w:tcPr>
            <w:tcW w:w="763" w:type="pct"/>
            <w:tcMar>
              <w:left w:w="57" w:type="dxa"/>
              <w:right w:w="57" w:type="dxa"/>
            </w:tcMar>
            <w:vAlign w:val="bottom"/>
          </w:tcPr>
          <w:p w14:paraId="1859B588" w14:textId="203AC5EB" w:rsidR="00D03658" w:rsidRPr="00C5357C" w:rsidRDefault="00145FA3" w:rsidP="00396E87">
            <w:pPr>
              <w:pStyle w:val="StandardOCAshurst"/>
              <w:jc w:val="right"/>
              <w:rPr>
                <w:sz w:val="16"/>
                <w:szCs w:val="16"/>
              </w:rPr>
            </w:pPr>
            <w:r w:rsidRPr="00C5357C">
              <w:rPr>
                <w:sz w:val="16"/>
                <w:szCs w:val="16"/>
              </w:rPr>
              <w:t>156,</w:t>
            </w:r>
            <w:r w:rsidR="006F0370" w:rsidRPr="00C5357C">
              <w:rPr>
                <w:sz w:val="16"/>
                <w:szCs w:val="16"/>
              </w:rPr>
              <w:t>349</w:t>
            </w:r>
          </w:p>
        </w:tc>
      </w:tr>
      <w:tr w:rsidR="00D03658" w:rsidRPr="00F35211" w14:paraId="33BCA829" w14:textId="77777777" w:rsidTr="00284BEE">
        <w:tc>
          <w:tcPr>
            <w:tcW w:w="1202" w:type="pct"/>
            <w:tcMar>
              <w:left w:w="57" w:type="dxa"/>
              <w:right w:w="57" w:type="dxa"/>
            </w:tcMar>
          </w:tcPr>
          <w:p w14:paraId="441586F2" w14:textId="35DAE541" w:rsidR="00D03658" w:rsidRPr="00C5357C" w:rsidRDefault="00D03658" w:rsidP="00284BEE">
            <w:pPr>
              <w:pStyle w:val="StandardOCAshurst"/>
              <w:tabs>
                <w:tab w:val="left" w:leader="dot" w:pos="1780"/>
              </w:tabs>
              <w:jc w:val="left"/>
              <w:rPr>
                <w:sz w:val="14"/>
                <w:szCs w:val="14"/>
              </w:rPr>
            </w:pPr>
            <w:r w:rsidRPr="00C05476">
              <w:rPr>
                <w:sz w:val="14"/>
                <w:szCs w:val="14"/>
              </w:rPr>
              <w:t>Other expenses</w:t>
            </w:r>
            <w:r w:rsidR="00284BEE" w:rsidRPr="00C5357C">
              <w:rPr>
                <w:sz w:val="14"/>
                <w:szCs w:val="14"/>
              </w:rPr>
              <w:tab/>
            </w:r>
          </w:p>
        </w:tc>
        <w:tc>
          <w:tcPr>
            <w:tcW w:w="763" w:type="pct"/>
            <w:tcMar>
              <w:left w:w="57" w:type="dxa"/>
              <w:right w:w="57" w:type="dxa"/>
            </w:tcMar>
            <w:vAlign w:val="bottom"/>
          </w:tcPr>
          <w:p w14:paraId="1820C86D" w14:textId="0D3A3529" w:rsidR="00D03658" w:rsidRPr="00C5357C" w:rsidRDefault="00D03658" w:rsidP="00396E87">
            <w:pPr>
              <w:pStyle w:val="StandardOCAshurst"/>
              <w:jc w:val="right"/>
              <w:rPr>
                <w:sz w:val="16"/>
                <w:szCs w:val="16"/>
              </w:rPr>
            </w:pPr>
            <w:r w:rsidRPr="00C5357C">
              <w:rPr>
                <w:sz w:val="16"/>
                <w:szCs w:val="16"/>
              </w:rPr>
              <w:t>(102,589)</w:t>
            </w:r>
          </w:p>
        </w:tc>
        <w:tc>
          <w:tcPr>
            <w:tcW w:w="568" w:type="pct"/>
            <w:tcMar>
              <w:left w:w="57" w:type="dxa"/>
              <w:right w:w="57" w:type="dxa"/>
            </w:tcMar>
            <w:vAlign w:val="bottom"/>
          </w:tcPr>
          <w:p w14:paraId="3CB5CA40" w14:textId="0D161C39" w:rsidR="00D03658" w:rsidRPr="00C5357C" w:rsidRDefault="00D03658" w:rsidP="00396E87">
            <w:pPr>
              <w:pStyle w:val="StandardOCAshurst"/>
              <w:jc w:val="right"/>
              <w:rPr>
                <w:sz w:val="16"/>
                <w:szCs w:val="16"/>
              </w:rPr>
            </w:pPr>
            <w:r w:rsidRPr="00C5357C">
              <w:rPr>
                <w:sz w:val="16"/>
                <w:szCs w:val="16"/>
              </w:rPr>
              <w:t>-</w:t>
            </w:r>
          </w:p>
        </w:tc>
        <w:tc>
          <w:tcPr>
            <w:tcW w:w="568" w:type="pct"/>
            <w:tcMar>
              <w:left w:w="57" w:type="dxa"/>
              <w:right w:w="57" w:type="dxa"/>
            </w:tcMar>
            <w:vAlign w:val="bottom"/>
          </w:tcPr>
          <w:p w14:paraId="251CCC1F" w14:textId="24455E45" w:rsidR="00D03658" w:rsidRPr="00C5357C" w:rsidRDefault="00D03658" w:rsidP="00396E87">
            <w:pPr>
              <w:pStyle w:val="StandardOCAshurst"/>
              <w:jc w:val="right"/>
              <w:rPr>
                <w:sz w:val="16"/>
                <w:szCs w:val="16"/>
              </w:rPr>
            </w:pPr>
            <w:r w:rsidRPr="00C5357C">
              <w:rPr>
                <w:sz w:val="16"/>
                <w:szCs w:val="16"/>
              </w:rPr>
              <w:t>-</w:t>
            </w:r>
          </w:p>
        </w:tc>
        <w:tc>
          <w:tcPr>
            <w:tcW w:w="568" w:type="pct"/>
            <w:tcMar>
              <w:left w:w="57" w:type="dxa"/>
              <w:right w:w="57" w:type="dxa"/>
            </w:tcMar>
            <w:vAlign w:val="bottom"/>
          </w:tcPr>
          <w:p w14:paraId="5CCF970E" w14:textId="143E5350" w:rsidR="00D03658" w:rsidRPr="00C5357C" w:rsidRDefault="00D03658" w:rsidP="00396E87">
            <w:pPr>
              <w:pStyle w:val="StandardOCAshurst"/>
              <w:jc w:val="right"/>
              <w:rPr>
                <w:sz w:val="16"/>
                <w:szCs w:val="16"/>
              </w:rPr>
            </w:pPr>
            <w:r w:rsidRPr="00C5357C">
              <w:rPr>
                <w:sz w:val="16"/>
                <w:szCs w:val="16"/>
              </w:rPr>
              <w:t>-</w:t>
            </w:r>
          </w:p>
        </w:tc>
        <w:tc>
          <w:tcPr>
            <w:tcW w:w="568" w:type="pct"/>
            <w:tcMar>
              <w:left w:w="57" w:type="dxa"/>
              <w:right w:w="57" w:type="dxa"/>
            </w:tcMar>
            <w:vAlign w:val="bottom"/>
          </w:tcPr>
          <w:p w14:paraId="22E2CD1A" w14:textId="360EDA29" w:rsidR="00D03658" w:rsidRPr="00C5357C" w:rsidRDefault="00D03658" w:rsidP="00396E87">
            <w:pPr>
              <w:pStyle w:val="StandardOCAshurst"/>
              <w:jc w:val="right"/>
              <w:rPr>
                <w:sz w:val="16"/>
                <w:szCs w:val="16"/>
              </w:rPr>
            </w:pPr>
            <w:r w:rsidRPr="00C5357C">
              <w:rPr>
                <w:sz w:val="16"/>
                <w:szCs w:val="16"/>
              </w:rPr>
              <w:t>-</w:t>
            </w:r>
          </w:p>
        </w:tc>
        <w:tc>
          <w:tcPr>
            <w:tcW w:w="763" w:type="pct"/>
            <w:tcMar>
              <w:left w:w="57" w:type="dxa"/>
              <w:right w:w="57" w:type="dxa"/>
            </w:tcMar>
            <w:vAlign w:val="bottom"/>
          </w:tcPr>
          <w:p w14:paraId="71E33030" w14:textId="777C128E" w:rsidR="00D03658" w:rsidRPr="00C5357C" w:rsidRDefault="00D03658" w:rsidP="00396E87">
            <w:pPr>
              <w:pStyle w:val="StandardOCAshurst"/>
              <w:jc w:val="right"/>
              <w:rPr>
                <w:sz w:val="16"/>
                <w:szCs w:val="16"/>
              </w:rPr>
            </w:pPr>
            <w:r w:rsidRPr="00C5357C">
              <w:rPr>
                <w:sz w:val="16"/>
                <w:szCs w:val="16"/>
              </w:rPr>
              <w:t>(102,589)</w:t>
            </w:r>
          </w:p>
        </w:tc>
      </w:tr>
      <w:tr w:rsidR="00D03658" w:rsidRPr="00F35211" w14:paraId="395A7761" w14:textId="77777777" w:rsidTr="00284BEE">
        <w:tc>
          <w:tcPr>
            <w:tcW w:w="1202" w:type="pct"/>
            <w:tcMar>
              <w:left w:w="57" w:type="dxa"/>
              <w:right w:w="57" w:type="dxa"/>
            </w:tcMar>
          </w:tcPr>
          <w:p w14:paraId="678BF725" w14:textId="6DE0B649" w:rsidR="00D03658" w:rsidRPr="00170A4C" w:rsidRDefault="00D03658" w:rsidP="00284BEE">
            <w:pPr>
              <w:pStyle w:val="StandardOCAshurst"/>
              <w:tabs>
                <w:tab w:val="left" w:leader="dot" w:pos="1780"/>
              </w:tabs>
              <w:jc w:val="left"/>
              <w:rPr>
                <w:b/>
                <w:bCs/>
                <w:sz w:val="14"/>
                <w:szCs w:val="14"/>
              </w:rPr>
            </w:pPr>
            <w:r w:rsidRPr="00C05476">
              <w:rPr>
                <w:b/>
                <w:bCs/>
                <w:sz w:val="14"/>
                <w:szCs w:val="14"/>
              </w:rPr>
              <w:t>(Loss) / profit  from operations before tax and finance income</w:t>
            </w:r>
          </w:p>
        </w:tc>
        <w:tc>
          <w:tcPr>
            <w:tcW w:w="763" w:type="pct"/>
            <w:tcMar>
              <w:left w:w="57" w:type="dxa"/>
              <w:right w:w="57" w:type="dxa"/>
            </w:tcMar>
            <w:vAlign w:val="bottom"/>
          </w:tcPr>
          <w:p w14:paraId="1CCC993A" w14:textId="77777777" w:rsidR="00D03658" w:rsidRPr="004D1D81" w:rsidRDefault="00D03658" w:rsidP="00396E87">
            <w:pPr>
              <w:pStyle w:val="StandardOCAshurst"/>
              <w:pBdr>
                <w:bottom w:val="single" w:sz="4" w:space="1" w:color="auto"/>
              </w:pBdr>
              <w:jc w:val="right"/>
              <w:rPr>
                <w:b/>
                <w:bCs/>
                <w:sz w:val="16"/>
                <w:szCs w:val="16"/>
              </w:rPr>
            </w:pPr>
            <w:r w:rsidRPr="004D1D81">
              <w:rPr>
                <w:b/>
                <w:bCs/>
                <w:sz w:val="16"/>
                <w:szCs w:val="16"/>
              </w:rPr>
              <w:t>(310,069)</w:t>
            </w:r>
          </w:p>
        </w:tc>
        <w:tc>
          <w:tcPr>
            <w:tcW w:w="568" w:type="pct"/>
            <w:tcMar>
              <w:left w:w="57" w:type="dxa"/>
              <w:right w:w="57" w:type="dxa"/>
            </w:tcMar>
            <w:vAlign w:val="bottom"/>
          </w:tcPr>
          <w:p w14:paraId="701F132B" w14:textId="042ED6B9" w:rsidR="00D03658" w:rsidRPr="00C5357C" w:rsidRDefault="00D03658" w:rsidP="00396E87">
            <w:pPr>
              <w:pStyle w:val="StandardOCAshurst"/>
              <w:pBdr>
                <w:bottom w:val="single" w:sz="4" w:space="1" w:color="auto"/>
              </w:pBdr>
              <w:jc w:val="right"/>
              <w:rPr>
                <w:b/>
                <w:bCs/>
                <w:sz w:val="16"/>
                <w:szCs w:val="16"/>
              </w:rPr>
            </w:pPr>
            <w:r w:rsidRPr="00C5357C">
              <w:rPr>
                <w:b/>
                <w:bCs/>
                <w:sz w:val="16"/>
                <w:szCs w:val="16"/>
              </w:rPr>
              <w:t>28,783</w:t>
            </w:r>
          </w:p>
        </w:tc>
        <w:tc>
          <w:tcPr>
            <w:tcW w:w="568" w:type="pct"/>
            <w:tcMar>
              <w:left w:w="57" w:type="dxa"/>
              <w:right w:w="57" w:type="dxa"/>
            </w:tcMar>
            <w:vAlign w:val="bottom"/>
          </w:tcPr>
          <w:p w14:paraId="732F554D" w14:textId="76FF98AD" w:rsidR="00D03658" w:rsidRPr="00C5357C" w:rsidRDefault="00D03658" w:rsidP="00396E87">
            <w:pPr>
              <w:pStyle w:val="StandardOCAshurst"/>
              <w:pBdr>
                <w:bottom w:val="single" w:sz="4" w:space="1" w:color="auto"/>
              </w:pBdr>
              <w:jc w:val="right"/>
              <w:rPr>
                <w:b/>
                <w:bCs/>
                <w:sz w:val="16"/>
                <w:szCs w:val="16"/>
              </w:rPr>
            </w:pPr>
            <w:r w:rsidRPr="00C5357C">
              <w:rPr>
                <w:b/>
                <w:bCs/>
                <w:sz w:val="16"/>
                <w:szCs w:val="16"/>
              </w:rPr>
              <w:t>(16,226)</w:t>
            </w:r>
          </w:p>
        </w:tc>
        <w:tc>
          <w:tcPr>
            <w:tcW w:w="568" w:type="pct"/>
            <w:tcMar>
              <w:left w:w="57" w:type="dxa"/>
              <w:right w:w="57" w:type="dxa"/>
            </w:tcMar>
            <w:vAlign w:val="bottom"/>
          </w:tcPr>
          <w:p w14:paraId="79E84E66" w14:textId="77777777" w:rsidR="00D03658" w:rsidRPr="00C5357C" w:rsidRDefault="00D03658" w:rsidP="00396E87">
            <w:pPr>
              <w:pStyle w:val="StandardOCAshurst"/>
              <w:pBdr>
                <w:bottom w:val="single" w:sz="4" w:space="1" w:color="auto"/>
              </w:pBdr>
              <w:jc w:val="right"/>
              <w:rPr>
                <w:b/>
                <w:bCs/>
                <w:sz w:val="16"/>
                <w:szCs w:val="16"/>
              </w:rPr>
            </w:pPr>
            <w:r w:rsidRPr="00C5357C">
              <w:rPr>
                <w:b/>
                <w:bCs/>
                <w:sz w:val="16"/>
                <w:szCs w:val="16"/>
              </w:rPr>
              <w:t>-</w:t>
            </w:r>
          </w:p>
        </w:tc>
        <w:tc>
          <w:tcPr>
            <w:tcW w:w="568" w:type="pct"/>
            <w:tcMar>
              <w:left w:w="57" w:type="dxa"/>
              <w:right w:w="57" w:type="dxa"/>
            </w:tcMar>
            <w:vAlign w:val="bottom"/>
          </w:tcPr>
          <w:p w14:paraId="6014A0C1" w14:textId="77777777" w:rsidR="00D03658" w:rsidRPr="00C5357C" w:rsidRDefault="00D03658" w:rsidP="00396E87">
            <w:pPr>
              <w:pStyle w:val="StandardOCAshurst"/>
              <w:pBdr>
                <w:bottom w:val="single" w:sz="4" w:space="1" w:color="auto"/>
              </w:pBdr>
              <w:jc w:val="right"/>
              <w:rPr>
                <w:b/>
                <w:bCs/>
                <w:sz w:val="16"/>
                <w:szCs w:val="16"/>
              </w:rPr>
            </w:pPr>
            <w:r w:rsidRPr="00C5357C">
              <w:rPr>
                <w:b/>
                <w:bCs/>
                <w:sz w:val="16"/>
                <w:szCs w:val="16"/>
              </w:rPr>
              <w:t>-</w:t>
            </w:r>
          </w:p>
        </w:tc>
        <w:tc>
          <w:tcPr>
            <w:tcW w:w="763" w:type="pct"/>
            <w:tcMar>
              <w:left w:w="57" w:type="dxa"/>
              <w:right w:w="57" w:type="dxa"/>
            </w:tcMar>
            <w:vAlign w:val="bottom"/>
          </w:tcPr>
          <w:p w14:paraId="1267F624" w14:textId="46910A00" w:rsidR="00D03658" w:rsidRPr="00C5357C" w:rsidRDefault="00D03658" w:rsidP="00396E87">
            <w:pPr>
              <w:pStyle w:val="StandardOCAshurst"/>
              <w:pBdr>
                <w:bottom w:val="single" w:sz="4" w:space="1" w:color="auto"/>
              </w:pBdr>
              <w:jc w:val="right"/>
              <w:rPr>
                <w:b/>
                <w:bCs/>
                <w:sz w:val="16"/>
                <w:szCs w:val="16"/>
              </w:rPr>
            </w:pPr>
            <w:r w:rsidRPr="00C5357C">
              <w:rPr>
                <w:b/>
                <w:bCs/>
                <w:sz w:val="16"/>
                <w:szCs w:val="16"/>
              </w:rPr>
              <w:t>(297,512)</w:t>
            </w:r>
          </w:p>
        </w:tc>
      </w:tr>
      <w:tr w:rsidR="00D03658" w:rsidRPr="00F35211" w14:paraId="10BA513F" w14:textId="77777777" w:rsidTr="00284BEE">
        <w:tc>
          <w:tcPr>
            <w:tcW w:w="1202" w:type="pct"/>
            <w:tcMar>
              <w:left w:w="57" w:type="dxa"/>
              <w:right w:w="57" w:type="dxa"/>
            </w:tcMar>
          </w:tcPr>
          <w:p w14:paraId="5EA295D5" w14:textId="2999CE26" w:rsidR="00D03658" w:rsidRPr="00AD6D18" w:rsidRDefault="00D03658" w:rsidP="00284BEE">
            <w:pPr>
              <w:pStyle w:val="StandardOCAshurst"/>
              <w:tabs>
                <w:tab w:val="left" w:leader="dot" w:pos="1780"/>
              </w:tabs>
              <w:jc w:val="left"/>
              <w:rPr>
                <w:sz w:val="14"/>
                <w:szCs w:val="14"/>
              </w:rPr>
            </w:pPr>
            <w:r w:rsidRPr="00AD6D18">
              <w:rPr>
                <w:sz w:val="14"/>
                <w:szCs w:val="14"/>
              </w:rPr>
              <w:t>Finance costs</w:t>
            </w:r>
            <w:r w:rsidR="00284BEE">
              <w:rPr>
                <w:sz w:val="14"/>
                <w:szCs w:val="14"/>
              </w:rPr>
              <w:tab/>
            </w:r>
          </w:p>
        </w:tc>
        <w:tc>
          <w:tcPr>
            <w:tcW w:w="763" w:type="pct"/>
            <w:tcMar>
              <w:left w:w="57" w:type="dxa"/>
              <w:right w:w="57" w:type="dxa"/>
            </w:tcMar>
            <w:vAlign w:val="bottom"/>
          </w:tcPr>
          <w:p w14:paraId="24E1EE9B" w14:textId="77777777" w:rsidR="00D03658" w:rsidRPr="000E0825" w:rsidRDefault="00D03658" w:rsidP="00396E87">
            <w:pPr>
              <w:pStyle w:val="StandardOCAshurst"/>
              <w:jc w:val="right"/>
              <w:rPr>
                <w:sz w:val="16"/>
                <w:szCs w:val="16"/>
              </w:rPr>
            </w:pPr>
            <w:r w:rsidRPr="000E0825">
              <w:rPr>
                <w:sz w:val="16"/>
                <w:szCs w:val="16"/>
              </w:rPr>
              <w:t>(257,077)</w:t>
            </w:r>
          </w:p>
        </w:tc>
        <w:tc>
          <w:tcPr>
            <w:tcW w:w="568" w:type="pct"/>
            <w:tcMar>
              <w:left w:w="57" w:type="dxa"/>
              <w:right w:w="57" w:type="dxa"/>
            </w:tcMar>
            <w:vAlign w:val="bottom"/>
          </w:tcPr>
          <w:p w14:paraId="0A8B7BB1" w14:textId="4A92AA4B" w:rsidR="00D03658" w:rsidRPr="000E0825" w:rsidRDefault="00D03658" w:rsidP="00396E87">
            <w:pPr>
              <w:pStyle w:val="StandardOCAshurst"/>
              <w:jc w:val="right"/>
              <w:rPr>
                <w:sz w:val="16"/>
                <w:szCs w:val="16"/>
              </w:rPr>
            </w:pPr>
            <w:r w:rsidRPr="000E0825">
              <w:rPr>
                <w:sz w:val="16"/>
                <w:szCs w:val="16"/>
              </w:rPr>
              <w:t>(3,684)</w:t>
            </w:r>
          </w:p>
        </w:tc>
        <w:tc>
          <w:tcPr>
            <w:tcW w:w="568" w:type="pct"/>
            <w:tcMar>
              <w:left w:w="57" w:type="dxa"/>
              <w:right w:w="57" w:type="dxa"/>
            </w:tcMar>
            <w:vAlign w:val="bottom"/>
          </w:tcPr>
          <w:p w14:paraId="2414DE70" w14:textId="77777777" w:rsidR="00D03658" w:rsidRPr="000E0825" w:rsidRDefault="00D03658" w:rsidP="00396E87">
            <w:pPr>
              <w:pStyle w:val="StandardOCAshurst"/>
              <w:jc w:val="right"/>
              <w:rPr>
                <w:sz w:val="16"/>
                <w:szCs w:val="16"/>
              </w:rPr>
            </w:pPr>
            <w:r w:rsidRPr="000E0825">
              <w:rPr>
                <w:sz w:val="16"/>
                <w:szCs w:val="16"/>
              </w:rPr>
              <w:t>-</w:t>
            </w:r>
          </w:p>
        </w:tc>
        <w:tc>
          <w:tcPr>
            <w:tcW w:w="568" w:type="pct"/>
            <w:tcMar>
              <w:left w:w="57" w:type="dxa"/>
              <w:right w:w="57" w:type="dxa"/>
            </w:tcMar>
            <w:vAlign w:val="bottom"/>
          </w:tcPr>
          <w:p w14:paraId="4FA63DD0" w14:textId="77777777" w:rsidR="00D03658" w:rsidRPr="000E0825" w:rsidRDefault="00D03658" w:rsidP="00396E87">
            <w:pPr>
              <w:pStyle w:val="StandardOCAshurst"/>
              <w:jc w:val="right"/>
              <w:rPr>
                <w:sz w:val="16"/>
                <w:szCs w:val="16"/>
              </w:rPr>
            </w:pPr>
            <w:r w:rsidRPr="000E0825">
              <w:rPr>
                <w:sz w:val="16"/>
                <w:szCs w:val="16"/>
              </w:rPr>
              <w:t>-</w:t>
            </w:r>
          </w:p>
        </w:tc>
        <w:tc>
          <w:tcPr>
            <w:tcW w:w="568" w:type="pct"/>
            <w:tcMar>
              <w:left w:w="57" w:type="dxa"/>
              <w:right w:w="57" w:type="dxa"/>
            </w:tcMar>
            <w:vAlign w:val="bottom"/>
          </w:tcPr>
          <w:p w14:paraId="379E2736" w14:textId="77777777" w:rsidR="00D03658" w:rsidRPr="000E0825" w:rsidRDefault="00D03658" w:rsidP="00396E87">
            <w:pPr>
              <w:pStyle w:val="StandardOCAshurst"/>
              <w:jc w:val="right"/>
              <w:rPr>
                <w:sz w:val="16"/>
                <w:szCs w:val="16"/>
              </w:rPr>
            </w:pPr>
            <w:r w:rsidRPr="000E0825">
              <w:rPr>
                <w:sz w:val="16"/>
                <w:szCs w:val="16"/>
              </w:rPr>
              <w:t>1,959</w:t>
            </w:r>
          </w:p>
        </w:tc>
        <w:tc>
          <w:tcPr>
            <w:tcW w:w="763" w:type="pct"/>
            <w:tcMar>
              <w:left w:w="57" w:type="dxa"/>
              <w:right w:w="57" w:type="dxa"/>
            </w:tcMar>
            <w:vAlign w:val="bottom"/>
          </w:tcPr>
          <w:p w14:paraId="49530381" w14:textId="779BD76F" w:rsidR="00D03658" w:rsidRPr="000E0825" w:rsidRDefault="00D03658" w:rsidP="00396E87">
            <w:pPr>
              <w:pStyle w:val="StandardOCAshurst"/>
              <w:jc w:val="right"/>
              <w:rPr>
                <w:sz w:val="16"/>
                <w:szCs w:val="16"/>
              </w:rPr>
            </w:pPr>
            <w:r w:rsidRPr="000E0825">
              <w:rPr>
                <w:sz w:val="16"/>
                <w:szCs w:val="16"/>
              </w:rPr>
              <w:t>(258,802)</w:t>
            </w:r>
          </w:p>
        </w:tc>
      </w:tr>
      <w:tr w:rsidR="00D03658" w:rsidRPr="00F35211" w14:paraId="5E6A3EC7" w14:textId="77777777" w:rsidTr="00284BEE">
        <w:tc>
          <w:tcPr>
            <w:tcW w:w="1202" w:type="pct"/>
            <w:tcMar>
              <w:left w:w="57" w:type="dxa"/>
              <w:right w:w="57" w:type="dxa"/>
            </w:tcMar>
          </w:tcPr>
          <w:p w14:paraId="56CB8825" w14:textId="0C8651FD" w:rsidR="00D03658" w:rsidRPr="00AD6D18" w:rsidRDefault="00D03658" w:rsidP="00284BEE">
            <w:pPr>
              <w:pStyle w:val="StandardOCAshurst"/>
              <w:tabs>
                <w:tab w:val="left" w:leader="dot" w:pos="1780"/>
              </w:tabs>
              <w:jc w:val="left"/>
              <w:rPr>
                <w:sz w:val="14"/>
                <w:szCs w:val="14"/>
              </w:rPr>
            </w:pPr>
            <w:r w:rsidRPr="00AD6D18">
              <w:rPr>
                <w:sz w:val="14"/>
                <w:szCs w:val="14"/>
              </w:rPr>
              <w:t>Finance income</w:t>
            </w:r>
            <w:r w:rsidR="00284BEE">
              <w:rPr>
                <w:sz w:val="14"/>
                <w:szCs w:val="14"/>
              </w:rPr>
              <w:tab/>
            </w:r>
          </w:p>
        </w:tc>
        <w:tc>
          <w:tcPr>
            <w:tcW w:w="763" w:type="pct"/>
            <w:tcMar>
              <w:left w:w="57" w:type="dxa"/>
              <w:right w:w="57" w:type="dxa"/>
            </w:tcMar>
            <w:vAlign w:val="bottom"/>
          </w:tcPr>
          <w:p w14:paraId="0F897758" w14:textId="77777777" w:rsidR="00D03658" w:rsidRPr="000E0825" w:rsidRDefault="00D03658" w:rsidP="00396E87">
            <w:pPr>
              <w:pStyle w:val="StandardOCAshurst"/>
              <w:jc w:val="right"/>
              <w:rPr>
                <w:sz w:val="16"/>
                <w:szCs w:val="16"/>
              </w:rPr>
            </w:pPr>
            <w:r w:rsidRPr="000E0825">
              <w:rPr>
                <w:sz w:val="16"/>
                <w:szCs w:val="16"/>
              </w:rPr>
              <w:t>1,171</w:t>
            </w:r>
          </w:p>
        </w:tc>
        <w:tc>
          <w:tcPr>
            <w:tcW w:w="568" w:type="pct"/>
            <w:tcMar>
              <w:left w:w="57" w:type="dxa"/>
              <w:right w:w="57" w:type="dxa"/>
            </w:tcMar>
            <w:vAlign w:val="bottom"/>
          </w:tcPr>
          <w:p w14:paraId="27B4317A" w14:textId="77777777" w:rsidR="00D03658" w:rsidRPr="000E0825" w:rsidRDefault="00D03658" w:rsidP="00396E87">
            <w:pPr>
              <w:pStyle w:val="StandardOCAshurst"/>
              <w:jc w:val="right"/>
              <w:rPr>
                <w:sz w:val="16"/>
                <w:szCs w:val="16"/>
              </w:rPr>
            </w:pPr>
            <w:r w:rsidRPr="000E0825">
              <w:rPr>
                <w:sz w:val="16"/>
                <w:szCs w:val="16"/>
              </w:rPr>
              <w:t>-</w:t>
            </w:r>
          </w:p>
        </w:tc>
        <w:tc>
          <w:tcPr>
            <w:tcW w:w="568" w:type="pct"/>
            <w:tcMar>
              <w:left w:w="57" w:type="dxa"/>
              <w:right w:w="57" w:type="dxa"/>
            </w:tcMar>
            <w:vAlign w:val="bottom"/>
          </w:tcPr>
          <w:p w14:paraId="46DAEC3D" w14:textId="77777777" w:rsidR="00D03658" w:rsidRPr="000E0825" w:rsidRDefault="00D03658" w:rsidP="00396E87">
            <w:pPr>
              <w:pStyle w:val="StandardOCAshurst"/>
              <w:jc w:val="right"/>
              <w:rPr>
                <w:sz w:val="16"/>
                <w:szCs w:val="16"/>
              </w:rPr>
            </w:pPr>
            <w:r w:rsidRPr="000E0825">
              <w:rPr>
                <w:sz w:val="16"/>
                <w:szCs w:val="16"/>
              </w:rPr>
              <w:t>-</w:t>
            </w:r>
          </w:p>
        </w:tc>
        <w:tc>
          <w:tcPr>
            <w:tcW w:w="568" w:type="pct"/>
            <w:tcMar>
              <w:left w:w="57" w:type="dxa"/>
              <w:right w:w="57" w:type="dxa"/>
            </w:tcMar>
            <w:vAlign w:val="bottom"/>
          </w:tcPr>
          <w:p w14:paraId="57A5AE9C" w14:textId="77777777" w:rsidR="00D03658" w:rsidRPr="000E0825" w:rsidRDefault="00D03658" w:rsidP="00396E87">
            <w:pPr>
              <w:pStyle w:val="StandardOCAshurst"/>
              <w:jc w:val="right"/>
              <w:rPr>
                <w:sz w:val="16"/>
                <w:szCs w:val="16"/>
              </w:rPr>
            </w:pPr>
            <w:r w:rsidRPr="000E0825">
              <w:rPr>
                <w:sz w:val="16"/>
                <w:szCs w:val="16"/>
              </w:rPr>
              <w:t>-</w:t>
            </w:r>
          </w:p>
        </w:tc>
        <w:tc>
          <w:tcPr>
            <w:tcW w:w="568" w:type="pct"/>
            <w:tcMar>
              <w:left w:w="57" w:type="dxa"/>
              <w:right w:w="57" w:type="dxa"/>
            </w:tcMar>
            <w:vAlign w:val="bottom"/>
          </w:tcPr>
          <w:p w14:paraId="0A287755" w14:textId="77777777" w:rsidR="00D03658" w:rsidRPr="000E0825" w:rsidRDefault="00D03658" w:rsidP="00396E87">
            <w:pPr>
              <w:pStyle w:val="StandardOCAshurst"/>
              <w:jc w:val="right"/>
              <w:rPr>
                <w:sz w:val="16"/>
                <w:szCs w:val="16"/>
              </w:rPr>
            </w:pPr>
            <w:r w:rsidRPr="000E0825">
              <w:rPr>
                <w:sz w:val="16"/>
                <w:szCs w:val="16"/>
              </w:rPr>
              <w:t>-</w:t>
            </w:r>
          </w:p>
        </w:tc>
        <w:tc>
          <w:tcPr>
            <w:tcW w:w="763" w:type="pct"/>
            <w:tcMar>
              <w:left w:w="57" w:type="dxa"/>
              <w:right w:w="57" w:type="dxa"/>
            </w:tcMar>
            <w:vAlign w:val="bottom"/>
          </w:tcPr>
          <w:p w14:paraId="4D76B77E" w14:textId="39D4238E" w:rsidR="00D03658" w:rsidRPr="000E0825" w:rsidRDefault="00D03658" w:rsidP="00396E87">
            <w:pPr>
              <w:pStyle w:val="StandardOCAshurst"/>
              <w:jc w:val="right"/>
              <w:rPr>
                <w:sz w:val="16"/>
                <w:szCs w:val="16"/>
              </w:rPr>
            </w:pPr>
            <w:r w:rsidRPr="000E0825">
              <w:rPr>
                <w:sz w:val="16"/>
                <w:szCs w:val="16"/>
              </w:rPr>
              <w:t>1,171</w:t>
            </w:r>
          </w:p>
        </w:tc>
      </w:tr>
      <w:tr w:rsidR="00D03658" w:rsidRPr="00F35211" w14:paraId="607D4727" w14:textId="77777777" w:rsidTr="00284BEE">
        <w:tc>
          <w:tcPr>
            <w:tcW w:w="1202" w:type="pct"/>
            <w:tcMar>
              <w:left w:w="57" w:type="dxa"/>
              <w:right w:w="57" w:type="dxa"/>
            </w:tcMar>
          </w:tcPr>
          <w:p w14:paraId="2CF7489D" w14:textId="180403A5" w:rsidR="00D03658" w:rsidRPr="00AD6D18" w:rsidRDefault="00D03658" w:rsidP="00284BEE">
            <w:pPr>
              <w:pStyle w:val="StandardOCAshurst"/>
              <w:tabs>
                <w:tab w:val="left" w:leader="dot" w:pos="1780"/>
              </w:tabs>
              <w:jc w:val="left"/>
              <w:rPr>
                <w:b/>
                <w:bCs/>
                <w:sz w:val="14"/>
                <w:szCs w:val="14"/>
              </w:rPr>
            </w:pPr>
            <w:r w:rsidRPr="00AD6D18">
              <w:rPr>
                <w:b/>
                <w:bCs/>
                <w:sz w:val="14"/>
                <w:szCs w:val="14"/>
              </w:rPr>
              <w:t>(Loss)/ profit before tax</w:t>
            </w:r>
            <w:r w:rsidR="00284BEE" w:rsidRPr="00284BEE">
              <w:rPr>
                <w:sz w:val="14"/>
                <w:szCs w:val="14"/>
              </w:rPr>
              <w:tab/>
            </w:r>
          </w:p>
        </w:tc>
        <w:tc>
          <w:tcPr>
            <w:tcW w:w="763" w:type="pct"/>
            <w:tcMar>
              <w:left w:w="57" w:type="dxa"/>
              <w:right w:w="57" w:type="dxa"/>
            </w:tcMar>
            <w:vAlign w:val="bottom"/>
          </w:tcPr>
          <w:p w14:paraId="6FD01AC4" w14:textId="77777777" w:rsidR="00D03658" w:rsidRPr="000E0825" w:rsidRDefault="00D03658" w:rsidP="00396E87">
            <w:pPr>
              <w:pStyle w:val="StandardOCAshurst"/>
              <w:jc w:val="right"/>
              <w:rPr>
                <w:b/>
                <w:bCs/>
                <w:sz w:val="16"/>
                <w:szCs w:val="16"/>
              </w:rPr>
            </w:pPr>
            <w:r w:rsidRPr="000E0825">
              <w:rPr>
                <w:b/>
                <w:bCs/>
                <w:sz w:val="16"/>
                <w:szCs w:val="16"/>
              </w:rPr>
              <w:t>(565,975)</w:t>
            </w:r>
          </w:p>
        </w:tc>
        <w:tc>
          <w:tcPr>
            <w:tcW w:w="568" w:type="pct"/>
            <w:tcMar>
              <w:left w:w="57" w:type="dxa"/>
              <w:right w:w="57" w:type="dxa"/>
            </w:tcMar>
            <w:vAlign w:val="bottom"/>
          </w:tcPr>
          <w:p w14:paraId="1D9FC319" w14:textId="26D5E18B" w:rsidR="00D03658" w:rsidRPr="000E0825" w:rsidRDefault="00D03658" w:rsidP="00396E87">
            <w:pPr>
              <w:pStyle w:val="StandardOCAshurst"/>
              <w:jc w:val="right"/>
              <w:rPr>
                <w:b/>
                <w:bCs/>
                <w:sz w:val="16"/>
                <w:szCs w:val="16"/>
              </w:rPr>
            </w:pPr>
            <w:r w:rsidRPr="000E0825">
              <w:rPr>
                <w:b/>
                <w:bCs/>
                <w:sz w:val="16"/>
                <w:szCs w:val="16"/>
              </w:rPr>
              <w:t>25,099</w:t>
            </w:r>
          </w:p>
        </w:tc>
        <w:tc>
          <w:tcPr>
            <w:tcW w:w="568" w:type="pct"/>
            <w:tcMar>
              <w:left w:w="57" w:type="dxa"/>
              <w:right w:w="57" w:type="dxa"/>
            </w:tcMar>
            <w:vAlign w:val="bottom"/>
          </w:tcPr>
          <w:p w14:paraId="150C4D28" w14:textId="763A566D" w:rsidR="00D03658" w:rsidRPr="000E0825" w:rsidRDefault="00D03658" w:rsidP="00396E87">
            <w:pPr>
              <w:pStyle w:val="StandardOCAshurst"/>
              <w:jc w:val="right"/>
              <w:rPr>
                <w:b/>
                <w:bCs/>
                <w:sz w:val="16"/>
                <w:szCs w:val="16"/>
              </w:rPr>
            </w:pPr>
            <w:r w:rsidRPr="000E0825">
              <w:rPr>
                <w:b/>
                <w:bCs/>
                <w:sz w:val="16"/>
                <w:szCs w:val="16"/>
              </w:rPr>
              <w:t>(16,226)</w:t>
            </w:r>
          </w:p>
        </w:tc>
        <w:tc>
          <w:tcPr>
            <w:tcW w:w="568" w:type="pct"/>
            <w:tcMar>
              <w:left w:w="57" w:type="dxa"/>
              <w:right w:w="57" w:type="dxa"/>
            </w:tcMar>
            <w:vAlign w:val="bottom"/>
          </w:tcPr>
          <w:p w14:paraId="13F8BE6B" w14:textId="77777777" w:rsidR="00D03658" w:rsidRPr="000E0825" w:rsidRDefault="00D03658" w:rsidP="00396E87">
            <w:pPr>
              <w:pStyle w:val="StandardOCAshurst"/>
              <w:jc w:val="right"/>
              <w:rPr>
                <w:b/>
                <w:bCs/>
                <w:sz w:val="16"/>
                <w:szCs w:val="16"/>
              </w:rPr>
            </w:pPr>
            <w:r w:rsidRPr="000E0825">
              <w:rPr>
                <w:b/>
                <w:bCs/>
                <w:sz w:val="16"/>
                <w:szCs w:val="16"/>
              </w:rPr>
              <w:t>-</w:t>
            </w:r>
          </w:p>
        </w:tc>
        <w:tc>
          <w:tcPr>
            <w:tcW w:w="568" w:type="pct"/>
            <w:tcMar>
              <w:left w:w="57" w:type="dxa"/>
              <w:right w:w="57" w:type="dxa"/>
            </w:tcMar>
            <w:vAlign w:val="bottom"/>
          </w:tcPr>
          <w:p w14:paraId="48ADBBE7" w14:textId="77777777" w:rsidR="00D03658" w:rsidRPr="000E0825" w:rsidRDefault="00D03658" w:rsidP="00396E87">
            <w:pPr>
              <w:pStyle w:val="StandardOCAshurst"/>
              <w:jc w:val="right"/>
              <w:rPr>
                <w:b/>
                <w:bCs/>
                <w:sz w:val="16"/>
                <w:szCs w:val="16"/>
              </w:rPr>
            </w:pPr>
            <w:r w:rsidRPr="000E0825">
              <w:rPr>
                <w:b/>
                <w:bCs/>
                <w:sz w:val="16"/>
                <w:szCs w:val="16"/>
              </w:rPr>
              <w:t>1,959</w:t>
            </w:r>
          </w:p>
        </w:tc>
        <w:tc>
          <w:tcPr>
            <w:tcW w:w="763" w:type="pct"/>
            <w:tcMar>
              <w:left w:w="57" w:type="dxa"/>
              <w:right w:w="57" w:type="dxa"/>
            </w:tcMar>
            <w:vAlign w:val="bottom"/>
          </w:tcPr>
          <w:p w14:paraId="4C0E6D20" w14:textId="371297FF" w:rsidR="00D03658" w:rsidRPr="000E0825" w:rsidRDefault="00D03658" w:rsidP="00396E87">
            <w:pPr>
              <w:pStyle w:val="StandardOCAshurst"/>
              <w:jc w:val="right"/>
              <w:rPr>
                <w:b/>
                <w:bCs/>
                <w:sz w:val="16"/>
                <w:szCs w:val="16"/>
              </w:rPr>
            </w:pPr>
            <w:r w:rsidRPr="000E0825">
              <w:rPr>
                <w:b/>
                <w:bCs/>
                <w:sz w:val="16"/>
                <w:szCs w:val="16"/>
              </w:rPr>
              <w:t>(555,143)</w:t>
            </w:r>
          </w:p>
        </w:tc>
      </w:tr>
      <w:tr w:rsidR="00D03658" w:rsidRPr="00F35211" w14:paraId="75EAC455" w14:textId="77777777" w:rsidTr="00284BEE">
        <w:tc>
          <w:tcPr>
            <w:tcW w:w="1202" w:type="pct"/>
            <w:tcMar>
              <w:left w:w="57" w:type="dxa"/>
              <w:right w:w="57" w:type="dxa"/>
            </w:tcMar>
          </w:tcPr>
          <w:p w14:paraId="411F9DE7" w14:textId="6D0C9546" w:rsidR="00D03658" w:rsidRPr="00AD6D18" w:rsidRDefault="00D03658" w:rsidP="00284BEE">
            <w:pPr>
              <w:pStyle w:val="StandardOCAshurst"/>
              <w:tabs>
                <w:tab w:val="left" w:leader="dot" w:pos="1780"/>
              </w:tabs>
              <w:jc w:val="left"/>
              <w:rPr>
                <w:sz w:val="14"/>
                <w:szCs w:val="14"/>
              </w:rPr>
            </w:pPr>
            <w:r w:rsidRPr="00AD6D18">
              <w:rPr>
                <w:sz w:val="14"/>
                <w:szCs w:val="14"/>
              </w:rPr>
              <w:t>Income tax</w:t>
            </w:r>
            <w:r w:rsidR="00284BEE">
              <w:rPr>
                <w:sz w:val="14"/>
                <w:szCs w:val="14"/>
              </w:rPr>
              <w:tab/>
            </w:r>
          </w:p>
        </w:tc>
        <w:tc>
          <w:tcPr>
            <w:tcW w:w="763" w:type="pct"/>
            <w:tcMar>
              <w:left w:w="57" w:type="dxa"/>
              <w:right w:w="57" w:type="dxa"/>
            </w:tcMar>
            <w:vAlign w:val="bottom"/>
          </w:tcPr>
          <w:p w14:paraId="2015C373" w14:textId="6402ACA5" w:rsidR="00D03658" w:rsidRPr="000E0825" w:rsidRDefault="00701FD8" w:rsidP="00396E87">
            <w:pPr>
              <w:pStyle w:val="StandardOCAshurst"/>
              <w:pBdr>
                <w:bottom w:val="single" w:sz="4" w:space="1" w:color="auto"/>
              </w:pBdr>
              <w:jc w:val="right"/>
              <w:rPr>
                <w:sz w:val="16"/>
                <w:szCs w:val="16"/>
              </w:rPr>
            </w:pPr>
            <w:r>
              <w:rPr>
                <w:sz w:val="16"/>
                <w:szCs w:val="16"/>
              </w:rPr>
              <w:t>96,030</w:t>
            </w:r>
          </w:p>
        </w:tc>
        <w:tc>
          <w:tcPr>
            <w:tcW w:w="568" w:type="pct"/>
            <w:tcMar>
              <w:left w:w="57" w:type="dxa"/>
              <w:right w:w="57" w:type="dxa"/>
            </w:tcMar>
            <w:vAlign w:val="bottom"/>
          </w:tcPr>
          <w:p w14:paraId="7DF7C5A6" w14:textId="30E5FB94" w:rsidR="00D03658" w:rsidRPr="000E0825" w:rsidRDefault="00D03658" w:rsidP="00396E87">
            <w:pPr>
              <w:pStyle w:val="StandardOCAshurst"/>
              <w:pBdr>
                <w:bottom w:val="single" w:sz="4" w:space="1" w:color="auto"/>
              </w:pBdr>
              <w:jc w:val="right"/>
              <w:rPr>
                <w:sz w:val="16"/>
                <w:szCs w:val="16"/>
              </w:rPr>
            </w:pPr>
            <w:r w:rsidRPr="000E0825">
              <w:rPr>
                <w:sz w:val="16"/>
                <w:szCs w:val="16"/>
              </w:rPr>
              <w:t>(10,359)</w:t>
            </w:r>
          </w:p>
        </w:tc>
        <w:tc>
          <w:tcPr>
            <w:tcW w:w="568" w:type="pct"/>
            <w:tcMar>
              <w:left w:w="57" w:type="dxa"/>
              <w:right w:w="57" w:type="dxa"/>
            </w:tcMar>
            <w:vAlign w:val="bottom"/>
          </w:tcPr>
          <w:p w14:paraId="25667E52" w14:textId="77777777" w:rsidR="00D03658" w:rsidRPr="000E0825" w:rsidRDefault="00D03658" w:rsidP="00396E87">
            <w:pPr>
              <w:pStyle w:val="StandardOCAshurst"/>
              <w:pBdr>
                <w:bottom w:val="single" w:sz="4" w:space="1" w:color="auto"/>
              </w:pBdr>
              <w:jc w:val="right"/>
              <w:rPr>
                <w:sz w:val="16"/>
                <w:szCs w:val="16"/>
              </w:rPr>
            </w:pPr>
            <w:r w:rsidRPr="000E0825">
              <w:rPr>
                <w:sz w:val="16"/>
                <w:szCs w:val="16"/>
              </w:rPr>
              <w:t>-</w:t>
            </w:r>
          </w:p>
        </w:tc>
        <w:tc>
          <w:tcPr>
            <w:tcW w:w="568" w:type="pct"/>
            <w:tcMar>
              <w:left w:w="57" w:type="dxa"/>
              <w:right w:w="57" w:type="dxa"/>
            </w:tcMar>
            <w:vAlign w:val="bottom"/>
          </w:tcPr>
          <w:p w14:paraId="6808E3EE" w14:textId="46EC6E3A" w:rsidR="00D03658" w:rsidRPr="000E0825" w:rsidRDefault="00D03658" w:rsidP="006F0370">
            <w:pPr>
              <w:pStyle w:val="StandardOCAshurst"/>
              <w:pBdr>
                <w:bottom w:val="single" w:sz="4" w:space="1" w:color="auto"/>
              </w:pBdr>
              <w:jc w:val="right"/>
              <w:rPr>
                <w:sz w:val="16"/>
                <w:szCs w:val="16"/>
              </w:rPr>
            </w:pPr>
            <w:r w:rsidRPr="000E0825">
              <w:rPr>
                <w:sz w:val="16"/>
                <w:szCs w:val="16"/>
              </w:rPr>
              <w:t>2</w:t>
            </w:r>
            <w:r w:rsidR="006F0370">
              <w:rPr>
                <w:sz w:val="16"/>
                <w:szCs w:val="16"/>
              </w:rPr>
              <w:t>15</w:t>
            </w:r>
            <w:r w:rsidR="004D1D81">
              <w:rPr>
                <w:sz w:val="16"/>
                <w:szCs w:val="16"/>
              </w:rPr>
              <w:t>,</w:t>
            </w:r>
            <w:r w:rsidR="006F0370">
              <w:rPr>
                <w:sz w:val="16"/>
                <w:szCs w:val="16"/>
              </w:rPr>
              <w:t>205</w:t>
            </w:r>
          </w:p>
        </w:tc>
        <w:tc>
          <w:tcPr>
            <w:tcW w:w="568" w:type="pct"/>
            <w:tcMar>
              <w:left w:w="57" w:type="dxa"/>
              <w:right w:w="57" w:type="dxa"/>
            </w:tcMar>
            <w:vAlign w:val="bottom"/>
          </w:tcPr>
          <w:p w14:paraId="381D20FD" w14:textId="77777777" w:rsidR="00D03658" w:rsidRPr="000E0825" w:rsidRDefault="00D03658" w:rsidP="00396E87">
            <w:pPr>
              <w:pStyle w:val="StandardOCAshurst"/>
              <w:pBdr>
                <w:bottom w:val="single" w:sz="4" w:space="1" w:color="auto"/>
              </w:pBdr>
              <w:jc w:val="right"/>
              <w:rPr>
                <w:sz w:val="16"/>
                <w:szCs w:val="16"/>
              </w:rPr>
            </w:pPr>
            <w:r w:rsidRPr="000E0825">
              <w:rPr>
                <w:sz w:val="16"/>
                <w:szCs w:val="16"/>
              </w:rPr>
              <w:t>-</w:t>
            </w:r>
          </w:p>
        </w:tc>
        <w:tc>
          <w:tcPr>
            <w:tcW w:w="763" w:type="pct"/>
            <w:tcMar>
              <w:left w:w="57" w:type="dxa"/>
              <w:right w:w="57" w:type="dxa"/>
            </w:tcMar>
            <w:vAlign w:val="bottom"/>
          </w:tcPr>
          <w:p w14:paraId="50876998" w14:textId="774D7392" w:rsidR="00D03658" w:rsidRPr="000E0825" w:rsidRDefault="00701FD8" w:rsidP="00396E87">
            <w:pPr>
              <w:pStyle w:val="StandardOCAshurst"/>
              <w:pBdr>
                <w:bottom w:val="single" w:sz="4" w:space="1" w:color="auto"/>
              </w:pBdr>
              <w:jc w:val="right"/>
              <w:rPr>
                <w:sz w:val="16"/>
                <w:szCs w:val="16"/>
              </w:rPr>
            </w:pPr>
            <w:r>
              <w:rPr>
                <w:sz w:val="16"/>
                <w:szCs w:val="16"/>
              </w:rPr>
              <w:t>3</w:t>
            </w:r>
            <w:r w:rsidR="006F0370">
              <w:rPr>
                <w:sz w:val="16"/>
                <w:szCs w:val="16"/>
              </w:rPr>
              <w:t>00,876</w:t>
            </w:r>
          </w:p>
        </w:tc>
      </w:tr>
      <w:tr w:rsidR="00D03658" w:rsidRPr="00F35211" w14:paraId="1E8F4011" w14:textId="77777777" w:rsidTr="00284BEE">
        <w:tc>
          <w:tcPr>
            <w:tcW w:w="1202" w:type="pct"/>
            <w:tcMar>
              <w:left w:w="57" w:type="dxa"/>
              <w:right w:w="57" w:type="dxa"/>
            </w:tcMar>
            <w:vAlign w:val="bottom"/>
          </w:tcPr>
          <w:p w14:paraId="4A7AE218" w14:textId="16C79173" w:rsidR="0029706E" w:rsidRPr="00AD6D18" w:rsidRDefault="0029706E" w:rsidP="00284BEE">
            <w:pPr>
              <w:pStyle w:val="StandardOCAshurst"/>
              <w:tabs>
                <w:tab w:val="left" w:leader="dot" w:pos="1780"/>
              </w:tabs>
              <w:jc w:val="left"/>
              <w:rPr>
                <w:b/>
                <w:bCs/>
                <w:sz w:val="14"/>
                <w:szCs w:val="14"/>
              </w:rPr>
            </w:pPr>
            <w:r w:rsidRPr="00AD6D18">
              <w:rPr>
                <w:b/>
                <w:bCs/>
                <w:sz w:val="14"/>
                <w:szCs w:val="14"/>
              </w:rPr>
              <w:t>(Loss)/ profit for the year attributable to owners of the parent</w:t>
            </w:r>
            <w:r w:rsidRPr="00AD6D18">
              <w:rPr>
                <w:sz w:val="14"/>
                <w:szCs w:val="14"/>
              </w:rPr>
              <w:t xml:space="preserve"> </w:t>
            </w:r>
            <w:r w:rsidR="00284BEE">
              <w:rPr>
                <w:sz w:val="14"/>
                <w:szCs w:val="14"/>
              </w:rPr>
              <w:tab/>
            </w:r>
          </w:p>
        </w:tc>
        <w:tc>
          <w:tcPr>
            <w:tcW w:w="763" w:type="pct"/>
            <w:tcMar>
              <w:left w:w="57" w:type="dxa"/>
              <w:right w:w="57" w:type="dxa"/>
            </w:tcMar>
            <w:vAlign w:val="bottom"/>
          </w:tcPr>
          <w:p w14:paraId="35037D1A" w14:textId="489B52FC" w:rsidR="0029706E" w:rsidRPr="000E0825" w:rsidRDefault="0029706E" w:rsidP="00396E87">
            <w:pPr>
              <w:pStyle w:val="StandardOCAshurst"/>
              <w:jc w:val="right"/>
              <w:rPr>
                <w:b/>
                <w:bCs/>
                <w:sz w:val="16"/>
                <w:szCs w:val="16"/>
              </w:rPr>
            </w:pPr>
            <w:r w:rsidRPr="000E0825">
              <w:rPr>
                <w:b/>
                <w:bCs/>
                <w:sz w:val="16"/>
                <w:szCs w:val="16"/>
              </w:rPr>
              <w:t>(</w:t>
            </w:r>
            <w:r w:rsidR="00701FD8">
              <w:rPr>
                <w:b/>
                <w:bCs/>
                <w:sz w:val="16"/>
                <w:szCs w:val="16"/>
              </w:rPr>
              <w:t>469,945</w:t>
            </w:r>
            <w:r w:rsidRPr="000E0825">
              <w:rPr>
                <w:b/>
                <w:bCs/>
                <w:sz w:val="16"/>
                <w:szCs w:val="16"/>
              </w:rPr>
              <w:t>)</w:t>
            </w:r>
          </w:p>
        </w:tc>
        <w:tc>
          <w:tcPr>
            <w:tcW w:w="568" w:type="pct"/>
            <w:tcMar>
              <w:left w:w="57" w:type="dxa"/>
              <w:right w:w="57" w:type="dxa"/>
            </w:tcMar>
            <w:vAlign w:val="bottom"/>
          </w:tcPr>
          <w:p w14:paraId="61E31A59" w14:textId="5D6ECFEC" w:rsidR="0029706E" w:rsidRPr="000E0825" w:rsidRDefault="00D03658" w:rsidP="00396E87">
            <w:pPr>
              <w:pStyle w:val="StandardOCAshurst"/>
              <w:jc w:val="right"/>
              <w:rPr>
                <w:b/>
                <w:bCs/>
                <w:sz w:val="16"/>
                <w:szCs w:val="16"/>
              </w:rPr>
            </w:pPr>
            <w:r w:rsidRPr="000E0825">
              <w:rPr>
                <w:b/>
                <w:bCs/>
                <w:sz w:val="16"/>
                <w:szCs w:val="16"/>
              </w:rPr>
              <w:t>14,740</w:t>
            </w:r>
          </w:p>
        </w:tc>
        <w:tc>
          <w:tcPr>
            <w:tcW w:w="568" w:type="pct"/>
            <w:tcMar>
              <w:left w:w="57" w:type="dxa"/>
              <w:right w:w="57" w:type="dxa"/>
            </w:tcMar>
            <w:vAlign w:val="bottom"/>
          </w:tcPr>
          <w:p w14:paraId="6076A23F" w14:textId="7F2B69D2" w:rsidR="0029706E" w:rsidRPr="000E0825" w:rsidRDefault="0029706E" w:rsidP="00396E87">
            <w:pPr>
              <w:pStyle w:val="StandardOCAshurst"/>
              <w:jc w:val="right"/>
              <w:rPr>
                <w:b/>
                <w:bCs/>
                <w:sz w:val="16"/>
                <w:szCs w:val="16"/>
              </w:rPr>
            </w:pPr>
            <w:r w:rsidRPr="000E0825">
              <w:rPr>
                <w:b/>
                <w:bCs/>
                <w:sz w:val="16"/>
                <w:szCs w:val="16"/>
              </w:rPr>
              <w:t>(</w:t>
            </w:r>
            <w:r w:rsidR="00D03658" w:rsidRPr="000E0825">
              <w:rPr>
                <w:b/>
                <w:bCs/>
                <w:sz w:val="16"/>
                <w:szCs w:val="16"/>
              </w:rPr>
              <w:t>16,226</w:t>
            </w:r>
            <w:r w:rsidRPr="000E0825">
              <w:rPr>
                <w:b/>
                <w:bCs/>
                <w:sz w:val="16"/>
                <w:szCs w:val="16"/>
              </w:rPr>
              <w:t>)</w:t>
            </w:r>
          </w:p>
        </w:tc>
        <w:tc>
          <w:tcPr>
            <w:tcW w:w="568" w:type="pct"/>
            <w:tcMar>
              <w:left w:w="57" w:type="dxa"/>
              <w:right w:w="57" w:type="dxa"/>
            </w:tcMar>
            <w:vAlign w:val="bottom"/>
          </w:tcPr>
          <w:p w14:paraId="423B2387" w14:textId="71579355" w:rsidR="0029706E" w:rsidRPr="000E0825" w:rsidRDefault="0029706E" w:rsidP="00396E87">
            <w:pPr>
              <w:pStyle w:val="StandardOCAshurst"/>
              <w:jc w:val="right"/>
              <w:rPr>
                <w:b/>
                <w:bCs/>
                <w:sz w:val="16"/>
                <w:szCs w:val="16"/>
              </w:rPr>
            </w:pPr>
            <w:r w:rsidRPr="000E0825">
              <w:rPr>
                <w:b/>
                <w:bCs/>
                <w:sz w:val="16"/>
                <w:szCs w:val="16"/>
              </w:rPr>
              <w:t>2</w:t>
            </w:r>
            <w:r w:rsidR="006F0370">
              <w:rPr>
                <w:b/>
                <w:bCs/>
                <w:sz w:val="16"/>
                <w:szCs w:val="16"/>
              </w:rPr>
              <w:t>15,205</w:t>
            </w:r>
          </w:p>
        </w:tc>
        <w:tc>
          <w:tcPr>
            <w:tcW w:w="568" w:type="pct"/>
            <w:tcMar>
              <w:left w:w="57" w:type="dxa"/>
              <w:right w:w="57" w:type="dxa"/>
            </w:tcMar>
            <w:vAlign w:val="bottom"/>
          </w:tcPr>
          <w:p w14:paraId="71CEC74F" w14:textId="77777777" w:rsidR="0029706E" w:rsidRPr="000E0825" w:rsidRDefault="0029706E" w:rsidP="00396E87">
            <w:pPr>
              <w:pStyle w:val="StandardOCAshurst"/>
              <w:jc w:val="right"/>
              <w:rPr>
                <w:b/>
                <w:bCs/>
                <w:sz w:val="16"/>
                <w:szCs w:val="16"/>
              </w:rPr>
            </w:pPr>
            <w:r w:rsidRPr="000E0825">
              <w:rPr>
                <w:b/>
                <w:bCs/>
                <w:sz w:val="16"/>
                <w:szCs w:val="16"/>
              </w:rPr>
              <w:t>1,959</w:t>
            </w:r>
          </w:p>
        </w:tc>
        <w:tc>
          <w:tcPr>
            <w:tcW w:w="763" w:type="pct"/>
            <w:tcMar>
              <w:left w:w="57" w:type="dxa"/>
              <w:right w:w="57" w:type="dxa"/>
            </w:tcMar>
            <w:vAlign w:val="bottom"/>
          </w:tcPr>
          <w:p w14:paraId="24C116AA" w14:textId="47BC2847" w:rsidR="0029706E" w:rsidRPr="000E0825" w:rsidRDefault="00D03658" w:rsidP="006F0370">
            <w:pPr>
              <w:pStyle w:val="StandardOCAshurst"/>
              <w:jc w:val="right"/>
              <w:rPr>
                <w:b/>
                <w:bCs/>
                <w:sz w:val="16"/>
                <w:szCs w:val="16"/>
              </w:rPr>
            </w:pPr>
            <w:r w:rsidRPr="000E0825">
              <w:rPr>
                <w:b/>
                <w:bCs/>
                <w:sz w:val="16"/>
                <w:szCs w:val="16"/>
              </w:rPr>
              <w:t>(</w:t>
            </w:r>
            <w:r w:rsidR="006F0370">
              <w:rPr>
                <w:b/>
                <w:bCs/>
                <w:sz w:val="16"/>
                <w:szCs w:val="16"/>
              </w:rPr>
              <w:t>254,267</w:t>
            </w:r>
            <w:r w:rsidRPr="000E0825">
              <w:rPr>
                <w:b/>
                <w:bCs/>
                <w:sz w:val="16"/>
                <w:szCs w:val="16"/>
              </w:rPr>
              <w:t>)</w:t>
            </w:r>
          </w:p>
        </w:tc>
      </w:tr>
      <w:tr w:rsidR="00D03658" w:rsidRPr="00F35211" w14:paraId="1F6679EC" w14:textId="77777777" w:rsidTr="00284BEE">
        <w:tc>
          <w:tcPr>
            <w:tcW w:w="1202" w:type="pct"/>
            <w:tcMar>
              <w:left w:w="57" w:type="dxa"/>
              <w:right w:w="57" w:type="dxa"/>
            </w:tcMar>
            <w:vAlign w:val="bottom"/>
          </w:tcPr>
          <w:p w14:paraId="23B3E053" w14:textId="77777777" w:rsidR="00696912" w:rsidRPr="00AD6D18" w:rsidRDefault="00696912" w:rsidP="00284BEE">
            <w:pPr>
              <w:pStyle w:val="StandardOCAshurst"/>
              <w:tabs>
                <w:tab w:val="left" w:leader="dot" w:pos="1780"/>
              </w:tabs>
              <w:jc w:val="left"/>
              <w:rPr>
                <w:b/>
                <w:bCs/>
                <w:sz w:val="14"/>
                <w:szCs w:val="14"/>
              </w:rPr>
            </w:pPr>
          </w:p>
        </w:tc>
        <w:tc>
          <w:tcPr>
            <w:tcW w:w="763" w:type="pct"/>
            <w:tcMar>
              <w:left w:w="57" w:type="dxa"/>
              <w:right w:w="57" w:type="dxa"/>
            </w:tcMar>
            <w:vAlign w:val="bottom"/>
          </w:tcPr>
          <w:p w14:paraId="46B18700" w14:textId="77777777" w:rsidR="00696912" w:rsidRPr="000E0825" w:rsidRDefault="00696912" w:rsidP="00396E87">
            <w:pPr>
              <w:pStyle w:val="StandardOCAshurst"/>
              <w:jc w:val="right"/>
              <w:rPr>
                <w:sz w:val="16"/>
                <w:szCs w:val="16"/>
              </w:rPr>
            </w:pPr>
          </w:p>
        </w:tc>
        <w:tc>
          <w:tcPr>
            <w:tcW w:w="568" w:type="pct"/>
            <w:tcMar>
              <w:left w:w="57" w:type="dxa"/>
              <w:right w:w="57" w:type="dxa"/>
            </w:tcMar>
            <w:vAlign w:val="bottom"/>
          </w:tcPr>
          <w:p w14:paraId="2394E358" w14:textId="77777777" w:rsidR="00696912" w:rsidRPr="000E0825" w:rsidRDefault="00696912" w:rsidP="00396E87">
            <w:pPr>
              <w:pStyle w:val="StandardOCAshurst"/>
              <w:jc w:val="right"/>
              <w:rPr>
                <w:sz w:val="16"/>
                <w:szCs w:val="16"/>
              </w:rPr>
            </w:pPr>
          </w:p>
        </w:tc>
        <w:tc>
          <w:tcPr>
            <w:tcW w:w="568" w:type="pct"/>
            <w:tcMar>
              <w:left w:w="57" w:type="dxa"/>
              <w:right w:w="57" w:type="dxa"/>
            </w:tcMar>
            <w:vAlign w:val="bottom"/>
          </w:tcPr>
          <w:p w14:paraId="21E2605E" w14:textId="77777777" w:rsidR="00696912" w:rsidRPr="000E0825" w:rsidRDefault="00696912" w:rsidP="00396E87">
            <w:pPr>
              <w:pStyle w:val="StandardOCAshurst"/>
              <w:jc w:val="right"/>
              <w:rPr>
                <w:sz w:val="16"/>
                <w:szCs w:val="16"/>
              </w:rPr>
            </w:pPr>
          </w:p>
        </w:tc>
        <w:tc>
          <w:tcPr>
            <w:tcW w:w="568" w:type="pct"/>
            <w:tcMar>
              <w:left w:w="57" w:type="dxa"/>
              <w:right w:w="57" w:type="dxa"/>
            </w:tcMar>
            <w:vAlign w:val="bottom"/>
          </w:tcPr>
          <w:p w14:paraId="0497AEE0" w14:textId="77777777" w:rsidR="00696912" w:rsidRPr="000E0825" w:rsidRDefault="00696912" w:rsidP="00396E87">
            <w:pPr>
              <w:pStyle w:val="StandardOCAshurst"/>
              <w:jc w:val="right"/>
              <w:rPr>
                <w:sz w:val="16"/>
                <w:szCs w:val="16"/>
              </w:rPr>
            </w:pPr>
          </w:p>
        </w:tc>
        <w:tc>
          <w:tcPr>
            <w:tcW w:w="568" w:type="pct"/>
            <w:tcMar>
              <w:left w:w="57" w:type="dxa"/>
              <w:right w:w="57" w:type="dxa"/>
            </w:tcMar>
            <w:vAlign w:val="bottom"/>
          </w:tcPr>
          <w:p w14:paraId="4A1C67BE" w14:textId="77777777" w:rsidR="00696912" w:rsidRPr="000E0825" w:rsidRDefault="00696912" w:rsidP="00396E87">
            <w:pPr>
              <w:pStyle w:val="StandardOCAshurst"/>
              <w:jc w:val="right"/>
              <w:rPr>
                <w:sz w:val="16"/>
                <w:szCs w:val="16"/>
              </w:rPr>
            </w:pPr>
          </w:p>
        </w:tc>
        <w:tc>
          <w:tcPr>
            <w:tcW w:w="763" w:type="pct"/>
            <w:tcMar>
              <w:left w:w="57" w:type="dxa"/>
              <w:right w:w="57" w:type="dxa"/>
            </w:tcMar>
            <w:vAlign w:val="bottom"/>
          </w:tcPr>
          <w:p w14:paraId="3EC4CFD8" w14:textId="77777777" w:rsidR="00696912" w:rsidRPr="000E0825" w:rsidRDefault="00696912" w:rsidP="00396E87">
            <w:pPr>
              <w:pStyle w:val="StandardOCAshurst"/>
              <w:jc w:val="right"/>
              <w:rPr>
                <w:sz w:val="16"/>
                <w:szCs w:val="16"/>
              </w:rPr>
            </w:pPr>
          </w:p>
        </w:tc>
      </w:tr>
      <w:tr w:rsidR="00D03658" w:rsidRPr="00F35211" w14:paraId="2C0DBD2A" w14:textId="77777777" w:rsidTr="00284BEE">
        <w:tc>
          <w:tcPr>
            <w:tcW w:w="1202" w:type="pct"/>
            <w:tcMar>
              <w:left w:w="57" w:type="dxa"/>
              <w:right w:w="57" w:type="dxa"/>
            </w:tcMar>
            <w:vAlign w:val="bottom"/>
          </w:tcPr>
          <w:p w14:paraId="78998A83" w14:textId="0123955D" w:rsidR="0029706E" w:rsidRPr="00AD6D18" w:rsidRDefault="0029706E" w:rsidP="00284BEE">
            <w:pPr>
              <w:pStyle w:val="StandardOCAshurst"/>
              <w:tabs>
                <w:tab w:val="left" w:leader="dot" w:pos="1780"/>
              </w:tabs>
              <w:jc w:val="left"/>
              <w:rPr>
                <w:b/>
                <w:bCs/>
                <w:sz w:val="14"/>
                <w:szCs w:val="14"/>
              </w:rPr>
            </w:pPr>
            <w:r w:rsidRPr="00AD6D18">
              <w:rPr>
                <w:b/>
                <w:bCs/>
                <w:sz w:val="14"/>
                <w:szCs w:val="14"/>
              </w:rPr>
              <w:t>Total comprehensive (loss) / profit for the year, attributable to owners of the parent</w:t>
            </w:r>
            <w:r w:rsidR="00284BEE" w:rsidRPr="00284BEE">
              <w:rPr>
                <w:sz w:val="14"/>
                <w:szCs w:val="14"/>
              </w:rPr>
              <w:tab/>
            </w:r>
          </w:p>
        </w:tc>
        <w:tc>
          <w:tcPr>
            <w:tcW w:w="763" w:type="pct"/>
            <w:tcMar>
              <w:left w:w="57" w:type="dxa"/>
              <w:right w:w="57" w:type="dxa"/>
            </w:tcMar>
            <w:vAlign w:val="bottom"/>
          </w:tcPr>
          <w:p w14:paraId="50130C37" w14:textId="5A21FFF5" w:rsidR="0029706E" w:rsidRPr="000E0825" w:rsidRDefault="0029706E" w:rsidP="00396E87">
            <w:pPr>
              <w:pStyle w:val="StandardOCAshurst"/>
              <w:pBdr>
                <w:bottom w:val="double" w:sz="4" w:space="1" w:color="auto"/>
              </w:pBdr>
              <w:jc w:val="right"/>
              <w:rPr>
                <w:b/>
                <w:bCs/>
                <w:sz w:val="16"/>
                <w:szCs w:val="16"/>
              </w:rPr>
            </w:pPr>
            <w:r w:rsidRPr="000E0825">
              <w:rPr>
                <w:b/>
                <w:bCs/>
                <w:sz w:val="16"/>
                <w:szCs w:val="16"/>
              </w:rPr>
              <w:t>(</w:t>
            </w:r>
            <w:r w:rsidR="00701FD8">
              <w:rPr>
                <w:b/>
                <w:bCs/>
                <w:sz w:val="16"/>
                <w:szCs w:val="16"/>
              </w:rPr>
              <w:t>469,945</w:t>
            </w:r>
            <w:r w:rsidRPr="000E0825">
              <w:rPr>
                <w:b/>
                <w:bCs/>
                <w:sz w:val="16"/>
                <w:szCs w:val="16"/>
              </w:rPr>
              <w:t>)</w:t>
            </w:r>
          </w:p>
        </w:tc>
        <w:tc>
          <w:tcPr>
            <w:tcW w:w="568" w:type="pct"/>
            <w:tcMar>
              <w:left w:w="57" w:type="dxa"/>
              <w:right w:w="57" w:type="dxa"/>
            </w:tcMar>
            <w:vAlign w:val="bottom"/>
          </w:tcPr>
          <w:p w14:paraId="05C87F23" w14:textId="57770671" w:rsidR="0029706E" w:rsidRPr="000E0825" w:rsidRDefault="00D03658" w:rsidP="00396E87">
            <w:pPr>
              <w:pStyle w:val="StandardOCAshurst"/>
              <w:pBdr>
                <w:bottom w:val="double" w:sz="4" w:space="1" w:color="auto"/>
              </w:pBdr>
              <w:jc w:val="right"/>
              <w:rPr>
                <w:b/>
                <w:bCs/>
                <w:sz w:val="16"/>
                <w:szCs w:val="16"/>
              </w:rPr>
            </w:pPr>
            <w:r w:rsidRPr="000E0825">
              <w:rPr>
                <w:b/>
                <w:bCs/>
                <w:sz w:val="16"/>
                <w:szCs w:val="16"/>
              </w:rPr>
              <w:t>14,740</w:t>
            </w:r>
          </w:p>
        </w:tc>
        <w:tc>
          <w:tcPr>
            <w:tcW w:w="568" w:type="pct"/>
            <w:tcMar>
              <w:left w:w="57" w:type="dxa"/>
              <w:right w:w="57" w:type="dxa"/>
            </w:tcMar>
            <w:vAlign w:val="bottom"/>
          </w:tcPr>
          <w:p w14:paraId="77C21D6E" w14:textId="0C3F0C06" w:rsidR="0029706E" w:rsidRPr="000E0825" w:rsidRDefault="0029706E" w:rsidP="00396E87">
            <w:pPr>
              <w:pStyle w:val="StandardOCAshurst"/>
              <w:pBdr>
                <w:bottom w:val="double" w:sz="4" w:space="1" w:color="auto"/>
              </w:pBdr>
              <w:jc w:val="right"/>
              <w:rPr>
                <w:b/>
                <w:bCs/>
                <w:sz w:val="16"/>
                <w:szCs w:val="16"/>
              </w:rPr>
            </w:pPr>
            <w:r w:rsidRPr="000E0825">
              <w:rPr>
                <w:b/>
                <w:bCs/>
                <w:sz w:val="16"/>
                <w:szCs w:val="16"/>
              </w:rPr>
              <w:t>(</w:t>
            </w:r>
            <w:r w:rsidR="00D03658" w:rsidRPr="000E0825">
              <w:rPr>
                <w:b/>
                <w:bCs/>
                <w:sz w:val="16"/>
                <w:szCs w:val="16"/>
              </w:rPr>
              <w:t>16,226</w:t>
            </w:r>
            <w:r w:rsidRPr="000E0825">
              <w:rPr>
                <w:b/>
                <w:bCs/>
                <w:sz w:val="16"/>
                <w:szCs w:val="16"/>
              </w:rPr>
              <w:t>)</w:t>
            </w:r>
          </w:p>
        </w:tc>
        <w:tc>
          <w:tcPr>
            <w:tcW w:w="568" w:type="pct"/>
            <w:tcMar>
              <w:left w:w="57" w:type="dxa"/>
              <w:right w:w="57" w:type="dxa"/>
            </w:tcMar>
            <w:vAlign w:val="bottom"/>
          </w:tcPr>
          <w:p w14:paraId="6CEFFC3F" w14:textId="18620423" w:rsidR="0029706E" w:rsidRPr="000E0825" w:rsidRDefault="0029706E" w:rsidP="00396E87">
            <w:pPr>
              <w:pStyle w:val="StandardOCAshurst"/>
              <w:pBdr>
                <w:bottom w:val="double" w:sz="4" w:space="1" w:color="auto"/>
              </w:pBdr>
              <w:jc w:val="right"/>
              <w:rPr>
                <w:b/>
                <w:bCs/>
                <w:sz w:val="16"/>
                <w:szCs w:val="16"/>
              </w:rPr>
            </w:pPr>
            <w:r w:rsidRPr="000E0825">
              <w:rPr>
                <w:b/>
                <w:bCs/>
                <w:sz w:val="16"/>
                <w:szCs w:val="16"/>
              </w:rPr>
              <w:t>2</w:t>
            </w:r>
            <w:r w:rsidR="006F0370">
              <w:rPr>
                <w:b/>
                <w:bCs/>
                <w:sz w:val="16"/>
                <w:szCs w:val="16"/>
              </w:rPr>
              <w:t>15,205</w:t>
            </w:r>
          </w:p>
        </w:tc>
        <w:tc>
          <w:tcPr>
            <w:tcW w:w="568" w:type="pct"/>
            <w:tcMar>
              <w:left w:w="57" w:type="dxa"/>
              <w:right w:w="57" w:type="dxa"/>
            </w:tcMar>
            <w:vAlign w:val="bottom"/>
          </w:tcPr>
          <w:p w14:paraId="4DACDD52" w14:textId="248D3675" w:rsidR="0029706E" w:rsidRPr="000E0825" w:rsidRDefault="0029706E" w:rsidP="00396E87">
            <w:pPr>
              <w:pStyle w:val="StandardOCAshurst"/>
              <w:pBdr>
                <w:bottom w:val="double" w:sz="4" w:space="1" w:color="auto"/>
              </w:pBdr>
              <w:jc w:val="right"/>
              <w:rPr>
                <w:b/>
                <w:bCs/>
                <w:sz w:val="16"/>
                <w:szCs w:val="16"/>
              </w:rPr>
            </w:pPr>
            <w:r w:rsidRPr="000E0825">
              <w:rPr>
                <w:b/>
                <w:bCs/>
                <w:sz w:val="16"/>
                <w:szCs w:val="16"/>
              </w:rPr>
              <w:t>1,959</w:t>
            </w:r>
          </w:p>
        </w:tc>
        <w:tc>
          <w:tcPr>
            <w:tcW w:w="763" w:type="pct"/>
            <w:tcMar>
              <w:left w:w="57" w:type="dxa"/>
              <w:right w:w="57" w:type="dxa"/>
            </w:tcMar>
            <w:vAlign w:val="bottom"/>
          </w:tcPr>
          <w:p w14:paraId="7BB363EF" w14:textId="03456C1D" w:rsidR="0029706E" w:rsidRPr="000E0825" w:rsidRDefault="00D03658" w:rsidP="00396E87">
            <w:pPr>
              <w:pStyle w:val="StandardOCAshurst"/>
              <w:pBdr>
                <w:bottom w:val="double" w:sz="4" w:space="1" w:color="auto"/>
              </w:pBdr>
              <w:jc w:val="right"/>
              <w:rPr>
                <w:b/>
                <w:bCs/>
                <w:sz w:val="16"/>
                <w:szCs w:val="16"/>
              </w:rPr>
            </w:pPr>
            <w:r w:rsidRPr="000E0825">
              <w:rPr>
                <w:b/>
                <w:bCs/>
                <w:sz w:val="16"/>
                <w:szCs w:val="16"/>
              </w:rPr>
              <w:t>(</w:t>
            </w:r>
            <w:r w:rsidR="006F0370">
              <w:rPr>
                <w:b/>
                <w:bCs/>
                <w:sz w:val="16"/>
                <w:szCs w:val="16"/>
              </w:rPr>
              <w:t>254,267</w:t>
            </w:r>
            <w:r w:rsidRPr="000E0825">
              <w:rPr>
                <w:b/>
                <w:bCs/>
                <w:sz w:val="16"/>
                <w:szCs w:val="16"/>
              </w:rPr>
              <w:t>)</w:t>
            </w:r>
          </w:p>
        </w:tc>
      </w:tr>
    </w:tbl>
    <w:p w14:paraId="732A0B5A" w14:textId="77777777" w:rsidR="00D030ED" w:rsidRPr="00AD6D18" w:rsidRDefault="00D030ED" w:rsidP="00396E87">
      <w:pPr>
        <w:pStyle w:val="NormalOCAshurst"/>
        <w:spacing w:after="0"/>
        <w:jc w:val="left"/>
        <w:rPr>
          <w:rFonts w:asciiTheme="majorHAnsi" w:hAnsiTheme="majorHAnsi" w:cstheme="majorHAnsi"/>
        </w:rPr>
      </w:pPr>
    </w:p>
    <w:p w14:paraId="596864C9" w14:textId="77777777" w:rsidR="00696912" w:rsidRPr="00AD6D18" w:rsidRDefault="00696912" w:rsidP="00396E87">
      <w:pPr>
        <w:pStyle w:val="NormalOCAshurst"/>
        <w:rPr>
          <w:rFonts w:asciiTheme="majorHAnsi" w:hAnsiTheme="majorHAnsi" w:cstheme="majorHAnsi"/>
        </w:rPr>
      </w:pPr>
      <w:r w:rsidRPr="00AD6D18">
        <w:rPr>
          <w:rFonts w:asciiTheme="majorHAnsi" w:hAnsiTheme="majorHAnsi" w:cstheme="majorHAnsi"/>
          <w:b/>
          <w:bCs/>
          <w:i/>
          <w:iCs/>
        </w:rPr>
        <w:t>Note 1</w:t>
      </w:r>
      <w:r w:rsidRPr="00AD6D18">
        <w:rPr>
          <w:rFonts w:asciiTheme="majorHAnsi" w:hAnsiTheme="majorHAnsi" w:cstheme="majorHAnsi"/>
        </w:rPr>
        <w:t>:</w:t>
      </w:r>
    </w:p>
    <w:p w14:paraId="3D3330C6" w14:textId="73A61F4A" w:rsidR="00696912" w:rsidRPr="00AD6D18" w:rsidRDefault="00696912" w:rsidP="00396E87">
      <w:pPr>
        <w:pStyle w:val="NormalOCAshurst"/>
        <w:rPr>
          <w:rFonts w:asciiTheme="majorHAnsi" w:hAnsiTheme="majorHAnsi" w:cstheme="majorHAnsi"/>
        </w:rPr>
      </w:pPr>
      <w:r w:rsidRPr="00AD6D18">
        <w:rPr>
          <w:rFonts w:asciiTheme="majorHAnsi" w:hAnsiTheme="majorHAnsi" w:cstheme="majorHAnsi"/>
        </w:rPr>
        <w:t xml:space="preserve">The </w:t>
      </w:r>
      <w:r w:rsidR="00C71875">
        <w:rPr>
          <w:rFonts w:asciiTheme="majorHAnsi" w:hAnsiTheme="majorHAnsi" w:cstheme="majorHAnsi"/>
        </w:rPr>
        <w:t xml:space="preserve">restated </w:t>
      </w:r>
      <w:r w:rsidRPr="00AD6D18">
        <w:rPr>
          <w:rFonts w:asciiTheme="majorHAnsi" w:hAnsiTheme="majorHAnsi" w:cstheme="majorHAnsi"/>
        </w:rPr>
        <w:t xml:space="preserve">EnQuest </w:t>
      </w:r>
      <w:r w:rsidR="00C71875">
        <w:rPr>
          <w:rFonts w:asciiTheme="majorHAnsi" w:hAnsiTheme="majorHAnsi" w:cstheme="majorHAnsi"/>
        </w:rPr>
        <w:t xml:space="preserve">Group's consolidated income statement for the year ended 31 December 2020 </w:t>
      </w:r>
      <w:r w:rsidRPr="00AD6D18">
        <w:rPr>
          <w:rFonts w:asciiTheme="majorHAnsi" w:hAnsiTheme="majorHAnsi" w:cstheme="majorHAnsi"/>
        </w:rPr>
        <w:t>has been extracted</w:t>
      </w:r>
      <w:r w:rsidR="00C71875">
        <w:rPr>
          <w:rFonts w:asciiTheme="majorHAnsi" w:hAnsiTheme="majorHAnsi" w:cstheme="majorHAnsi"/>
        </w:rPr>
        <w:t xml:space="preserve"> </w:t>
      </w:r>
      <w:r w:rsidRPr="00AD6D18">
        <w:rPr>
          <w:rFonts w:asciiTheme="majorHAnsi" w:hAnsiTheme="majorHAnsi" w:cstheme="majorHAnsi"/>
        </w:rPr>
        <w:t>from</w:t>
      </w:r>
      <w:r w:rsidR="00022B51">
        <w:rPr>
          <w:rFonts w:asciiTheme="majorHAnsi" w:hAnsiTheme="majorHAnsi" w:cstheme="majorHAnsi"/>
        </w:rPr>
        <w:t xml:space="preserve"> paragraph</w:t>
      </w:r>
      <w:r w:rsidRPr="00AD6D18">
        <w:rPr>
          <w:rFonts w:asciiTheme="majorHAnsi" w:hAnsiTheme="majorHAnsi" w:cstheme="majorHAnsi"/>
        </w:rPr>
        <w:t xml:space="preserve"> </w:t>
      </w:r>
      <w:r w:rsidR="00C05476">
        <w:rPr>
          <w:rFonts w:asciiTheme="majorHAnsi" w:hAnsiTheme="majorHAnsi" w:cstheme="majorHAnsi"/>
        </w:rPr>
        <w:fldChar w:fldCharType="begin"/>
      </w:r>
      <w:r w:rsidR="00C05476">
        <w:rPr>
          <w:rFonts w:asciiTheme="majorHAnsi" w:hAnsiTheme="majorHAnsi" w:cstheme="majorHAnsi"/>
        </w:rPr>
        <w:instrText xml:space="preserve"> REF _Ref83024359 \w \h </w:instrText>
      </w:r>
      <w:r w:rsidR="00C05476">
        <w:rPr>
          <w:rFonts w:asciiTheme="majorHAnsi" w:hAnsiTheme="majorHAnsi" w:cstheme="majorHAnsi"/>
        </w:rPr>
      </w:r>
      <w:r w:rsidR="00C05476">
        <w:rPr>
          <w:rFonts w:asciiTheme="majorHAnsi" w:hAnsiTheme="majorHAnsi" w:cstheme="majorHAnsi"/>
        </w:rPr>
        <w:fldChar w:fldCharType="separate"/>
      </w:r>
      <w:r w:rsidR="002D487F">
        <w:rPr>
          <w:rFonts w:asciiTheme="majorHAnsi" w:hAnsiTheme="majorHAnsi" w:cstheme="majorHAnsi"/>
          <w:cs/>
        </w:rPr>
        <w:t>‎</w:t>
      </w:r>
      <w:r w:rsidR="002D487F">
        <w:rPr>
          <w:rFonts w:asciiTheme="majorHAnsi" w:hAnsiTheme="majorHAnsi" w:cstheme="majorHAnsi"/>
        </w:rPr>
        <w:t>2.1(a)</w:t>
      </w:r>
      <w:r w:rsidR="00C05476">
        <w:rPr>
          <w:rFonts w:asciiTheme="majorHAnsi" w:hAnsiTheme="majorHAnsi" w:cstheme="majorHAnsi"/>
        </w:rPr>
        <w:fldChar w:fldCharType="end"/>
      </w:r>
      <w:r w:rsidR="00C05476">
        <w:rPr>
          <w:rFonts w:asciiTheme="majorHAnsi" w:hAnsiTheme="majorHAnsi" w:cstheme="majorHAnsi"/>
        </w:rPr>
        <w:t xml:space="preserve"> of </w:t>
      </w:r>
      <w:r w:rsidR="00C05476">
        <w:rPr>
          <w:rFonts w:asciiTheme="majorHAnsi" w:hAnsiTheme="majorHAnsi" w:cstheme="majorHAnsi"/>
        </w:rPr>
        <w:fldChar w:fldCharType="begin"/>
      </w:r>
      <w:r w:rsidR="00C05476">
        <w:rPr>
          <w:rFonts w:asciiTheme="majorHAnsi" w:hAnsiTheme="majorHAnsi" w:cstheme="majorHAnsi"/>
        </w:rPr>
        <w:instrText xml:space="preserve"> REF _Ref81837180 \w \h </w:instrText>
      </w:r>
      <w:r w:rsidR="00C05476">
        <w:rPr>
          <w:rFonts w:asciiTheme="majorHAnsi" w:hAnsiTheme="majorHAnsi" w:cstheme="majorHAnsi"/>
        </w:rPr>
      </w:r>
      <w:r w:rsidR="00C05476">
        <w:rPr>
          <w:rFonts w:asciiTheme="majorHAnsi" w:hAnsiTheme="majorHAnsi" w:cstheme="majorHAnsi"/>
        </w:rPr>
        <w:fldChar w:fldCharType="separate"/>
      </w:r>
      <w:r w:rsidR="002D487F">
        <w:rPr>
          <w:rFonts w:asciiTheme="majorHAnsi" w:hAnsiTheme="majorHAnsi" w:cstheme="majorHAnsi"/>
          <w:cs/>
        </w:rPr>
        <w:t>‎</w:t>
      </w:r>
      <w:r w:rsidR="002D487F">
        <w:rPr>
          <w:rFonts w:asciiTheme="majorHAnsi" w:hAnsiTheme="majorHAnsi" w:cstheme="majorHAnsi"/>
        </w:rPr>
        <w:t>Part 1</w:t>
      </w:r>
      <w:r w:rsidR="00C05476">
        <w:rPr>
          <w:rFonts w:asciiTheme="majorHAnsi" w:hAnsiTheme="majorHAnsi" w:cstheme="majorHAnsi"/>
        </w:rPr>
        <w:fldChar w:fldCharType="end"/>
      </w:r>
      <w:r w:rsidR="00C05476">
        <w:rPr>
          <w:rFonts w:asciiTheme="majorHAnsi" w:hAnsiTheme="majorHAnsi" w:cstheme="majorHAnsi"/>
        </w:rPr>
        <w:t xml:space="preserve"> </w:t>
      </w:r>
      <w:r w:rsidR="00C71875">
        <w:rPr>
          <w:rFonts w:asciiTheme="majorHAnsi" w:hAnsiTheme="majorHAnsi" w:cstheme="majorHAnsi"/>
          <w:i/>
          <w:iCs/>
        </w:rPr>
        <w:t>("Supplementary Information")</w:t>
      </w:r>
      <w:r w:rsidR="00C71875">
        <w:rPr>
          <w:rFonts w:asciiTheme="majorHAnsi" w:hAnsiTheme="majorHAnsi" w:cstheme="majorHAnsi"/>
        </w:rPr>
        <w:t xml:space="preserve"> of </w:t>
      </w:r>
      <w:r w:rsidR="001E486A">
        <w:rPr>
          <w:rFonts w:asciiTheme="majorHAnsi" w:hAnsiTheme="majorHAnsi" w:cstheme="majorHAnsi"/>
        </w:rPr>
        <w:t>this Supplementary Prospectus</w:t>
      </w:r>
      <w:r w:rsidRPr="00AD6D18">
        <w:rPr>
          <w:rFonts w:asciiTheme="majorHAnsi" w:hAnsiTheme="majorHAnsi" w:cstheme="majorHAnsi"/>
        </w:rPr>
        <w:t>.</w:t>
      </w:r>
    </w:p>
    <w:p w14:paraId="6FE2EA01" w14:textId="74024D7B" w:rsidR="00696912" w:rsidRPr="00AD6D18" w:rsidRDefault="00696912" w:rsidP="00396E87">
      <w:pPr>
        <w:pStyle w:val="NormalOCAshurst"/>
        <w:rPr>
          <w:rFonts w:asciiTheme="majorHAnsi" w:hAnsiTheme="majorHAnsi" w:cstheme="majorHAnsi"/>
        </w:rPr>
      </w:pPr>
      <w:r w:rsidRPr="00AD6D18">
        <w:rPr>
          <w:rFonts w:asciiTheme="majorHAnsi" w:hAnsiTheme="majorHAnsi" w:cstheme="majorHAnsi"/>
          <w:b/>
          <w:bCs/>
          <w:i/>
          <w:iCs/>
        </w:rPr>
        <w:t>Note 2</w:t>
      </w:r>
      <w:r w:rsidRPr="00AD6D18">
        <w:rPr>
          <w:rFonts w:asciiTheme="majorHAnsi" w:hAnsiTheme="majorHAnsi" w:cstheme="majorHAnsi"/>
        </w:rPr>
        <w:t>:</w:t>
      </w:r>
    </w:p>
    <w:p w14:paraId="544604CA" w14:textId="463EA022" w:rsidR="00696912" w:rsidRDefault="00696912" w:rsidP="00396E87">
      <w:pPr>
        <w:pStyle w:val="NormalOCAshurst"/>
        <w:rPr>
          <w:rFonts w:asciiTheme="majorHAnsi" w:hAnsiTheme="majorHAnsi" w:cstheme="majorHAnsi"/>
        </w:rPr>
      </w:pPr>
      <w:r w:rsidRPr="00AD6D18">
        <w:rPr>
          <w:rFonts w:asciiTheme="majorHAnsi" w:hAnsiTheme="majorHAnsi" w:cstheme="majorHAnsi"/>
        </w:rPr>
        <w:t xml:space="preserve">The income statement of the </w:t>
      </w:r>
      <w:r w:rsidR="00551E86">
        <w:rPr>
          <w:rFonts w:asciiTheme="majorHAnsi" w:hAnsiTheme="majorHAnsi" w:cstheme="majorHAnsi"/>
        </w:rPr>
        <w:t>Golden Eagle Asset</w:t>
      </w:r>
      <w:r w:rsidRPr="00AD6D18">
        <w:rPr>
          <w:rFonts w:asciiTheme="majorHAnsi" w:hAnsiTheme="majorHAnsi" w:cstheme="majorHAnsi"/>
        </w:rPr>
        <w:t xml:space="preserve"> ha</w:t>
      </w:r>
      <w:r w:rsidR="00F94EA9">
        <w:rPr>
          <w:rFonts w:asciiTheme="majorHAnsi" w:hAnsiTheme="majorHAnsi" w:cstheme="majorHAnsi"/>
        </w:rPr>
        <w:t>s</w:t>
      </w:r>
      <w:r w:rsidRPr="00AD6D18">
        <w:rPr>
          <w:rFonts w:asciiTheme="majorHAnsi" w:hAnsiTheme="majorHAnsi" w:cstheme="majorHAnsi"/>
        </w:rPr>
        <w:t xml:space="preserve"> been extracted without adjustment from the financial information on the </w:t>
      </w:r>
      <w:r w:rsidR="00551E86">
        <w:rPr>
          <w:rFonts w:asciiTheme="majorHAnsi" w:hAnsiTheme="majorHAnsi" w:cstheme="majorHAnsi"/>
        </w:rPr>
        <w:t>Golden Eagle Asset</w:t>
      </w:r>
      <w:r w:rsidRPr="00AD6D18">
        <w:rPr>
          <w:rFonts w:asciiTheme="majorHAnsi" w:hAnsiTheme="majorHAnsi" w:cstheme="majorHAnsi"/>
        </w:rPr>
        <w:t xml:space="preserve"> for the year ended 31 December 2020 as included in </w:t>
      </w:r>
      <w:r w:rsidR="001E486A">
        <w:rPr>
          <w:rFonts w:asciiTheme="majorHAnsi" w:hAnsiTheme="majorHAnsi" w:cstheme="majorHAnsi"/>
        </w:rPr>
        <w:t>Part 7</w:t>
      </w:r>
      <w:r w:rsidRPr="00AD6D18">
        <w:rPr>
          <w:rFonts w:asciiTheme="majorHAnsi" w:hAnsiTheme="majorHAnsi" w:cstheme="majorHAnsi"/>
        </w:rPr>
        <w:t xml:space="preserve"> </w:t>
      </w:r>
      <w:r w:rsidR="00142B83" w:rsidRPr="00142B83">
        <w:rPr>
          <w:rFonts w:asciiTheme="majorHAnsi" w:hAnsiTheme="majorHAnsi" w:cstheme="majorHAnsi"/>
        </w:rPr>
        <w:t>("</w:t>
      </w:r>
      <w:r w:rsidR="00142B83" w:rsidRPr="00142B83">
        <w:rPr>
          <w:rFonts w:asciiTheme="majorHAnsi" w:hAnsiTheme="majorHAnsi" w:cstheme="majorHAnsi"/>
          <w:i/>
          <w:iCs/>
        </w:rPr>
        <w:t>Financial information on the Golden Eagle Asset</w:t>
      </w:r>
      <w:r w:rsidR="00142B83" w:rsidRPr="00142B83">
        <w:rPr>
          <w:rFonts w:asciiTheme="majorHAnsi" w:hAnsiTheme="majorHAnsi" w:cstheme="majorHAnsi"/>
        </w:rPr>
        <w:t xml:space="preserve">") </w:t>
      </w:r>
      <w:r w:rsidRPr="00AD6D18">
        <w:rPr>
          <w:rFonts w:asciiTheme="majorHAnsi" w:hAnsiTheme="majorHAnsi" w:cstheme="majorHAnsi"/>
        </w:rPr>
        <w:t>of th</w:t>
      </w:r>
      <w:r w:rsidR="007C61AC">
        <w:rPr>
          <w:rFonts w:asciiTheme="majorHAnsi" w:hAnsiTheme="majorHAnsi" w:cstheme="majorHAnsi"/>
        </w:rPr>
        <w:t xml:space="preserve">e </w:t>
      </w:r>
      <w:r w:rsidR="007C61AC" w:rsidRPr="00C05476">
        <w:rPr>
          <w:rFonts w:asciiTheme="majorHAnsi" w:hAnsiTheme="majorHAnsi" w:cstheme="majorHAnsi"/>
        </w:rPr>
        <w:t>Original Prospectus</w:t>
      </w:r>
      <w:r w:rsidRPr="00AD6D18">
        <w:rPr>
          <w:rFonts w:asciiTheme="majorHAnsi" w:hAnsiTheme="majorHAnsi" w:cstheme="majorHAnsi"/>
        </w:rPr>
        <w:t>.</w:t>
      </w:r>
    </w:p>
    <w:p w14:paraId="64CCAF9D" w14:textId="0BADFA85" w:rsidR="00D85440" w:rsidRPr="00AD6D18" w:rsidRDefault="00D85440" w:rsidP="00396E87">
      <w:pPr>
        <w:pStyle w:val="NormalOCAshurst"/>
        <w:rPr>
          <w:rFonts w:asciiTheme="majorHAnsi" w:hAnsiTheme="majorHAnsi" w:cstheme="majorHAnsi"/>
        </w:rPr>
      </w:pPr>
      <w:r w:rsidRPr="00D85440">
        <w:rPr>
          <w:rFonts w:asciiTheme="majorHAnsi" w:hAnsiTheme="majorHAnsi" w:cstheme="majorHAnsi"/>
        </w:rPr>
        <w:t xml:space="preserve">Note that no additional adjustments have been made to reflect any potential overheads relating to absorbing the assets in the </w:t>
      </w:r>
      <w:r>
        <w:rPr>
          <w:rFonts w:asciiTheme="majorHAnsi" w:hAnsiTheme="majorHAnsi" w:cstheme="majorHAnsi"/>
        </w:rPr>
        <w:t xml:space="preserve">EnQuest </w:t>
      </w:r>
      <w:r w:rsidRPr="00D85440">
        <w:rPr>
          <w:rFonts w:asciiTheme="majorHAnsi" w:hAnsiTheme="majorHAnsi" w:cstheme="majorHAnsi"/>
        </w:rPr>
        <w:t>Group</w:t>
      </w:r>
      <w:r>
        <w:rPr>
          <w:rFonts w:asciiTheme="majorHAnsi" w:hAnsiTheme="majorHAnsi" w:cstheme="majorHAnsi"/>
        </w:rPr>
        <w:t>'</w:t>
      </w:r>
      <w:r w:rsidRPr="00D85440">
        <w:rPr>
          <w:rFonts w:asciiTheme="majorHAnsi" w:hAnsiTheme="majorHAnsi" w:cstheme="majorHAnsi"/>
        </w:rPr>
        <w:t>s structure.</w:t>
      </w:r>
    </w:p>
    <w:p w14:paraId="1D32A090" w14:textId="6AC62DF5" w:rsidR="00696912" w:rsidRPr="00AD6D18" w:rsidRDefault="00696912" w:rsidP="00396E87">
      <w:pPr>
        <w:pStyle w:val="NormalOCAshurst"/>
        <w:rPr>
          <w:rFonts w:asciiTheme="majorHAnsi" w:hAnsiTheme="majorHAnsi" w:cstheme="majorHAnsi"/>
        </w:rPr>
      </w:pPr>
      <w:r w:rsidRPr="00AD6D18">
        <w:rPr>
          <w:rFonts w:asciiTheme="majorHAnsi" w:hAnsiTheme="majorHAnsi" w:cstheme="majorHAnsi"/>
          <w:b/>
          <w:bCs/>
          <w:i/>
          <w:iCs/>
        </w:rPr>
        <w:t>Note 3</w:t>
      </w:r>
      <w:r w:rsidRPr="00AD6D18">
        <w:rPr>
          <w:rFonts w:asciiTheme="majorHAnsi" w:hAnsiTheme="majorHAnsi" w:cstheme="majorHAnsi"/>
        </w:rPr>
        <w:t>:</w:t>
      </w:r>
    </w:p>
    <w:p w14:paraId="3AB7DA2B" w14:textId="419DA16A" w:rsidR="00696912" w:rsidRPr="00AD6D18" w:rsidRDefault="00696912" w:rsidP="00396E87">
      <w:pPr>
        <w:pStyle w:val="NormalOCAshurst"/>
        <w:rPr>
          <w:rFonts w:asciiTheme="majorHAnsi" w:hAnsiTheme="majorHAnsi" w:cstheme="majorHAnsi"/>
        </w:rPr>
      </w:pPr>
      <w:r w:rsidRPr="00AD6D18">
        <w:rPr>
          <w:rFonts w:asciiTheme="majorHAnsi" w:hAnsiTheme="majorHAnsi" w:cstheme="majorHAnsi"/>
        </w:rPr>
        <w:t>The unaudited pro forma financial information has been prepared on the basis that the Acquisition will be treated as an asset acquisition as it does not meet the IFRS</w:t>
      </w:r>
      <w:r w:rsidR="00D21B8A">
        <w:rPr>
          <w:rFonts w:asciiTheme="majorHAnsi" w:hAnsiTheme="majorHAnsi" w:cstheme="majorHAnsi"/>
        </w:rPr>
        <w:t xml:space="preserve"> </w:t>
      </w:r>
      <w:r w:rsidRPr="00AD6D18">
        <w:rPr>
          <w:rFonts w:asciiTheme="majorHAnsi" w:hAnsiTheme="majorHAnsi" w:cstheme="majorHAnsi"/>
        </w:rPr>
        <w:t xml:space="preserve">3 </w:t>
      </w:r>
      <w:r w:rsidR="00F3104B">
        <w:rPr>
          <w:rFonts w:asciiTheme="majorHAnsi" w:hAnsiTheme="majorHAnsi" w:cstheme="majorHAnsi"/>
        </w:rPr>
        <w:t xml:space="preserve">Business Combinations </w:t>
      </w:r>
      <w:r w:rsidRPr="00AD6D18">
        <w:rPr>
          <w:rFonts w:asciiTheme="majorHAnsi" w:hAnsiTheme="majorHAnsi" w:cstheme="majorHAnsi"/>
        </w:rPr>
        <w:t>definition of a business combination. In this scenario</w:t>
      </w:r>
      <w:r w:rsidR="00021BD2">
        <w:rPr>
          <w:rFonts w:asciiTheme="majorHAnsi" w:hAnsiTheme="majorHAnsi" w:cstheme="majorHAnsi"/>
        </w:rPr>
        <w:t>,</w:t>
      </w:r>
      <w:r w:rsidRPr="00AD6D18">
        <w:rPr>
          <w:rFonts w:asciiTheme="majorHAnsi" w:hAnsiTheme="majorHAnsi" w:cstheme="majorHAnsi"/>
        </w:rPr>
        <w:t xml:space="preserve"> IFRS 3 </w:t>
      </w:r>
      <w:r w:rsidR="00F3104B">
        <w:rPr>
          <w:rFonts w:asciiTheme="majorHAnsi" w:hAnsiTheme="majorHAnsi" w:cstheme="majorHAnsi"/>
        </w:rPr>
        <w:t xml:space="preserve">Business Combinations </w:t>
      </w:r>
      <w:r w:rsidRPr="00AD6D18">
        <w:rPr>
          <w:rFonts w:asciiTheme="majorHAnsi" w:hAnsiTheme="majorHAnsi" w:cstheme="majorHAnsi"/>
        </w:rPr>
        <w:t>requires that the excess of consideration paid over the carrying value of net assets acquired is allocated to the asset and liabilities on the basis of their relative fair values. On the basis that property, plant and equipment represent substantially all of the assets acquired, the excess has been allocated to property plant and equipment.</w:t>
      </w:r>
    </w:p>
    <w:p w14:paraId="3A3967CE" w14:textId="11375F0F" w:rsidR="00696912" w:rsidRPr="00AD6D18" w:rsidRDefault="00696912" w:rsidP="00396E87">
      <w:pPr>
        <w:pStyle w:val="NormalOCAshurst"/>
        <w:rPr>
          <w:rFonts w:asciiTheme="majorHAnsi" w:hAnsiTheme="majorHAnsi" w:cstheme="majorHAnsi"/>
        </w:rPr>
      </w:pPr>
      <w:r w:rsidRPr="00AD6D18">
        <w:rPr>
          <w:rFonts w:asciiTheme="majorHAnsi" w:hAnsiTheme="majorHAnsi" w:cstheme="majorHAnsi"/>
        </w:rPr>
        <w:t>An additional depreciation, depletion and amortisation (</w:t>
      </w:r>
      <w:r w:rsidRPr="00142B83">
        <w:rPr>
          <w:rFonts w:asciiTheme="majorHAnsi" w:hAnsiTheme="majorHAnsi" w:cstheme="majorHAnsi"/>
          <w:b/>
          <w:bCs/>
        </w:rPr>
        <w:t>"DD&amp;A"</w:t>
      </w:r>
      <w:r w:rsidRPr="00AD6D18">
        <w:rPr>
          <w:rFonts w:asciiTheme="majorHAnsi" w:hAnsiTheme="majorHAnsi" w:cstheme="majorHAnsi"/>
        </w:rPr>
        <w:t>) charge of $1</w:t>
      </w:r>
      <w:r w:rsidR="00D03658">
        <w:rPr>
          <w:rFonts w:asciiTheme="majorHAnsi" w:hAnsiTheme="majorHAnsi" w:cstheme="majorHAnsi"/>
        </w:rPr>
        <w:t>6.2</w:t>
      </w:r>
      <w:r w:rsidRPr="00AD6D18">
        <w:rPr>
          <w:rFonts w:asciiTheme="majorHAnsi" w:hAnsiTheme="majorHAnsi" w:cstheme="majorHAnsi"/>
        </w:rPr>
        <w:t xml:space="preserve"> million has therefore been recognised within cost of sales as if the Acquisition had taken place on 1 January 2020. </w:t>
      </w:r>
    </w:p>
    <w:p w14:paraId="47502EEA" w14:textId="121D1602" w:rsidR="00696912" w:rsidRPr="00AD6D18" w:rsidRDefault="00696912" w:rsidP="00396E87">
      <w:pPr>
        <w:pStyle w:val="NormalOCAshurst"/>
        <w:rPr>
          <w:rFonts w:asciiTheme="majorHAnsi" w:hAnsiTheme="majorHAnsi" w:cstheme="majorHAnsi"/>
        </w:rPr>
      </w:pPr>
      <w:r w:rsidRPr="00AD6D18">
        <w:rPr>
          <w:rFonts w:asciiTheme="majorHAnsi" w:hAnsiTheme="majorHAnsi" w:cstheme="majorHAnsi"/>
        </w:rPr>
        <w:t>The DD&amp;A charge is based on the Golden Eagle Asset reserves identified in the Gaffney</w:t>
      </w:r>
      <w:r w:rsidR="00142B83">
        <w:rPr>
          <w:rFonts w:asciiTheme="majorHAnsi" w:hAnsiTheme="majorHAnsi" w:cstheme="majorHAnsi"/>
        </w:rPr>
        <w:t>C</w:t>
      </w:r>
      <w:r w:rsidRPr="00AD6D18">
        <w:rPr>
          <w:rFonts w:asciiTheme="majorHAnsi" w:hAnsiTheme="majorHAnsi" w:cstheme="majorHAnsi"/>
        </w:rPr>
        <w:t xml:space="preserve">line CPR on the Golden Eagle Area Development, as set out in </w:t>
      </w:r>
      <w:r w:rsidR="00596024">
        <w:rPr>
          <w:rFonts w:asciiTheme="majorHAnsi" w:hAnsiTheme="majorHAnsi" w:cstheme="majorHAnsi"/>
        </w:rPr>
        <w:t>Part 8</w:t>
      </w:r>
      <w:r w:rsidRPr="00AD6D18">
        <w:rPr>
          <w:rFonts w:asciiTheme="majorHAnsi" w:hAnsiTheme="majorHAnsi" w:cstheme="majorHAnsi"/>
        </w:rPr>
        <w:t xml:space="preserve"> ("</w:t>
      </w:r>
      <w:r w:rsidRPr="00AD6D18">
        <w:rPr>
          <w:rFonts w:asciiTheme="majorHAnsi" w:hAnsiTheme="majorHAnsi" w:cstheme="majorHAnsi"/>
          <w:i/>
          <w:iCs/>
        </w:rPr>
        <w:t>GaffneyCline CPR on the Golden Eagle Area Development</w:t>
      </w:r>
      <w:r w:rsidRPr="00AD6D18">
        <w:rPr>
          <w:rFonts w:asciiTheme="majorHAnsi" w:hAnsiTheme="majorHAnsi" w:cstheme="majorHAnsi"/>
        </w:rPr>
        <w:t>")</w:t>
      </w:r>
      <w:r w:rsidR="00F3104B">
        <w:rPr>
          <w:rFonts w:asciiTheme="majorHAnsi" w:hAnsiTheme="majorHAnsi" w:cstheme="majorHAnsi"/>
        </w:rPr>
        <w:t xml:space="preserve"> of the Original Prospectus</w:t>
      </w:r>
      <w:r w:rsidRPr="00AD6D18">
        <w:rPr>
          <w:rFonts w:asciiTheme="majorHAnsi" w:hAnsiTheme="majorHAnsi" w:cstheme="majorHAnsi"/>
        </w:rPr>
        <w:t xml:space="preserve">, and the actual production of the </w:t>
      </w:r>
      <w:r w:rsidR="00551E86">
        <w:rPr>
          <w:rFonts w:asciiTheme="majorHAnsi" w:hAnsiTheme="majorHAnsi" w:cstheme="majorHAnsi"/>
        </w:rPr>
        <w:t>Golden Eagle Asset</w:t>
      </w:r>
      <w:r w:rsidRPr="00AD6D18">
        <w:rPr>
          <w:rFonts w:asciiTheme="majorHAnsi" w:hAnsiTheme="majorHAnsi" w:cstheme="majorHAnsi"/>
        </w:rPr>
        <w:t xml:space="preserve"> in the year ended 31 December 2020. </w:t>
      </w:r>
    </w:p>
    <w:p w14:paraId="6A24A21E" w14:textId="77777777" w:rsidR="00696912" w:rsidRPr="00AD6D18" w:rsidRDefault="00696912" w:rsidP="00396E87">
      <w:pPr>
        <w:pStyle w:val="NormalOCAshurst"/>
        <w:rPr>
          <w:rFonts w:asciiTheme="majorHAnsi" w:hAnsiTheme="majorHAnsi" w:cstheme="majorHAnsi"/>
        </w:rPr>
      </w:pPr>
      <w:r w:rsidRPr="00AD6D18">
        <w:rPr>
          <w:rFonts w:asciiTheme="majorHAnsi" w:hAnsiTheme="majorHAnsi" w:cstheme="majorHAnsi"/>
        </w:rPr>
        <w:t>This adjustment has a continuing impact.</w:t>
      </w:r>
    </w:p>
    <w:p w14:paraId="48EB1465" w14:textId="77777777" w:rsidR="00696912" w:rsidRPr="00AD6D18" w:rsidRDefault="00696912" w:rsidP="00396E87">
      <w:pPr>
        <w:pStyle w:val="NormalOCAshurst"/>
        <w:rPr>
          <w:rFonts w:asciiTheme="majorHAnsi" w:hAnsiTheme="majorHAnsi" w:cstheme="majorHAnsi"/>
        </w:rPr>
      </w:pPr>
      <w:r w:rsidRPr="00AD6D18">
        <w:rPr>
          <w:rFonts w:asciiTheme="majorHAnsi" w:hAnsiTheme="majorHAnsi" w:cstheme="majorHAnsi"/>
          <w:b/>
          <w:bCs/>
          <w:i/>
          <w:iCs/>
        </w:rPr>
        <w:lastRenderedPageBreak/>
        <w:t>Note 4</w:t>
      </w:r>
      <w:r w:rsidRPr="00AD6D18">
        <w:rPr>
          <w:rFonts w:asciiTheme="majorHAnsi" w:hAnsiTheme="majorHAnsi" w:cstheme="majorHAnsi"/>
        </w:rPr>
        <w:t>:</w:t>
      </w:r>
    </w:p>
    <w:p w14:paraId="55413C21" w14:textId="41646298" w:rsidR="00696912" w:rsidRPr="00AD6D18" w:rsidRDefault="00696912" w:rsidP="00396E87">
      <w:pPr>
        <w:pStyle w:val="NormalOCAshurst"/>
        <w:rPr>
          <w:rFonts w:asciiTheme="majorHAnsi" w:hAnsiTheme="majorHAnsi" w:cstheme="majorHAnsi"/>
        </w:rPr>
      </w:pPr>
      <w:r w:rsidRPr="00AD6D18">
        <w:rPr>
          <w:rFonts w:asciiTheme="majorHAnsi" w:hAnsiTheme="majorHAnsi" w:cstheme="majorHAnsi"/>
        </w:rPr>
        <w:t xml:space="preserve">Forecast taxable profits expected to be generated by the </w:t>
      </w:r>
      <w:r w:rsidR="00551E86">
        <w:rPr>
          <w:rFonts w:asciiTheme="majorHAnsi" w:hAnsiTheme="majorHAnsi" w:cstheme="majorHAnsi"/>
        </w:rPr>
        <w:t>Golden Eagle Asset</w:t>
      </w:r>
      <w:r w:rsidRPr="00AD6D18">
        <w:rPr>
          <w:rFonts w:asciiTheme="majorHAnsi" w:hAnsiTheme="majorHAnsi" w:cstheme="majorHAnsi"/>
        </w:rPr>
        <w:t xml:space="preserve"> will enable the Enlarged Group to recognise a portion of previously unrecognised tax losses and supports the recognition of an associated deferred tax asset and credit to the income statement </w:t>
      </w:r>
      <w:r w:rsidRPr="00C05476">
        <w:rPr>
          <w:rFonts w:asciiTheme="majorHAnsi" w:hAnsiTheme="majorHAnsi" w:cstheme="majorHAnsi"/>
        </w:rPr>
        <w:t>of $2</w:t>
      </w:r>
      <w:r w:rsidR="00F94EA9" w:rsidRPr="00C05476">
        <w:rPr>
          <w:rFonts w:asciiTheme="majorHAnsi" w:hAnsiTheme="majorHAnsi" w:cstheme="majorHAnsi"/>
        </w:rPr>
        <w:t>15.2</w:t>
      </w:r>
      <w:r w:rsidRPr="00C05476">
        <w:rPr>
          <w:rFonts w:asciiTheme="majorHAnsi" w:hAnsiTheme="majorHAnsi" w:cstheme="majorHAnsi"/>
        </w:rPr>
        <w:t xml:space="preserve"> million</w:t>
      </w:r>
      <w:r w:rsidRPr="00AD6D18">
        <w:rPr>
          <w:rFonts w:asciiTheme="majorHAnsi" w:hAnsiTheme="majorHAnsi" w:cstheme="majorHAnsi"/>
        </w:rPr>
        <w:t xml:space="preserve">. </w:t>
      </w:r>
      <w:r w:rsidR="00D85440" w:rsidRPr="00D85440">
        <w:rPr>
          <w:rFonts w:asciiTheme="majorHAnsi" w:hAnsiTheme="majorHAnsi" w:cstheme="majorHAnsi"/>
        </w:rPr>
        <w:t xml:space="preserve">The recoverability of the </w:t>
      </w:r>
      <w:r w:rsidR="00D85440">
        <w:rPr>
          <w:rFonts w:asciiTheme="majorHAnsi" w:hAnsiTheme="majorHAnsi" w:cstheme="majorHAnsi"/>
        </w:rPr>
        <w:t>d</w:t>
      </w:r>
      <w:r w:rsidR="00D85440" w:rsidRPr="00D85440">
        <w:rPr>
          <w:rFonts w:asciiTheme="majorHAnsi" w:hAnsiTheme="majorHAnsi" w:cstheme="majorHAnsi"/>
        </w:rPr>
        <w:t>eferred tax asset has been assessed based on management’s forecast that it is probable that sufficient taxable profits will be available to utilise the deferred tax asset</w:t>
      </w:r>
      <w:r w:rsidR="00EE5287">
        <w:rPr>
          <w:rFonts w:asciiTheme="majorHAnsi" w:hAnsiTheme="majorHAnsi" w:cstheme="majorHAnsi"/>
        </w:rPr>
        <w:t xml:space="preserve"> based on estimated oil prices as at 31 December 2020.</w:t>
      </w:r>
      <w:bookmarkStart w:id="33" w:name="Note4"/>
      <w:bookmarkEnd w:id="33"/>
    </w:p>
    <w:p w14:paraId="42ACAB4F" w14:textId="77777777" w:rsidR="00696912" w:rsidRPr="00AD6D18" w:rsidRDefault="00696912" w:rsidP="00396E87">
      <w:pPr>
        <w:pStyle w:val="NormalOCAshurst"/>
        <w:rPr>
          <w:rFonts w:asciiTheme="majorHAnsi" w:hAnsiTheme="majorHAnsi" w:cstheme="majorHAnsi"/>
        </w:rPr>
      </w:pPr>
      <w:r w:rsidRPr="00AD6D18">
        <w:rPr>
          <w:rFonts w:asciiTheme="majorHAnsi" w:hAnsiTheme="majorHAnsi" w:cstheme="majorHAnsi"/>
          <w:b/>
          <w:bCs/>
          <w:i/>
          <w:iCs/>
        </w:rPr>
        <w:t>Note 5</w:t>
      </w:r>
      <w:r w:rsidRPr="00AD6D18">
        <w:rPr>
          <w:rFonts w:asciiTheme="majorHAnsi" w:hAnsiTheme="majorHAnsi" w:cstheme="majorHAnsi"/>
        </w:rPr>
        <w:t>:</w:t>
      </w:r>
    </w:p>
    <w:p w14:paraId="061ED1E7" w14:textId="1A12E9BD" w:rsidR="00696912" w:rsidRPr="00AD6D18" w:rsidRDefault="00696912" w:rsidP="00396E87">
      <w:pPr>
        <w:pStyle w:val="NormalOCAshurst"/>
        <w:rPr>
          <w:rFonts w:asciiTheme="majorHAnsi" w:hAnsiTheme="majorHAnsi" w:cstheme="majorHAnsi"/>
        </w:rPr>
      </w:pPr>
      <w:r w:rsidRPr="00AD6D18">
        <w:rPr>
          <w:rFonts w:asciiTheme="majorHAnsi" w:hAnsiTheme="majorHAnsi" w:cstheme="majorHAnsi"/>
        </w:rPr>
        <w:t xml:space="preserve">This adjustment removes the finance costs incurred during the year ended 31 December 2020 of $43.5 million, </w:t>
      </w:r>
      <w:r w:rsidR="008A676B">
        <w:rPr>
          <w:rFonts w:asciiTheme="majorHAnsi" w:hAnsiTheme="majorHAnsi" w:cstheme="majorHAnsi"/>
        </w:rPr>
        <w:t xml:space="preserve">the </w:t>
      </w:r>
      <w:r w:rsidRPr="00AD6D18">
        <w:rPr>
          <w:rFonts w:asciiTheme="majorHAnsi" w:hAnsiTheme="majorHAnsi" w:cstheme="majorHAnsi"/>
        </w:rPr>
        <w:t xml:space="preserve">SFA ($26.6 million), the Sculptor Facility ($5.4 million) and BP Vendor Loan ($11.5 million), on the basis that these facilities will be repaid as explained within Note 5 of the unaudited pro forma statement of assets and liabilities on page </w:t>
      </w:r>
      <w:r w:rsidR="000C7034" w:rsidRPr="008A676B">
        <w:rPr>
          <w:rFonts w:asciiTheme="majorHAnsi" w:hAnsiTheme="majorHAnsi" w:cstheme="majorHAnsi"/>
        </w:rPr>
        <w:fldChar w:fldCharType="begin"/>
      </w:r>
      <w:r w:rsidR="000C7034" w:rsidRPr="008A676B">
        <w:rPr>
          <w:rFonts w:asciiTheme="majorHAnsi" w:hAnsiTheme="majorHAnsi" w:cstheme="majorHAnsi"/>
        </w:rPr>
        <w:instrText xml:space="preserve"> PAGEREF Note5 \h </w:instrText>
      </w:r>
      <w:r w:rsidR="000C7034" w:rsidRPr="008A676B">
        <w:rPr>
          <w:rFonts w:asciiTheme="majorHAnsi" w:hAnsiTheme="majorHAnsi" w:cstheme="majorHAnsi"/>
        </w:rPr>
      </w:r>
      <w:r w:rsidR="000C7034" w:rsidRPr="008A676B">
        <w:rPr>
          <w:rFonts w:asciiTheme="majorHAnsi" w:hAnsiTheme="majorHAnsi" w:cstheme="majorHAnsi"/>
        </w:rPr>
        <w:fldChar w:fldCharType="separate"/>
      </w:r>
      <w:r w:rsidR="002D487F">
        <w:rPr>
          <w:rFonts w:asciiTheme="majorHAnsi" w:hAnsiTheme="majorHAnsi" w:cstheme="majorHAnsi"/>
          <w:noProof/>
        </w:rPr>
        <w:t>15</w:t>
      </w:r>
      <w:r w:rsidR="000C7034" w:rsidRPr="008A676B">
        <w:rPr>
          <w:rFonts w:asciiTheme="majorHAnsi" w:hAnsiTheme="majorHAnsi" w:cstheme="majorHAnsi"/>
        </w:rPr>
        <w:fldChar w:fldCharType="end"/>
      </w:r>
      <w:r w:rsidRPr="00AD6D18">
        <w:rPr>
          <w:rFonts w:asciiTheme="majorHAnsi" w:hAnsiTheme="majorHAnsi" w:cstheme="majorHAnsi"/>
        </w:rPr>
        <w:t xml:space="preserve"> of </w:t>
      </w:r>
      <w:r w:rsidR="000C7034">
        <w:rPr>
          <w:rFonts w:asciiTheme="majorHAnsi" w:hAnsiTheme="majorHAnsi" w:cstheme="majorHAnsi"/>
        </w:rPr>
        <w:t>this Supplementary</w:t>
      </w:r>
      <w:r w:rsidR="007C61AC">
        <w:rPr>
          <w:rFonts w:asciiTheme="majorHAnsi" w:hAnsiTheme="majorHAnsi" w:cstheme="majorHAnsi"/>
        </w:rPr>
        <w:t xml:space="preserve"> Prospectus</w:t>
      </w:r>
      <w:r w:rsidRPr="00AD6D18">
        <w:rPr>
          <w:rFonts w:asciiTheme="majorHAnsi" w:hAnsiTheme="majorHAnsi" w:cstheme="majorHAnsi"/>
        </w:rPr>
        <w:t>.</w:t>
      </w:r>
    </w:p>
    <w:p w14:paraId="67674788" w14:textId="5295E5AE" w:rsidR="00696912" w:rsidRPr="00AD6D18" w:rsidRDefault="00696912" w:rsidP="00396E87">
      <w:pPr>
        <w:pStyle w:val="NormalOCAshurst"/>
        <w:rPr>
          <w:rFonts w:asciiTheme="majorHAnsi" w:hAnsiTheme="majorHAnsi" w:cstheme="majorHAnsi"/>
        </w:rPr>
      </w:pPr>
      <w:r w:rsidRPr="00AD6D18">
        <w:rPr>
          <w:rFonts w:asciiTheme="majorHAnsi" w:hAnsiTheme="majorHAnsi" w:cstheme="majorHAnsi"/>
        </w:rPr>
        <w:t>Those costs have been replaced with the finance costs expected to arise on a $600 million RBL drawdown, as if the facility</w:t>
      </w:r>
      <w:r w:rsidR="00EE5287">
        <w:rPr>
          <w:rFonts w:asciiTheme="majorHAnsi" w:hAnsiTheme="majorHAnsi" w:cstheme="majorHAnsi"/>
        </w:rPr>
        <w:t xml:space="preserve"> had</w:t>
      </w:r>
      <w:r w:rsidRPr="00AD6D18">
        <w:rPr>
          <w:rFonts w:asciiTheme="majorHAnsi" w:hAnsiTheme="majorHAnsi" w:cstheme="majorHAnsi"/>
        </w:rPr>
        <w:t xml:space="preserve"> been in place at 1 January 2020. This amounts to $41.5 million.</w:t>
      </w:r>
    </w:p>
    <w:p w14:paraId="00302A97" w14:textId="77777777" w:rsidR="00696912" w:rsidRPr="00AD6D18" w:rsidRDefault="00696912" w:rsidP="00396E87">
      <w:pPr>
        <w:pStyle w:val="NormalOCAshurst"/>
        <w:rPr>
          <w:rFonts w:asciiTheme="majorHAnsi" w:hAnsiTheme="majorHAnsi" w:cstheme="majorHAnsi"/>
        </w:rPr>
      </w:pPr>
      <w:r w:rsidRPr="00AD6D18">
        <w:rPr>
          <w:rFonts w:asciiTheme="majorHAnsi" w:hAnsiTheme="majorHAnsi" w:cstheme="majorHAnsi"/>
        </w:rPr>
        <w:t>The net impact is a $2.0 million decrease in finance costs.</w:t>
      </w:r>
    </w:p>
    <w:p w14:paraId="52DE91D6" w14:textId="77777777" w:rsidR="00696912" w:rsidRPr="00AD6D18" w:rsidRDefault="00696912" w:rsidP="00396E87">
      <w:pPr>
        <w:pStyle w:val="NormalOCAshurst"/>
        <w:rPr>
          <w:rFonts w:asciiTheme="majorHAnsi" w:hAnsiTheme="majorHAnsi" w:cstheme="majorHAnsi"/>
        </w:rPr>
      </w:pPr>
      <w:r w:rsidRPr="00AD6D18">
        <w:rPr>
          <w:rFonts w:asciiTheme="majorHAnsi" w:hAnsiTheme="majorHAnsi" w:cstheme="majorHAnsi"/>
        </w:rPr>
        <w:t>This adjustment has a continuing impact.</w:t>
      </w:r>
    </w:p>
    <w:p w14:paraId="3F8D9450" w14:textId="77777777" w:rsidR="00696912" w:rsidRPr="007B5B20" w:rsidRDefault="00696912" w:rsidP="00396E87">
      <w:pPr>
        <w:pStyle w:val="NormalOCAshurst"/>
        <w:rPr>
          <w:rFonts w:asciiTheme="majorHAnsi" w:hAnsiTheme="majorHAnsi" w:cstheme="majorHAnsi"/>
          <w:b/>
          <w:bCs/>
        </w:rPr>
      </w:pPr>
      <w:r w:rsidRPr="00AD6D18">
        <w:rPr>
          <w:rFonts w:asciiTheme="majorHAnsi" w:hAnsiTheme="majorHAnsi" w:cstheme="majorHAnsi"/>
          <w:b/>
          <w:bCs/>
          <w:i/>
          <w:iCs/>
        </w:rPr>
        <w:t>Note 6</w:t>
      </w:r>
      <w:r w:rsidRPr="007B5B20">
        <w:rPr>
          <w:rFonts w:asciiTheme="majorHAnsi" w:hAnsiTheme="majorHAnsi" w:cstheme="majorHAnsi"/>
          <w:b/>
          <w:bCs/>
        </w:rPr>
        <w:t>:</w:t>
      </w:r>
    </w:p>
    <w:p w14:paraId="1DDE4A54" w14:textId="2581F2B7" w:rsidR="007B5B20" w:rsidRDefault="00696912" w:rsidP="00761399">
      <w:pPr>
        <w:pStyle w:val="NormalOCAshurst"/>
        <w:rPr>
          <w:rFonts w:asciiTheme="majorHAnsi" w:hAnsiTheme="majorHAnsi" w:cstheme="majorHAnsi"/>
        </w:rPr>
      </w:pPr>
      <w:r w:rsidRPr="00AD6D18">
        <w:rPr>
          <w:rFonts w:asciiTheme="majorHAnsi" w:hAnsiTheme="majorHAnsi" w:cstheme="majorHAnsi"/>
        </w:rPr>
        <w:t xml:space="preserve">In preparing the pro forma income statement no account has been taken of the trading or transactions of EnQuest and the </w:t>
      </w:r>
      <w:r w:rsidR="00551E86">
        <w:rPr>
          <w:rFonts w:asciiTheme="majorHAnsi" w:hAnsiTheme="majorHAnsi" w:cstheme="majorHAnsi"/>
        </w:rPr>
        <w:t>Golden Eagle Asset</w:t>
      </w:r>
      <w:r w:rsidRPr="00AD6D18">
        <w:rPr>
          <w:rFonts w:asciiTheme="majorHAnsi" w:hAnsiTheme="majorHAnsi" w:cstheme="majorHAnsi"/>
        </w:rPr>
        <w:t xml:space="preserve"> since 31 December 2020.</w:t>
      </w:r>
    </w:p>
    <w:p w14:paraId="5B792304" w14:textId="77777777" w:rsidR="007B5B20" w:rsidRDefault="007B5B20" w:rsidP="00396E87">
      <w:pPr>
        <w:rPr>
          <w:rFonts w:asciiTheme="majorHAnsi" w:hAnsiTheme="majorHAnsi" w:cstheme="majorHAnsi"/>
          <w:lang w:eastAsia="en-GB"/>
        </w:rPr>
      </w:pPr>
      <w:r>
        <w:rPr>
          <w:rFonts w:asciiTheme="majorHAnsi" w:hAnsiTheme="majorHAnsi" w:cstheme="majorHAnsi"/>
        </w:rPr>
        <w:br w:type="page"/>
      </w:r>
    </w:p>
    <w:p w14:paraId="73D63F18" w14:textId="05492636" w:rsidR="00DE5AF2" w:rsidRDefault="00EE5287" w:rsidP="00396E87">
      <w:pPr>
        <w:pStyle w:val="NormalOCAshurst"/>
        <w:jc w:val="left"/>
        <w:rPr>
          <w:rFonts w:asciiTheme="majorHAnsi" w:hAnsiTheme="majorHAnsi" w:cstheme="majorHAnsi"/>
          <w:b/>
          <w:bCs/>
        </w:rPr>
      </w:pPr>
      <w:r>
        <w:rPr>
          <w:rFonts w:asciiTheme="majorHAnsi" w:hAnsiTheme="majorHAnsi" w:cstheme="majorHAnsi"/>
          <w:b/>
          <w:bCs/>
        </w:rPr>
        <w:lastRenderedPageBreak/>
        <w:t>U</w:t>
      </w:r>
      <w:r w:rsidR="00DE5AF2" w:rsidRPr="007D6590">
        <w:rPr>
          <w:rFonts w:asciiTheme="majorHAnsi" w:hAnsiTheme="majorHAnsi" w:cstheme="majorHAnsi"/>
          <w:b/>
          <w:bCs/>
        </w:rPr>
        <w:t>naudited pro forma statement of assets and liabilities</w:t>
      </w:r>
      <w:r w:rsidR="00696912">
        <w:rPr>
          <w:rFonts w:asciiTheme="majorHAnsi" w:hAnsiTheme="majorHAnsi" w:cstheme="majorHAnsi"/>
          <w:b/>
          <w:bCs/>
        </w:rPr>
        <w:t xml:space="preserve"> at 31 December 2020</w:t>
      </w:r>
    </w:p>
    <w:tbl>
      <w:tblPr>
        <w:tblStyle w:val="TableGrid"/>
        <w:tblW w:w="5621"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4"/>
        <w:gridCol w:w="1112"/>
        <w:gridCol w:w="1011"/>
        <w:gridCol w:w="1011"/>
        <w:gridCol w:w="1013"/>
        <w:gridCol w:w="1011"/>
        <w:gridCol w:w="1015"/>
        <w:gridCol w:w="908"/>
      </w:tblGrid>
      <w:tr w:rsidR="00EE5287" w:rsidRPr="00D03658" w14:paraId="536DA785" w14:textId="77777777" w:rsidTr="00284BEE">
        <w:tc>
          <w:tcPr>
            <w:tcW w:w="1211" w:type="pct"/>
            <w:tcMar>
              <w:left w:w="28" w:type="dxa"/>
              <w:right w:w="28" w:type="dxa"/>
            </w:tcMar>
          </w:tcPr>
          <w:p w14:paraId="329CB770" w14:textId="77777777" w:rsidR="00EE5287" w:rsidRPr="000E0825" w:rsidRDefault="00EE5287" w:rsidP="00EE5287">
            <w:pPr>
              <w:pStyle w:val="NormalOCAshurst"/>
              <w:spacing w:after="0"/>
              <w:jc w:val="left"/>
              <w:rPr>
                <w:sz w:val="16"/>
                <w:szCs w:val="16"/>
              </w:rPr>
            </w:pPr>
          </w:p>
        </w:tc>
        <w:tc>
          <w:tcPr>
            <w:tcW w:w="595" w:type="pct"/>
            <w:vMerge w:val="restart"/>
            <w:tcMar>
              <w:left w:w="28" w:type="dxa"/>
              <w:right w:w="28" w:type="dxa"/>
            </w:tcMar>
            <w:vAlign w:val="bottom"/>
          </w:tcPr>
          <w:p w14:paraId="4136077F" w14:textId="0F9291B8" w:rsidR="00EE5287" w:rsidRPr="000E0825" w:rsidRDefault="00EE5287" w:rsidP="00EE5287">
            <w:pPr>
              <w:pStyle w:val="NormalOCAshurst"/>
              <w:pBdr>
                <w:bottom w:val="single" w:sz="4" w:space="1" w:color="auto"/>
              </w:pBdr>
              <w:spacing w:after="0"/>
              <w:jc w:val="center"/>
              <w:rPr>
                <w:b/>
                <w:bCs/>
                <w:sz w:val="16"/>
                <w:szCs w:val="16"/>
              </w:rPr>
            </w:pPr>
            <w:r w:rsidRPr="000E0825">
              <w:rPr>
                <w:b/>
                <w:bCs/>
                <w:sz w:val="16"/>
                <w:szCs w:val="16"/>
              </w:rPr>
              <w:t>Consolidated EnQuest  assets and liabilities as at 31 December 2020</w:t>
            </w:r>
            <w:r>
              <w:rPr>
                <w:b/>
                <w:bCs/>
                <w:sz w:val="16"/>
                <w:szCs w:val="16"/>
              </w:rPr>
              <w:t xml:space="preserve"> (Restated)</w:t>
            </w:r>
          </w:p>
        </w:tc>
        <w:tc>
          <w:tcPr>
            <w:tcW w:w="2708" w:type="pct"/>
            <w:gridSpan w:val="5"/>
            <w:tcMar>
              <w:left w:w="28" w:type="dxa"/>
              <w:right w:w="28" w:type="dxa"/>
            </w:tcMar>
            <w:vAlign w:val="bottom"/>
          </w:tcPr>
          <w:p w14:paraId="2D75AF7F" w14:textId="743F1043" w:rsidR="00EE5287" w:rsidRPr="000E0825" w:rsidRDefault="00EE5287" w:rsidP="00EE5287">
            <w:pPr>
              <w:pStyle w:val="NormalOCAshurst"/>
              <w:spacing w:after="0"/>
              <w:jc w:val="center"/>
              <w:rPr>
                <w:b/>
                <w:bCs/>
                <w:sz w:val="16"/>
                <w:szCs w:val="16"/>
              </w:rPr>
            </w:pPr>
            <w:r w:rsidRPr="000E0825">
              <w:rPr>
                <w:b/>
                <w:bCs/>
                <w:sz w:val="16"/>
                <w:szCs w:val="16"/>
              </w:rPr>
              <w:t>Adjustments</w:t>
            </w:r>
          </w:p>
        </w:tc>
        <w:tc>
          <w:tcPr>
            <w:tcW w:w="486" w:type="pct"/>
            <w:vMerge w:val="restart"/>
            <w:tcMar>
              <w:left w:w="28" w:type="dxa"/>
              <w:right w:w="28" w:type="dxa"/>
            </w:tcMar>
            <w:vAlign w:val="bottom"/>
          </w:tcPr>
          <w:p w14:paraId="16DA6552" w14:textId="624B93EC" w:rsidR="00EE5287" w:rsidRPr="000E0825" w:rsidRDefault="00EE5287" w:rsidP="00EE5287">
            <w:pPr>
              <w:pStyle w:val="NormalOCAshurst"/>
              <w:pBdr>
                <w:bottom w:val="single" w:sz="4" w:space="1" w:color="auto"/>
              </w:pBdr>
              <w:spacing w:after="0"/>
              <w:jc w:val="center"/>
              <w:rPr>
                <w:b/>
                <w:bCs/>
                <w:sz w:val="16"/>
                <w:szCs w:val="16"/>
              </w:rPr>
            </w:pPr>
            <w:r w:rsidRPr="000E0825">
              <w:rPr>
                <w:b/>
                <w:bCs/>
                <w:sz w:val="16"/>
                <w:szCs w:val="16"/>
              </w:rPr>
              <w:t>Pro forma total</w:t>
            </w:r>
          </w:p>
        </w:tc>
      </w:tr>
      <w:tr w:rsidR="00EE5287" w:rsidRPr="00D03658" w14:paraId="1D7DD0C3" w14:textId="77777777" w:rsidTr="00EE5287">
        <w:tc>
          <w:tcPr>
            <w:tcW w:w="1211" w:type="pct"/>
            <w:tcMar>
              <w:left w:w="28" w:type="dxa"/>
              <w:right w:w="28" w:type="dxa"/>
            </w:tcMar>
          </w:tcPr>
          <w:p w14:paraId="116AE558" w14:textId="77777777" w:rsidR="00EE5287" w:rsidRPr="000E0825" w:rsidRDefault="00EE5287" w:rsidP="00EE5287">
            <w:pPr>
              <w:pStyle w:val="NormalOCAshurst"/>
              <w:spacing w:after="0"/>
              <w:jc w:val="left"/>
              <w:rPr>
                <w:sz w:val="16"/>
                <w:szCs w:val="16"/>
              </w:rPr>
            </w:pPr>
          </w:p>
        </w:tc>
        <w:tc>
          <w:tcPr>
            <w:tcW w:w="595" w:type="pct"/>
            <w:vMerge/>
            <w:tcMar>
              <w:left w:w="28" w:type="dxa"/>
              <w:right w:w="28" w:type="dxa"/>
            </w:tcMar>
            <w:vAlign w:val="bottom"/>
          </w:tcPr>
          <w:p w14:paraId="4CED156B" w14:textId="199D399B" w:rsidR="00EE5287" w:rsidRPr="000E0825" w:rsidRDefault="00EE5287" w:rsidP="00EE5287">
            <w:pPr>
              <w:pStyle w:val="NormalOCAshurst"/>
              <w:pBdr>
                <w:bottom w:val="single" w:sz="4" w:space="1" w:color="auto"/>
              </w:pBdr>
              <w:spacing w:after="0"/>
              <w:jc w:val="center"/>
              <w:rPr>
                <w:b/>
                <w:bCs/>
                <w:sz w:val="16"/>
                <w:szCs w:val="16"/>
              </w:rPr>
            </w:pPr>
          </w:p>
        </w:tc>
        <w:tc>
          <w:tcPr>
            <w:tcW w:w="541" w:type="pct"/>
            <w:tcMar>
              <w:left w:w="28" w:type="dxa"/>
              <w:right w:w="28" w:type="dxa"/>
            </w:tcMar>
            <w:vAlign w:val="bottom"/>
          </w:tcPr>
          <w:p w14:paraId="3E5B8968" w14:textId="5831BD10" w:rsidR="00EE5287" w:rsidRPr="000E0825" w:rsidRDefault="00EE5287" w:rsidP="00EE5287">
            <w:pPr>
              <w:pStyle w:val="NormalOCAshurst"/>
              <w:pBdr>
                <w:bottom w:val="single" w:sz="4" w:space="1" w:color="auto"/>
              </w:pBdr>
              <w:spacing w:after="0"/>
              <w:jc w:val="center"/>
              <w:rPr>
                <w:b/>
                <w:bCs/>
                <w:sz w:val="16"/>
                <w:szCs w:val="16"/>
              </w:rPr>
            </w:pPr>
            <w:r w:rsidRPr="000E0825">
              <w:rPr>
                <w:b/>
                <w:bCs/>
                <w:sz w:val="16"/>
                <w:szCs w:val="16"/>
              </w:rPr>
              <w:t>Golden Eagle Asset and liabilities as at 31 December 2020</w:t>
            </w:r>
          </w:p>
        </w:tc>
        <w:tc>
          <w:tcPr>
            <w:tcW w:w="541" w:type="pct"/>
            <w:tcMar>
              <w:left w:w="28" w:type="dxa"/>
              <w:right w:w="28" w:type="dxa"/>
            </w:tcMar>
            <w:vAlign w:val="bottom"/>
          </w:tcPr>
          <w:p w14:paraId="58B324F6" w14:textId="04C16605" w:rsidR="00EE5287" w:rsidRPr="000E0825" w:rsidRDefault="00EE5287" w:rsidP="00EE5287">
            <w:pPr>
              <w:pStyle w:val="NormalOCAshurst"/>
              <w:pBdr>
                <w:bottom w:val="single" w:sz="4" w:space="1" w:color="auto"/>
              </w:pBdr>
              <w:spacing w:after="0"/>
              <w:jc w:val="center"/>
              <w:rPr>
                <w:b/>
                <w:bCs/>
                <w:sz w:val="16"/>
                <w:szCs w:val="16"/>
              </w:rPr>
            </w:pPr>
            <w:r w:rsidRPr="000E0825">
              <w:rPr>
                <w:b/>
                <w:bCs/>
                <w:sz w:val="16"/>
                <w:szCs w:val="16"/>
              </w:rPr>
              <w:t>Acquisition</w:t>
            </w:r>
          </w:p>
        </w:tc>
        <w:tc>
          <w:tcPr>
            <w:tcW w:w="542" w:type="pct"/>
            <w:tcMar>
              <w:left w:w="28" w:type="dxa"/>
              <w:right w:w="28" w:type="dxa"/>
            </w:tcMar>
            <w:vAlign w:val="bottom"/>
          </w:tcPr>
          <w:p w14:paraId="6B9DC476" w14:textId="700AC56A" w:rsidR="00EE5287" w:rsidRPr="000E0825" w:rsidRDefault="00EE5287" w:rsidP="00EE5287">
            <w:pPr>
              <w:pStyle w:val="NormalOCAshurst"/>
              <w:pBdr>
                <w:bottom w:val="single" w:sz="4" w:space="1" w:color="auto"/>
              </w:pBdr>
              <w:spacing w:after="0"/>
              <w:jc w:val="center"/>
              <w:rPr>
                <w:b/>
                <w:bCs/>
                <w:sz w:val="16"/>
                <w:szCs w:val="16"/>
              </w:rPr>
            </w:pPr>
            <w:r w:rsidRPr="000E0825">
              <w:rPr>
                <w:b/>
                <w:bCs/>
                <w:sz w:val="16"/>
                <w:szCs w:val="16"/>
              </w:rPr>
              <w:t>Deferred tax recognition</w:t>
            </w:r>
          </w:p>
        </w:tc>
        <w:tc>
          <w:tcPr>
            <w:tcW w:w="541" w:type="pct"/>
            <w:tcMar>
              <w:left w:w="28" w:type="dxa"/>
              <w:right w:w="28" w:type="dxa"/>
            </w:tcMar>
            <w:vAlign w:val="bottom"/>
          </w:tcPr>
          <w:p w14:paraId="1E86CD91" w14:textId="731DF031" w:rsidR="00EE5287" w:rsidRPr="000E0825" w:rsidRDefault="00EE5287" w:rsidP="00EE5287">
            <w:pPr>
              <w:pStyle w:val="NormalOCAshurst"/>
              <w:pBdr>
                <w:bottom w:val="single" w:sz="4" w:space="1" w:color="auto"/>
              </w:pBdr>
              <w:spacing w:after="0"/>
              <w:jc w:val="center"/>
              <w:rPr>
                <w:b/>
                <w:bCs/>
                <w:sz w:val="16"/>
                <w:szCs w:val="16"/>
              </w:rPr>
            </w:pPr>
            <w:r w:rsidRPr="000E0825">
              <w:rPr>
                <w:b/>
                <w:bCs/>
                <w:sz w:val="16"/>
                <w:szCs w:val="16"/>
              </w:rPr>
              <w:t>Refinancing</w:t>
            </w:r>
          </w:p>
        </w:tc>
        <w:tc>
          <w:tcPr>
            <w:tcW w:w="543" w:type="pct"/>
            <w:tcMar>
              <w:left w:w="28" w:type="dxa"/>
              <w:right w:w="28" w:type="dxa"/>
            </w:tcMar>
            <w:vAlign w:val="bottom"/>
          </w:tcPr>
          <w:p w14:paraId="34890054" w14:textId="72C4CD02" w:rsidR="00EE5287" w:rsidRPr="000E0825" w:rsidRDefault="00EE5287" w:rsidP="00EE5287">
            <w:pPr>
              <w:pStyle w:val="NormalOCAshurst"/>
              <w:pBdr>
                <w:bottom w:val="single" w:sz="4" w:space="1" w:color="auto"/>
              </w:pBdr>
              <w:spacing w:after="0"/>
              <w:jc w:val="center"/>
              <w:rPr>
                <w:b/>
                <w:bCs/>
                <w:sz w:val="16"/>
                <w:szCs w:val="16"/>
              </w:rPr>
            </w:pPr>
            <w:r w:rsidRPr="000E0825">
              <w:rPr>
                <w:b/>
                <w:bCs/>
                <w:sz w:val="16"/>
                <w:szCs w:val="16"/>
              </w:rPr>
              <w:t>Capital Raising net of fees</w:t>
            </w:r>
          </w:p>
        </w:tc>
        <w:tc>
          <w:tcPr>
            <w:tcW w:w="486" w:type="pct"/>
            <w:vMerge/>
            <w:tcMar>
              <w:left w:w="28" w:type="dxa"/>
              <w:right w:w="28" w:type="dxa"/>
            </w:tcMar>
            <w:vAlign w:val="bottom"/>
          </w:tcPr>
          <w:p w14:paraId="06DE6964" w14:textId="3FEF1EA3" w:rsidR="00EE5287" w:rsidRPr="000E0825" w:rsidRDefault="00EE5287" w:rsidP="00EE5287">
            <w:pPr>
              <w:pStyle w:val="NormalOCAshurst"/>
              <w:pBdr>
                <w:bottom w:val="single" w:sz="4" w:space="1" w:color="auto"/>
              </w:pBdr>
              <w:spacing w:after="0"/>
              <w:jc w:val="center"/>
              <w:rPr>
                <w:b/>
                <w:bCs/>
                <w:sz w:val="16"/>
                <w:szCs w:val="16"/>
              </w:rPr>
            </w:pPr>
          </w:p>
        </w:tc>
      </w:tr>
      <w:tr w:rsidR="00EE5287" w:rsidRPr="00D03658" w14:paraId="1B616EA7" w14:textId="77777777" w:rsidTr="00EE5287">
        <w:tc>
          <w:tcPr>
            <w:tcW w:w="1211" w:type="pct"/>
            <w:tcMar>
              <w:left w:w="28" w:type="dxa"/>
              <w:right w:w="28" w:type="dxa"/>
            </w:tcMar>
          </w:tcPr>
          <w:p w14:paraId="7EBE7B7D" w14:textId="77777777" w:rsidR="00EE5287" w:rsidRPr="000E0825" w:rsidRDefault="00EE5287" w:rsidP="00EE5287">
            <w:pPr>
              <w:pStyle w:val="NormalOCAshurst"/>
              <w:spacing w:after="0"/>
              <w:jc w:val="left"/>
              <w:rPr>
                <w:b/>
                <w:bCs/>
                <w:sz w:val="16"/>
                <w:szCs w:val="16"/>
              </w:rPr>
            </w:pPr>
          </w:p>
        </w:tc>
        <w:tc>
          <w:tcPr>
            <w:tcW w:w="595" w:type="pct"/>
            <w:tcMar>
              <w:left w:w="28" w:type="dxa"/>
              <w:right w:w="28" w:type="dxa"/>
            </w:tcMar>
          </w:tcPr>
          <w:p w14:paraId="6C946285" w14:textId="77777777" w:rsidR="00EE5287" w:rsidRPr="000E0825" w:rsidRDefault="00EE5287" w:rsidP="00EE5287">
            <w:pPr>
              <w:pStyle w:val="NormalOCAshurst"/>
              <w:spacing w:after="0"/>
              <w:rPr>
                <w:sz w:val="16"/>
                <w:szCs w:val="16"/>
              </w:rPr>
            </w:pPr>
          </w:p>
        </w:tc>
        <w:tc>
          <w:tcPr>
            <w:tcW w:w="541" w:type="pct"/>
            <w:tcMar>
              <w:left w:w="28" w:type="dxa"/>
              <w:right w:w="28" w:type="dxa"/>
            </w:tcMar>
          </w:tcPr>
          <w:p w14:paraId="139468C1" w14:textId="77777777" w:rsidR="00EE5287" w:rsidRPr="000E0825" w:rsidRDefault="00EE5287" w:rsidP="00EE5287">
            <w:pPr>
              <w:pStyle w:val="NormalOCAshurst"/>
              <w:spacing w:after="0"/>
              <w:rPr>
                <w:sz w:val="16"/>
                <w:szCs w:val="16"/>
              </w:rPr>
            </w:pPr>
          </w:p>
        </w:tc>
        <w:tc>
          <w:tcPr>
            <w:tcW w:w="541" w:type="pct"/>
            <w:tcMar>
              <w:left w:w="28" w:type="dxa"/>
              <w:right w:w="28" w:type="dxa"/>
            </w:tcMar>
          </w:tcPr>
          <w:p w14:paraId="3F835EE6" w14:textId="77777777" w:rsidR="00EE5287" w:rsidRPr="000E0825" w:rsidRDefault="00EE5287" w:rsidP="00EE5287">
            <w:pPr>
              <w:pStyle w:val="NormalOCAshurst"/>
              <w:spacing w:after="0"/>
              <w:rPr>
                <w:sz w:val="16"/>
                <w:szCs w:val="16"/>
              </w:rPr>
            </w:pPr>
          </w:p>
        </w:tc>
        <w:tc>
          <w:tcPr>
            <w:tcW w:w="542" w:type="pct"/>
            <w:tcMar>
              <w:left w:w="28" w:type="dxa"/>
              <w:right w:w="28" w:type="dxa"/>
            </w:tcMar>
          </w:tcPr>
          <w:p w14:paraId="2DDC6C88" w14:textId="77777777" w:rsidR="00EE5287" w:rsidRPr="000E0825" w:rsidRDefault="00EE5287" w:rsidP="00EE5287">
            <w:pPr>
              <w:pStyle w:val="NormalOCAshurst"/>
              <w:spacing w:after="0"/>
              <w:rPr>
                <w:sz w:val="16"/>
                <w:szCs w:val="16"/>
              </w:rPr>
            </w:pPr>
          </w:p>
        </w:tc>
        <w:tc>
          <w:tcPr>
            <w:tcW w:w="541" w:type="pct"/>
            <w:tcMar>
              <w:left w:w="28" w:type="dxa"/>
              <w:right w:w="28" w:type="dxa"/>
            </w:tcMar>
          </w:tcPr>
          <w:p w14:paraId="7C3C621D" w14:textId="77777777" w:rsidR="00EE5287" w:rsidRPr="000E0825" w:rsidRDefault="00EE5287" w:rsidP="00EE5287">
            <w:pPr>
              <w:pStyle w:val="NormalOCAshurst"/>
              <w:spacing w:after="0"/>
              <w:rPr>
                <w:sz w:val="16"/>
                <w:szCs w:val="16"/>
              </w:rPr>
            </w:pPr>
          </w:p>
        </w:tc>
        <w:tc>
          <w:tcPr>
            <w:tcW w:w="543" w:type="pct"/>
            <w:tcMar>
              <w:left w:w="28" w:type="dxa"/>
              <w:right w:w="28" w:type="dxa"/>
            </w:tcMar>
          </w:tcPr>
          <w:p w14:paraId="338CE208" w14:textId="77777777" w:rsidR="00EE5287" w:rsidRPr="000E0825" w:rsidRDefault="00EE5287" w:rsidP="00EE5287">
            <w:pPr>
              <w:pStyle w:val="NormalOCAshurst"/>
              <w:spacing w:after="0"/>
              <w:rPr>
                <w:sz w:val="16"/>
                <w:szCs w:val="16"/>
              </w:rPr>
            </w:pPr>
          </w:p>
        </w:tc>
        <w:tc>
          <w:tcPr>
            <w:tcW w:w="486" w:type="pct"/>
            <w:tcMar>
              <w:left w:w="28" w:type="dxa"/>
              <w:right w:w="28" w:type="dxa"/>
            </w:tcMar>
          </w:tcPr>
          <w:p w14:paraId="3EC80B2C" w14:textId="77777777" w:rsidR="00EE5287" w:rsidRPr="000E0825" w:rsidRDefault="00EE5287" w:rsidP="00EE5287">
            <w:pPr>
              <w:pStyle w:val="NormalOCAshurst"/>
              <w:spacing w:after="0"/>
              <w:rPr>
                <w:sz w:val="16"/>
                <w:szCs w:val="16"/>
              </w:rPr>
            </w:pPr>
          </w:p>
        </w:tc>
      </w:tr>
      <w:tr w:rsidR="00EE5287" w:rsidRPr="00D03658" w14:paraId="42B678F1" w14:textId="77777777" w:rsidTr="00EE5287">
        <w:tc>
          <w:tcPr>
            <w:tcW w:w="1211" w:type="pct"/>
          </w:tcPr>
          <w:p w14:paraId="03DEC414" w14:textId="34991C1A" w:rsidR="00EE5287" w:rsidRPr="000E0825" w:rsidRDefault="00EE5287" w:rsidP="00EE5287">
            <w:pPr>
              <w:pStyle w:val="NormalOCAshurst"/>
              <w:spacing w:after="0"/>
              <w:jc w:val="left"/>
              <w:rPr>
                <w:b/>
                <w:bCs/>
                <w:sz w:val="16"/>
                <w:szCs w:val="16"/>
              </w:rPr>
            </w:pPr>
            <w:r w:rsidRPr="000E0825">
              <w:rPr>
                <w:b/>
                <w:bCs/>
                <w:sz w:val="16"/>
                <w:szCs w:val="16"/>
              </w:rPr>
              <w:t>$ 000's</w:t>
            </w:r>
          </w:p>
        </w:tc>
        <w:tc>
          <w:tcPr>
            <w:tcW w:w="595" w:type="pct"/>
          </w:tcPr>
          <w:p w14:paraId="1414EAB7" w14:textId="77777777" w:rsidR="00EE5287" w:rsidRPr="000E0825" w:rsidRDefault="00EE5287" w:rsidP="00EE5287">
            <w:pPr>
              <w:pStyle w:val="NormalOCAshurst"/>
              <w:spacing w:after="0"/>
              <w:jc w:val="center"/>
              <w:rPr>
                <w:b/>
                <w:bCs/>
                <w:sz w:val="16"/>
                <w:szCs w:val="16"/>
              </w:rPr>
            </w:pPr>
            <w:r w:rsidRPr="000E0825">
              <w:rPr>
                <w:b/>
                <w:bCs/>
                <w:sz w:val="16"/>
                <w:szCs w:val="16"/>
              </w:rPr>
              <w:t>Note 1</w:t>
            </w:r>
          </w:p>
        </w:tc>
        <w:tc>
          <w:tcPr>
            <w:tcW w:w="541" w:type="pct"/>
          </w:tcPr>
          <w:p w14:paraId="017D31D8" w14:textId="77777777" w:rsidR="00EE5287" w:rsidRPr="000E0825" w:rsidRDefault="00EE5287" w:rsidP="00EE5287">
            <w:pPr>
              <w:pStyle w:val="NormalOCAshurst"/>
              <w:spacing w:after="0"/>
              <w:jc w:val="center"/>
              <w:rPr>
                <w:b/>
                <w:bCs/>
                <w:sz w:val="16"/>
                <w:szCs w:val="16"/>
              </w:rPr>
            </w:pPr>
            <w:r w:rsidRPr="000E0825">
              <w:rPr>
                <w:b/>
                <w:bCs/>
                <w:sz w:val="16"/>
                <w:szCs w:val="16"/>
              </w:rPr>
              <w:t>Note 2</w:t>
            </w:r>
          </w:p>
        </w:tc>
        <w:tc>
          <w:tcPr>
            <w:tcW w:w="541" w:type="pct"/>
          </w:tcPr>
          <w:p w14:paraId="3AEDEA42" w14:textId="77777777" w:rsidR="00EE5287" w:rsidRPr="000E0825" w:rsidRDefault="00EE5287" w:rsidP="00EE5287">
            <w:pPr>
              <w:pStyle w:val="NormalOCAshurst"/>
              <w:spacing w:after="0"/>
              <w:jc w:val="center"/>
              <w:rPr>
                <w:b/>
                <w:bCs/>
                <w:sz w:val="16"/>
                <w:szCs w:val="16"/>
              </w:rPr>
            </w:pPr>
            <w:r w:rsidRPr="000E0825">
              <w:rPr>
                <w:b/>
                <w:bCs/>
                <w:sz w:val="16"/>
                <w:szCs w:val="16"/>
              </w:rPr>
              <w:t>Note 3</w:t>
            </w:r>
          </w:p>
        </w:tc>
        <w:tc>
          <w:tcPr>
            <w:tcW w:w="542" w:type="pct"/>
          </w:tcPr>
          <w:p w14:paraId="5440C80F" w14:textId="77777777" w:rsidR="00EE5287" w:rsidRPr="000E0825" w:rsidRDefault="00EE5287" w:rsidP="00EE5287">
            <w:pPr>
              <w:pStyle w:val="NormalOCAshurst"/>
              <w:spacing w:after="0"/>
              <w:jc w:val="center"/>
              <w:rPr>
                <w:b/>
                <w:bCs/>
                <w:sz w:val="16"/>
                <w:szCs w:val="16"/>
              </w:rPr>
            </w:pPr>
            <w:r w:rsidRPr="000E0825">
              <w:rPr>
                <w:b/>
                <w:bCs/>
                <w:sz w:val="16"/>
                <w:szCs w:val="16"/>
              </w:rPr>
              <w:t>Note 4</w:t>
            </w:r>
          </w:p>
        </w:tc>
        <w:tc>
          <w:tcPr>
            <w:tcW w:w="541" w:type="pct"/>
          </w:tcPr>
          <w:p w14:paraId="5447C3D6" w14:textId="77777777" w:rsidR="00EE5287" w:rsidRPr="000E0825" w:rsidRDefault="00EE5287" w:rsidP="00EE5287">
            <w:pPr>
              <w:pStyle w:val="NormalOCAshurst"/>
              <w:spacing w:after="0"/>
              <w:jc w:val="center"/>
              <w:rPr>
                <w:b/>
                <w:bCs/>
                <w:sz w:val="16"/>
                <w:szCs w:val="16"/>
              </w:rPr>
            </w:pPr>
            <w:r w:rsidRPr="000E0825">
              <w:rPr>
                <w:b/>
                <w:bCs/>
                <w:sz w:val="16"/>
                <w:szCs w:val="16"/>
              </w:rPr>
              <w:t>Note 5</w:t>
            </w:r>
          </w:p>
        </w:tc>
        <w:tc>
          <w:tcPr>
            <w:tcW w:w="543" w:type="pct"/>
          </w:tcPr>
          <w:p w14:paraId="6030C128" w14:textId="77777777" w:rsidR="00EE5287" w:rsidRPr="000E0825" w:rsidRDefault="00EE5287" w:rsidP="00EE5287">
            <w:pPr>
              <w:pStyle w:val="NormalOCAshurst"/>
              <w:spacing w:after="0"/>
              <w:jc w:val="center"/>
              <w:rPr>
                <w:b/>
                <w:bCs/>
                <w:sz w:val="16"/>
                <w:szCs w:val="16"/>
              </w:rPr>
            </w:pPr>
            <w:r w:rsidRPr="000E0825">
              <w:rPr>
                <w:b/>
                <w:bCs/>
                <w:sz w:val="16"/>
                <w:szCs w:val="16"/>
              </w:rPr>
              <w:t>Note 6</w:t>
            </w:r>
          </w:p>
        </w:tc>
        <w:tc>
          <w:tcPr>
            <w:tcW w:w="486" w:type="pct"/>
          </w:tcPr>
          <w:p w14:paraId="496F0242" w14:textId="77777777" w:rsidR="00EE5287" w:rsidRPr="000E0825" w:rsidRDefault="00EE5287" w:rsidP="00EE5287">
            <w:pPr>
              <w:pStyle w:val="NormalOCAshurst"/>
              <w:spacing w:after="0"/>
              <w:jc w:val="center"/>
              <w:rPr>
                <w:b/>
                <w:bCs/>
                <w:sz w:val="16"/>
                <w:szCs w:val="16"/>
              </w:rPr>
            </w:pPr>
            <w:r w:rsidRPr="000E0825">
              <w:rPr>
                <w:b/>
                <w:bCs/>
                <w:sz w:val="16"/>
                <w:szCs w:val="16"/>
              </w:rPr>
              <w:t>Note 7</w:t>
            </w:r>
          </w:p>
        </w:tc>
      </w:tr>
      <w:tr w:rsidR="00EE5287" w:rsidRPr="00D03658" w14:paraId="4B3B7777" w14:textId="77777777" w:rsidTr="00EE5287">
        <w:tc>
          <w:tcPr>
            <w:tcW w:w="1211" w:type="pct"/>
          </w:tcPr>
          <w:p w14:paraId="6D4A7CA8" w14:textId="77777777" w:rsidR="00EE5287" w:rsidRPr="000E0825" w:rsidRDefault="00EE5287" w:rsidP="00EE5287">
            <w:pPr>
              <w:pStyle w:val="NormalOCAshurst"/>
              <w:spacing w:after="0"/>
              <w:jc w:val="left"/>
              <w:rPr>
                <w:sz w:val="16"/>
                <w:szCs w:val="16"/>
              </w:rPr>
            </w:pPr>
            <w:r w:rsidRPr="000E0825">
              <w:rPr>
                <w:sz w:val="16"/>
                <w:szCs w:val="16"/>
              </w:rPr>
              <w:t xml:space="preserve"> </w:t>
            </w:r>
          </w:p>
        </w:tc>
        <w:tc>
          <w:tcPr>
            <w:tcW w:w="595" w:type="pct"/>
            <w:vAlign w:val="bottom"/>
          </w:tcPr>
          <w:p w14:paraId="5D9D2154" w14:textId="5803DE14" w:rsidR="00EE5287" w:rsidRPr="000E0825" w:rsidRDefault="00EE5287" w:rsidP="00EE5287">
            <w:pPr>
              <w:pStyle w:val="NormalOCAshurst"/>
              <w:spacing w:after="0"/>
              <w:jc w:val="right"/>
              <w:rPr>
                <w:sz w:val="16"/>
                <w:szCs w:val="16"/>
              </w:rPr>
            </w:pPr>
          </w:p>
        </w:tc>
        <w:tc>
          <w:tcPr>
            <w:tcW w:w="541" w:type="pct"/>
            <w:vAlign w:val="bottom"/>
          </w:tcPr>
          <w:p w14:paraId="70148DB9" w14:textId="1907B6FE" w:rsidR="00EE5287" w:rsidRPr="000E0825" w:rsidRDefault="00EE5287" w:rsidP="00EE5287">
            <w:pPr>
              <w:pStyle w:val="NormalOCAshurst"/>
              <w:spacing w:after="0"/>
              <w:jc w:val="right"/>
              <w:rPr>
                <w:sz w:val="16"/>
                <w:szCs w:val="16"/>
              </w:rPr>
            </w:pPr>
          </w:p>
        </w:tc>
        <w:tc>
          <w:tcPr>
            <w:tcW w:w="541" w:type="pct"/>
            <w:vAlign w:val="bottom"/>
          </w:tcPr>
          <w:p w14:paraId="5F8DD5DC" w14:textId="1039EB62" w:rsidR="00EE5287" w:rsidRPr="000E0825" w:rsidRDefault="00EE5287" w:rsidP="00EE5287">
            <w:pPr>
              <w:pStyle w:val="NormalOCAshurst"/>
              <w:spacing w:after="0"/>
              <w:jc w:val="right"/>
              <w:rPr>
                <w:sz w:val="16"/>
                <w:szCs w:val="16"/>
              </w:rPr>
            </w:pPr>
          </w:p>
        </w:tc>
        <w:tc>
          <w:tcPr>
            <w:tcW w:w="542" w:type="pct"/>
            <w:vAlign w:val="bottom"/>
          </w:tcPr>
          <w:p w14:paraId="5F52493D" w14:textId="592C36AA" w:rsidR="00EE5287" w:rsidRPr="000E0825" w:rsidRDefault="00EE5287" w:rsidP="00EE5287">
            <w:pPr>
              <w:pStyle w:val="NormalOCAshurst"/>
              <w:spacing w:after="0"/>
              <w:jc w:val="right"/>
              <w:rPr>
                <w:sz w:val="16"/>
                <w:szCs w:val="16"/>
              </w:rPr>
            </w:pPr>
          </w:p>
        </w:tc>
        <w:tc>
          <w:tcPr>
            <w:tcW w:w="541" w:type="pct"/>
            <w:vAlign w:val="bottom"/>
          </w:tcPr>
          <w:p w14:paraId="72D08DB6" w14:textId="17DB7535" w:rsidR="00EE5287" w:rsidRPr="000E0825" w:rsidRDefault="00EE5287" w:rsidP="00EE5287">
            <w:pPr>
              <w:pStyle w:val="NormalOCAshurst"/>
              <w:spacing w:after="0"/>
              <w:jc w:val="right"/>
              <w:rPr>
                <w:sz w:val="16"/>
                <w:szCs w:val="16"/>
              </w:rPr>
            </w:pPr>
          </w:p>
        </w:tc>
        <w:tc>
          <w:tcPr>
            <w:tcW w:w="543" w:type="pct"/>
            <w:vAlign w:val="bottom"/>
          </w:tcPr>
          <w:p w14:paraId="45D9762E" w14:textId="057941BC" w:rsidR="00EE5287" w:rsidRPr="000E0825" w:rsidRDefault="00EE5287" w:rsidP="00EE5287">
            <w:pPr>
              <w:pStyle w:val="NormalOCAshurst"/>
              <w:spacing w:after="0"/>
              <w:jc w:val="right"/>
              <w:rPr>
                <w:sz w:val="16"/>
                <w:szCs w:val="16"/>
              </w:rPr>
            </w:pPr>
          </w:p>
        </w:tc>
        <w:tc>
          <w:tcPr>
            <w:tcW w:w="486" w:type="pct"/>
            <w:vAlign w:val="bottom"/>
          </w:tcPr>
          <w:p w14:paraId="42978E50" w14:textId="4422C8AC" w:rsidR="00EE5287" w:rsidRPr="000E0825" w:rsidRDefault="00EE5287" w:rsidP="00EE5287">
            <w:pPr>
              <w:pStyle w:val="NormalOCAshurst"/>
              <w:spacing w:after="0"/>
              <w:jc w:val="right"/>
              <w:rPr>
                <w:sz w:val="16"/>
                <w:szCs w:val="16"/>
              </w:rPr>
            </w:pPr>
          </w:p>
        </w:tc>
      </w:tr>
      <w:tr w:rsidR="00EE5287" w:rsidRPr="00D03658" w14:paraId="3D084881" w14:textId="77777777" w:rsidTr="00EE5287">
        <w:tc>
          <w:tcPr>
            <w:tcW w:w="1211" w:type="pct"/>
          </w:tcPr>
          <w:p w14:paraId="4362F95B" w14:textId="77777777" w:rsidR="00EE5287" w:rsidRPr="000E0825" w:rsidRDefault="00EE5287" w:rsidP="00EE5287">
            <w:pPr>
              <w:pStyle w:val="NormalOCAshurst"/>
              <w:spacing w:after="0"/>
              <w:jc w:val="left"/>
              <w:rPr>
                <w:b/>
                <w:bCs/>
                <w:sz w:val="16"/>
                <w:szCs w:val="16"/>
              </w:rPr>
            </w:pPr>
            <w:r w:rsidRPr="000E0825">
              <w:rPr>
                <w:b/>
                <w:bCs/>
                <w:sz w:val="16"/>
                <w:szCs w:val="16"/>
              </w:rPr>
              <w:t>Assets</w:t>
            </w:r>
          </w:p>
        </w:tc>
        <w:tc>
          <w:tcPr>
            <w:tcW w:w="595" w:type="pct"/>
            <w:vAlign w:val="bottom"/>
          </w:tcPr>
          <w:p w14:paraId="4704EBD4" w14:textId="008C92E6" w:rsidR="00EE5287" w:rsidRPr="000E0825" w:rsidRDefault="00EE5287" w:rsidP="00EE5287">
            <w:pPr>
              <w:pStyle w:val="NormalOCAshurst"/>
              <w:spacing w:after="0"/>
              <w:jc w:val="right"/>
              <w:rPr>
                <w:b/>
                <w:bCs/>
                <w:sz w:val="16"/>
                <w:szCs w:val="16"/>
              </w:rPr>
            </w:pPr>
          </w:p>
        </w:tc>
        <w:tc>
          <w:tcPr>
            <w:tcW w:w="541" w:type="pct"/>
            <w:vAlign w:val="bottom"/>
          </w:tcPr>
          <w:p w14:paraId="22D800B4" w14:textId="0F81C5C3" w:rsidR="00EE5287" w:rsidRPr="000E0825" w:rsidRDefault="00EE5287" w:rsidP="00EE5287">
            <w:pPr>
              <w:pStyle w:val="NormalOCAshurst"/>
              <w:spacing w:after="0"/>
              <w:jc w:val="right"/>
              <w:rPr>
                <w:b/>
                <w:bCs/>
                <w:sz w:val="16"/>
                <w:szCs w:val="16"/>
              </w:rPr>
            </w:pPr>
          </w:p>
        </w:tc>
        <w:tc>
          <w:tcPr>
            <w:tcW w:w="541" w:type="pct"/>
            <w:vAlign w:val="bottom"/>
          </w:tcPr>
          <w:p w14:paraId="539FC751" w14:textId="76254981" w:rsidR="00EE5287" w:rsidRPr="000E0825" w:rsidRDefault="00EE5287" w:rsidP="00EE5287">
            <w:pPr>
              <w:pStyle w:val="NormalOCAshurst"/>
              <w:spacing w:after="0"/>
              <w:jc w:val="right"/>
              <w:rPr>
                <w:b/>
                <w:bCs/>
                <w:sz w:val="16"/>
                <w:szCs w:val="16"/>
              </w:rPr>
            </w:pPr>
          </w:p>
        </w:tc>
        <w:tc>
          <w:tcPr>
            <w:tcW w:w="542" w:type="pct"/>
            <w:vAlign w:val="bottom"/>
          </w:tcPr>
          <w:p w14:paraId="33AE44AB" w14:textId="1C8A066D" w:rsidR="00EE5287" w:rsidRPr="000E0825" w:rsidRDefault="00EE5287" w:rsidP="00EE5287">
            <w:pPr>
              <w:pStyle w:val="NormalOCAshurst"/>
              <w:spacing w:after="0"/>
              <w:jc w:val="right"/>
              <w:rPr>
                <w:b/>
                <w:bCs/>
                <w:sz w:val="16"/>
                <w:szCs w:val="16"/>
              </w:rPr>
            </w:pPr>
          </w:p>
        </w:tc>
        <w:tc>
          <w:tcPr>
            <w:tcW w:w="541" w:type="pct"/>
            <w:vAlign w:val="bottom"/>
          </w:tcPr>
          <w:p w14:paraId="3F8D3095" w14:textId="3D6666FE" w:rsidR="00EE5287" w:rsidRPr="000E0825" w:rsidRDefault="00EE5287" w:rsidP="00EE5287">
            <w:pPr>
              <w:pStyle w:val="NormalOCAshurst"/>
              <w:spacing w:after="0"/>
              <w:jc w:val="right"/>
              <w:rPr>
                <w:b/>
                <w:bCs/>
                <w:sz w:val="16"/>
                <w:szCs w:val="16"/>
              </w:rPr>
            </w:pPr>
          </w:p>
        </w:tc>
        <w:tc>
          <w:tcPr>
            <w:tcW w:w="543" w:type="pct"/>
            <w:vAlign w:val="bottom"/>
          </w:tcPr>
          <w:p w14:paraId="268DA384" w14:textId="17FC1961" w:rsidR="00EE5287" w:rsidRPr="000E0825" w:rsidRDefault="00EE5287" w:rsidP="00EE5287">
            <w:pPr>
              <w:pStyle w:val="NormalOCAshurst"/>
              <w:spacing w:after="0"/>
              <w:jc w:val="right"/>
              <w:rPr>
                <w:b/>
                <w:bCs/>
                <w:sz w:val="16"/>
                <w:szCs w:val="16"/>
              </w:rPr>
            </w:pPr>
          </w:p>
        </w:tc>
        <w:tc>
          <w:tcPr>
            <w:tcW w:w="486" w:type="pct"/>
            <w:vAlign w:val="bottom"/>
          </w:tcPr>
          <w:p w14:paraId="22C6BB33" w14:textId="276B7AC3" w:rsidR="00EE5287" w:rsidRPr="000E0825" w:rsidRDefault="00EE5287" w:rsidP="00EE5287">
            <w:pPr>
              <w:pStyle w:val="NormalOCAshurst"/>
              <w:spacing w:after="0"/>
              <w:jc w:val="right"/>
              <w:rPr>
                <w:b/>
                <w:bCs/>
                <w:sz w:val="16"/>
                <w:szCs w:val="16"/>
              </w:rPr>
            </w:pPr>
          </w:p>
        </w:tc>
      </w:tr>
      <w:tr w:rsidR="00EE5287" w:rsidRPr="00D03658" w14:paraId="545110DB" w14:textId="77777777" w:rsidTr="00EE5287">
        <w:tc>
          <w:tcPr>
            <w:tcW w:w="1211" w:type="pct"/>
          </w:tcPr>
          <w:p w14:paraId="01D24074" w14:textId="77777777" w:rsidR="00EE5287" w:rsidRPr="000E0825" w:rsidRDefault="00EE5287" w:rsidP="00EE5287">
            <w:pPr>
              <w:pStyle w:val="NormalOCAshurst"/>
              <w:spacing w:after="0"/>
              <w:jc w:val="left"/>
              <w:rPr>
                <w:sz w:val="16"/>
                <w:szCs w:val="16"/>
              </w:rPr>
            </w:pPr>
            <w:r w:rsidRPr="000E0825">
              <w:rPr>
                <w:sz w:val="16"/>
                <w:szCs w:val="16"/>
              </w:rPr>
              <w:t xml:space="preserve"> </w:t>
            </w:r>
          </w:p>
        </w:tc>
        <w:tc>
          <w:tcPr>
            <w:tcW w:w="595" w:type="pct"/>
            <w:vAlign w:val="bottom"/>
          </w:tcPr>
          <w:p w14:paraId="79FF4F78" w14:textId="20EDC215" w:rsidR="00EE5287" w:rsidRPr="000E0825" w:rsidRDefault="00EE5287" w:rsidP="00EE5287">
            <w:pPr>
              <w:pStyle w:val="NormalOCAshurst"/>
              <w:spacing w:after="0"/>
              <w:jc w:val="right"/>
              <w:rPr>
                <w:sz w:val="16"/>
                <w:szCs w:val="16"/>
              </w:rPr>
            </w:pPr>
          </w:p>
        </w:tc>
        <w:tc>
          <w:tcPr>
            <w:tcW w:w="541" w:type="pct"/>
            <w:vAlign w:val="bottom"/>
          </w:tcPr>
          <w:p w14:paraId="5298AAAD" w14:textId="06EBD8ED" w:rsidR="00EE5287" w:rsidRPr="000E0825" w:rsidRDefault="00EE5287" w:rsidP="00EE5287">
            <w:pPr>
              <w:pStyle w:val="NormalOCAshurst"/>
              <w:spacing w:after="0"/>
              <w:jc w:val="right"/>
              <w:rPr>
                <w:sz w:val="16"/>
                <w:szCs w:val="16"/>
              </w:rPr>
            </w:pPr>
          </w:p>
        </w:tc>
        <w:tc>
          <w:tcPr>
            <w:tcW w:w="541" w:type="pct"/>
            <w:vAlign w:val="bottom"/>
          </w:tcPr>
          <w:p w14:paraId="45D897F9" w14:textId="25674C6E" w:rsidR="00EE5287" w:rsidRPr="000E0825" w:rsidRDefault="00EE5287" w:rsidP="00EE5287">
            <w:pPr>
              <w:pStyle w:val="NormalOCAshurst"/>
              <w:spacing w:after="0"/>
              <w:jc w:val="right"/>
              <w:rPr>
                <w:sz w:val="16"/>
                <w:szCs w:val="16"/>
              </w:rPr>
            </w:pPr>
          </w:p>
        </w:tc>
        <w:tc>
          <w:tcPr>
            <w:tcW w:w="542" w:type="pct"/>
            <w:vAlign w:val="bottom"/>
          </w:tcPr>
          <w:p w14:paraId="214AFF3B" w14:textId="07AA2558" w:rsidR="00EE5287" w:rsidRPr="000E0825" w:rsidRDefault="00EE5287" w:rsidP="00EE5287">
            <w:pPr>
              <w:pStyle w:val="NormalOCAshurst"/>
              <w:spacing w:after="0"/>
              <w:jc w:val="right"/>
              <w:rPr>
                <w:sz w:val="16"/>
                <w:szCs w:val="16"/>
              </w:rPr>
            </w:pPr>
          </w:p>
        </w:tc>
        <w:tc>
          <w:tcPr>
            <w:tcW w:w="541" w:type="pct"/>
            <w:vAlign w:val="bottom"/>
          </w:tcPr>
          <w:p w14:paraId="552E30C1" w14:textId="5E8AA35E" w:rsidR="00EE5287" w:rsidRPr="000E0825" w:rsidRDefault="00EE5287" w:rsidP="00EE5287">
            <w:pPr>
              <w:pStyle w:val="NormalOCAshurst"/>
              <w:spacing w:after="0"/>
              <w:jc w:val="right"/>
              <w:rPr>
                <w:sz w:val="16"/>
                <w:szCs w:val="16"/>
              </w:rPr>
            </w:pPr>
          </w:p>
        </w:tc>
        <w:tc>
          <w:tcPr>
            <w:tcW w:w="543" w:type="pct"/>
            <w:vAlign w:val="bottom"/>
          </w:tcPr>
          <w:p w14:paraId="68115066" w14:textId="06434A6B" w:rsidR="00EE5287" w:rsidRPr="000E0825" w:rsidRDefault="00EE5287" w:rsidP="00EE5287">
            <w:pPr>
              <w:pStyle w:val="NormalOCAshurst"/>
              <w:spacing w:after="0"/>
              <w:jc w:val="right"/>
              <w:rPr>
                <w:sz w:val="16"/>
                <w:szCs w:val="16"/>
              </w:rPr>
            </w:pPr>
          </w:p>
        </w:tc>
        <w:tc>
          <w:tcPr>
            <w:tcW w:w="486" w:type="pct"/>
            <w:vAlign w:val="bottom"/>
          </w:tcPr>
          <w:p w14:paraId="7B4655A8" w14:textId="615147FB" w:rsidR="00EE5287" w:rsidRPr="000E0825" w:rsidRDefault="00EE5287" w:rsidP="00EE5287">
            <w:pPr>
              <w:pStyle w:val="NormalOCAshurst"/>
              <w:spacing w:after="0"/>
              <w:jc w:val="right"/>
              <w:rPr>
                <w:sz w:val="16"/>
                <w:szCs w:val="16"/>
              </w:rPr>
            </w:pPr>
          </w:p>
        </w:tc>
      </w:tr>
      <w:tr w:rsidR="00EE5287" w:rsidRPr="00D03658" w14:paraId="3780A835" w14:textId="77777777" w:rsidTr="00EE5287">
        <w:tc>
          <w:tcPr>
            <w:tcW w:w="1211" w:type="pct"/>
          </w:tcPr>
          <w:p w14:paraId="45008118" w14:textId="77777777" w:rsidR="00EE5287" w:rsidRPr="000E0825" w:rsidRDefault="00EE5287" w:rsidP="00EE5287">
            <w:pPr>
              <w:pStyle w:val="NormalOCAshurst"/>
              <w:spacing w:after="0"/>
              <w:jc w:val="left"/>
              <w:rPr>
                <w:b/>
                <w:bCs/>
                <w:sz w:val="16"/>
                <w:szCs w:val="16"/>
              </w:rPr>
            </w:pPr>
            <w:r w:rsidRPr="000E0825">
              <w:rPr>
                <w:b/>
                <w:bCs/>
                <w:sz w:val="16"/>
                <w:szCs w:val="16"/>
              </w:rPr>
              <w:t>Non-current assets</w:t>
            </w:r>
          </w:p>
        </w:tc>
        <w:tc>
          <w:tcPr>
            <w:tcW w:w="595" w:type="pct"/>
            <w:vAlign w:val="bottom"/>
          </w:tcPr>
          <w:p w14:paraId="3F653FE6" w14:textId="18D08391" w:rsidR="00EE5287" w:rsidRPr="000E0825" w:rsidRDefault="00EE5287" w:rsidP="00EE5287">
            <w:pPr>
              <w:pStyle w:val="NormalOCAshurst"/>
              <w:spacing w:after="0"/>
              <w:jc w:val="right"/>
              <w:rPr>
                <w:sz w:val="16"/>
                <w:szCs w:val="16"/>
              </w:rPr>
            </w:pPr>
          </w:p>
        </w:tc>
        <w:tc>
          <w:tcPr>
            <w:tcW w:w="541" w:type="pct"/>
            <w:vAlign w:val="bottom"/>
          </w:tcPr>
          <w:p w14:paraId="2A512DA7" w14:textId="0C5E4D84" w:rsidR="00EE5287" w:rsidRPr="000E0825" w:rsidRDefault="00EE5287" w:rsidP="00EE5287">
            <w:pPr>
              <w:pStyle w:val="NormalOCAshurst"/>
              <w:spacing w:after="0"/>
              <w:jc w:val="right"/>
              <w:rPr>
                <w:sz w:val="16"/>
                <w:szCs w:val="16"/>
              </w:rPr>
            </w:pPr>
          </w:p>
        </w:tc>
        <w:tc>
          <w:tcPr>
            <w:tcW w:w="541" w:type="pct"/>
            <w:vAlign w:val="bottom"/>
          </w:tcPr>
          <w:p w14:paraId="07512402" w14:textId="69EEE1EE" w:rsidR="00EE5287" w:rsidRPr="000E0825" w:rsidRDefault="00EE5287" w:rsidP="00EE5287">
            <w:pPr>
              <w:pStyle w:val="NormalOCAshurst"/>
              <w:spacing w:after="0"/>
              <w:jc w:val="right"/>
              <w:rPr>
                <w:sz w:val="16"/>
                <w:szCs w:val="16"/>
              </w:rPr>
            </w:pPr>
          </w:p>
        </w:tc>
        <w:tc>
          <w:tcPr>
            <w:tcW w:w="542" w:type="pct"/>
            <w:vAlign w:val="bottom"/>
          </w:tcPr>
          <w:p w14:paraId="4EDF0704" w14:textId="0D1496EE" w:rsidR="00EE5287" w:rsidRPr="000E0825" w:rsidRDefault="00EE5287" w:rsidP="00EE5287">
            <w:pPr>
              <w:pStyle w:val="NormalOCAshurst"/>
              <w:spacing w:after="0"/>
              <w:jc w:val="right"/>
              <w:rPr>
                <w:sz w:val="16"/>
                <w:szCs w:val="16"/>
              </w:rPr>
            </w:pPr>
          </w:p>
        </w:tc>
        <w:tc>
          <w:tcPr>
            <w:tcW w:w="541" w:type="pct"/>
            <w:vAlign w:val="bottom"/>
          </w:tcPr>
          <w:p w14:paraId="5D1CF753" w14:textId="74C6E38D" w:rsidR="00EE5287" w:rsidRPr="000E0825" w:rsidRDefault="00EE5287" w:rsidP="00EE5287">
            <w:pPr>
              <w:pStyle w:val="NormalOCAshurst"/>
              <w:spacing w:after="0"/>
              <w:jc w:val="right"/>
              <w:rPr>
                <w:sz w:val="16"/>
                <w:szCs w:val="16"/>
              </w:rPr>
            </w:pPr>
          </w:p>
        </w:tc>
        <w:tc>
          <w:tcPr>
            <w:tcW w:w="543" w:type="pct"/>
            <w:vAlign w:val="bottom"/>
          </w:tcPr>
          <w:p w14:paraId="3B4900F2" w14:textId="6EB01948" w:rsidR="00EE5287" w:rsidRPr="000E0825" w:rsidRDefault="00EE5287" w:rsidP="00EE5287">
            <w:pPr>
              <w:pStyle w:val="NormalOCAshurst"/>
              <w:spacing w:after="0"/>
              <w:jc w:val="right"/>
              <w:rPr>
                <w:sz w:val="16"/>
                <w:szCs w:val="16"/>
              </w:rPr>
            </w:pPr>
          </w:p>
        </w:tc>
        <w:tc>
          <w:tcPr>
            <w:tcW w:w="486" w:type="pct"/>
            <w:vAlign w:val="bottom"/>
          </w:tcPr>
          <w:p w14:paraId="7AB61CED" w14:textId="5C3B6C21" w:rsidR="00EE5287" w:rsidRPr="000E0825" w:rsidRDefault="00EE5287" w:rsidP="00EE5287">
            <w:pPr>
              <w:pStyle w:val="NormalOCAshurst"/>
              <w:spacing w:after="0"/>
              <w:jc w:val="right"/>
              <w:rPr>
                <w:sz w:val="16"/>
                <w:szCs w:val="16"/>
              </w:rPr>
            </w:pPr>
          </w:p>
        </w:tc>
      </w:tr>
      <w:tr w:rsidR="00EE5287" w:rsidRPr="00D03658" w14:paraId="695ADF00" w14:textId="77777777" w:rsidTr="00EE5287">
        <w:tc>
          <w:tcPr>
            <w:tcW w:w="1211" w:type="pct"/>
          </w:tcPr>
          <w:p w14:paraId="5DC1D9AF" w14:textId="7CB18155" w:rsidR="00EE5287" w:rsidRPr="000E0825" w:rsidRDefault="00EE5287" w:rsidP="00EE5287">
            <w:pPr>
              <w:pStyle w:val="StandardOCAshurst"/>
              <w:tabs>
                <w:tab w:val="left" w:leader="dot" w:pos="2041"/>
              </w:tabs>
              <w:rPr>
                <w:sz w:val="16"/>
                <w:szCs w:val="16"/>
              </w:rPr>
            </w:pPr>
            <w:r w:rsidRPr="000E0825">
              <w:rPr>
                <w:sz w:val="16"/>
                <w:szCs w:val="16"/>
              </w:rPr>
              <w:t>Property, plant and equipment</w:t>
            </w:r>
            <w:r w:rsidRPr="000E0825">
              <w:rPr>
                <w:sz w:val="16"/>
                <w:szCs w:val="16"/>
              </w:rPr>
              <w:tab/>
            </w:r>
          </w:p>
        </w:tc>
        <w:tc>
          <w:tcPr>
            <w:tcW w:w="595" w:type="pct"/>
            <w:vAlign w:val="bottom"/>
          </w:tcPr>
          <w:p w14:paraId="70C90602" w14:textId="77CF3AD2" w:rsidR="00EE5287" w:rsidRPr="000E0825" w:rsidRDefault="00EE5287" w:rsidP="00EE5287">
            <w:pPr>
              <w:pStyle w:val="StandardOCAshurst"/>
              <w:jc w:val="right"/>
              <w:rPr>
                <w:sz w:val="16"/>
                <w:szCs w:val="16"/>
              </w:rPr>
            </w:pPr>
            <w:r w:rsidRPr="000E0825">
              <w:rPr>
                <w:sz w:val="16"/>
                <w:szCs w:val="16"/>
              </w:rPr>
              <w:t>2,633,917</w:t>
            </w:r>
          </w:p>
        </w:tc>
        <w:tc>
          <w:tcPr>
            <w:tcW w:w="541" w:type="pct"/>
            <w:vAlign w:val="bottom"/>
          </w:tcPr>
          <w:p w14:paraId="6AF86918" w14:textId="1446873D" w:rsidR="00EE5287" w:rsidRPr="000E0825" w:rsidRDefault="00EE5287" w:rsidP="00EE5287">
            <w:pPr>
              <w:pStyle w:val="StandardOCAshurst"/>
              <w:jc w:val="right"/>
              <w:rPr>
                <w:sz w:val="16"/>
                <w:szCs w:val="16"/>
              </w:rPr>
            </w:pPr>
            <w:r w:rsidRPr="000E0825">
              <w:rPr>
                <w:sz w:val="16"/>
                <w:szCs w:val="16"/>
              </w:rPr>
              <w:t>131,</w:t>
            </w:r>
            <w:r>
              <w:rPr>
                <w:sz w:val="16"/>
                <w:szCs w:val="16"/>
              </w:rPr>
              <w:t>191</w:t>
            </w:r>
          </w:p>
        </w:tc>
        <w:tc>
          <w:tcPr>
            <w:tcW w:w="541" w:type="pct"/>
            <w:vAlign w:val="bottom"/>
          </w:tcPr>
          <w:p w14:paraId="56E4ACFC" w14:textId="70BED8E4" w:rsidR="00EE5287" w:rsidRPr="000E0825" w:rsidRDefault="00EE5287" w:rsidP="00EE5287">
            <w:pPr>
              <w:pStyle w:val="StandardOCAshurst"/>
              <w:jc w:val="right"/>
              <w:rPr>
                <w:sz w:val="16"/>
                <w:szCs w:val="16"/>
              </w:rPr>
            </w:pPr>
            <w:r w:rsidRPr="000E0825">
              <w:rPr>
                <w:sz w:val="16"/>
                <w:szCs w:val="16"/>
              </w:rPr>
              <w:t>333,602</w:t>
            </w:r>
          </w:p>
        </w:tc>
        <w:tc>
          <w:tcPr>
            <w:tcW w:w="542" w:type="pct"/>
            <w:vAlign w:val="bottom"/>
          </w:tcPr>
          <w:p w14:paraId="1DCD35B6" w14:textId="380DC8B3" w:rsidR="00EE5287" w:rsidRPr="000E0825" w:rsidRDefault="00EE5287" w:rsidP="00EE5287">
            <w:pPr>
              <w:pStyle w:val="StandardOCAshurst"/>
              <w:jc w:val="right"/>
              <w:rPr>
                <w:sz w:val="16"/>
                <w:szCs w:val="16"/>
              </w:rPr>
            </w:pPr>
          </w:p>
        </w:tc>
        <w:tc>
          <w:tcPr>
            <w:tcW w:w="541" w:type="pct"/>
            <w:vAlign w:val="bottom"/>
          </w:tcPr>
          <w:p w14:paraId="64924BC0" w14:textId="03D955FF" w:rsidR="00EE5287" w:rsidRPr="000E0825" w:rsidRDefault="00EE5287" w:rsidP="00EE5287">
            <w:pPr>
              <w:pStyle w:val="StandardOCAshurst"/>
              <w:jc w:val="right"/>
              <w:rPr>
                <w:sz w:val="16"/>
                <w:szCs w:val="16"/>
              </w:rPr>
            </w:pPr>
          </w:p>
        </w:tc>
        <w:tc>
          <w:tcPr>
            <w:tcW w:w="543" w:type="pct"/>
            <w:vAlign w:val="bottom"/>
          </w:tcPr>
          <w:p w14:paraId="5B70ED46" w14:textId="43C4B861" w:rsidR="00EE5287" w:rsidRPr="000E0825" w:rsidRDefault="00EE5287" w:rsidP="00EE5287">
            <w:pPr>
              <w:pStyle w:val="StandardOCAshurst"/>
              <w:jc w:val="right"/>
              <w:rPr>
                <w:sz w:val="16"/>
                <w:szCs w:val="16"/>
              </w:rPr>
            </w:pPr>
          </w:p>
        </w:tc>
        <w:tc>
          <w:tcPr>
            <w:tcW w:w="486" w:type="pct"/>
            <w:vAlign w:val="bottom"/>
          </w:tcPr>
          <w:p w14:paraId="164B7F2F" w14:textId="6493A9B2" w:rsidR="00EE5287" w:rsidRPr="000E0825" w:rsidRDefault="00EE5287" w:rsidP="00EE5287">
            <w:pPr>
              <w:pStyle w:val="StandardOCAshurst"/>
              <w:jc w:val="right"/>
              <w:rPr>
                <w:sz w:val="16"/>
                <w:szCs w:val="16"/>
              </w:rPr>
            </w:pPr>
            <w:r w:rsidRPr="000E0825">
              <w:rPr>
                <w:sz w:val="16"/>
                <w:szCs w:val="16"/>
              </w:rPr>
              <w:t>3,09</w:t>
            </w:r>
            <w:r>
              <w:rPr>
                <w:sz w:val="16"/>
                <w:szCs w:val="16"/>
              </w:rPr>
              <w:t>8</w:t>
            </w:r>
            <w:r w:rsidRPr="000E0825">
              <w:rPr>
                <w:sz w:val="16"/>
                <w:szCs w:val="16"/>
              </w:rPr>
              <w:t>,</w:t>
            </w:r>
            <w:r>
              <w:rPr>
                <w:sz w:val="16"/>
                <w:szCs w:val="16"/>
              </w:rPr>
              <w:t>710</w:t>
            </w:r>
          </w:p>
        </w:tc>
      </w:tr>
      <w:tr w:rsidR="00EE5287" w:rsidRPr="00D03658" w14:paraId="56ECB571" w14:textId="77777777" w:rsidTr="00EE5287">
        <w:tc>
          <w:tcPr>
            <w:tcW w:w="1211" w:type="pct"/>
          </w:tcPr>
          <w:p w14:paraId="6C5CA4B1" w14:textId="4CF7318E" w:rsidR="00EE5287" w:rsidRPr="000E0825" w:rsidRDefault="00EE5287" w:rsidP="00EE5287">
            <w:pPr>
              <w:pStyle w:val="StandardOCAshurst"/>
              <w:tabs>
                <w:tab w:val="left" w:leader="dot" w:pos="2041"/>
              </w:tabs>
              <w:rPr>
                <w:sz w:val="16"/>
                <w:szCs w:val="16"/>
              </w:rPr>
            </w:pPr>
            <w:r w:rsidRPr="000E0825">
              <w:rPr>
                <w:sz w:val="16"/>
                <w:szCs w:val="16"/>
              </w:rPr>
              <w:t>Goodwill</w:t>
            </w:r>
            <w:r w:rsidRPr="000E0825">
              <w:rPr>
                <w:sz w:val="16"/>
                <w:szCs w:val="16"/>
              </w:rPr>
              <w:tab/>
            </w:r>
          </w:p>
        </w:tc>
        <w:tc>
          <w:tcPr>
            <w:tcW w:w="595" w:type="pct"/>
            <w:vAlign w:val="bottom"/>
          </w:tcPr>
          <w:p w14:paraId="39270A9E" w14:textId="4C24BA05" w:rsidR="00EE5287" w:rsidRPr="000E0825" w:rsidRDefault="00EE5287" w:rsidP="00EE5287">
            <w:pPr>
              <w:pStyle w:val="StandardOCAshurst"/>
              <w:jc w:val="right"/>
              <w:rPr>
                <w:sz w:val="16"/>
                <w:szCs w:val="16"/>
              </w:rPr>
            </w:pPr>
            <w:r w:rsidRPr="000E0825">
              <w:rPr>
                <w:sz w:val="16"/>
                <w:szCs w:val="16"/>
              </w:rPr>
              <w:t>134,400</w:t>
            </w:r>
          </w:p>
        </w:tc>
        <w:tc>
          <w:tcPr>
            <w:tcW w:w="541" w:type="pct"/>
            <w:vAlign w:val="bottom"/>
          </w:tcPr>
          <w:p w14:paraId="29CF3407" w14:textId="77777777" w:rsidR="00EE5287" w:rsidRPr="000E0825" w:rsidRDefault="00EE5287" w:rsidP="00EE5287">
            <w:pPr>
              <w:pStyle w:val="StandardOCAshurst"/>
              <w:jc w:val="right"/>
              <w:rPr>
                <w:sz w:val="16"/>
                <w:szCs w:val="16"/>
              </w:rPr>
            </w:pPr>
          </w:p>
        </w:tc>
        <w:tc>
          <w:tcPr>
            <w:tcW w:w="541" w:type="pct"/>
            <w:vAlign w:val="bottom"/>
          </w:tcPr>
          <w:p w14:paraId="0D0BC836" w14:textId="77777777" w:rsidR="00EE5287" w:rsidRPr="000E0825" w:rsidRDefault="00EE5287" w:rsidP="00EE5287">
            <w:pPr>
              <w:pStyle w:val="StandardOCAshurst"/>
              <w:jc w:val="right"/>
              <w:rPr>
                <w:sz w:val="16"/>
                <w:szCs w:val="16"/>
              </w:rPr>
            </w:pPr>
          </w:p>
        </w:tc>
        <w:tc>
          <w:tcPr>
            <w:tcW w:w="542" w:type="pct"/>
            <w:vAlign w:val="bottom"/>
          </w:tcPr>
          <w:p w14:paraId="180C8707" w14:textId="77777777" w:rsidR="00EE5287" w:rsidRPr="000E0825" w:rsidRDefault="00EE5287" w:rsidP="00EE5287">
            <w:pPr>
              <w:pStyle w:val="StandardOCAshurst"/>
              <w:jc w:val="right"/>
              <w:rPr>
                <w:sz w:val="16"/>
                <w:szCs w:val="16"/>
              </w:rPr>
            </w:pPr>
          </w:p>
        </w:tc>
        <w:tc>
          <w:tcPr>
            <w:tcW w:w="541" w:type="pct"/>
            <w:vAlign w:val="bottom"/>
          </w:tcPr>
          <w:p w14:paraId="33A4CEFE" w14:textId="77777777" w:rsidR="00EE5287" w:rsidRPr="000E0825" w:rsidRDefault="00EE5287" w:rsidP="00EE5287">
            <w:pPr>
              <w:pStyle w:val="StandardOCAshurst"/>
              <w:jc w:val="right"/>
              <w:rPr>
                <w:sz w:val="16"/>
                <w:szCs w:val="16"/>
              </w:rPr>
            </w:pPr>
          </w:p>
        </w:tc>
        <w:tc>
          <w:tcPr>
            <w:tcW w:w="543" w:type="pct"/>
            <w:vAlign w:val="bottom"/>
          </w:tcPr>
          <w:p w14:paraId="54A5A9A2" w14:textId="77777777" w:rsidR="00EE5287" w:rsidRPr="000E0825" w:rsidRDefault="00EE5287" w:rsidP="00EE5287">
            <w:pPr>
              <w:pStyle w:val="StandardOCAshurst"/>
              <w:jc w:val="right"/>
              <w:rPr>
                <w:sz w:val="16"/>
                <w:szCs w:val="16"/>
              </w:rPr>
            </w:pPr>
          </w:p>
        </w:tc>
        <w:tc>
          <w:tcPr>
            <w:tcW w:w="486" w:type="pct"/>
            <w:vAlign w:val="bottom"/>
          </w:tcPr>
          <w:p w14:paraId="72699101" w14:textId="0FE21012" w:rsidR="00EE5287" w:rsidRPr="000E0825" w:rsidRDefault="00EE5287" w:rsidP="00EE5287">
            <w:pPr>
              <w:pStyle w:val="StandardOCAshurst"/>
              <w:jc w:val="right"/>
              <w:rPr>
                <w:sz w:val="16"/>
                <w:szCs w:val="16"/>
              </w:rPr>
            </w:pPr>
            <w:r w:rsidRPr="000E0825">
              <w:rPr>
                <w:sz w:val="16"/>
                <w:szCs w:val="16"/>
              </w:rPr>
              <w:t>134,400</w:t>
            </w:r>
          </w:p>
        </w:tc>
      </w:tr>
      <w:tr w:rsidR="00EE5287" w:rsidRPr="00D03658" w14:paraId="76AF26AE" w14:textId="77777777" w:rsidTr="00EE5287">
        <w:tc>
          <w:tcPr>
            <w:tcW w:w="1211" w:type="pct"/>
          </w:tcPr>
          <w:p w14:paraId="629A834E" w14:textId="4234FB76" w:rsidR="00EE5287" w:rsidRPr="000E0825" w:rsidRDefault="00EE5287" w:rsidP="00EE5287">
            <w:pPr>
              <w:pStyle w:val="StandardOCAshurst"/>
              <w:tabs>
                <w:tab w:val="left" w:leader="dot" w:pos="2041"/>
              </w:tabs>
              <w:rPr>
                <w:sz w:val="16"/>
                <w:szCs w:val="16"/>
              </w:rPr>
            </w:pPr>
            <w:r w:rsidRPr="000E0825">
              <w:rPr>
                <w:sz w:val="16"/>
                <w:szCs w:val="16"/>
              </w:rPr>
              <w:t>Intangible oil and gas assets</w:t>
            </w:r>
            <w:r w:rsidRPr="000E0825">
              <w:rPr>
                <w:sz w:val="16"/>
                <w:szCs w:val="16"/>
              </w:rPr>
              <w:tab/>
            </w:r>
          </w:p>
        </w:tc>
        <w:tc>
          <w:tcPr>
            <w:tcW w:w="595" w:type="pct"/>
            <w:vAlign w:val="bottom"/>
          </w:tcPr>
          <w:p w14:paraId="5CAC2944" w14:textId="743BEE59" w:rsidR="00EE5287" w:rsidRPr="000E0825" w:rsidRDefault="00EE5287" w:rsidP="00EE5287">
            <w:pPr>
              <w:pStyle w:val="StandardOCAshurst"/>
              <w:jc w:val="right"/>
              <w:rPr>
                <w:sz w:val="16"/>
                <w:szCs w:val="16"/>
              </w:rPr>
            </w:pPr>
            <w:r w:rsidRPr="000E0825">
              <w:rPr>
                <w:sz w:val="16"/>
                <w:szCs w:val="16"/>
              </w:rPr>
              <w:t>27,546</w:t>
            </w:r>
          </w:p>
        </w:tc>
        <w:tc>
          <w:tcPr>
            <w:tcW w:w="541" w:type="pct"/>
            <w:vAlign w:val="bottom"/>
          </w:tcPr>
          <w:p w14:paraId="53B7FF0D" w14:textId="5C632A4A" w:rsidR="00EE5287" w:rsidRPr="000E0825" w:rsidRDefault="00EE5287" w:rsidP="00EE5287">
            <w:pPr>
              <w:pStyle w:val="StandardOCAshurst"/>
              <w:jc w:val="right"/>
              <w:rPr>
                <w:sz w:val="16"/>
                <w:szCs w:val="16"/>
              </w:rPr>
            </w:pPr>
            <w:r>
              <w:rPr>
                <w:sz w:val="16"/>
                <w:szCs w:val="16"/>
              </w:rPr>
              <w:t>502</w:t>
            </w:r>
          </w:p>
        </w:tc>
        <w:tc>
          <w:tcPr>
            <w:tcW w:w="541" w:type="pct"/>
            <w:vAlign w:val="bottom"/>
          </w:tcPr>
          <w:p w14:paraId="54C07E66" w14:textId="77777777" w:rsidR="00EE5287" w:rsidRPr="000E0825" w:rsidRDefault="00EE5287" w:rsidP="00EE5287">
            <w:pPr>
              <w:pStyle w:val="StandardOCAshurst"/>
              <w:jc w:val="right"/>
              <w:rPr>
                <w:sz w:val="16"/>
                <w:szCs w:val="16"/>
              </w:rPr>
            </w:pPr>
          </w:p>
        </w:tc>
        <w:tc>
          <w:tcPr>
            <w:tcW w:w="542" w:type="pct"/>
            <w:vAlign w:val="bottom"/>
          </w:tcPr>
          <w:p w14:paraId="77BDDF60" w14:textId="77777777" w:rsidR="00EE5287" w:rsidRPr="000E0825" w:rsidRDefault="00EE5287" w:rsidP="00EE5287">
            <w:pPr>
              <w:pStyle w:val="StandardOCAshurst"/>
              <w:jc w:val="right"/>
              <w:rPr>
                <w:sz w:val="16"/>
                <w:szCs w:val="16"/>
              </w:rPr>
            </w:pPr>
          </w:p>
        </w:tc>
        <w:tc>
          <w:tcPr>
            <w:tcW w:w="541" w:type="pct"/>
            <w:vAlign w:val="bottom"/>
          </w:tcPr>
          <w:p w14:paraId="4A2F5B4A" w14:textId="77777777" w:rsidR="00EE5287" w:rsidRPr="000E0825" w:rsidRDefault="00EE5287" w:rsidP="00EE5287">
            <w:pPr>
              <w:pStyle w:val="StandardOCAshurst"/>
              <w:jc w:val="right"/>
              <w:rPr>
                <w:sz w:val="16"/>
                <w:szCs w:val="16"/>
              </w:rPr>
            </w:pPr>
          </w:p>
        </w:tc>
        <w:tc>
          <w:tcPr>
            <w:tcW w:w="543" w:type="pct"/>
            <w:vAlign w:val="bottom"/>
          </w:tcPr>
          <w:p w14:paraId="15CDF1A3" w14:textId="77777777" w:rsidR="00EE5287" w:rsidRPr="000E0825" w:rsidRDefault="00EE5287" w:rsidP="00EE5287">
            <w:pPr>
              <w:pStyle w:val="StandardOCAshurst"/>
              <w:jc w:val="right"/>
              <w:rPr>
                <w:sz w:val="16"/>
                <w:szCs w:val="16"/>
              </w:rPr>
            </w:pPr>
          </w:p>
        </w:tc>
        <w:tc>
          <w:tcPr>
            <w:tcW w:w="486" w:type="pct"/>
            <w:vAlign w:val="bottom"/>
          </w:tcPr>
          <w:p w14:paraId="18BBC632" w14:textId="6E8F466C" w:rsidR="00EE5287" w:rsidRPr="000E0825" w:rsidRDefault="00EE5287" w:rsidP="00EE5287">
            <w:pPr>
              <w:pStyle w:val="StandardOCAshurst"/>
              <w:jc w:val="right"/>
              <w:rPr>
                <w:sz w:val="16"/>
                <w:szCs w:val="16"/>
              </w:rPr>
            </w:pPr>
            <w:r w:rsidRPr="000E0825">
              <w:rPr>
                <w:sz w:val="16"/>
                <w:szCs w:val="16"/>
              </w:rPr>
              <w:t>2</w:t>
            </w:r>
            <w:r>
              <w:rPr>
                <w:sz w:val="16"/>
                <w:szCs w:val="16"/>
              </w:rPr>
              <w:t>8,048</w:t>
            </w:r>
          </w:p>
        </w:tc>
      </w:tr>
      <w:tr w:rsidR="00EE5287" w:rsidRPr="00D03658" w14:paraId="7610C13D" w14:textId="77777777" w:rsidTr="00EE5287">
        <w:tc>
          <w:tcPr>
            <w:tcW w:w="1211" w:type="pct"/>
          </w:tcPr>
          <w:p w14:paraId="68CC13CF" w14:textId="059FC6C5" w:rsidR="00EE5287" w:rsidRPr="000E0825" w:rsidRDefault="00EE5287" w:rsidP="00EE5287">
            <w:pPr>
              <w:pStyle w:val="StandardOCAshurst"/>
              <w:tabs>
                <w:tab w:val="left" w:leader="dot" w:pos="2041"/>
              </w:tabs>
              <w:rPr>
                <w:sz w:val="16"/>
                <w:szCs w:val="16"/>
              </w:rPr>
            </w:pPr>
            <w:r w:rsidRPr="000E0825">
              <w:rPr>
                <w:sz w:val="16"/>
                <w:szCs w:val="16"/>
              </w:rPr>
              <w:t>Deferred tax assets</w:t>
            </w:r>
            <w:r w:rsidRPr="000E0825">
              <w:rPr>
                <w:sz w:val="16"/>
                <w:szCs w:val="16"/>
              </w:rPr>
              <w:tab/>
            </w:r>
          </w:p>
        </w:tc>
        <w:tc>
          <w:tcPr>
            <w:tcW w:w="595" w:type="pct"/>
            <w:vAlign w:val="bottom"/>
          </w:tcPr>
          <w:p w14:paraId="7820E295" w14:textId="06AB700C" w:rsidR="00EE5287" w:rsidRPr="004D1D81" w:rsidRDefault="00EE5287" w:rsidP="00EE5287">
            <w:pPr>
              <w:pStyle w:val="StandardOCAshurst"/>
              <w:jc w:val="right"/>
              <w:rPr>
                <w:sz w:val="16"/>
                <w:szCs w:val="16"/>
              </w:rPr>
            </w:pPr>
            <w:r w:rsidRPr="004D1D81">
              <w:rPr>
                <w:sz w:val="16"/>
                <w:szCs w:val="16"/>
              </w:rPr>
              <w:t>659,803</w:t>
            </w:r>
          </w:p>
        </w:tc>
        <w:tc>
          <w:tcPr>
            <w:tcW w:w="541" w:type="pct"/>
            <w:vAlign w:val="bottom"/>
          </w:tcPr>
          <w:p w14:paraId="20A16E09" w14:textId="098D8CCE" w:rsidR="00EE5287" w:rsidRPr="000E0825" w:rsidRDefault="00EE5287" w:rsidP="00EE5287">
            <w:pPr>
              <w:pStyle w:val="StandardOCAshurst"/>
              <w:jc w:val="right"/>
              <w:rPr>
                <w:sz w:val="16"/>
                <w:szCs w:val="16"/>
              </w:rPr>
            </w:pPr>
            <w:r w:rsidRPr="000E0825">
              <w:rPr>
                <w:sz w:val="16"/>
                <w:szCs w:val="16"/>
              </w:rPr>
              <w:t>2,209</w:t>
            </w:r>
          </w:p>
        </w:tc>
        <w:tc>
          <w:tcPr>
            <w:tcW w:w="541" w:type="pct"/>
            <w:vAlign w:val="bottom"/>
          </w:tcPr>
          <w:p w14:paraId="6C070524" w14:textId="77777777" w:rsidR="00EE5287" w:rsidRPr="000E0825" w:rsidRDefault="00EE5287" w:rsidP="00EE5287">
            <w:pPr>
              <w:pStyle w:val="StandardOCAshurst"/>
              <w:jc w:val="right"/>
              <w:rPr>
                <w:sz w:val="16"/>
                <w:szCs w:val="16"/>
              </w:rPr>
            </w:pPr>
          </w:p>
        </w:tc>
        <w:tc>
          <w:tcPr>
            <w:tcW w:w="542" w:type="pct"/>
            <w:vAlign w:val="bottom"/>
          </w:tcPr>
          <w:p w14:paraId="645D26EB" w14:textId="0876A851" w:rsidR="00EE5287" w:rsidRPr="000E0825" w:rsidRDefault="00EE5287" w:rsidP="00EE5287">
            <w:pPr>
              <w:pStyle w:val="StandardOCAshurst"/>
              <w:jc w:val="right"/>
              <w:rPr>
                <w:sz w:val="16"/>
                <w:szCs w:val="16"/>
              </w:rPr>
            </w:pPr>
            <w:r w:rsidRPr="000E0825">
              <w:rPr>
                <w:sz w:val="16"/>
                <w:szCs w:val="16"/>
              </w:rPr>
              <w:t>2</w:t>
            </w:r>
            <w:r>
              <w:rPr>
                <w:sz w:val="16"/>
                <w:szCs w:val="16"/>
              </w:rPr>
              <w:t>15,205</w:t>
            </w:r>
          </w:p>
        </w:tc>
        <w:tc>
          <w:tcPr>
            <w:tcW w:w="541" w:type="pct"/>
            <w:vAlign w:val="bottom"/>
          </w:tcPr>
          <w:p w14:paraId="64AAF47D" w14:textId="77777777" w:rsidR="00EE5287" w:rsidRPr="000E0825" w:rsidRDefault="00EE5287" w:rsidP="00EE5287">
            <w:pPr>
              <w:pStyle w:val="StandardOCAshurst"/>
              <w:jc w:val="right"/>
              <w:rPr>
                <w:sz w:val="16"/>
                <w:szCs w:val="16"/>
              </w:rPr>
            </w:pPr>
          </w:p>
        </w:tc>
        <w:tc>
          <w:tcPr>
            <w:tcW w:w="543" w:type="pct"/>
            <w:vAlign w:val="bottom"/>
          </w:tcPr>
          <w:p w14:paraId="0D724790" w14:textId="77777777" w:rsidR="00EE5287" w:rsidRPr="000E0825" w:rsidRDefault="00EE5287" w:rsidP="00EE5287">
            <w:pPr>
              <w:pStyle w:val="StandardOCAshurst"/>
              <w:jc w:val="right"/>
              <w:rPr>
                <w:sz w:val="16"/>
                <w:szCs w:val="16"/>
              </w:rPr>
            </w:pPr>
          </w:p>
        </w:tc>
        <w:tc>
          <w:tcPr>
            <w:tcW w:w="486" w:type="pct"/>
            <w:vAlign w:val="bottom"/>
          </w:tcPr>
          <w:p w14:paraId="74302538" w14:textId="4B23EE43" w:rsidR="00EE5287" w:rsidRPr="000E0825" w:rsidRDefault="00EE5287" w:rsidP="00EE5287">
            <w:pPr>
              <w:pStyle w:val="StandardOCAshurst"/>
              <w:jc w:val="right"/>
              <w:rPr>
                <w:sz w:val="16"/>
                <w:szCs w:val="16"/>
              </w:rPr>
            </w:pPr>
            <w:r>
              <w:rPr>
                <w:sz w:val="16"/>
                <w:szCs w:val="16"/>
              </w:rPr>
              <w:t>877,217</w:t>
            </w:r>
          </w:p>
        </w:tc>
      </w:tr>
      <w:tr w:rsidR="00EE5287" w:rsidRPr="00D03658" w14:paraId="3360F3C0" w14:textId="77777777" w:rsidTr="00EE5287">
        <w:tc>
          <w:tcPr>
            <w:tcW w:w="1211" w:type="pct"/>
          </w:tcPr>
          <w:p w14:paraId="259CB247" w14:textId="5D99326E" w:rsidR="00EE5287" w:rsidRPr="000E0825" w:rsidRDefault="00EE5287" w:rsidP="00EE5287">
            <w:pPr>
              <w:pStyle w:val="StandardOCAshurst"/>
              <w:tabs>
                <w:tab w:val="left" w:leader="dot" w:pos="2041"/>
              </w:tabs>
              <w:rPr>
                <w:sz w:val="16"/>
                <w:szCs w:val="16"/>
              </w:rPr>
            </w:pPr>
            <w:r w:rsidRPr="000E0825">
              <w:rPr>
                <w:sz w:val="16"/>
                <w:szCs w:val="16"/>
              </w:rPr>
              <w:t>Other financial assets</w:t>
            </w:r>
            <w:r w:rsidRPr="000E0825">
              <w:rPr>
                <w:sz w:val="16"/>
                <w:szCs w:val="16"/>
              </w:rPr>
              <w:tab/>
            </w:r>
          </w:p>
        </w:tc>
        <w:tc>
          <w:tcPr>
            <w:tcW w:w="595" w:type="pct"/>
            <w:vAlign w:val="bottom"/>
          </w:tcPr>
          <w:p w14:paraId="07701F52" w14:textId="1CE99B14" w:rsidR="00EE5287" w:rsidRPr="004D1D81" w:rsidRDefault="00EE5287" w:rsidP="00EE5287">
            <w:pPr>
              <w:pStyle w:val="StandardOCAshurst"/>
              <w:pBdr>
                <w:bottom w:val="single" w:sz="4" w:space="1" w:color="auto"/>
              </w:pBdr>
              <w:jc w:val="right"/>
              <w:rPr>
                <w:sz w:val="16"/>
                <w:szCs w:val="16"/>
              </w:rPr>
            </w:pPr>
            <w:r w:rsidRPr="004D1D81">
              <w:rPr>
                <w:sz w:val="16"/>
                <w:szCs w:val="16"/>
              </w:rPr>
              <w:t>7</w:t>
            </w:r>
          </w:p>
        </w:tc>
        <w:tc>
          <w:tcPr>
            <w:tcW w:w="541" w:type="pct"/>
            <w:vAlign w:val="bottom"/>
          </w:tcPr>
          <w:p w14:paraId="736E31E0"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657C5B34" w14:textId="77777777" w:rsidR="00EE5287" w:rsidRPr="000E0825" w:rsidRDefault="00EE5287" w:rsidP="00EE5287">
            <w:pPr>
              <w:pStyle w:val="StandardOCAshurst"/>
              <w:pBdr>
                <w:bottom w:val="single" w:sz="4" w:space="1" w:color="auto"/>
              </w:pBdr>
              <w:jc w:val="right"/>
              <w:rPr>
                <w:sz w:val="16"/>
                <w:szCs w:val="16"/>
              </w:rPr>
            </w:pPr>
          </w:p>
        </w:tc>
        <w:tc>
          <w:tcPr>
            <w:tcW w:w="542" w:type="pct"/>
            <w:vAlign w:val="bottom"/>
          </w:tcPr>
          <w:p w14:paraId="6EC3CB68"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685F35BD" w14:textId="77777777" w:rsidR="00EE5287" w:rsidRPr="000E0825" w:rsidRDefault="00EE5287" w:rsidP="00EE5287">
            <w:pPr>
              <w:pStyle w:val="StandardOCAshurst"/>
              <w:pBdr>
                <w:bottom w:val="single" w:sz="4" w:space="1" w:color="auto"/>
              </w:pBdr>
              <w:jc w:val="right"/>
              <w:rPr>
                <w:sz w:val="16"/>
                <w:szCs w:val="16"/>
              </w:rPr>
            </w:pPr>
          </w:p>
        </w:tc>
        <w:tc>
          <w:tcPr>
            <w:tcW w:w="543" w:type="pct"/>
            <w:vAlign w:val="bottom"/>
          </w:tcPr>
          <w:p w14:paraId="279D6F4D" w14:textId="77777777" w:rsidR="00EE5287" w:rsidRPr="000E0825" w:rsidRDefault="00EE5287" w:rsidP="00EE5287">
            <w:pPr>
              <w:pStyle w:val="StandardOCAshurst"/>
              <w:pBdr>
                <w:bottom w:val="single" w:sz="4" w:space="1" w:color="auto"/>
              </w:pBdr>
              <w:jc w:val="right"/>
              <w:rPr>
                <w:sz w:val="16"/>
                <w:szCs w:val="16"/>
              </w:rPr>
            </w:pPr>
          </w:p>
        </w:tc>
        <w:tc>
          <w:tcPr>
            <w:tcW w:w="486" w:type="pct"/>
            <w:vAlign w:val="bottom"/>
          </w:tcPr>
          <w:p w14:paraId="5DC39611" w14:textId="68C3E5F4" w:rsidR="00EE5287" w:rsidRPr="000E0825" w:rsidRDefault="00EE5287" w:rsidP="00EE5287">
            <w:pPr>
              <w:pStyle w:val="StandardOCAshurst"/>
              <w:pBdr>
                <w:bottom w:val="single" w:sz="4" w:space="1" w:color="auto"/>
              </w:pBdr>
              <w:jc w:val="right"/>
              <w:rPr>
                <w:sz w:val="16"/>
                <w:szCs w:val="16"/>
              </w:rPr>
            </w:pPr>
            <w:r w:rsidRPr="000E0825">
              <w:rPr>
                <w:sz w:val="16"/>
                <w:szCs w:val="16"/>
              </w:rPr>
              <w:t>7</w:t>
            </w:r>
          </w:p>
        </w:tc>
      </w:tr>
      <w:tr w:rsidR="00EE5287" w:rsidRPr="00D03658" w14:paraId="7BA49865" w14:textId="77777777" w:rsidTr="00EE5287">
        <w:tc>
          <w:tcPr>
            <w:tcW w:w="1211" w:type="pct"/>
          </w:tcPr>
          <w:p w14:paraId="5790305B" w14:textId="59308F02" w:rsidR="00EE5287" w:rsidRPr="000E0825" w:rsidRDefault="00EE5287" w:rsidP="00EE5287">
            <w:pPr>
              <w:pStyle w:val="StandardOCAshurst"/>
              <w:tabs>
                <w:tab w:val="left" w:leader="dot" w:pos="2041"/>
              </w:tabs>
              <w:rPr>
                <w:b/>
                <w:bCs/>
                <w:sz w:val="16"/>
                <w:szCs w:val="16"/>
              </w:rPr>
            </w:pPr>
            <w:r w:rsidRPr="000E0825">
              <w:rPr>
                <w:b/>
                <w:bCs/>
                <w:sz w:val="16"/>
                <w:szCs w:val="16"/>
              </w:rPr>
              <w:t>Total non-current assets</w:t>
            </w:r>
            <w:r w:rsidRPr="000E0825">
              <w:rPr>
                <w:sz w:val="16"/>
                <w:szCs w:val="16"/>
              </w:rPr>
              <w:tab/>
            </w:r>
          </w:p>
        </w:tc>
        <w:tc>
          <w:tcPr>
            <w:tcW w:w="595" w:type="pct"/>
            <w:vAlign w:val="bottom"/>
          </w:tcPr>
          <w:p w14:paraId="519BEFF8" w14:textId="735404E5" w:rsidR="00EE5287" w:rsidRPr="000E0825" w:rsidRDefault="00EE5287" w:rsidP="00EE5287">
            <w:pPr>
              <w:pStyle w:val="StandardOCAshurst"/>
              <w:pBdr>
                <w:bottom w:val="single" w:sz="4" w:space="1" w:color="auto"/>
              </w:pBdr>
              <w:jc w:val="right"/>
              <w:rPr>
                <w:sz w:val="16"/>
                <w:szCs w:val="16"/>
              </w:rPr>
            </w:pPr>
            <w:r w:rsidRPr="000E0825">
              <w:rPr>
                <w:sz w:val="16"/>
                <w:szCs w:val="16"/>
              </w:rPr>
              <w:t>3,</w:t>
            </w:r>
            <w:r>
              <w:rPr>
                <w:sz w:val="16"/>
                <w:szCs w:val="16"/>
              </w:rPr>
              <w:t>455,673</w:t>
            </w:r>
          </w:p>
        </w:tc>
        <w:tc>
          <w:tcPr>
            <w:tcW w:w="541" w:type="pct"/>
            <w:vAlign w:val="bottom"/>
          </w:tcPr>
          <w:p w14:paraId="6651DFEC" w14:textId="3E59ABAA" w:rsidR="00EE5287" w:rsidRPr="000E0825" w:rsidRDefault="00EE5287" w:rsidP="00EE5287">
            <w:pPr>
              <w:pStyle w:val="StandardOCAshurst"/>
              <w:pBdr>
                <w:bottom w:val="single" w:sz="4" w:space="1" w:color="auto"/>
              </w:pBdr>
              <w:jc w:val="right"/>
              <w:rPr>
                <w:sz w:val="16"/>
                <w:szCs w:val="16"/>
              </w:rPr>
            </w:pPr>
            <w:r w:rsidRPr="000E0825">
              <w:rPr>
                <w:sz w:val="16"/>
                <w:szCs w:val="16"/>
              </w:rPr>
              <w:t>133,902</w:t>
            </w:r>
          </w:p>
        </w:tc>
        <w:tc>
          <w:tcPr>
            <w:tcW w:w="541" w:type="pct"/>
            <w:vAlign w:val="bottom"/>
          </w:tcPr>
          <w:p w14:paraId="6E0850F9" w14:textId="111B736D" w:rsidR="00EE5287" w:rsidRPr="000E0825" w:rsidRDefault="00EE5287" w:rsidP="00EE5287">
            <w:pPr>
              <w:pStyle w:val="StandardOCAshurst"/>
              <w:pBdr>
                <w:bottom w:val="single" w:sz="4" w:space="1" w:color="auto"/>
              </w:pBdr>
              <w:jc w:val="right"/>
              <w:rPr>
                <w:sz w:val="16"/>
                <w:szCs w:val="16"/>
              </w:rPr>
            </w:pPr>
            <w:r w:rsidRPr="000E0825">
              <w:rPr>
                <w:sz w:val="16"/>
                <w:szCs w:val="16"/>
              </w:rPr>
              <w:t>333,602</w:t>
            </w:r>
          </w:p>
        </w:tc>
        <w:tc>
          <w:tcPr>
            <w:tcW w:w="542" w:type="pct"/>
            <w:vAlign w:val="bottom"/>
          </w:tcPr>
          <w:p w14:paraId="50176468" w14:textId="3C785B14" w:rsidR="00EE5287" w:rsidRPr="000E0825" w:rsidRDefault="00EE5287" w:rsidP="00EE5287">
            <w:pPr>
              <w:pStyle w:val="StandardOCAshurst"/>
              <w:pBdr>
                <w:bottom w:val="single" w:sz="4" w:space="1" w:color="auto"/>
              </w:pBdr>
              <w:jc w:val="right"/>
              <w:rPr>
                <w:sz w:val="16"/>
                <w:szCs w:val="16"/>
              </w:rPr>
            </w:pPr>
            <w:r w:rsidRPr="000E0825">
              <w:rPr>
                <w:sz w:val="16"/>
                <w:szCs w:val="16"/>
              </w:rPr>
              <w:t>2</w:t>
            </w:r>
            <w:r>
              <w:rPr>
                <w:sz w:val="16"/>
                <w:szCs w:val="16"/>
              </w:rPr>
              <w:t>15,205</w:t>
            </w:r>
          </w:p>
        </w:tc>
        <w:tc>
          <w:tcPr>
            <w:tcW w:w="541" w:type="pct"/>
            <w:vAlign w:val="bottom"/>
          </w:tcPr>
          <w:p w14:paraId="2C73BEAD" w14:textId="69BAFF87" w:rsidR="00EE5287" w:rsidRPr="000E0825" w:rsidRDefault="00EE5287" w:rsidP="00EE5287">
            <w:pPr>
              <w:pStyle w:val="StandardOCAshurst"/>
              <w:pBdr>
                <w:bottom w:val="single" w:sz="4" w:space="1" w:color="auto"/>
              </w:pBdr>
              <w:jc w:val="right"/>
              <w:rPr>
                <w:sz w:val="16"/>
                <w:szCs w:val="16"/>
              </w:rPr>
            </w:pPr>
            <w:r w:rsidRPr="000E0825">
              <w:rPr>
                <w:sz w:val="16"/>
                <w:szCs w:val="16"/>
              </w:rPr>
              <w:t>0</w:t>
            </w:r>
          </w:p>
        </w:tc>
        <w:tc>
          <w:tcPr>
            <w:tcW w:w="543" w:type="pct"/>
            <w:vAlign w:val="bottom"/>
          </w:tcPr>
          <w:p w14:paraId="6F66C4F7" w14:textId="45E9DFD2" w:rsidR="00EE5287" w:rsidRPr="000E0825" w:rsidRDefault="00EE5287" w:rsidP="00EE5287">
            <w:pPr>
              <w:pStyle w:val="StandardOCAshurst"/>
              <w:pBdr>
                <w:bottom w:val="single" w:sz="4" w:space="1" w:color="auto"/>
              </w:pBdr>
              <w:jc w:val="right"/>
              <w:rPr>
                <w:sz w:val="16"/>
                <w:szCs w:val="16"/>
              </w:rPr>
            </w:pPr>
            <w:r w:rsidRPr="000E0825">
              <w:rPr>
                <w:sz w:val="16"/>
                <w:szCs w:val="16"/>
              </w:rPr>
              <w:t>0</w:t>
            </w:r>
          </w:p>
        </w:tc>
        <w:tc>
          <w:tcPr>
            <w:tcW w:w="486" w:type="pct"/>
            <w:vAlign w:val="bottom"/>
          </w:tcPr>
          <w:p w14:paraId="549F3AEE" w14:textId="704AE6D4" w:rsidR="00EE5287" w:rsidRPr="000E0825" w:rsidRDefault="00EE5287" w:rsidP="00EE5287">
            <w:pPr>
              <w:pStyle w:val="StandardOCAshurst"/>
              <w:pBdr>
                <w:bottom w:val="single" w:sz="4" w:space="1" w:color="auto"/>
              </w:pBdr>
              <w:jc w:val="right"/>
              <w:rPr>
                <w:sz w:val="16"/>
                <w:szCs w:val="16"/>
              </w:rPr>
            </w:pPr>
            <w:r w:rsidRPr="000E0825">
              <w:rPr>
                <w:sz w:val="16"/>
                <w:szCs w:val="16"/>
              </w:rPr>
              <w:t>4,</w:t>
            </w:r>
            <w:r>
              <w:rPr>
                <w:sz w:val="16"/>
                <w:szCs w:val="16"/>
              </w:rPr>
              <w:t>138,382</w:t>
            </w:r>
          </w:p>
        </w:tc>
      </w:tr>
      <w:tr w:rsidR="00EE5287" w:rsidRPr="00D03658" w14:paraId="65160CC5" w14:textId="77777777" w:rsidTr="00EE5287">
        <w:tc>
          <w:tcPr>
            <w:tcW w:w="1211" w:type="pct"/>
          </w:tcPr>
          <w:p w14:paraId="2E551D79" w14:textId="7EC2B756" w:rsidR="00EE5287" w:rsidRPr="000E0825" w:rsidRDefault="00EE5287" w:rsidP="00EE5287">
            <w:pPr>
              <w:pStyle w:val="StandardOCAshurst"/>
              <w:tabs>
                <w:tab w:val="left" w:leader="dot" w:pos="2041"/>
              </w:tabs>
              <w:rPr>
                <w:sz w:val="16"/>
                <w:szCs w:val="16"/>
              </w:rPr>
            </w:pPr>
            <w:r w:rsidRPr="000E0825">
              <w:rPr>
                <w:sz w:val="16"/>
                <w:szCs w:val="16"/>
              </w:rPr>
              <w:t xml:space="preserve"> </w:t>
            </w:r>
          </w:p>
        </w:tc>
        <w:tc>
          <w:tcPr>
            <w:tcW w:w="595" w:type="pct"/>
            <w:vAlign w:val="bottom"/>
          </w:tcPr>
          <w:p w14:paraId="125869C0" w14:textId="77777777" w:rsidR="00EE5287" w:rsidRPr="000E0825" w:rsidRDefault="00EE5287" w:rsidP="00EE5287">
            <w:pPr>
              <w:pStyle w:val="StandardOCAshurst"/>
              <w:jc w:val="right"/>
              <w:rPr>
                <w:sz w:val="16"/>
                <w:szCs w:val="16"/>
              </w:rPr>
            </w:pPr>
          </w:p>
        </w:tc>
        <w:tc>
          <w:tcPr>
            <w:tcW w:w="541" w:type="pct"/>
            <w:vAlign w:val="bottom"/>
          </w:tcPr>
          <w:p w14:paraId="64DDA677" w14:textId="77777777" w:rsidR="00EE5287" w:rsidRPr="000E0825" w:rsidRDefault="00EE5287" w:rsidP="00EE5287">
            <w:pPr>
              <w:pStyle w:val="StandardOCAshurst"/>
              <w:jc w:val="right"/>
              <w:rPr>
                <w:sz w:val="16"/>
                <w:szCs w:val="16"/>
              </w:rPr>
            </w:pPr>
          </w:p>
        </w:tc>
        <w:tc>
          <w:tcPr>
            <w:tcW w:w="541" w:type="pct"/>
            <w:vAlign w:val="bottom"/>
          </w:tcPr>
          <w:p w14:paraId="26481A85" w14:textId="77777777" w:rsidR="00EE5287" w:rsidRPr="000E0825" w:rsidRDefault="00EE5287" w:rsidP="00EE5287">
            <w:pPr>
              <w:pStyle w:val="StandardOCAshurst"/>
              <w:jc w:val="right"/>
              <w:rPr>
                <w:sz w:val="16"/>
                <w:szCs w:val="16"/>
              </w:rPr>
            </w:pPr>
          </w:p>
        </w:tc>
        <w:tc>
          <w:tcPr>
            <w:tcW w:w="542" w:type="pct"/>
            <w:vAlign w:val="bottom"/>
          </w:tcPr>
          <w:p w14:paraId="372E1A63" w14:textId="77777777" w:rsidR="00EE5287" w:rsidRPr="000E0825" w:rsidRDefault="00EE5287" w:rsidP="00EE5287">
            <w:pPr>
              <w:pStyle w:val="StandardOCAshurst"/>
              <w:jc w:val="right"/>
              <w:rPr>
                <w:sz w:val="16"/>
                <w:szCs w:val="16"/>
              </w:rPr>
            </w:pPr>
          </w:p>
        </w:tc>
        <w:tc>
          <w:tcPr>
            <w:tcW w:w="541" w:type="pct"/>
            <w:vAlign w:val="bottom"/>
          </w:tcPr>
          <w:p w14:paraId="7EB71909" w14:textId="77777777" w:rsidR="00EE5287" w:rsidRPr="000E0825" w:rsidRDefault="00EE5287" w:rsidP="00EE5287">
            <w:pPr>
              <w:pStyle w:val="StandardOCAshurst"/>
              <w:jc w:val="right"/>
              <w:rPr>
                <w:sz w:val="16"/>
                <w:szCs w:val="16"/>
              </w:rPr>
            </w:pPr>
          </w:p>
        </w:tc>
        <w:tc>
          <w:tcPr>
            <w:tcW w:w="543" w:type="pct"/>
            <w:vAlign w:val="bottom"/>
          </w:tcPr>
          <w:p w14:paraId="51485CA3" w14:textId="77777777" w:rsidR="00EE5287" w:rsidRPr="000E0825" w:rsidRDefault="00EE5287" w:rsidP="00EE5287">
            <w:pPr>
              <w:pStyle w:val="StandardOCAshurst"/>
              <w:jc w:val="right"/>
              <w:rPr>
                <w:sz w:val="16"/>
                <w:szCs w:val="16"/>
              </w:rPr>
            </w:pPr>
          </w:p>
        </w:tc>
        <w:tc>
          <w:tcPr>
            <w:tcW w:w="486" w:type="pct"/>
            <w:vAlign w:val="bottom"/>
          </w:tcPr>
          <w:p w14:paraId="6016C87B" w14:textId="77777777" w:rsidR="00EE5287" w:rsidRPr="000E0825" w:rsidRDefault="00EE5287" w:rsidP="00EE5287">
            <w:pPr>
              <w:pStyle w:val="StandardOCAshurst"/>
              <w:jc w:val="right"/>
              <w:rPr>
                <w:sz w:val="16"/>
                <w:szCs w:val="16"/>
              </w:rPr>
            </w:pPr>
          </w:p>
        </w:tc>
      </w:tr>
      <w:tr w:rsidR="00EE5287" w:rsidRPr="00D03658" w14:paraId="331BB17F" w14:textId="77777777" w:rsidTr="00EE5287">
        <w:tc>
          <w:tcPr>
            <w:tcW w:w="1211" w:type="pct"/>
          </w:tcPr>
          <w:p w14:paraId="6F967555" w14:textId="0F005B87" w:rsidR="00EE5287" w:rsidRPr="000E0825" w:rsidRDefault="00EE5287" w:rsidP="00EE5287">
            <w:pPr>
              <w:pStyle w:val="StandardOCAshurst"/>
              <w:tabs>
                <w:tab w:val="left" w:leader="dot" w:pos="2041"/>
              </w:tabs>
              <w:rPr>
                <w:b/>
                <w:bCs/>
                <w:sz w:val="16"/>
                <w:szCs w:val="16"/>
              </w:rPr>
            </w:pPr>
            <w:r w:rsidRPr="000E0825">
              <w:rPr>
                <w:b/>
                <w:bCs/>
                <w:sz w:val="16"/>
                <w:szCs w:val="16"/>
              </w:rPr>
              <w:t>Current assets</w:t>
            </w:r>
          </w:p>
        </w:tc>
        <w:tc>
          <w:tcPr>
            <w:tcW w:w="595" w:type="pct"/>
            <w:vAlign w:val="bottom"/>
          </w:tcPr>
          <w:p w14:paraId="7A20371C" w14:textId="77777777" w:rsidR="00EE5287" w:rsidRPr="000E0825" w:rsidRDefault="00EE5287" w:rsidP="00EE5287">
            <w:pPr>
              <w:pStyle w:val="StandardOCAshurst"/>
              <w:jc w:val="right"/>
              <w:rPr>
                <w:sz w:val="16"/>
                <w:szCs w:val="16"/>
              </w:rPr>
            </w:pPr>
          </w:p>
        </w:tc>
        <w:tc>
          <w:tcPr>
            <w:tcW w:w="541" w:type="pct"/>
            <w:vAlign w:val="bottom"/>
          </w:tcPr>
          <w:p w14:paraId="40EF297A" w14:textId="77777777" w:rsidR="00EE5287" w:rsidRPr="000E0825" w:rsidRDefault="00EE5287" w:rsidP="00EE5287">
            <w:pPr>
              <w:pStyle w:val="StandardOCAshurst"/>
              <w:jc w:val="right"/>
              <w:rPr>
                <w:sz w:val="16"/>
                <w:szCs w:val="16"/>
              </w:rPr>
            </w:pPr>
          </w:p>
        </w:tc>
        <w:tc>
          <w:tcPr>
            <w:tcW w:w="541" w:type="pct"/>
            <w:vAlign w:val="bottom"/>
          </w:tcPr>
          <w:p w14:paraId="32171459" w14:textId="77777777" w:rsidR="00EE5287" w:rsidRPr="000E0825" w:rsidRDefault="00EE5287" w:rsidP="00EE5287">
            <w:pPr>
              <w:pStyle w:val="StandardOCAshurst"/>
              <w:jc w:val="right"/>
              <w:rPr>
                <w:sz w:val="16"/>
                <w:szCs w:val="16"/>
              </w:rPr>
            </w:pPr>
          </w:p>
        </w:tc>
        <w:tc>
          <w:tcPr>
            <w:tcW w:w="542" w:type="pct"/>
            <w:vAlign w:val="bottom"/>
          </w:tcPr>
          <w:p w14:paraId="3A746ACE" w14:textId="77777777" w:rsidR="00EE5287" w:rsidRPr="000E0825" w:rsidRDefault="00EE5287" w:rsidP="00EE5287">
            <w:pPr>
              <w:pStyle w:val="StandardOCAshurst"/>
              <w:jc w:val="right"/>
              <w:rPr>
                <w:sz w:val="16"/>
                <w:szCs w:val="16"/>
              </w:rPr>
            </w:pPr>
          </w:p>
        </w:tc>
        <w:tc>
          <w:tcPr>
            <w:tcW w:w="541" w:type="pct"/>
            <w:vAlign w:val="bottom"/>
          </w:tcPr>
          <w:p w14:paraId="1F323DD3" w14:textId="77777777" w:rsidR="00EE5287" w:rsidRPr="000E0825" w:rsidRDefault="00EE5287" w:rsidP="00EE5287">
            <w:pPr>
              <w:pStyle w:val="StandardOCAshurst"/>
              <w:jc w:val="right"/>
              <w:rPr>
                <w:sz w:val="16"/>
                <w:szCs w:val="16"/>
              </w:rPr>
            </w:pPr>
          </w:p>
        </w:tc>
        <w:tc>
          <w:tcPr>
            <w:tcW w:w="543" w:type="pct"/>
            <w:vAlign w:val="bottom"/>
          </w:tcPr>
          <w:p w14:paraId="657A8B16" w14:textId="77777777" w:rsidR="00EE5287" w:rsidRPr="000E0825" w:rsidRDefault="00EE5287" w:rsidP="00EE5287">
            <w:pPr>
              <w:pStyle w:val="StandardOCAshurst"/>
              <w:jc w:val="right"/>
              <w:rPr>
                <w:sz w:val="16"/>
                <w:szCs w:val="16"/>
              </w:rPr>
            </w:pPr>
          </w:p>
        </w:tc>
        <w:tc>
          <w:tcPr>
            <w:tcW w:w="486" w:type="pct"/>
            <w:vAlign w:val="bottom"/>
          </w:tcPr>
          <w:p w14:paraId="2936B71E" w14:textId="77777777" w:rsidR="00EE5287" w:rsidRPr="000E0825" w:rsidRDefault="00EE5287" w:rsidP="00EE5287">
            <w:pPr>
              <w:pStyle w:val="StandardOCAshurst"/>
              <w:jc w:val="right"/>
              <w:rPr>
                <w:sz w:val="16"/>
                <w:szCs w:val="16"/>
              </w:rPr>
            </w:pPr>
          </w:p>
        </w:tc>
      </w:tr>
      <w:tr w:rsidR="00EE5287" w:rsidRPr="00D03658" w14:paraId="6CCDBBE3" w14:textId="77777777" w:rsidTr="00EE5287">
        <w:tc>
          <w:tcPr>
            <w:tcW w:w="1211" w:type="pct"/>
          </w:tcPr>
          <w:p w14:paraId="20EBEAB3" w14:textId="36EB32E4" w:rsidR="00EE5287" w:rsidRPr="000E0825" w:rsidRDefault="00EE5287" w:rsidP="00EE5287">
            <w:pPr>
              <w:pStyle w:val="StandardOCAshurst"/>
              <w:tabs>
                <w:tab w:val="left" w:leader="dot" w:pos="2041"/>
              </w:tabs>
              <w:rPr>
                <w:sz w:val="16"/>
                <w:szCs w:val="16"/>
              </w:rPr>
            </w:pPr>
            <w:r w:rsidRPr="000E0825">
              <w:rPr>
                <w:sz w:val="16"/>
                <w:szCs w:val="16"/>
              </w:rPr>
              <w:t>Inventories</w:t>
            </w:r>
            <w:r w:rsidRPr="000E0825">
              <w:rPr>
                <w:sz w:val="16"/>
                <w:szCs w:val="16"/>
              </w:rPr>
              <w:tab/>
            </w:r>
          </w:p>
        </w:tc>
        <w:tc>
          <w:tcPr>
            <w:tcW w:w="595" w:type="pct"/>
            <w:vAlign w:val="bottom"/>
          </w:tcPr>
          <w:p w14:paraId="1597A68D" w14:textId="472CBCA5" w:rsidR="00EE5287" w:rsidRPr="000E0825" w:rsidRDefault="00EE5287" w:rsidP="00EE5287">
            <w:pPr>
              <w:pStyle w:val="StandardOCAshurst"/>
              <w:jc w:val="right"/>
              <w:rPr>
                <w:sz w:val="16"/>
                <w:szCs w:val="16"/>
              </w:rPr>
            </w:pPr>
            <w:r w:rsidRPr="000E0825">
              <w:rPr>
                <w:sz w:val="16"/>
                <w:szCs w:val="16"/>
              </w:rPr>
              <w:t>59,784</w:t>
            </w:r>
          </w:p>
        </w:tc>
        <w:tc>
          <w:tcPr>
            <w:tcW w:w="541" w:type="pct"/>
            <w:vAlign w:val="bottom"/>
          </w:tcPr>
          <w:p w14:paraId="75DD3AAC" w14:textId="1A4DEBEC" w:rsidR="00EE5287" w:rsidRPr="000E0825" w:rsidRDefault="00EE5287" w:rsidP="00EE5287">
            <w:pPr>
              <w:pStyle w:val="StandardOCAshurst"/>
              <w:jc w:val="right"/>
              <w:rPr>
                <w:sz w:val="16"/>
                <w:szCs w:val="16"/>
              </w:rPr>
            </w:pPr>
            <w:r w:rsidRPr="000E0825">
              <w:rPr>
                <w:sz w:val="16"/>
                <w:szCs w:val="16"/>
              </w:rPr>
              <w:t>13,411</w:t>
            </w:r>
          </w:p>
        </w:tc>
        <w:tc>
          <w:tcPr>
            <w:tcW w:w="541" w:type="pct"/>
            <w:vAlign w:val="bottom"/>
          </w:tcPr>
          <w:p w14:paraId="4320D551" w14:textId="77777777" w:rsidR="00EE5287" w:rsidRPr="000E0825" w:rsidRDefault="00EE5287" w:rsidP="00EE5287">
            <w:pPr>
              <w:pStyle w:val="StandardOCAshurst"/>
              <w:jc w:val="right"/>
              <w:rPr>
                <w:sz w:val="16"/>
                <w:szCs w:val="16"/>
              </w:rPr>
            </w:pPr>
          </w:p>
        </w:tc>
        <w:tc>
          <w:tcPr>
            <w:tcW w:w="542" w:type="pct"/>
            <w:vAlign w:val="bottom"/>
          </w:tcPr>
          <w:p w14:paraId="5DA44F94" w14:textId="77777777" w:rsidR="00EE5287" w:rsidRPr="000E0825" w:rsidRDefault="00EE5287" w:rsidP="00EE5287">
            <w:pPr>
              <w:pStyle w:val="StandardOCAshurst"/>
              <w:jc w:val="right"/>
              <w:rPr>
                <w:sz w:val="16"/>
                <w:szCs w:val="16"/>
              </w:rPr>
            </w:pPr>
          </w:p>
        </w:tc>
        <w:tc>
          <w:tcPr>
            <w:tcW w:w="541" w:type="pct"/>
            <w:vAlign w:val="bottom"/>
          </w:tcPr>
          <w:p w14:paraId="038DC1BA" w14:textId="77777777" w:rsidR="00EE5287" w:rsidRPr="000E0825" w:rsidRDefault="00EE5287" w:rsidP="00EE5287">
            <w:pPr>
              <w:pStyle w:val="StandardOCAshurst"/>
              <w:jc w:val="right"/>
              <w:rPr>
                <w:sz w:val="16"/>
                <w:szCs w:val="16"/>
              </w:rPr>
            </w:pPr>
          </w:p>
        </w:tc>
        <w:tc>
          <w:tcPr>
            <w:tcW w:w="543" w:type="pct"/>
            <w:vAlign w:val="bottom"/>
          </w:tcPr>
          <w:p w14:paraId="704DB1B1" w14:textId="77777777" w:rsidR="00EE5287" w:rsidRPr="000E0825" w:rsidRDefault="00EE5287" w:rsidP="00EE5287">
            <w:pPr>
              <w:pStyle w:val="StandardOCAshurst"/>
              <w:jc w:val="right"/>
              <w:rPr>
                <w:sz w:val="16"/>
                <w:szCs w:val="16"/>
              </w:rPr>
            </w:pPr>
          </w:p>
        </w:tc>
        <w:tc>
          <w:tcPr>
            <w:tcW w:w="486" w:type="pct"/>
            <w:vAlign w:val="bottom"/>
          </w:tcPr>
          <w:p w14:paraId="6FA6CB2F" w14:textId="422A08CD" w:rsidR="00EE5287" w:rsidRPr="000E0825" w:rsidRDefault="00EE5287" w:rsidP="00EE5287">
            <w:pPr>
              <w:pStyle w:val="StandardOCAshurst"/>
              <w:jc w:val="right"/>
              <w:rPr>
                <w:sz w:val="16"/>
                <w:szCs w:val="16"/>
              </w:rPr>
            </w:pPr>
            <w:r w:rsidRPr="000E0825">
              <w:rPr>
                <w:sz w:val="16"/>
                <w:szCs w:val="16"/>
              </w:rPr>
              <w:t>73,195</w:t>
            </w:r>
          </w:p>
        </w:tc>
      </w:tr>
      <w:tr w:rsidR="00EE5287" w:rsidRPr="00D03658" w14:paraId="5D6C43EA" w14:textId="77777777" w:rsidTr="00EE5287">
        <w:tc>
          <w:tcPr>
            <w:tcW w:w="1211" w:type="pct"/>
          </w:tcPr>
          <w:p w14:paraId="27EADCF1" w14:textId="780C35A2" w:rsidR="00EE5287" w:rsidRPr="000E0825" w:rsidRDefault="00EE5287" w:rsidP="00EE5287">
            <w:pPr>
              <w:pStyle w:val="StandardOCAshurst"/>
              <w:tabs>
                <w:tab w:val="left" w:leader="dot" w:pos="2041"/>
              </w:tabs>
              <w:rPr>
                <w:sz w:val="16"/>
                <w:szCs w:val="16"/>
              </w:rPr>
            </w:pPr>
            <w:r w:rsidRPr="000E0825">
              <w:rPr>
                <w:sz w:val="16"/>
                <w:szCs w:val="16"/>
              </w:rPr>
              <w:t xml:space="preserve">Trade and other receivables </w:t>
            </w:r>
            <w:r w:rsidRPr="000E0825">
              <w:rPr>
                <w:sz w:val="16"/>
                <w:szCs w:val="16"/>
              </w:rPr>
              <w:tab/>
            </w:r>
          </w:p>
        </w:tc>
        <w:tc>
          <w:tcPr>
            <w:tcW w:w="595" w:type="pct"/>
            <w:vAlign w:val="bottom"/>
          </w:tcPr>
          <w:p w14:paraId="782AD959" w14:textId="2455173F" w:rsidR="00EE5287" w:rsidRPr="000E0825" w:rsidRDefault="00EE5287" w:rsidP="00EE5287">
            <w:pPr>
              <w:pStyle w:val="StandardOCAshurst"/>
              <w:jc w:val="right"/>
              <w:rPr>
                <w:sz w:val="16"/>
                <w:szCs w:val="16"/>
              </w:rPr>
            </w:pPr>
            <w:r w:rsidRPr="000E0825">
              <w:rPr>
                <w:sz w:val="16"/>
                <w:szCs w:val="16"/>
              </w:rPr>
              <w:t>118,715</w:t>
            </w:r>
          </w:p>
        </w:tc>
        <w:tc>
          <w:tcPr>
            <w:tcW w:w="541" w:type="pct"/>
            <w:vAlign w:val="bottom"/>
          </w:tcPr>
          <w:p w14:paraId="1EE11655" w14:textId="6F699D08" w:rsidR="00EE5287" w:rsidRPr="000E0825" w:rsidRDefault="00EE5287" w:rsidP="00EE5287">
            <w:pPr>
              <w:pStyle w:val="StandardOCAshurst"/>
              <w:jc w:val="right"/>
              <w:rPr>
                <w:sz w:val="16"/>
                <w:szCs w:val="16"/>
              </w:rPr>
            </w:pPr>
            <w:r w:rsidRPr="000E0825">
              <w:rPr>
                <w:sz w:val="16"/>
                <w:szCs w:val="16"/>
              </w:rPr>
              <w:t>11,123</w:t>
            </w:r>
          </w:p>
        </w:tc>
        <w:tc>
          <w:tcPr>
            <w:tcW w:w="541" w:type="pct"/>
            <w:vAlign w:val="bottom"/>
          </w:tcPr>
          <w:p w14:paraId="3C227D0B" w14:textId="77777777" w:rsidR="00EE5287" w:rsidRPr="000E0825" w:rsidRDefault="00EE5287" w:rsidP="00EE5287">
            <w:pPr>
              <w:pStyle w:val="StandardOCAshurst"/>
              <w:jc w:val="right"/>
              <w:rPr>
                <w:sz w:val="16"/>
                <w:szCs w:val="16"/>
              </w:rPr>
            </w:pPr>
          </w:p>
        </w:tc>
        <w:tc>
          <w:tcPr>
            <w:tcW w:w="542" w:type="pct"/>
            <w:vAlign w:val="bottom"/>
          </w:tcPr>
          <w:p w14:paraId="1223D163" w14:textId="77777777" w:rsidR="00EE5287" w:rsidRPr="000E0825" w:rsidRDefault="00EE5287" w:rsidP="00EE5287">
            <w:pPr>
              <w:pStyle w:val="StandardOCAshurst"/>
              <w:jc w:val="right"/>
              <w:rPr>
                <w:sz w:val="16"/>
                <w:szCs w:val="16"/>
              </w:rPr>
            </w:pPr>
          </w:p>
        </w:tc>
        <w:tc>
          <w:tcPr>
            <w:tcW w:w="541" w:type="pct"/>
            <w:vAlign w:val="bottom"/>
          </w:tcPr>
          <w:p w14:paraId="032473E6" w14:textId="77777777" w:rsidR="00EE5287" w:rsidRPr="000E0825" w:rsidRDefault="00EE5287" w:rsidP="00EE5287">
            <w:pPr>
              <w:pStyle w:val="StandardOCAshurst"/>
              <w:jc w:val="right"/>
              <w:rPr>
                <w:sz w:val="16"/>
                <w:szCs w:val="16"/>
              </w:rPr>
            </w:pPr>
          </w:p>
        </w:tc>
        <w:tc>
          <w:tcPr>
            <w:tcW w:w="543" w:type="pct"/>
            <w:vAlign w:val="bottom"/>
          </w:tcPr>
          <w:p w14:paraId="287EE31F" w14:textId="77777777" w:rsidR="00EE5287" w:rsidRPr="000E0825" w:rsidRDefault="00EE5287" w:rsidP="00EE5287">
            <w:pPr>
              <w:pStyle w:val="StandardOCAshurst"/>
              <w:jc w:val="right"/>
              <w:rPr>
                <w:sz w:val="16"/>
                <w:szCs w:val="16"/>
              </w:rPr>
            </w:pPr>
          </w:p>
        </w:tc>
        <w:tc>
          <w:tcPr>
            <w:tcW w:w="486" w:type="pct"/>
            <w:vAlign w:val="bottom"/>
          </w:tcPr>
          <w:p w14:paraId="26DBE851" w14:textId="61A072D1" w:rsidR="00EE5287" w:rsidRPr="000E0825" w:rsidRDefault="00EE5287" w:rsidP="00EE5287">
            <w:pPr>
              <w:pStyle w:val="StandardOCAshurst"/>
              <w:jc w:val="right"/>
              <w:rPr>
                <w:sz w:val="16"/>
                <w:szCs w:val="16"/>
              </w:rPr>
            </w:pPr>
            <w:r w:rsidRPr="000E0825">
              <w:rPr>
                <w:sz w:val="16"/>
                <w:szCs w:val="16"/>
              </w:rPr>
              <w:t>129,838</w:t>
            </w:r>
          </w:p>
        </w:tc>
      </w:tr>
      <w:tr w:rsidR="00EE5287" w:rsidRPr="00D03658" w14:paraId="7F80F345" w14:textId="77777777" w:rsidTr="00EE5287">
        <w:tc>
          <w:tcPr>
            <w:tcW w:w="1211" w:type="pct"/>
          </w:tcPr>
          <w:p w14:paraId="20942653" w14:textId="07727BC5" w:rsidR="00EE5287" w:rsidRPr="000E0825" w:rsidRDefault="00EE5287" w:rsidP="00EE5287">
            <w:pPr>
              <w:pStyle w:val="StandardOCAshurst"/>
              <w:tabs>
                <w:tab w:val="left" w:leader="dot" w:pos="2041"/>
              </w:tabs>
              <w:rPr>
                <w:sz w:val="16"/>
                <w:szCs w:val="16"/>
              </w:rPr>
            </w:pPr>
            <w:r w:rsidRPr="000E0825">
              <w:rPr>
                <w:sz w:val="16"/>
                <w:szCs w:val="16"/>
              </w:rPr>
              <w:t>Current tax receivable</w:t>
            </w:r>
            <w:r w:rsidRPr="000E0825">
              <w:rPr>
                <w:sz w:val="16"/>
                <w:szCs w:val="16"/>
              </w:rPr>
              <w:tab/>
            </w:r>
          </w:p>
        </w:tc>
        <w:tc>
          <w:tcPr>
            <w:tcW w:w="595" w:type="pct"/>
            <w:vAlign w:val="bottom"/>
          </w:tcPr>
          <w:p w14:paraId="6E8EFD9D" w14:textId="5E763074" w:rsidR="00EE5287" w:rsidRPr="000E0825" w:rsidRDefault="00EE5287" w:rsidP="00EE5287">
            <w:pPr>
              <w:pStyle w:val="StandardOCAshurst"/>
              <w:jc w:val="right"/>
              <w:rPr>
                <w:sz w:val="16"/>
                <w:szCs w:val="16"/>
              </w:rPr>
            </w:pPr>
            <w:r w:rsidRPr="000E0825">
              <w:rPr>
                <w:sz w:val="16"/>
                <w:szCs w:val="16"/>
              </w:rPr>
              <w:t>5,601</w:t>
            </w:r>
          </w:p>
        </w:tc>
        <w:tc>
          <w:tcPr>
            <w:tcW w:w="541" w:type="pct"/>
            <w:vAlign w:val="bottom"/>
          </w:tcPr>
          <w:p w14:paraId="7EA46A77" w14:textId="77777777" w:rsidR="00EE5287" w:rsidRPr="000E0825" w:rsidRDefault="00EE5287" w:rsidP="00EE5287">
            <w:pPr>
              <w:pStyle w:val="StandardOCAshurst"/>
              <w:jc w:val="right"/>
              <w:rPr>
                <w:sz w:val="16"/>
                <w:szCs w:val="16"/>
              </w:rPr>
            </w:pPr>
          </w:p>
        </w:tc>
        <w:tc>
          <w:tcPr>
            <w:tcW w:w="541" w:type="pct"/>
            <w:vAlign w:val="bottom"/>
          </w:tcPr>
          <w:p w14:paraId="04954FF2" w14:textId="77777777" w:rsidR="00EE5287" w:rsidRPr="000E0825" w:rsidRDefault="00EE5287" w:rsidP="00EE5287">
            <w:pPr>
              <w:pStyle w:val="StandardOCAshurst"/>
              <w:jc w:val="right"/>
              <w:rPr>
                <w:sz w:val="16"/>
                <w:szCs w:val="16"/>
              </w:rPr>
            </w:pPr>
          </w:p>
        </w:tc>
        <w:tc>
          <w:tcPr>
            <w:tcW w:w="542" w:type="pct"/>
            <w:vAlign w:val="bottom"/>
          </w:tcPr>
          <w:p w14:paraId="6F289C00" w14:textId="77777777" w:rsidR="00EE5287" w:rsidRPr="000E0825" w:rsidRDefault="00EE5287" w:rsidP="00EE5287">
            <w:pPr>
              <w:pStyle w:val="StandardOCAshurst"/>
              <w:jc w:val="right"/>
              <w:rPr>
                <w:sz w:val="16"/>
                <w:szCs w:val="16"/>
              </w:rPr>
            </w:pPr>
          </w:p>
        </w:tc>
        <w:tc>
          <w:tcPr>
            <w:tcW w:w="541" w:type="pct"/>
            <w:vAlign w:val="bottom"/>
          </w:tcPr>
          <w:p w14:paraId="03F5A8D6" w14:textId="77777777" w:rsidR="00EE5287" w:rsidRPr="000E0825" w:rsidRDefault="00EE5287" w:rsidP="00EE5287">
            <w:pPr>
              <w:pStyle w:val="StandardOCAshurst"/>
              <w:jc w:val="right"/>
              <w:rPr>
                <w:sz w:val="16"/>
                <w:szCs w:val="16"/>
              </w:rPr>
            </w:pPr>
          </w:p>
        </w:tc>
        <w:tc>
          <w:tcPr>
            <w:tcW w:w="543" w:type="pct"/>
            <w:vAlign w:val="bottom"/>
          </w:tcPr>
          <w:p w14:paraId="025ABE89" w14:textId="77777777" w:rsidR="00EE5287" w:rsidRPr="000E0825" w:rsidRDefault="00EE5287" w:rsidP="00EE5287">
            <w:pPr>
              <w:pStyle w:val="StandardOCAshurst"/>
              <w:jc w:val="right"/>
              <w:rPr>
                <w:sz w:val="16"/>
                <w:szCs w:val="16"/>
              </w:rPr>
            </w:pPr>
          </w:p>
        </w:tc>
        <w:tc>
          <w:tcPr>
            <w:tcW w:w="486" w:type="pct"/>
            <w:vAlign w:val="bottom"/>
          </w:tcPr>
          <w:p w14:paraId="6E4C485C" w14:textId="6361ADAA" w:rsidR="00EE5287" w:rsidRPr="000E0825" w:rsidRDefault="00EE5287" w:rsidP="00EE5287">
            <w:pPr>
              <w:pStyle w:val="StandardOCAshurst"/>
              <w:jc w:val="right"/>
              <w:rPr>
                <w:sz w:val="16"/>
                <w:szCs w:val="16"/>
              </w:rPr>
            </w:pPr>
            <w:r w:rsidRPr="000E0825">
              <w:rPr>
                <w:sz w:val="16"/>
                <w:szCs w:val="16"/>
              </w:rPr>
              <w:t>5,601</w:t>
            </w:r>
          </w:p>
        </w:tc>
      </w:tr>
      <w:tr w:rsidR="00EE5287" w:rsidRPr="00D03658" w14:paraId="61F99BD1" w14:textId="77777777" w:rsidTr="00EE5287">
        <w:tc>
          <w:tcPr>
            <w:tcW w:w="1211" w:type="pct"/>
          </w:tcPr>
          <w:p w14:paraId="50C6231E" w14:textId="4E02E80B" w:rsidR="00EE5287" w:rsidRPr="000E0825" w:rsidRDefault="00EE5287" w:rsidP="00EE5287">
            <w:pPr>
              <w:pStyle w:val="StandardOCAshurst"/>
              <w:tabs>
                <w:tab w:val="left" w:leader="dot" w:pos="2041"/>
              </w:tabs>
              <w:rPr>
                <w:sz w:val="16"/>
                <w:szCs w:val="16"/>
              </w:rPr>
            </w:pPr>
            <w:r w:rsidRPr="000E0825">
              <w:rPr>
                <w:sz w:val="16"/>
                <w:szCs w:val="16"/>
              </w:rPr>
              <w:t>Cash and cash equivalents</w:t>
            </w:r>
            <w:r w:rsidRPr="000E0825">
              <w:rPr>
                <w:sz w:val="16"/>
                <w:szCs w:val="16"/>
              </w:rPr>
              <w:tab/>
            </w:r>
          </w:p>
        </w:tc>
        <w:tc>
          <w:tcPr>
            <w:tcW w:w="595" w:type="pct"/>
            <w:vAlign w:val="bottom"/>
          </w:tcPr>
          <w:p w14:paraId="5C3E0758" w14:textId="7D47F43A" w:rsidR="00EE5287" w:rsidRPr="000E0825" w:rsidRDefault="00EE5287" w:rsidP="00EE5287">
            <w:pPr>
              <w:pStyle w:val="StandardOCAshurst"/>
              <w:pBdr>
                <w:bottom w:val="single" w:sz="4" w:space="1" w:color="auto"/>
              </w:pBdr>
              <w:jc w:val="right"/>
              <w:rPr>
                <w:sz w:val="16"/>
                <w:szCs w:val="16"/>
              </w:rPr>
            </w:pPr>
            <w:r w:rsidRPr="000E0825">
              <w:rPr>
                <w:sz w:val="16"/>
                <w:szCs w:val="16"/>
              </w:rPr>
              <w:t>222,830</w:t>
            </w:r>
          </w:p>
        </w:tc>
        <w:tc>
          <w:tcPr>
            <w:tcW w:w="541" w:type="pct"/>
            <w:vAlign w:val="bottom"/>
          </w:tcPr>
          <w:p w14:paraId="52ACA5D1"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44621D84" w14:textId="3550489F" w:rsidR="00EE5287" w:rsidRPr="000E0825" w:rsidRDefault="00EE5287" w:rsidP="00EE5287">
            <w:pPr>
              <w:pStyle w:val="StandardOCAshurst"/>
              <w:pBdr>
                <w:bottom w:val="single" w:sz="4" w:space="1" w:color="auto"/>
              </w:pBdr>
              <w:jc w:val="right"/>
              <w:rPr>
                <w:sz w:val="16"/>
                <w:szCs w:val="16"/>
              </w:rPr>
            </w:pPr>
            <w:r w:rsidRPr="000E0825">
              <w:rPr>
                <w:sz w:val="16"/>
                <w:szCs w:val="16"/>
              </w:rPr>
              <w:t>(319,558)</w:t>
            </w:r>
          </w:p>
        </w:tc>
        <w:tc>
          <w:tcPr>
            <w:tcW w:w="542" w:type="pct"/>
            <w:vAlign w:val="bottom"/>
          </w:tcPr>
          <w:p w14:paraId="03131B96"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0F15F9AD" w14:textId="330C4E50" w:rsidR="00EE5287" w:rsidRPr="000E0825" w:rsidRDefault="00EE5287" w:rsidP="00EE5287">
            <w:pPr>
              <w:pStyle w:val="StandardOCAshurst"/>
              <w:pBdr>
                <w:bottom w:val="single" w:sz="4" w:space="1" w:color="auto"/>
              </w:pBdr>
              <w:jc w:val="right"/>
              <w:rPr>
                <w:sz w:val="16"/>
                <w:szCs w:val="16"/>
              </w:rPr>
            </w:pPr>
            <w:r w:rsidRPr="000E0825">
              <w:rPr>
                <w:sz w:val="16"/>
                <w:szCs w:val="16"/>
              </w:rPr>
              <w:t>53,812</w:t>
            </w:r>
          </w:p>
        </w:tc>
        <w:tc>
          <w:tcPr>
            <w:tcW w:w="543" w:type="pct"/>
            <w:vAlign w:val="bottom"/>
          </w:tcPr>
          <w:p w14:paraId="59180D75" w14:textId="7A2522EF" w:rsidR="00EE5287" w:rsidRPr="000E0825" w:rsidRDefault="00EE5287" w:rsidP="00EE5287">
            <w:pPr>
              <w:pStyle w:val="StandardOCAshurst"/>
              <w:pBdr>
                <w:bottom w:val="single" w:sz="4" w:space="1" w:color="auto"/>
              </w:pBdr>
              <w:jc w:val="right"/>
              <w:rPr>
                <w:sz w:val="16"/>
                <w:szCs w:val="16"/>
              </w:rPr>
            </w:pPr>
            <w:r w:rsidRPr="000E0825">
              <w:rPr>
                <w:sz w:val="16"/>
                <w:szCs w:val="16"/>
              </w:rPr>
              <w:t>45,376</w:t>
            </w:r>
          </w:p>
        </w:tc>
        <w:tc>
          <w:tcPr>
            <w:tcW w:w="486" w:type="pct"/>
            <w:vAlign w:val="bottom"/>
          </w:tcPr>
          <w:p w14:paraId="0AC92769" w14:textId="63FECAE2" w:rsidR="00EE5287" w:rsidRPr="000E0825" w:rsidRDefault="00EE5287" w:rsidP="00EE5287">
            <w:pPr>
              <w:pStyle w:val="StandardOCAshurst"/>
              <w:pBdr>
                <w:bottom w:val="single" w:sz="4" w:space="1" w:color="auto"/>
              </w:pBdr>
              <w:jc w:val="right"/>
              <w:rPr>
                <w:sz w:val="16"/>
                <w:szCs w:val="16"/>
              </w:rPr>
            </w:pPr>
            <w:r w:rsidRPr="000E0825">
              <w:rPr>
                <w:sz w:val="16"/>
                <w:szCs w:val="16"/>
              </w:rPr>
              <w:t>2,460</w:t>
            </w:r>
          </w:p>
        </w:tc>
      </w:tr>
      <w:tr w:rsidR="00EE5287" w:rsidRPr="00D03658" w14:paraId="3318135B" w14:textId="77777777" w:rsidTr="00EE5287">
        <w:tc>
          <w:tcPr>
            <w:tcW w:w="1211" w:type="pct"/>
          </w:tcPr>
          <w:p w14:paraId="0037A454" w14:textId="608CBFAB" w:rsidR="00EE5287" w:rsidRPr="000E0825" w:rsidRDefault="00EE5287" w:rsidP="00EE5287">
            <w:pPr>
              <w:pStyle w:val="StandardOCAshurst"/>
              <w:tabs>
                <w:tab w:val="left" w:leader="dot" w:pos="2041"/>
              </w:tabs>
              <w:rPr>
                <w:b/>
                <w:bCs/>
                <w:sz w:val="16"/>
                <w:szCs w:val="16"/>
              </w:rPr>
            </w:pPr>
            <w:r w:rsidRPr="000E0825">
              <w:rPr>
                <w:b/>
                <w:bCs/>
                <w:sz w:val="16"/>
                <w:szCs w:val="16"/>
              </w:rPr>
              <w:t>Total current assets</w:t>
            </w:r>
            <w:r w:rsidRPr="000E0825">
              <w:rPr>
                <w:sz w:val="16"/>
                <w:szCs w:val="16"/>
              </w:rPr>
              <w:tab/>
            </w:r>
          </w:p>
        </w:tc>
        <w:tc>
          <w:tcPr>
            <w:tcW w:w="595" w:type="pct"/>
            <w:vAlign w:val="bottom"/>
          </w:tcPr>
          <w:p w14:paraId="71A7E1E3" w14:textId="63BDC916" w:rsidR="00EE5287" w:rsidRPr="000E0825" w:rsidRDefault="00EE5287" w:rsidP="00EE5287">
            <w:pPr>
              <w:pStyle w:val="StandardOCAshurst"/>
              <w:pBdr>
                <w:bottom w:val="single" w:sz="4" w:space="1" w:color="auto"/>
              </w:pBdr>
              <w:jc w:val="right"/>
              <w:rPr>
                <w:sz w:val="16"/>
                <w:szCs w:val="16"/>
              </w:rPr>
            </w:pPr>
            <w:r w:rsidRPr="000E0825">
              <w:rPr>
                <w:sz w:val="16"/>
                <w:szCs w:val="16"/>
              </w:rPr>
              <w:t>406,930</w:t>
            </w:r>
          </w:p>
        </w:tc>
        <w:tc>
          <w:tcPr>
            <w:tcW w:w="541" w:type="pct"/>
            <w:vAlign w:val="bottom"/>
          </w:tcPr>
          <w:p w14:paraId="5091A439" w14:textId="02D84DFA" w:rsidR="00EE5287" w:rsidRPr="000E0825" w:rsidRDefault="00EE5287" w:rsidP="00EE5287">
            <w:pPr>
              <w:pStyle w:val="StandardOCAshurst"/>
              <w:pBdr>
                <w:bottom w:val="single" w:sz="4" w:space="1" w:color="auto"/>
              </w:pBdr>
              <w:jc w:val="right"/>
              <w:rPr>
                <w:sz w:val="16"/>
                <w:szCs w:val="16"/>
              </w:rPr>
            </w:pPr>
            <w:r w:rsidRPr="000E0825">
              <w:rPr>
                <w:sz w:val="16"/>
                <w:szCs w:val="16"/>
              </w:rPr>
              <w:t>24,534</w:t>
            </w:r>
          </w:p>
        </w:tc>
        <w:tc>
          <w:tcPr>
            <w:tcW w:w="541" w:type="pct"/>
            <w:vAlign w:val="bottom"/>
          </w:tcPr>
          <w:p w14:paraId="7E55F000" w14:textId="40BA391C" w:rsidR="00EE5287" w:rsidRPr="000E0825" w:rsidRDefault="00EE5287" w:rsidP="00EE5287">
            <w:pPr>
              <w:pStyle w:val="StandardOCAshurst"/>
              <w:pBdr>
                <w:bottom w:val="single" w:sz="4" w:space="1" w:color="auto"/>
              </w:pBdr>
              <w:jc w:val="right"/>
              <w:rPr>
                <w:sz w:val="16"/>
                <w:szCs w:val="16"/>
              </w:rPr>
            </w:pPr>
            <w:r w:rsidRPr="000E0825">
              <w:rPr>
                <w:sz w:val="16"/>
                <w:szCs w:val="16"/>
              </w:rPr>
              <w:t>(319,558)</w:t>
            </w:r>
          </w:p>
        </w:tc>
        <w:tc>
          <w:tcPr>
            <w:tcW w:w="542" w:type="pct"/>
            <w:vAlign w:val="bottom"/>
          </w:tcPr>
          <w:p w14:paraId="41E53346" w14:textId="4E186DD6" w:rsidR="00EE5287" w:rsidRPr="000E0825" w:rsidRDefault="00EE5287" w:rsidP="00EE5287">
            <w:pPr>
              <w:pStyle w:val="StandardOCAshurst"/>
              <w:pBdr>
                <w:bottom w:val="single" w:sz="4" w:space="1" w:color="auto"/>
              </w:pBdr>
              <w:jc w:val="right"/>
              <w:rPr>
                <w:sz w:val="16"/>
                <w:szCs w:val="16"/>
              </w:rPr>
            </w:pPr>
            <w:r w:rsidRPr="000E0825">
              <w:rPr>
                <w:sz w:val="16"/>
                <w:szCs w:val="16"/>
              </w:rPr>
              <w:t>0</w:t>
            </w:r>
          </w:p>
        </w:tc>
        <w:tc>
          <w:tcPr>
            <w:tcW w:w="541" w:type="pct"/>
            <w:vAlign w:val="bottom"/>
          </w:tcPr>
          <w:p w14:paraId="10ECE743" w14:textId="1A3A7FDD" w:rsidR="00EE5287" w:rsidRPr="000E0825" w:rsidRDefault="00EE5287" w:rsidP="00EE5287">
            <w:pPr>
              <w:pStyle w:val="StandardOCAshurst"/>
              <w:pBdr>
                <w:bottom w:val="single" w:sz="4" w:space="1" w:color="auto"/>
              </w:pBdr>
              <w:jc w:val="right"/>
              <w:rPr>
                <w:sz w:val="16"/>
                <w:szCs w:val="16"/>
              </w:rPr>
            </w:pPr>
            <w:r w:rsidRPr="000E0825">
              <w:rPr>
                <w:sz w:val="16"/>
                <w:szCs w:val="16"/>
              </w:rPr>
              <w:t>53,812</w:t>
            </w:r>
          </w:p>
        </w:tc>
        <w:tc>
          <w:tcPr>
            <w:tcW w:w="543" w:type="pct"/>
            <w:vAlign w:val="bottom"/>
          </w:tcPr>
          <w:p w14:paraId="6B70BF38" w14:textId="514801F3" w:rsidR="00EE5287" w:rsidRPr="000E0825" w:rsidRDefault="00EE5287" w:rsidP="00EE5287">
            <w:pPr>
              <w:pStyle w:val="StandardOCAshurst"/>
              <w:pBdr>
                <w:bottom w:val="single" w:sz="4" w:space="1" w:color="auto"/>
              </w:pBdr>
              <w:jc w:val="right"/>
              <w:rPr>
                <w:sz w:val="16"/>
                <w:szCs w:val="16"/>
              </w:rPr>
            </w:pPr>
            <w:r w:rsidRPr="000E0825">
              <w:rPr>
                <w:sz w:val="16"/>
                <w:szCs w:val="16"/>
              </w:rPr>
              <w:t>45,376</w:t>
            </w:r>
          </w:p>
        </w:tc>
        <w:tc>
          <w:tcPr>
            <w:tcW w:w="486" w:type="pct"/>
            <w:vAlign w:val="bottom"/>
          </w:tcPr>
          <w:p w14:paraId="5F64A4ED" w14:textId="432DCE6C" w:rsidR="00EE5287" w:rsidRPr="000E0825" w:rsidRDefault="00EE5287" w:rsidP="00EE5287">
            <w:pPr>
              <w:pStyle w:val="StandardOCAshurst"/>
              <w:pBdr>
                <w:bottom w:val="single" w:sz="4" w:space="1" w:color="auto"/>
              </w:pBdr>
              <w:jc w:val="right"/>
              <w:rPr>
                <w:sz w:val="16"/>
                <w:szCs w:val="16"/>
              </w:rPr>
            </w:pPr>
            <w:r w:rsidRPr="000E0825">
              <w:rPr>
                <w:sz w:val="16"/>
                <w:szCs w:val="16"/>
              </w:rPr>
              <w:t>211,094</w:t>
            </w:r>
          </w:p>
        </w:tc>
      </w:tr>
      <w:tr w:rsidR="00EE5287" w:rsidRPr="00D03658" w14:paraId="7052B076" w14:textId="77777777" w:rsidTr="00EE5287">
        <w:tc>
          <w:tcPr>
            <w:tcW w:w="1211" w:type="pct"/>
          </w:tcPr>
          <w:p w14:paraId="32219014" w14:textId="03ED7DBD" w:rsidR="00EE5287" w:rsidRPr="000E0825" w:rsidRDefault="00EE5287" w:rsidP="00EE5287">
            <w:pPr>
              <w:pStyle w:val="StandardOCAshurst"/>
              <w:tabs>
                <w:tab w:val="left" w:leader="dot" w:pos="2041"/>
              </w:tabs>
              <w:rPr>
                <w:sz w:val="16"/>
                <w:szCs w:val="16"/>
              </w:rPr>
            </w:pPr>
            <w:r w:rsidRPr="000E0825">
              <w:rPr>
                <w:sz w:val="16"/>
                <w:szCs w:val="16"/>
              </w:rPr>
              <w:t xml:space="preserve"> </w:t>
            </w:r>
          </w:p>
        </w:tc>
        <w:tc>
          <w:tcPr>
            <w:tcW w:w="595" w:type="pct"/>
            <w:vAlign w:val="bottom"/>
          </w:tcPr>
          <w:p w14:paraId="4CA12A4E"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5DE0C069"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12426054" w14:textId="77777777" w:rsidR="00EE5287" w:rsidRPr="000E0825" w:rsidRDefault="00EE5287" w:rsidP="00EE5287">
            <w:pPr>
              <w:pStyle w:val="StandardOCAshurst"/>
              <w:pBdr>
                <w:bottom w:val="single" w:sz="4" w:space="1" w:color="auto"/>
              </w:pBdr>
              <w:jc w:val="right"/>
              <w:rPr>
                <w:sz w:val="16"/>
                <w:szCs w:val="16"/>
              </w:rPr>
            </w:pPr>
          </w:p>
        </w:tc>
        <w:tc>
          <w:tcPr>
            <w:tcW w:w="542" w:type="pct"/>
            <w:vAlign w:val="bottom"/>
          </w:tcPr>
          <w:p w14:paraId="17762460"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2A5E30A5" w14:textId="77777777" w:rsidR="00EE5287" w:rsidRPr="000E0825" w:rsidRDefault="00EE5287" w:rsidP="00EE5287">
            <w:pPr>
              <w:pStyle w:val="StandardOCAshurst"/>
              <w:pBdr>
                <w:bottom w:val="single" w:sz="4" w:space="1" w:color="auto"/>
              </w:pBdr>
              <w:jc w:val="right"/>
              <w:rPr>
                <w:sz w:val="16"/>
                <w:szCs w:val="16"/>
              </w:rPr>
            </w:pPr>
          </w:p>
        </w:tc>
        <w:tc>
          <w:tcPr>
            <w:tcW w:w="543" w:type="pct"/>
            <w:vAlign w:val="bottom"/>
          </w:tcPr>
          <w:p w14:paraId="7A7D0580" w14:textId="77777777" w:rsidR="00EE5287" w:rsidRPr="000E0825" w:rsidRDefault="00EE5287" w:rsidP="00EE5287">
            <w:pPr>
              <w:pStyle w:val="StandardOCAshurst"/>
              <w:pBdr>
                <w:bottom w:val="single" w:sz="4" w:space="1" w:color="auto"/>
              </w:pBdr>
              <w:jc w:val="right"/>
              <w:rPr>
                <w:sz w:val="16"/>
                <w:szCs w:val="16"/>
              </w:rPr>
            </w:pPr>
          </w:p>
        </w:tc>
        <w:tc>
          <w:tcPr>
            <w:tcW w:w="486" w:type="pct"/>
            <w:vAlign w:val="bottom"/>
          </w:tcPr>
          <w:p w14:paraId="2948FE5B" w14:textId="77777777" w:rsidR="00EE5287" w:rsidRPr="000E0825" w:rsidRDefault="00EE5287" w:rsidP="00EE5287">
            <w:pPr>
              <w:pStyle w:val="StandardOCAshurst"/>
              <w:pBdr>
                <w:bottom w:val="single" w:sz="4" w:space="1" w:color="auto"/>
              </w:pBdr>
              <w:jc w:val="right"/>
              <w:rPr>
                <w:sz w:val="16"/>
                <w:szCs w:val="16"/>
              </w:rPr>
            </w:pPr>
          </w:p>
        </w:tc>
      </w:tr>
      <w:tr w:rsidR="00EE5287" w:rsidRPr="00D03658" w14:paraId="36098C98" w14:textId="77777777" w:rsidTr="00EE5287">
        <w:tc>
          <w:tcPr>
            <w:tcW w:w="1211" w:type="pct"/>
          </w:tcPr>
          <w:p w14:paraId="7E0C6965" w14:textId="12A1DC83" w:rsidR="00EE5287" w:rsidRPr="000E0825" w:rsidRDefault="00EE5287" w:rsidP="00EE5287">
            <w:pPr>
              <w:pStyle w:val="StandardOCAshurst"/>
              <w:tabs>
                <w:tab w:val="left" w:leader="dot" w:pos="2041"/>
              </w:tabs>
              <w:rPr>
                <w:b/>
                <w:bCs/>
                <w:sz w:val="16"/>
                <w:szCs w:val="16"/>
              </w:rPr>
            </w:pPr>
            <w:r w:rsidRPr="000E0825">
              <w:rPr>
                <w:b/>
                <w:bCs/>
                <w:sz w:val="16"/>
                <w:szCs w:val="16"/>
              </w:rPr>
              <w:t>Total assets</w:t>
            </w:r>
            <w:r w:rsidRPr="000E0825">
              <w:rPr>
                <w:sz w:val="16"/>
                <w:szCs w:val="16"/>
              </w:rPr>
              <w:tab/>
            </w:r>
          </w:p>
        </w:tc>
        <w:tc>
          <w:tcPr>
            <w:tcW w:w="595" w:type="pct"/>
            <w:vAlign w:val="bottom"/>
          </w:tcPr>
          <w:p w14:paraId="3D344892" w14:textId="116003E4" w:rsidR="00EE5287" w:rsidRPr="000E0825" w:rsidRDefault="00EE5287" w:rsidP="00EE5287">
            <w:pPr>
              <w:pStyle w:val="StandardOCAshurst"/>
              <w:pBdr>
                <w:bottom w:val="single" w:sz="4" w:space="1" w:color="auto"/>
              </w:pBdr>
              <w:jc w:val="right"/>
              <w:rPr>
                <w:sz w:val="16"/>
                <w:szCs w:val="16"/>
              </w:rPr>
            </w:pPr>
            <w:r w:rsidRPr="000E0825">
              <w:rPr>
                <w:sz w:val="16"/>
                <w:szCs w:val="16"/>
              </w:rPr>
              <w:t>3,</w:t>
            </w:r>
            <w:r>
              <w:rPr>
                <w:sz w:val="16"/>
                <w:szCs w:val="16"/>
              </w:rPr>
              <w:t>862,603</w:t>
            </w:r>
          </w:p>
        </w:tc>
        <w:tc>
          <w:tcPr>
            <w:tcW w:w="541" w:type="pct"/>
            <w:vAlign w:val="bottom"/>
          </w:tcPr>
          <w:p w14:paraId="19D0CCB4" w14:textId="4F54EA9D" w:rsidR="00EE5287" w:rsidRPr="000E0825" w:rsidRDefault="00EE5287" w:rsidP="00EE5287">
            <w:pPr>
              <w:pStyle w:val="StandardOCAshurst"/>
              <w:pBdr>
                <w:bottom w:val="single" w:sz="4" w:space="1" w:color="auto"/>
              </w:pBdr>
              <w:jc w:val="right"/>
              <w:rPr>
                <w:sz w:val="16"/>
                <w:szCs w:val="16"/>
              </w:rPr>
            </w:pPr>
            <w:r w:rsidRPr="000E0825">
              <w:rPr>
                <w:sz w:val="16"/>
                <w:szCs w:val="16"/>
              </w:rPr>
              <w:t>158,436</w:t>
            </w:r>
          </w:p>
        </w:tc>
        <w:tc>
          <w:tcPr>
            <w:tcW w:w="541" w:type="pct"/>
            <w:vAlign w:val="bottom"/>
          </w:tcPr>
          <w:p w14:paraId="7A49C9B0" w14:textId="07B959A9" w:rsidR="00EE5287" w:rsidRPr="000E0825" w:rsidRDefault="00EE5287" w:rsidP="00EE5287">
            <w:pPr>
              <w:pStyle w:val="StandardOCAshurst"/>
              <w:pBdr>
                <w:bottom w:val="single" w:sz="4" w:space="1" w:color="auto"/>
              </w:pBdr>
              <w:jc w:val="right"/>
              <w:rPr>
                <w:sz w:val="16"/>
                <w:szCs w:val="16"/>
              </w:rPr>
            </w:pPr>
            <w:r w:rsidRPr="000E0825">
              <w:rPr>
                <w:sz w:val="16"/>
                <w:szCs w:val="16"/>
              </w:rPr>
              <w:t>14,044</w:t>
            </w:r>
          </w:p>
        </w:tc>
        <w:tc>
          <w:tcPr>
            <w:tcW w:w="542" w:type="pct"/>
            <w:vAlign w:val="bottom"/>
          </w:tcPr>
          <w:p w14:paraId="7BCB5CE5" w14:textId="048647AF" w:rsidR="00EE5287" w:rsidRPr="000E0825" w:rsidRDefault="00EE5287" w:rsidP="00EE5287">
            <w:pPr>
              <w:pStyle w:val="StandardOCAshurst"/>
              <w:pBdr>
                <w:bottom w:val="single" w:sz="4" w:space="1" w:color="auto"/>
              </w:pBdr>
              <w:jc w:val="right"/>
              <w:rPr>
                <w:sz w:val="16"/>
                <w:szCs w:val="16"/>
              </w:rPr>
            </w:pPr>
            <w:r w:rsidRPr="000E0825">
              <w:rPr>
                <w:sz w:val="16"/>
                <w:szCs w:val="16"/>
              </w:rPr>
              <w:t>2</w:t>
            </w:r>
            <w:r>
              <w:rPr>
                <w:sz w:val="16"/>
                <w:szCs w:val="16"/>
              </w:rPr>
              <w:t>15,205</w:t>
            </w:r>
          </w:p>
        </w:tc>
        <w:tc>
          <w:tcPr>
            <w:tcW w:w="541" w:type="pct"/>
            <w:vAlign w:val="bottom"/>
          </w:tcPr>
          <w:p w14:paraId="43B7B60D" w14:textId="3779377B" w:rsidR="00EE5287" w:rsidRPr="000E0825" w:rsidRDefault="00EE5287" w:rsidP="00EE5287">
            <w:pPr>
              <w:pStyle w:val="StandardOCAshurst"/>
              <w:pBdr>
                <w:bottom w:val="single" w:sz="4" w:space="1" w:color="auto"/>
              </w:pBdr>
              <w:jc w:val="right"/>
              <w:rPr>
                <w:sz w:val="16"/>
                <w:szCs w:val="16"/>
              </w:rPr>
            </w:pPr>
            <w:r w:rsidRPr="000E0825">
              <w:rPr>
                <w:sz w:val="16"/>
                <w:szCs w:val="16"/>
              </w:rPr>
              <w:t>53,812</w:t>
            </w:r>
          </w:p>
        </w:tc>
        <w:tc>
          <w:tcPr>
            <w:tcW w:w="543" w:type="pct"/>
            <w:vAlign w:val="bottom"/>
          </w:tcPr>
          <w:p w14:paraId="79CFEA1C" w14:textId="405233A3" w:rsidR="00EE5287" w:rsidRPr="000E0825" w:rsidRDefault="00EE5287" w:rsidP="00EE5287">
            <w:pPr>
              <w:pStyle w:val="StandardOCAshurst"/>
              <w:pBdr>
                <w:bottom w:val="single" w:sz="4" w:space="1" w:color="auto"/>
              </w:pBdr>
              <w:jc w:val="right"/>
              <w:rPr>
                <w:sz w:val="16"/>
                <w:szCs w:val="16"/>
              </w:rPr>
            </w:pPr>
            <w:r w:rsidRPr="000E0825">
              <w:rPr>
                <w:sz w:val="16"/>
                <w:szCs w:val="16"/>
              </w:rPr>
              <w:t>45,376</w:t>
            </w:r>
          </w:p>
        </w:tc>
        <w:tc>
          <w:tcPr>
            <w:tcW w:w="486" w:type="pct"/>
            <w:vAlign w:val="bottom"/>
          </w:tcPr>
          <w:p w14:paraId="385528C3" w14:textId="2E78B102" w:rsidR="00EE5287" w:rsidRPr="000E0825" w:rsidRDefault="00EE5287" w:rsidP="00EE5287">
            <w:pPr>
              <w:pStyle w:val="StandardOCAshurst"/>
              <w:pBdr>
                <w:bottom w:val="single" w:sz="4" w:space="1" w:color="auto"/>
              </w:pBdr>
              <w:jc w:val="right"/>
              <w:rPr>
                <w:sz w:val="16"/>
                <w:szCs w:val="16"/>
              </w:rPr>
            </w:pPr>
            <w:r w:rsidRPr="000E0825">
              <w:rPr>
                <w:sz w:val="16"/>
                <w:szCs w:val="16"/>
              </w:rPr>
              <w:t>4,</w:t>
            </w:r>
            <w:r>
              <w:rPr>
                <w:sz w:val="16"/>
                <w:szCs w:val="16"/>
              </w:rPr>
              <w:t>349,476</w:t>
            </w:r>
          </w:p>
        </w:tc>
      </w:tr>
      <w:tr w:rsidR="00EE5287" w:rsidRPr="00D03658" w14:paraId="77C66374" w14:textId="77777777" w:rsidTr="00EE5287">
        <w:tc>
          <w:tcPr>
            <w:tcW w:w="1211" w:type="pct"/>
          </w:tcPr>
          <w:p w14:paraId="0836A1AE" w14:textId="77777777" w:rsidR="00EE5287" w:rsidRPr="000E0825" w:rsidRDefault="00EE5287" w:rsidP="00EE5287">
            <w:pPr>
              <w:pStyle w:val="StandardOCAshurst"/>
              <w:tabs>
                <w:tab w:val="left" w:leader="dot" w:pos="2041"/>
              </w:tabs>
              <w:rPr>
                <w:sz w:val="16"/>
                <w:szCs w:val="16"/>
              </w:rPr>
            </w:pPr>
          </w:p>
        </w:tc>
        <w:tc>
          <w:tcPr>
            <w:tcW w:w="595" w:type="pct"/>
            <w:vAlign w:val="bottom"/>
          </w:tcPr>
          <w:p w14:paraId="32E53B4C" w14:textId="77777777" w:rsidR="00EE5287" w:rsidRPr="000E0825" w:rsidRDefault="00EE5287" w:rsidP="00EE5287">
            <w:pPr>
              <w:pStyle w:val="StandardOCAshurst"/>
              <w:jc w:val="right"/>
              <w:rPr>
                <w:sz w:val="16"/>
                <w:szCs w:val="16"/>
              </w:rPr>
            </w:pPr>
          </w:p>
        </w:tc>
        <w:tc>
          <w:tcPr>
            <w:tcW w:w="541" w:type="pct"/>
            <w:vAlign w:val="bottom"/>
          </w:tcPr>
          <w:p w14:paraId="1F209719" w14:textId="77777777" w:rsidR="00EE5287" w:rsidRPr="000E0825" w:rsidRDefault="00EE5287" w:rsidP="00EE5287">
            <w:pPr>
              <w:pStyle w:val="StandardOCAshurst"/>
              <w:jc w:val="right"/>
              <w:rPr>
                <w:sz w:val="16"/>
                <w:szCs w:val="16"/>
              </w:rPr>
            </w:pPr>
          </w:p>
        </w:tc>
        <w:tc>
          <w:tcPr>
            <w:tcW w:w="541" w:type="pct"/>
            <w:vAlign w:val="bottom"/>
          </w:tcPr>
          <w:p w14:paraId="40514E4F" w14:textId="77777777" w:rsidR="00EE5287" w:rsidRPr="000E0825" w:rsidRDefault="00EE5287" w:rsidP="00EE5287">
            <w:pPr>
              <w:pStyle w:val="StandardOCAshurst"/>
              <w:jc w:val="right"/>
              <w:rPr>
                <w:sz w:val="16"/>
                <w:szCs w:val="16"/>
              </w:rPr>
            </w:pPr>
          </w:p>
        </w:tc>
        <w:tc>
          <w:tcPr>
            <w:tcW w:w="542" w:type="pct"/>
            <w:vAlign w:val="bottom"/>
          </w:tcPr>
          <w:p w14:paraId="0A35F755" w14:textId="77777777" w:rsidR="00EE5287" w:rsidRPr="000E0825" w:rsidRDefault="00EE5287" w:rsidP="00EE5287">
            <w:pPr>
              <w:pStyle w:val="StandardOCAshurst"/>
              <w:jc w:val="right"/>
              <w:rPr>
                <w:sz w:val="16"/>
                <w:szCs w:val="16"/>
              </w:rPr>
            </w:pPr>
          </w:p>
        </w:tc>
        <w:tc>
          <w:tcPr>
            <w:tcW w:w="541" w:type="pct"/>
            <w:vAlign w:val="bottom"/>
          </w:tcPr>
          <w:p w14:paraId="535E280F" w14:textId="77777777" w:rsidR="00EE5287" w:rsidRPr="000E0825" w:rsidRDefault="00EE5287" w:rsidP="00EE5287">
            <w:pPr>
              <w:pStyle w:val="StandardOCAshurst"/>
              <w:jc w:val="right"/>
              <w:rPr>
                <w:sz w:val="16"/>
                <w:szCs w:val="16"/>
              </w:rPr>
            </w:pPr>
          </w:p>
        </w:tc>
        <w:tc>
          <w:tcPr>
            <w:tcW w:w="543" w:type="pct"/>
            <w:vAlign w:val="bottom"/>
          </w:tcPr>
          <w:p w14:paraId="5E33996B" w14:textId="77777777" w:rsidR="00EE5287" w:rsidRPr="000E0825" w:rsidRDefault="00EE5287" w:rsidP="00EE5287">
            <w:pPr>
              <w:pStyle w:val="StandardOCAshurst"/>
              <w:jc w:val="right"/>
              <w:rPr>
                <w:sz w:val="16"/>
                <w:szCs w:val="16"/>
              </w:rPr>
            </w:pPr>
          </w:p>
        </w:tc>
        <w:tc>
          <w:tcPr>
            <w:tcW w:w="486" w:type="pct"/>
            <w:vAlign w:val="bottom"/>
          </w:tcPr>
          <w:p w14:paraId="7C919321" w14:textId="77777777" w:rsidR="00EE5287" w:rsidRPr="000E0825" w:rsidRDefault="00EE5287" w:rsidP="00EE5287">
            <w:pPr>
              <w:pStyle w:val="StandardOCAshurst"/>
              <w:jc w:val="right"/>
              <w:rPr>
                <w:sz w:val="16"/>
                <w:szCs w:val="16"/>
              </w:rPr>
            </w:pPr>
          </w:p>
        </w:tc>
      </w:tr>
      <w:tr w:rsidR="00EE5287" w:rsidRPr="00D03658" w14:paraId="6B584788" w14:textId="77777777" w:rsidTr="00EE5287">
        <w:tc>
          <w:tcPr>
            <w:tcW w:w="1211" w:type="pct"/>
          </w:tcPr>
          <w:p w14:paraId="0D7813A9" w14:textId="7BC1B931" w:rsidR="00EE5287" w:rsidRPr="000E0825" w:rsidRDefault="00EE5287" w:rsidP="00EE5287">
            <w:pPr>
              <w:pStyle w:val="StandardOCAshurst"/>
              <w:tabs>
                <w:tab w:val="left" w:leader="dot" w:pos="2041"/>
              </w:tabs>
              <w:rPr>
                <w:b/>
                <w:bCs/>
                <w:sz w:val="16"/>
                <w:szCs w:val="16"/>
              </w:rPr>
            </w:pPr>
            <w:r w:rsidRPr="000E0825">
              <w:rPr>
                <w:b/>
                <w:bCs/>
                <w:sz w:val="16"/>
                <w:szCs w:val="16"/>
              </w:rPr>
              <w:t>Liabilities</w:t>
            </w:r>
          </w:p>
        </w:tc>
        <w:tc>
          <w:tcPr>
            <w:tcW w:w="595" w:type="pct"/>
            <w:vAlign w:val="bottom"/>
          </w:tcPr>
          <w:p w14:paraId="5296EA93" w14:textId="7D55D4E1" w:rsidR="00EE5287" w:rsidRPr="000E0825" w:rsidRDefault="00EE5287" w:rsidP="00EE5287">
            <w:pPr>
              <w:pStyle w:val="StandardOCAshurst"/>
              <w:jc w:val="right"/>
              <w:rPr>
                <w:sz w:val="16"/>
                <w:szCs w:val="16"/>
              </w:rPr>
            </w:pPr>
          </w:p>
        </w:tc>
        <w:tc>
          <w:tcPr>
            <w:tcW w:w="541" w:type="pct"/>
            <w:vAlign w:val="bottom"/>
          </w:tcPr>
          <w:p w14:paraId="02B1DB61" w14:textId="75C7640A" w:rsidR="00EE5287" w:rsidRPr="000E0825" w:rsidRDefault="00EE5287" w:rsidP="00EE5287">
            <w:pPr>
              <w:pStyle w:val="StandardOCAshurst"/>
              <w:jc w:val="right"/>
              <w:rPr>
                <w:sz w:val="16"/>
                <w:szCs w:val="16"/>
              </w:rPr>
            </w:pPr>
          </w:p>
        </w:tc>
        <w:tc>
          <w:tcPr>
            <w:tcW w:w="541" w:type="pct"/>
            <w:vAlign w:val="bottom"/>
          </w:tcPr>
          <w:p w14:paraId="7C39C0C5" w14:textId="16AFEA97" w:rsidR="00EE5287" w:rsidRPr="000E0825" w:rsidRDefault="00EE5287" w:rsidP="00EE5287">
            <w:pPr>
              <w:pStyle w:val="StandardOCAshurst"/>
              <w:jc w:val="right"/>
              <w:rPr>
                <w:sz w:val="16"/>
                <w:szCs w:val="16"/>
              </w:rPr>
            </w:pPr>
          </w:p>
        </w:tc>
        <w:tc>
          <w:tcPr>
            <w:tcW w:w="542" w:type="pct"/>
            <w:vAlign w:val="bottom"/>
          </w:tcPr>
          <w:p w14:paraId="4EA55009" w14:textId="5939BA60" w:rsidR="00EE5287" w:rsidRPr="000E0825" w:rsidRDefault="00EE5287" w:rsidP="00EE5287">
            <w:pPr>
              <w:pStyle w:val="StandardOCAshurst"/>
              <w:jc w:val="right"/>
              <w:rPr>
                <w:sz w:val="16"/>
                <w:szCs w:val="16"/>
              </w:rPr>
            </w:pPr>
          </w:p>
        </w:tc>
        <w:tc>
          <w:tcPr>
            <w:tcW w:w="541" w:type="pct"/>
            <w:vAlign w:val="bottom"/>
          </w:tcPr>
          <w:p w14:paraId="36FC4D99" w14:textId="70D5E832" w:rsidR="00EE5287" w:rsidRPr="000E0825" w:rsidRDefault="00EE5287" w:rsidP="00EE5287">
            <w:pPr>
              <w:pStyle w:val="StandardOCAshurst"/>
              <w:jc w:val="right"/>
              <w:rPr>
                <w:sz w:val="16"/>
                <w:szCs w:val="16"/>
              </w:rPr>
            </w:pPr>
          </w:p>
        </w:tc>
        <w:tc>
          <w:tcPr>
            <w:tcW w:w="543" w:type="pct"/>
            <w:vAlign w:val="bottom"/>
          </w:tcPr>
          <w:p w14:paraId="0839C8BE" w14:textId="79273980" w:rsidR="00EE5287" w:rsidRPr="000E0825" w:rsidRDefault="00EE5287" w:rsidP="00EE5287">
            <w:pPr>
              <w:pStyle w:val="StandardOCAshurst"/>
              <w:jc w:val="right"/>
              <w:rPr>
                <w:sz w:val="16"/>
                <w:szCs w:val="16"/>
              </w:rPr>
            </w:pPr>
          </w:p>
        </w:tc>
        <w:tc>
          <w:tcPr>
            <w:tcW w:w="486" w:type="pct"/>
            <w:vAlign w:val="bottom"/>
          </w:tcPr>
          <w:p w14:paraId="2BD6D28D" w14:textId="77777777" w:rsidR="00EE5287" w:rsidRPr="000E0825" w:rsidRDefault="00EE5287" w:rsidP="00EE5287">
            <w:pPr>
              <w:pStyle w:val="StandardOCAshurst"/>
              <w:jc w:val="right"/>
              <w:rPr>
                <w:sz w:val="16"/>
                <w:szCs w:val="16"/>
              </w:rPr>
            </w:pPr>
          </w:p>
        </w:tc>
      </w:tr>
      <w:tr w:rsidR="00EE5287" w:rsidRPr="00D03658" w14:paraId="00131B9B" w14:textId="77777777" w:rsidTr="00EE5287">
        <w:tc>
          <w:tcPr>
            <w:tcW w:w="1211" w:type="pct"/>
          </w:tcPr>
          <w:p w14:paraId="3FCA5EDF" w14:textId="319EDB4F" w:rsidR="00EE5287" w:rsidRPr="000E0825" w:rsidRDefault="00EE5287" w:rsidP="00EE5287">
            <w:pPr>
              <w:pStyle w:val="StandardOCAshurst"/>
              <w:tabs>
                <w:tab w:val="left" w:leader="dot" w:pos="2041"/>
              </w:tabs>
              <w:rPr>
                <w:sz w:val="16"/>
                <w:szCs w:val="16"/>
              </w:rPr>
            </w:pPr>
            <w:r w:rsidRPr="000E0825">
              <w:rPr>
                <w:sz w:val="16"/>
                <w:szCs w:val="16"/>
              </w:rPr>
              <w:t xml:space="preserve"> </w:t>
            </w:r>
          </w:p>
        </w:tc>
        <w:tc>
          <w:tcPr>
            <w:tcW w:w="595" w:type="pct"/>
            <w:vAlign w:val="bottom"/>
          </w:tcPr>
          <w:p w14:paraId="51A67544" w14:textId="45AA3495" w:rsidR="00EE5287" w:rsidRPr="000E0825" w:rsidRDefault="00EE5287" w:rsidP="00EE5287">
            <w:pPr>
              <w:pStyle w:val="StandardOCAshurst"/>
              <w:jc w:val="right"/>
              <w:rPr>
                <w:sz w:val="16"/>
                <w:szCs w:val="16"/>
              </w:rPr>
            </w:pPr>
          </w:p>
        </w:tc>
        <w:tc>
          <w:tcPr>
            <w:tcW w:w="541" w:type="pct"/>
            <w:vAlign w:val="bottom"/>
          </w:tcPr>
          <w:p w14:paraId="79ED8CE3" w14:textId="3E5B0A62" w:rsidR="00EE5287" w:rsidRPr="000E0825" w:rsidRDefault="00EE5287" w:rsidP="00EE5287">
            <w:pPr>
              <w:pStyle w:val="StandardOCAshurst"/>
              <w:jc w:val="right"/>
              <w:rPr>
                <w:sz w:val="16"/>
                <w:szCs w:val="16"/>
              </w:rPr>
            </w:pPr>
          </w:p>
        </w:tc>
        <w:tc>
          <w:tcPr>
            <w:tcW w:w="541" w:type="pct"/>
            <w:vAlign w:val="bottom"/>
          </w:tcPr>
          <w:p w14:paraId="2942E2D7" w14:textId="3FBFDBAB" w:rsidR="00EE5287" w:rsidRPr="000E0825" w:rsidRDefault="00EE5287" w:rsidP="00EE5287">
            <w:pPr>
              <w:pStyle w:val="StandardOCAshurst"/>
              <w:jc w:val="right"/>
              <w:rPr>
                <w:sz w:val="16"/>
                <w:szCs w:val="16"/>
              </w:rPr>
            </w:pPr>
          </w:p>
        </w:tc>
        <w:tc>
          <w:tcPr>
            <w:tcW w:w="542" w:type="pct"/>
            <w:vAlign w:val="bottom"/>
          </w:tcPr>
          <w:p w14:paraId="06052E0C" w14:textId="14313B62" w:rsidR="00EE5287" w:rsidRPr="000E0825" w:rsidRDefault="00EE5287" w:rsidP="00EE5287">
            <w:pPr>
              <w:pStyle w:val="StandardOCAshurst"/>
              <w:jc w:val="right"/>
              <w:rPr>
                <w:sz w:val="16"/>
                <w:szCs w:val="16"/>
              </w:rPr>
            </w:pPr>
          </w:p>
        </w:tc>
        <w:tc>
          <w:tcPr>
            <w:tcW w:w="541" w:type="pct"/>
            <w:vAlign w:val="bottom"/>
          </w:tcPr>
          <w:p w14:paraId="0FC430F8" w14:textId="5E238850" w:rsidR="00EE5287" w:rsidRPr="000E0825" w:rsidRDefault="00EE5287" w:rsidP="00EE5287">
            <w:pPr>
              <w:pStyle w:val="StandardOCAshurst"/>
              <w:jc w:val="right"/>
              <w:rPr>
                <w:sz w:val="16"/>
                <w:szCs w:val="16"/>
              </w:rPr>
            </w:pPr>
          </w:p>
        </w:tc>
        <w:tc>
          <w:tcPr>
            <w:tcW w:w="543" w:type="pct"/>
            <w:vAlign w:val="bottom"/>
          </w:tcPr>
          <w:p w14:paraId="74974CD1" w14:textId="60D4C8AD" w:rsidR="00EE5287" w:rsidRPr="000E0825" w:rsidRDefault="00EE5287" w:rsidP="00EE5287">
            <w:pPr>
              <w:pStyle w:val="StandardOCAshurst"/>
              <w:jc w:val="right"/>
              <w:rPr>
                <w:sz w:val="16"/>
                <w:szCs w:val="16"/>
              </w:rPr>
            </w:pPr>
          </w:p>
        </w:tc>
        <w:tc>
          <w:tcPr>
            <w:tcW w:w="486" w:type="pct"/>
            <w:vAlign w:val="bottom"/>
          </w:tcPr>
          <w:p w14:paraId="6B6AED00" w14:textId="77777777" w:rsidR="00EE5287" w:rsidRPr="000E0825" w:rsidRDefault="00EE5287" w:rsidP="00EE5287">
            <w:pPr>
              <w:pStyle w:val="StandardOCAshurst"/>
              <w:jc w:val="right"/>
              <w:rPr>
                <w:sz w:val="16"/>
                <w:szCs w:val="16"/>
              </w:rPr>
            </w:pPr>
          </w:p>
        </w:tc>
      </w:tr>
      <w:tr w:rsidR="00EE5287" w:rsidRPr="00D03658" w14:paraId="5EF00DD7" w14:textId="77777777" w:rsidTr="00EE5287">
        <w:tc>
          <w:tcPr>
            <w:tcW w:w="1211" w:type="pct"/>
          </w:tcPr>
          <w:p w14:paraId="29651480" w14:textId="1D48BCE8" w:rsidR="00EE5287" w:rsidRPr="000E0825" w:rsidRDefault="00EE5287" w:rsidP="00EE5287">
            <w:pPr>
              <w:pStyle w:val="StandardOCAshurst"/>
              <w:tabs>
                <w:tab w:val="left" w:leader="dot" w:pos="2041"/>
              </w:tabs>
              <w:rPr>
                <w:b/>
                <w:bCs/>
                <w:sz w:val="16"/>
                <w:szCs w:val="16"/>
              </w:rPr>
            </w:pPr>
            <w:r w:rsidRPr="000E0825">
              <w:rPr>
                <w:b/>
                <w:bCs/>
                <w:sz w:val="16"/>
                <w:szCs w:val="16"/>
              </w:rPr>
              <w:t>Current liabilities</w:t>
            </w:r>
          </w:p>
        </w:tc>
        <w:tc>
          <w:tcPr>
            <w:tcW w:w="595" w:type="pct"/>
            <w:vAlign w:val="bottom"/>
          </w:tcPr>
          <w:p w14:paraId="25D033B1" w14:textId="0255A921" w:rsidR="00EE5287" w:rsidRPr="000E0825" w:rsidRDefault="00EE5287" w:rsidP="00EE5287">
            <w:pPr>
              <w:pStyle w:val="StandardOCAshurst"/>
              <w:jc w:val="right"/>
              <w:rPr>
                <w:sz w:val="16"/>
                <w:szCs w:val="16"/>
              </w:rPr>
            </w:pPr>
          </w:p>
        </w:tc>
        <w:tc>
          <w:tcPr>
            <w:tcW w:w="541" w:type="pct"/>
            <w:vAlign w:val="bottom"/>
          </w:tcPr>
          <w:p w14:paraId="3F5BC1D3" w14:textId="0C570B35" w:rsidR="00EE5287" w:rsidRPr="000E0825" w:rsidRDefault="00EE5287" w:rsidP="00EE5287">
            <w:pPr>
              <w:pStyle w:val="StandardOCAshurst"/>
              <w:jc w:val="right"/>
              <w:rPr>
                <w:sz w:val="16"/>
                <w:szCs w:val="16"/>
              </w:rPr>
            </w:pPr>
          </w:p>
        </w:tc>
        <w:tc>
          <w:tcPr>
            <w:tcW w:w="541" w:type="pct"/>
            <w:vAlign w:val="bottom"/>
          </w:tcPr>
          <w:p w14:paraId="3E27A228" w14:textId="5F02DFF8" w:rsidR="00EE5287" w:rsidRPr="000E0825" w:rsidRDefault="00EE5287" w:rsidP="00EE5287">
            <w:pPr>
              <w:pStyle w:val="StandardOCAshurst"/>
              <w:jc w:val="right"/>
              <w:rPr>
                <w:sz w:val="16"/>
                <w:szCs w:val="16"/>
              </w:rPr>
            </w:pPr>
          </w:p>
        </w:tc>
        <w:tc>
          <w:tcPr>
            <w:tcW w:w="542" w:type="pct"/>
            <w:vAlign w:val="bottom"/>
          </w:tcPr>
          <w:p w14:paraId="11849E98" w14:textId="50F1958B" w:rsidR="00EE5287" w:rsidRPr="000E0825" w:rsidRDefault="00EE5287" w:rsidP="00EE5287">
            <w:pPr>
              <w:pStyle w:val="StandardOCAshurst"/>
              <w:jc w:val="right"/>
              <w:rPr>
                <w:sz w:val="16"/>
                <w:szCs w:val="16"/>
              </w:rPr>
            </w:pPr>
          </w:p>
        </w:tc>
        <w:tc>
          <w:tcPr>
            <w:tcW w:w="541" w:type="pct"/>
            <w:vAlign w:val="bottom"/>
          </w:tcPr>
          <w:p w14:paraId="27C4DA54" w14:textId="56608C42" w:rsidR="00EE5287" w:rsidRPr="000E0825" w:rsidRDefault="00EE5287" w:rsidP="00EE5287">
            <w:pPr>
              <w:pStyle w:val="StandardOCAshurst"/>
              <w:jc w:val="right"/>
              <w:rPr>
                <w:sz w:val="16"/>
                <w:szCs w:val="16"/>
              </w:rPr>
            </w:pPr>
          </w:p>
        </w:tc>
        <w:tc>
          <w:tcPr>
            <w:tcW w:w="543" w:type="pct"/>
            <w:vAlign w:val="bottom"/>
          </w:tcPr>
          <w:p w14:paraId="45F88954" w14:textId="2DB00FF2" w:rsidR="00EE5287" w:rsidRPr="000E0825" w:rsidRDefault="00EE5287" w:rsidP="00EE5287">
            <w:pPr>
              <w:pStyle w:val="StandardOCAshurst"/>
              <w:jc w:val="right"/>
              <w:rPr>
                <w:sz w:val="16"/>
                <w:szCs w:val="16"/>
              </w:rPr>
            </w:pPr>
          </w:p>
        </w:tc>
        <w:tc>
          <w:tcPr>
            <w:tcW w:w="486" w:type="pct"/>
            <w:vAlign w:val="bottom"/>
          </w:tcPr>
          <w:p w14:paraId="6AB939EC" w14:textId="77777777" w:rsidR="00EE5287" w:rsidRPr="000E0825" w:rsidRDefault="00EE5287" w:rsidP="00EE5287">
            <w:pPr>
              <w:pStyle w:val="StandardOCAshurst"/>
              <w:jc w:val="right"/>
              <w:rPr>
                <w:sz w:val="16"/>
                <w:szCs w:val="16"/>
              </w:rPr>
            </w:pPr>
          </w:p>
        </w:tc>
      </w:tr>
      <w:tr w:rsidR="00EE5287" w:rsidRPr="00D03658" w14:paraId="55AD561E" w14:textId="77777777" w:rsidTr="00EE5287">
        <w:tc>
          <w:tcPr>
            <w:tcW w:w="1211" w:type="pct"/>
          </w:tcPr>
          <w:p w14:paraId="0283C38A" w14:textId="66955BD0" w:rsidR="00EE5287" w:rsidRPr="000E0825" w:rsidRDefault="00EE5287" w:rsidP="00EE5287">
            <w:pPr>
              <w:pStyle w:val="StandardOCAshurst"/>
              <w:tabs>
                <w:tab w:val="left" w:leader="dot" w:pos="2041"/>
              </w:tabs>
              <w:rPr>
                <w:sz w:val="16"/>
                <w:szCs w:val="16"/>
              </w:rPr>
            </w:pPr>
            <w:r w:rsidRPr="000E0825">
              <w:rPr>
                <w:sz w:val="16"/>
                <w:szCs w:val="16"/>
              </w:rPr>
              <w:t>Borrowings</w:t>
            </w:r>
            <w:r w:rsidRPr="000E0825">
              <w:rPr>
                <w:sz w:val="16"/>
                <w:szCs w:val="16"/>
              </w:rPr>
              <w:tab/>
            </w:r>
          </w:p>
        </w:tc>
        <w:tc>
          <w:tcPr>
            <w:tcW w:w="595" w:type="pct"/>
            <w:vAlign w:val="bottom"/>
          </w:tcPr>
          <w:p w14:paraId="13F13ADC" w14:textId="3113A119" w:rsidR="00EE5287" w:rsidRPr="000E0825" w:rsidRDefault="00EE5287" w:rsidP="00EE5287">
            <w:pPr>
              <w:pStyle w:val="StandardOCAshurst"/>
              <w:jc w:val="right"/>
              <w:rPr>
                <w:sz w:val="16"/>
                <w:szCs w:val="16"/>
              </w:rPr>
            </w:pPr>
            <w:r w:rsidRPr="000E0825">
              <w:rPr>
                <w:sz w:val="16"/>
                <w:szCs w:val="16"/>
              </w:rPr>
              <w:t>414,430</w:t>
            </w:r>
          </w:p>
        </w:tc>
        <w:tc>
          <w:tcPr>
            <w:tcW w:w="541" w:type="pct"/>
            <w:vAlign w:val="bottom"/>
          </w:tcPr>
          <w:p w14:paraId="286BC678" w14:textId="77777777" w:rsidR="00EE5287" w:rsidRPr="000E0825" w:rsidRDefault="00EE5287" w:rsidP="00EE5287">
            <w:pPr>
              <w:pStyle w:val="StandardOCAshurst"/>
              <w:jc w:val="right"/>
              <w:rPr>
                <w:sz w:val="16"/>
                <w:szCs w:val="16"/>
              </w:rPr>
            </w:pPr>
          </w:p>
        </w:tc>
        <w:tc>
          <w:tcPr>
            <w:tcW w:w="541" w:type="pct"/>
            <w:vAlign w:val="bottom"/>
          </w:tcPr>
          <w:p w14:paraId="49A9AB15" w14:textId="77777777" w:rsidR="00EE5287" w:rsidRPr="000E0825" w:rsidRDefault="00EE5287" w:rsidP="00EE5287">
            <w:pPr>
              <w:pStyle w:val="StandardOCAshurst"/>
              <w:jc w:val="right"/>
              <w:rPr>
                <w:sz w:val="16"/>
                <w:szCs w:val="16"/>
              </w:rPr>
            </w:pPr>
          </w:p>
        </w:tc>
        <w:tc>
          <w:tcPr>
            <w:tcW w:w="542" w:type="pct"/>
            <w:vAlign w:val="bottom"/>
          </w:tcPr>
          <w:p w14:paraId="0D151508" w14:textId="77777777" w:rsidR="00EE5287" w:rsidRPr="000E0825" w:rsidRDefault="00EE5287" w:rsidP="00EE5287">
            <w:pPr>
              <w:pStyle w:val="StandardOCAshurst"/>
              <w:jc w:val="right"/>
              <w:rPr>
                <w:sz w:val="16"/>
                <w:szCs w:val="16"/>
              </w:rPr>
            </w:pPr>
          </w:p>
        </w:tc>
        <w:tc>
          <w:tcPr>
            <w:tcW w:w="541" w:type="pct"/>
            <w:vAlign w:val="bottom"/>
          </w:tcPr>
          <w:p w14:paraId="7CD4838F" w14:textId="5917F8D9" w:rsidR="00EE5287" w:rsidRPr="000E0825" w:rsidRDefault="00EE5287" w:rsidP="00EE5287">
            <w:pPr>
              <w:pStyle w:val="StandardOCAshurst"/>
              <w:jc w:val="right"/>
              <w:rPr>
                <w:sz w:val="16"/>
                <w:szCs w:val="16"/>
              </w:rPr>
            </w:pPr>
            <w:r w:rsidRPr="000E0825">
              <w:rPr>
                <w:sz w:val="16"/>
                <w:szCs w:val="16"/>
              </w:rPr>
              <w:t>(405,193)</w:t>
            </w:r>
          </w:p>
        </w:tc>
        <w:tc>
          <w:tcPr>
            <w:tcW w:w="543" w:type="pct"/>
            <w:vAlign w:val="bottom"/>
          </w:tcPr>
          <w:p w14:paraId="7FC7F2DE" w14:textId="77777777" w:rsidR="00EE5287" w:rsidRPr="000E0825" w:rsidRDefault="00EE5287" w:rsidP="00EE5287">
            <w:pPr>
              <w:pStyle w:val="StandardOCAshurst"/>
              <w:jc w:val="right"/>
              <w:rPr>
                <w:sz w:val="16"/>
                <w:szCs w:val="16"/>
              </w:rPr>
            </w:pPr>
          </w:p>
        </w:tc>
        <w:tc>
          <w:tcPr>
            <w:tcW w:w="486" w:type="pct"/>
            <w:vAlign w:val="bottom"/>
          </w:tcPr>
          <w:p w14:paraId="34BD1A79" w14:textId="6DADAE32" w:rsidR="00EE5287" w:rsidRPr="000E0825" w:rsidRDefault="00EE5287" w:rsidP="00EE5287">
            <w:pPr>
              <w:pStyle w:val="StandardOCAshurst"/>
              <w:jc w:val="right"/>
              <w:rPr>
                <w:sz w:val="16"/>
                <w:szCs w:val="16"/>
              </w:rPr>
            </w:pPr>
            <w:r w:rsidRPr="000E0825">
              <w:rPr>
                <w:sz w:val="16"/>
                <w:szCs w:val="16"/>
              </w:rPr>
              <w:t>9,237</w:t>
            </w:r>
          </w:p>
        </w:tc>
      </w:tr>
      <w:tr w:rsidR="00EE5287" w:rsidRPr="00D03658" w14:paraId="2F7F1651" w14:textId="77777777" w:rsidTr="00EE5287">
        <w:tc>
          <w:tcPr>
            <w:tcW w:w="1211" w:type="pct"/>
          </w:tcPr>
          <w:p w14:paraId="03D9D5B1" w14:textId="0AF02CAF" w:rsidR="00EE5287" w:rsidRPr="000E0825" w:rsidRDefault="00EE5287" w:rsidP="00EE5287">
            <w:pPr>
              <w:pStyle w:val="StandardOCAshurst"/>
              <w:tabs>
                <w:tab w:val="left" w:leader="dot" w:pos="2041"/>
              </w:tabs>
              <w:rPr>
                <w:sz w:val="16"/>
                <w:szCs w:val="16"/>
              </w:rPr>
            </w:pPr>
            <w:r w:rsidRPr="000E0825">
              <w:rPr>
                <w:sz w:val="16"/>
                <w:szCs w:val="16"/>
              </w:rPr>
              <w:t>Leases liability</w:t>
            </w:r>
            <w:r w:rsidRPr="000E0825">
              <w:rPr>
                <w:sz w:val="16"/>
                <w:szCs w:val="16"/>
              </w:rPr>
              <w:tab/>
            </w:r>
          </w:p>
        </w:tc>
        <w:tc>
          <w:tcPr>
            <w:tcW w:w="595" w:type="pct"/>
            <w:vAlign w:val="bottom"/>
          </w:tcPr>
          <w:p w14:paraId="56E7A0EB" w14:textId="06A07A8A" w:rsidR="00EE5287" w:rsidRPr="000E0825" w:rsidRDefault="00EE5287" w:rsidP="00EE5287">
            <w:pPr>
              <w:pStyle w:val="StandardOCAshurst"/>
              <w:jc w:val="right"/>
              <w:rPr>
                <w:sz w:val="16"/>
                <w:szCs w:val="16"/>
              </w:rPr>
            </w:pPr>
            <w:r w:rsidRPr="000E0825">
              <w:rPr>
                <w:sz w:val="16"/>
                <w:szCs w:val="16"/>
              </w:rPr>
              <w:t>99,439</w:t>
            </w:r>
          </w:p>
        </w:tc>
        <w:tc>
          <w:tcPr>
            <w:tcW w:w="541" w:type="pct"/>
            <w:vAlign w:val="bottom"/>
          </w:tcPr>
          <w:p w14:paraId="0F154B5D" w14:textId="77777777" w:rsidR="00EE5287" w:rsidRPr="000E0825" w:rsidRDefault="00EE5287" w:rsidP="00EE5287">
            <w:pPr>
              <w:pStyle w:val="StandardOCAshurst"/>
              <w:jc w:val="right"/>
              <w:rPr>
                <w:sz w:val="16"/>
                <w:szCs w:val="16"/>
              </w:rPr>
            </w:pPr>
          </w:p>
        </w:tc>
        <w:tc>
          <w:tcPr>
            <w:tcW w:w="541" w:type="pct"/>
            <w:vAlign w:val="bottom"/>
          </w:tcPr>
          <w:p w14:paraId="3EF8E928" w14:textId="77777777" w:rsidR="00EE5287" w:rsidRPr="000E0825" w:rsidRDefault="00EE5287" w:rsidP="00EE5287">
            <w:pPr>
              <w:pStyle w:val="StandardOCAshurst"/>
              <w:jc w:val="right"/>
              <w:rPr>
                <w:sz w:val="16"/>
                <w:szCs w:val="16"/>
              </w:rPr>
            </w:pPr>
          </w:p>
        </w:tc>
        <w:tc>
          <w:tcPr>
            <w:tcW w:w="542" w:type="pct"/>
            <w:vAlign w:val="bottom"/>
          </w:tcPr>
          <w:p w14:paraId="6E156A1C" w14:textId="77777777" w:rsidR="00EE5287" w:rsidRPr="000E0825" w:rsidRDefault="00EE5287" w:rsidP="00EE5287">
            <w:pPr>
              <w:pStyle w:val="StandardOCAshurst"/>
              <w:jc w:val="right"/>
              <w:rPr>
                <w:sz w:val="16"/>
                <w:szCs w:val="16"/>
              </w:rPr>
            </w:pPr>
          </w:p>
        </w:tc>
        <w:tc>
          <w:tcPr>
            <w:tcW w:w="541" w:type="pct"/>
            <w:vAlign w:val="bottom"/>
          </w:tcPr>
          <w:p w14:paraId="4694B86C" w14:textId="77777777" w:rsidR="00EE5287" w:rsidRPr="000E0825" w:rsidRDefault="00EE5287" w:rsidP="00EE5287">
            <w:pPr>
              <w:pStyle w:val="StandardOCAshurst"/>
              <w:jc w:val="right"/>
              <w:rPr>
                <w:sz w:val="16"/>
                <w:szCs w:val="16"/>
              </w:rPr>
            </w:pPr>
          </w:p>
        </w:tc>
        <w:tc>
          <w:tcPr>
            <w:tcW w:w="543" w:type="pct"/>
            <w:vAlign w:val="bottom"/>
          </w:tcPr>
          <w:p w14:paraId="5273D1A3" w14:textId="77777777" w:rsidR="00EE5287" w:rsidRPr="000E0825" w:rsidRDefault="00EE5287" w:rsidP="00EE5287">
            <w:pPr>
              <w:pStyle w:val="StandardOCAshurst"/>
              <w:jc w:val="right"/>
              <w:rPr>
                <w:sz w:val="16"/>
                <w:szCs w:val="16"/>
              </w:rPr>
            </w:pPr>
          </w:p>
        </w:tc>
        <w:tc>
          <w:tcPr>
            <w:tcW w:w="486" w:type="pct"/>
            <w:vAlign w:val="bottom"/>
          </w:tcPr>
          <w:p w14:paraId="403E4237" w14:textId="3B00A12F" w:rsidR="00EE5287" w:rsidRPr="000E0825" w:rsidRDefault="00EE5287" w:rsidP="00EE5287">
            <w:pPr>
              <w:pStyle w:val="StandardOCAshurst"/>
              <w:jc w:val="right"/>
              <w:rPr>
                <w:sz w:val="16"/>
                <w:szCs w:val="16"/>
              </w:rPr>
            </w:pPr>
            <w:r w:rsidRPr="000E0825">
              <w:rPr>
                <w:sz w:val="16"/>
                <w:szCs w:val="16"/>
              </w:rPr>
              <w:t>99,439</w:t>
            </w:r>
          </w:p>
        </w:tc>
      </w:tr>
      <w:tr w:rsidR="00EE5287" w:rsidRPr="00D03658" w14:paraId="7B742542" w14:textId="77777777" w:rsidTr="00EE5287">
        <w:tc>
          <w:tcPr>
            <w:tcW w:w="1211" w:type="pct"/>
          </w:tcPr>
          <w:p w14:paraId="1CC8B03E" w14:textId="3AEEDB30" w:rsidR="00EE5287" w:rsidRPr="000E0825" w:rsidRDefault="00EE5287" w:rsidP="00EE5287">
            <w:pPr>
              <w:pStyle w:val="StandardOCAshurst"/>
              <w:tabs>
                <w:tab w:val="left" w:leader="dot" w:pos="2041"/>
              </w:tabs>
              <w:rPr>
                <w:sz w:val="16"/>
                <w:szCs w:val="16"/>
              </w:rPr>
            </w:pPr>
            <w:r w:rsidRPr="000E0825">
              <w:rPr>
                <w:sz w:val="16"/>
                <w:szCs w:val="16"/>
              </w:rPr>
              <w:t>Contingent consideration</w:t>
            </w:r>
            <w:r w:rsidRPr="000E0825">
              <w:rPr>
                <w:sz w:val="16"/>
                <w:szCs w:val="16"/>
              </w:rPr>
              <w:tab/>
            </w:r>
          </w:p>
        </w:tc>
        <w:tc>
          <w:tcPr>
            <w:tcW w:w="595" w:type="pct"/>
            <w:vAlign w:val="bottom"/>
          </w:tcPr>
          <w:p w14:paraId="5A1E0873" w14:textId="5925B05D" w:rsidR="00EE5287" w:rsidRPr="000E0825" w:rsidRDefault="00EE5287" w:rsidP="00EE5287">
            <w:pPr>
              <w:pStyle w:val="StandardOCAshurst"/>
              <w:jc w:val="right"/>
              <w:rPr>
                <w:sz w:val="16"/>
                <w:szCs w:val="16"/>
              </w:rPr>
            </w:pPr>
            <w:r w:rsidRPr="000E0825">
              <w:rPr>
                <w:sz w:val="16"/>
                <w:szCs w:val="16"/>
              </w:rPr>
              <w:t>73,877</w:t>
            </w:r>
          </w:p>
        </w:tc>
        <w:tc>
          <w:tcPr>
            <w:tcW w:w="541" w:type="pct"/>
            <w:vAlign w:val="bottom"/>
          </w:tcPr>
          <w:p w14:paraId="4D36FA05" w14:textId="77777777" w:rsidR="00EE5287" w:rsidRPr="000E0825" w:rsidRDefault="00EE5287" w:rsidP="00EE5287">
            <w:pPr>
              <w:pStyle w:val="StandardOCAshurst"/>
              <w:jc w:val="right"/>
              <w:rPr>
                <w:sz w:val="16"/>
                <w:szCs w:val="16"/>
              </w:rPr>
            </w:pPr>
          </w:p>
        </w:tc>
        <w:tc>
          <w:tcPr>
            <w:tcW w:w="541" w:type="pct"/>
            <w:vAlign w:val="bottom"/>
          </w:tcPr>
          <w:p w14:paraId="51226E47" w14:textId="77777777" w:rsidR="00EE5287" w:rsidRPr="000E0825" w:rsidRDefault="00EE5287" w:rsidP="00EE5287">
            <w:pPr>
              <w:pStyle w:val="StandardOCAshurst"/>
              <w:jc w:val="right"/>
              <w:rPr>
                <w:sz w:val="16"/>
                <w:szCs w:val="16"/>
              </w:rPr>
            </w:pPr>
          </w:p>
        </w:tc>
        <w:tc>
          <w:tcPr>
            <w:tcW w:w="542" w:type="pct"/>
            <w:vAlign w:val="bottom"/>
          </w:tcPr>
          <w:p w14:paraId="30ED792E" w14:textId="77777777" w:rsidR="00EE5287" w:rsidRPr="000E0825" w:rsidRDefault="00EE5287" w:rsidP="00EE5287">
            <w:pPr>
              <w:pStyle w:val="StandardOCAshurst"/>
              <w:jc w:val="right"/>
              <w:rPr>
                <w:sz w:val="16"/>
                <w:szCs w:val="16"/>
              </w:rPr>
            </w:pPr>
          </w:p>
        </w:tc>
        <w:tc>
          <w:tcPr>
            <w:tcW w:w="541" w:type="pct"/>
            <w:vAlign w:val="bottom"/>
          </w:tcPr>
          <w:p w14:paraId="214E95F5" w14:textId="15EBB79B" w:rsidR="00EE5287" w:rsidRPr="000E0825" w:rsidRDefault="00EE5287" w:rsidP="00EE5287">
            <w:pPr>
              <w:pStyle w:val="StandardOCAshurst"/>
              <w:jc w:val="right"/>
              <w:rPr>
                <w:sz w:val="16"/>
                <w:szCs w:val="16"/>
              </w:rPr>
            </w:pPr>
            <w:r w:rsidRPr="000E0825">
              <w:rPr>
                <w:sz w:val="16"/>
                <w:szCs w:val="16"/>
              </w:rPr>
              <w:t>(27,626)</w:t>
            </w:r>
          </w:p>
        </w:tc>
        <w:tc>
          <w:tcPr>
            <w:tcW w:w="543" w:type="pct"/>
            <w:vAlign w:val="bottom"/>
          </w:tcPr>
          <w:p w14:paraId="5EDB8CFA" w14:textId="77777777" w:rsidR="00EE5287" w:rsidRPr="000E0825" w:rsidRDefault="00EE5287" w:rsidP="00EE5287">
            <w:pPr>
              <w:pStyle w:val="StandardOCAshurst"/>
              <w:jc w:val="right"/>
              <w:rPr>
                <w:sz w:val="16"/>
                <w:szCs w:val="16"/>
              </w:rPr>
            </w:pPr>
          </w:p>
        </w:tc>
        <w:tc>
          <w:tcPr>
            <w:tcW w:w="486" w:type="pct"/>
            <w:vAlign w:val="bottom"/>
          </w:tcPr>
          <w:p w14:paraId="27BC3CC5" w14:textId="22346D01" w:rsidR="00EE5287" w:rsidRPr="000E0825" w:rsidRDefault="00EE5287" w:rsidP="00EE5287">
            <w:pPr>
              <w:pStyle w:val="StandardOCAshurst"/>
              <w:jc w:val="right"/>
              <w:rPr>
                <w:sz w:val="16"/>
                <w:szCs w:val="16"/>
              </w:rPr>
            </w:pPr>
            <w:r w:rsidRPr="000E0825">
              <w:rPr>
                <w:sz w:val="16"/>
                <w:szCs w:val="16"/>
              </w:rPr>
              <w:t>46,251</w:t>
            </w:r>
          </w:p>
        </w:tc>
      </w:tr>
      <w:tr w:rsidR="00EE5287" w:rsidRPr="00D03658" w14:paraId="5D41C8C2" w14:textId="77777777" w:rsidTr="00EE5287">
        <w:tc>
          <w:tcPr>
            <w:tcW w:w="1211" w:type="pct"/>
          </w:tcPr>
          <w:p w14:paraId="06ADC77A" w14:textId="785BA151" w:rsidR="00EE5287" w:rsidRPr="000E0825" w:rsidRDefault="00EE5287" w:rsidP="00EE5287">
            <w:pPr>
              <w:pStyle w:val="StandardOCAshurst"/>
              <w:tabs>
                <w:tab w:val="left" w:leader="dot" w:pos="2041"/>
              </w:tabs>
              <w:rPr>
                <w:sz w:val="16"/>
                <w:szCs w:val="16"/>
              </w:rPr>
            </w:pPr>
            <w:r w:rsidRPr="000E0825">
              <w:rPr>
                <w:sz w:val="16"/>
                <w:szCs w:val="16"/>
              </w:rPr>
              <w:t>Provisions</w:t>
            </w:r>
            <w:r w:rsidRPr="000E0825">
              <w:rPr>
                <w:sz w:val="16"/>
                <w:szCs w:val="16"/>
              </w:rPr>
              <w:tab/>
            </w:r>
          </w:p>
        </w:tc>
        <w:tc>
          <w:tcPr>
            <w:tcW w:w="595" w:type="pct"/>
            <w:vAlign w:val="bottom"/>
          </w:tcPr>
          <w:p w14:paraId="53CA4DFD" w14:textId="12A06641" w:rsidR="00EE5287" w:rsidRPr="000E0825" w:rsidRDefault="00EE5287" w:rsidP="00EE5287">
            <w:pPr>
              <w:pStyle w:val="StandardOCAshurst"/>
              <w:jc w:val="right"/>
              <w:rPr>
                <w:sz w:val="16"/>
                <w:szCs w:val="16"/>
              </w:rPr>
            </w:pPr>
            <w:r w:rsidRPr="000E0825">
              <w:rPr>
                <w:sz w:val="16"/>
                <w:szCs w:val="16"/>
              </w:rPr>
              <w:t>98,954</w:t>
            </w:r>
          </w:p>
        </w:tc>
        <w:tc>
          <w:tcPr>
            <w:tcW w:w="541" w:type="pct"/>
            <w:vAlign w:val="bottom"/>
          </w:tcPr>
          <w:p w14:paraId="131EC55E" w14:textId="77777777" w:rsidR="00EE5287" w:rsidRPr="000E0825" w:rsidRDefault="00EE5287" w:rsidP="00EE5287">
            <w:pPr>
              <w:pStyle w:val="StandardOCAshurst"/>
              <w:jc w:val="right"/>
              <w:rPr>
                <w:sz w:val="16"/>
                <w:szCs w:val="16"/>
              </w:rPr>
            </w:pPr>
          </w:p>
        </w:tc>
        <w:tc>
          <w:tcPr>
            <w:tcW w:w="541" w:type="pct"/>
            <w:vAlign w:val="bottom"/>
          </w:tcPr>
          <w:p w14:paraId="1E86748D" w14:textId="77777777" w:rsidR="00EE5287" w:rsidRPr="000E0825" w:rsidRDefault="00EE5287" w:rsidP="00EE5287">
            <w:pPr>
              <w:pStyle w:val="StandardOCAshurst"/>
              <w:jc w:val="right"/>
              <w:rPr>
                <w:sz w:val="16"/>
                <w:szCs w:val="16"/>
              </w:rPr>
            </w:pPr>
          </w:p>
        </w:tc>
        <w:tc>
          <w:tcPr>
            <w:tcW w:w="542" w:type="pct"/>
            <w:vAlign w:val="bottom"/>
          </w:tcPr>
          <w:p w14:paraId="2732110D" w14:textId="77777777" w:rsidR="00EE5287" w:rsidRPr="000E0825" w:rsidRDefault="00EE5287" w:rsidP="00EE5287">
            <w:pPr>
              <w:pStyle w:val="StandardOCAshurst"/>
              <w:jc w:val="right"/>
              <w:rPr>
                <w:sz w:val="16"/>
                <w:szCs w:val="16"/>
              </w:rPr>
            </w:pPr>
          </w:p>
        </w:tc>
        <w:tc>
          <w:tcPr>
            <w:tcW w:w="541" w:type="pct"/>
            <w:vAlign w:val="bottom"/>
          </w:tcPr>
          <w:p w14:paraId="46C4F2AB" w14:textId="77777777" w:rsidR="00EE5287" w:rsidRPr="000E0825" w:rsidRDefault="00EE5287" w:rsidP="00EE5287">
            <w:pPr>
              <w:pStyle w:val="StandardOCAshurst"/>
              <w:jc w:val="right"/>
              <w:rPr>
                <w:sz w:val="16"/>
                <w:szCs w:val="16"/>
              </w:rPr>
            </w:pPr>
          </w:p>
        </w:tc>
        <w:tc>
          <w:tcPr>
            <w:tcW w:w="543" w:type="pct"/>
            <w:vAlign w:val="bottom"/>
          </w:tcPr>
          <w:p w14:paraId="0C9E66E3" w14:textId="77777777" w:rsidR="00EE5287" w:rsidRPr="000E0825" w:rsidRDefault="00EE5287" w:rsidP="00EE5287">
            <w:pPr>
              <w:pStyle w:val="StandardOCAshurst"/>
              <w:jc w:val="right"/>
              <w:rPr>
                <w:sz w:val="16"/>
                <w:szCs w:val="16"/>
              </w:rPr>
            </w:pPr>
          </w:p>
        </w:tc>
        <w:tc>
          <w:tcPr>
            <w:tcW w:w="486" w:type="pct"/>
            <w:vAlign w:val="bottom"/>
          </w:tcPr>
          <w:p w14:paraId="33DDC0FF" w14:textId="50468C8A" w:rsidR="00EE5287" w:rsidRPr="000E0825" w:rsidRDefault="00EE5287" w:rsidP="00EE5287">
            <w:pPr>
              <w:pStyle w:val="StandardOCAshurst"/>
              <w:jc w:val="right"/>
              <w:rPr>
                <w:sz w:val="16"/>
                <w:szCs w:val="16"/>
              </w:rPr>
            </w:pPr>
            <w:r w:rsidRPr="000E0825">
              <w:rPr>
                <w:sz w:val="16"/>
                <w:szCs w:val="16"/>
              </w:rPr>
              <w:t>98,954</w:t>
            </w:r>
          </w:p>
        </w:tc>
      </w:tr>
      <w:tr w:rsidR="00EE5287" w:rsidRPr="00D03658" w14:paraId="64625CB3" w14:textId="77777777" w:rsidTr="00EE5287">
        <w:tc>
          <w:tcPr>
            <w:tcW w:w="1211" w:type="pct"/>
          </w:tcPr>
          <w:p w14:paraId="58584B47" w14:textId="6E489B4E" w:rsidR="00EE5287" w:rsidRPr="000E0825" w:rsidRDefault="00EE5287" w:rsidP="00EE5287">
            <w:pPr>
              <w:pStyle w:val="StandardOCAshurst"/>
              <w:tabs>
                <w:tab w:val="left" w:leader="dot" w:pos="2041"/>
              </w:tabs>
              <w:rPr>
                <w:sz w:val="16"/>
                <w:szCs w:val="16"/>
              </w:rPr>
            </w:pPr>
            <w:r w:rsidRPr="000E0825">
              <w:rPr>
                <w:sz w:val="16"/>
                <w:szCs w:val="16"/>
              </w:rPr>
              <w:t>Trade and other payables</w:t>
            </w:r>
            <w:r w:rsidRPr="000E0825">
              <w:rPr>
                <w:sz w:val="16"/>
                <w:szCs w:val="16"/>
              </w:rPr>
              <w:tab/>
            </w:r>
          </w:p>
        </w:tc>
        <w:tc>
          <w:tcPr>
            <w:tcW w:w="595" w:type="pct"/>
            <w:vAlign w:val="bottom"/>
          </w:tcPr>
          <w:p w14:paraId="4E4CCB3E" w14:textId="0CAE06BD" w:rsidR="00EE5287" w:rsidRPr="000E0825" w:rsidRDefault="00EE5287" w:rsidP="00EE5287">
            <w:pPr>
              <w:pStyle w:val="StandardOCAshurst"/>
              <w:jc w:val="right"/>
              <w:rPr>
                <w:sz w:val="16"/>
                <w:szCs w:val="16"/>
              </w:rPr>
            </w:pPr>
            <w:r w:rsidRPr="000E0825">
              <w:rPr>
                <w:sz w:val="16"/>
                <w:szCs w:val="16"/>
              </w:rPr>
              <w:t>255,155</w:t>
            </w:r>
          </w:p>
        </w:tc>
        <w:tc>
          <w:tcPr>
            <w:tcW w:w="541" w:type="pct"/>
            <w:vAlign w:val="bottom"/>
          </w:tcPr>
          <w:p w14:paraId="731DEB4D" w14:textId="3D8A676B" w:rsidR="00EE5287" w:rsidRPr="000E0825" w:rsidRDefault="00EE5287" w:rsidP="00EE5287">
            <w:pPr>
              <w:pStyle w:val="StandardOCAshurst"/>
              <w:jc w:val="right"/>
              <w:rPr>
                <w:sz w:val="16"/>
                <w:szCs w:val="16"/>
              </w:rPr>
            </w:pPr>
            <w:r w:rsidRPr="000E0825">
              <w:rPr>
                <w:sz w:val="16"/>
                <w:szCs w:val="16"/>
              </w:rPr>
              <w:t>14,040</w:t>
            </w:r>
          </w:p>
        </w:tc>
        <w:tc>
          <w:tcPr>
            <w:tcW w:w="541" w:type="pct"/>
            <w:vAlign w:val="bottom"/>
          </w:tcPr>
          <w:p w14:paraId="5DD8EABF" w14:textId="77777777" w:rsidR="00EE5287" w:rsidRPr="000E0825" w:rsidRDefault="00EE5287" w:rsidP="00EE5287">
            <w:pPr>
              <w:pStyle w:val="StandardOCAshurst"/>
              <w:jc w:val="right"/>
              <w:rPr>
                <w:sz w:val="16"/>
                <w:szCs w:val="16"/>
              </w:rPr>
            </w:pPr>
          </w:p>
        </w:tc>
        <w:tc>
          <w:tcPr>
            <w:tcW w:w="542" w:type="pct"/>
            <w:vAlign w:val="bottom"/>
          </w:tcPr>
          <w:p w14:paraId="65B2924D" w14:textId="77777777" w:rsidR="00EE5287" w:rsidRPr="000E0825" w:rsidRDefault="00EE5287" w:rsidP="00EE5287">
            <w:pPr>
              <w:pStyle w:val="StandardOCAshurst"/>
              <w:jc w:val="right"/>
              <w:rPr>
                <w:sz w:val="16"/>
                <w:szCs w:val="16"/>
              </w:rPr>
            </w:pPr>
          </w:p>
        </w:tc>
        <w:tc>
          <w:tcPr>
            <w:tcW w:w="541" w:type="pct"/>
            <w:vAlign w:val="bottom"/>
          </w:tcPr>
          <w:p w14:paraId="0EA389EA" w14:textId="77777777" w:rsidR="00EE5287" w:rsidRPr="000E0825" w:rsidRDefault="00EE5287" w:rsidP="00EE5287">
            <w:pPr>
              <w:pStyle w:val="StandardOCAshurst"/>
              <w:jc w:val="right"/>
              <w:rPr>
                <w:sz w:val="16"/>
                <w:szCs w:val="16"/>
              </w:rPr>
            </w:pPr>
          </w:p>
        </w:tc>
        <w:tc>
          <w:tcPr>
            <w:tcW w:w="543" w:type="pct"/>
            <w:vAlign w:val="bottom"/>
          </w:tcPr>
          <w:p w14:paraId="32EE85BD" w14:textId="77777777" w:rsidR="00EE5287" w:rsidRPr="000E0825" w:rsidRDefault="00EE5287" w:rsidP="00EE5287">
            <w:pPr>
              <w:pStyle w:val="StandardOCAshurst"/>
              <w:jc w:val="right"/>
              <w:rPr>
                <w:sz w:val="16"/>
                <w:szCs w:val="16"/>
              </w:rPr>
            </w:pPr>
          </w:p>
        </w:tc>
        <w:tc>
          <w:tcPr>
            <w:tcW w:w="486" w:type="pct"/>
            <w:vAlign w:val="bottom"/>
          </w:tcPr>
          <w:p w14:paraId="038D7230" w14:textId="01AE532F" w:rsidR="00EE5287" w:rsidRPr="000E0825" w:rsidRDefault="00EE5287" w:rsidP="00EE5287">
            <w:pPr>
              <w:pStyle w:val="StandardOCAshurst"/>
              <w:jc w:val="right"/>
              <w:rPr>
                <w:sz w:val="16"/>
                <w:szCs w:val="16"/>
              </w:rPr>
            </w:pPr>
            <w:r w:rsidRPr="000E0825">
              <w:rPr>
                <w:sz w:val="16"/>
                <w:szCs w:val="16"/>
              </w:rPr>
              <w:t>269,195</w:t>
            </w:r>
          </w:p>
        </w:tc>
      </w:tr>
      <w:tr w:rsidR="00EE5287" w:rsidRPr="00D03658" w14:paraId="375D42C1" w14:textId="77777777" w:rsidTr="00EE5287">
        <w:tc>
          <w:tcPr>
            <w:tcW w:w="1211" w:type="pct"/>
          </w:tcPr>
          <w:p w14:paraId="0B239BC8" w14:textId="727AFB57" w:rsidR="00EE5287" w:rsidRPr="000E0825" w:rsidRDefault="00EE5287" w:rsidP="00EE5287">
            <w:pPr>
              <w:pStyle w:val="StandardOCAshurst"/>
              <w:tabs>
                <w:tab w:val="left" w:leader="dot" w:pos="2041"/>
              </w:tabs>
              <w:rPr>
                <w:sz w:val="16"/>
                <w:szCs w:val="16"/>
              </w:rPr>
            </w:pPr>
            <w:r w:rsidRPr="000E0825">
              <w:rPr>
                <w:sz w:val="16"/>
                <w:szCs w:val="16"/>
              </w:rPr>
              <w:t>Other financial liabilities</w:t>
            </w:r>
            <w:r w:rsidRPr="000E0825">
              <w:rPr>
                <w:sz w:val="16"/>
                <w:szCs w:val="16"/>
              </w:rPr>
              <w:tab/>
            </w:r>
          </w:p>
        </w:tc>
        <w:tc>
          <w:tcPr>
            <w:tcW w:w="595" w:type="pct"/>
            <w:vAlign w:val="bottom"/>
          </w:tcPr>
          <w:p w14:paraId="701C02D9" w14:textId="382F1040" w:rsidR="00EE5287" w:rsidRPr="000E0825" w:rsidRDefault="00EE5287" w:rsidP="00EE5287">
            <w:pPr>
              <w:pStyle w:val="StandardOCAshurst"/>
              <w:jc w:val="right"/>
              <w:rPr>
                <w:sz w:val="16"/>
                <w:szCs w:val="16"/>
              </w:rPr>
            </w:pPr>
            <w:r w:rsidRPr="000E0825">
              <w:rPr>
                <w:sz w:val="16"/>
                <w:szCs w:val="16"/>
              </w:rPr>
              <w:t>2,007</w:t>
            </w:r>
          </w:p>
        </w:tc>
        <w:tc>
          <w:tcPr>
            <w:tcW w:w="541" w:type="pct"/>
            <w:vAlign w:val="bottom"/>
          </w:tcPr>
          <w:p w14:paraId="7DA62BB3" w14:textId="77777777" w:rsidR="00EE5287" w:rsidRPr="000E0825" w:rsidRDefault="00EE5287" w:rsidP="00EE5287">
            <w:pPr>
              <w:pStyle w:val="StandardOCAshurst"/>
              <w:jc w:val="right"/>
              <w:rPr>
                <w:sz w:val="16"/>
                <w:szCs w:val="16"/>
              </w:rPr>
            </w:pPr>
          </w:p>
        </w:tc>
        <w:tc>
          <w:tcPr>
            <w:tcW w:w="541" w:type="pct"/>
            <w:vAlign w:val="bottom"/>
          </w:tcPr>
          <w:p w14:paraId="6AE76F61" w14:textId="77777777" w:rsidR="00EE5287" w:rsidRPr="000E0825" w:rsidRDefault="00EE5287" w:rsidP="00EE5287">
            <w:pPr>
              <w:pStyle w:val="StandardOCAshurst"/>
              <w:jc w:val="right"/>
              <w:rPr>
                <w:sz w:val="16"/>
                <w:szCs w:val="16"/>
              </w:rPr>
            </w:pPr>
          </w:p>
        </w:tc>
        <w:tc>
          <w:tcPr>
            <w:tcW w:w="542" w:type="pct"/>
            <w:vAlign w:val="bottom"/>
          </w:tcPr>
          <w:p w14:paraId="4BA8D818" w14:textId="77777777" w:rsidR="00EE5287" w:rsidRPr="000E0825" w:rsidRDefault="00EE5287" w:rsidP="00EE5287">
            <w:pPr>
              <w:pStyle w:val="StandardOCAshurst"/>
              <w:jc w:val="right"/>
              <w:rPr>
                <w:sz w:val="16"/>
                <w:szCs w:val="16"/>
              </w:rPr>
            </w:pPr>
          </w:p>
        </w:tc>
        <w:tc>
          <w:tcPr>
            <w:tcW w:w="541" w:type="pct"/>
            <w:vAlign w:val="bottom"/>
          </w:tcPr>
          <w:p w14:paraId="2776F44D" w14:textId="77777777" w:rsidR="00EE5287" w:rsidRPr="000E0825" w:rsidRDefault="00EE5287" w:rsidP="00EE5287">
            <w:pPr>
              <w:pStyle w:val="StandardOCAshurst"/>
              <w:jc w:val="right"/>
              <w:rPr>
                <w:sz w:val="16"/>
                <w:szCs w:val="16"/>
              </w:rPr>
            </w:pPr>
          </w:p>
        </w:tc>
        <w:tc>
          <w:tcPr>
            <w:tcW w:w="543" w:type="pct"/>
            <w:vAlign w:val="bottom"/>
          </w:tcPr>
          <w:p w14:paraId="1986F0D0" w14:textId="77777777" w:rsidR="00EE5287" w:rsidRPr="000E0825" w:rsidRDefault="00EE5287" w:rsidP="00EE5287">
            <w:pPr>
              <w:pStyle w:val="StandardOCAshurst"/>
              <w:jc w:val="right"/>
              <w:rPr>
                <w:sz w:val="16"/>
                <w:szCs w:val="16"/>
              </w:rPr>
            </w:pPr>
          </w:p>
        </w:tc>
        <w:tc>
          <w:tcPr>
            <w:tcW w:w="486" w:type="pct"/>
            <w:vAlign w:val="bottom"/>
          </w:tcPr>
          <w:p w14:paraId="68D10FEF" w14:textId="17B9E75A" w:rsidR="00EE5287" w:rsidRPr="000E0825" w:rsidRDefault="00EE5287" w:rsidP="00EE5287">
            <w:pPr>
              <w:pStyle w:val="StandardOCAshurst"/>
              <w:jc w:val="right"/>
              <w:rPr>
                <w:sz w:val="16"/>
                <w:szCs w:val="16"/>
              </w:rPr>
            </w:pPr>
            <w:r w:rsidRPr="000E0825">
              <w:rPr>
                <w:sz w:val="16"/>
                <w:szCs w:val="16"/>
              </w:rPr>
              <w:t>2,007</w:t>
            </w:r>
          </w:p>
        </w:tc>
      </w:tr>
      <w:tr w:rsidR="00EE5287" w:rsidRPr="00D03658" w14:paraId="7E30CF2B" w14:textId="77777777" w:rsidTr="00EE5287">
        <w:tc>
          <w:tcPr>
            <w:tcW w:w="1211" w:type="pct"/>
          </w:tcPr>
          <w:p w14:paraId="4342CEC0" w14:textId="0FCCE30B" w:rsidR="00EE5287" w:rsidRPr="000E0825" w:rsidRDefault="00EE5287" w:rsidP="00EE5287">
            <w:pPr>
              <w:pStyle w:val="StandardOCAshurst"/>
              <w:tabs>
                <w:tab w:val="left" w:leader="dot" w:pos="2041"/>
              </w:tabs>
              <w:rPr>
                <w:sz w:val="16"/>
                <w:szCs w:val="16"/>
              </w:rPr>
            </w:pPr>
            <w:r w:rsidRPr="000E0825">
              <w:rPr>
                <w:sz w:val="16"/>
                <w:szCs w:val="16"/>
              </w:rPr>
              <w:t>Current tax payable</w:t>
            </w:r>
          </w:p>
        </w:tc>
        <w:tc>
          <w:tcPr>
            <w:tcW w:w="595" w:type="pct"/>
            <w:vAlign w:val="bottom"/>
          </w:tcPr>
          <w:p w14:paraId="7502736A" w14:textId="422ED9B0" w:rsidR="00EE5287" w:rsidRPr="000E0825" w:rsidRDefault="00EE5287" w:rsidP="00EE5287">
            <w:pPr>
              <w:pStyle w:val="StandardOCAshurst"/>
              <w:pBdr>
                <w:bottom w:val="single" w:sz="4" w:space="1" w:color="auto"/>
              </w:pBdr>
              <w:jc w:val="right"/>
              <w:rPr>
                <w:sz w:val="16"/>
                <w:szCs w:val="16"/>
              </w:rPr>
            </w:pPr>
            <w:r w:rsidRPr="000E0825">
              <w:rPr>
                <w:sz w:val="16"/>
                <w:szCs w:val="16"/>
              </w:rPr>
              <w:t>0</w:t>
            </w:r>
          </w:p>
        </w:tc>
        <w:tc>
          <w:tcPr>
            <w:tcW w:w="541" w:type="pct"/>
            <w:vAlign w:val="bottom"/>
          </w:tcPr>
          <w:p w14:paraId="7A129746" w14:textId="51ED20CB" w:rsidR="00EE5287" w:rsidRPr="000E0825" w:rsidRDefault="00EE5287" w:rsidP="00EE5287">
            <w:pPr>
              <w:pStyle w:val="StandardOCAshurst"/>
              <w:pBdr>
                <w:bottom w:val="single" w:sz="4" w:space="1" w:color="auto"/>
              </w:pBdr>
              <w:jc w:val="right"/>
              <w:rPr>
                <w:sz w:val="16"/>
                <w:szCs w:val="16"/>
              </w:rPr>
            </w:pPr>
            <w:r w:rsidRPr="000E0825">
              <w:rPr>
                <w:sz w:val="16"/>
                <w:szCs w:val="16"/>
              </w:rPr>
              <w:t>0</w:t>
            </w:r>
          </w:p>
        </w:tc>
        <w:tc>
          <w:tcPr>
            <w:tcW w:w="541" w:type="pct"/>
            <w:vAlign w:val="bottom"/>
          </w:tcPr>
          <w:p w14:paraId="36425CAE" w14:textId="77777777" w:rsidR="00EE5287" w:rsidRPr="000E0825" w:rsidRDefault="00EE5287" w:rsidP="00EE5287">
            <w:pPr>
              <w:pStyle w:val="StandardOCAshurst"/>
              <w:pBdr>
                <w:bottom w:val="single" w:sz="4" w:space="1" w:color="auto"/>
              </w:pBdr>
              <w:jc w:val="right"/>
              <w:rPr>
                <w:sz w:val="16"/>
                <w:szCs w:val="16"/>
              </w:rPr>
            </w:pPr>
          </w:p>
        </w:tc>
        <w:tc>
          <w:tcPr>
            <w:tcW w:w="542" w:type="pct"/>
            <w:vAlign w:val="bottom"/>
          </w:tcPr>
          <w:p w14:paraId="2AEA499E"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7916F408" w14:textId="77777777" w:rsidR="00EE5287" w:rsidRPr="000E0825" w:rsidRDefault="00EE5287" w:rsidP="00EE5287">
            <w:pPr>
              <w:pStyle w:val="StandardOCAshurst"/>
              <w:pBdr>
                <w:bottom w:val="single" w:sz="4" w:space="1" w:color="auto"/>
              </w:pBdr>
              <w:jc w:val="right"/>
              <w:rPr>
                <w:sz w:val="16"/>
                <w:szCs w:val="16"/>
              </w:rPr>
            </w:pPr>
          </w:p>
        </w:tc>
        <w:tc>
          <w:tcPr>
            <w:tcW w:w="543" w:type="pct"/>
            <w:vAlign w:val="bottom"/>
          </w:tcPr>
          <w:p w14:paraId="009CDB9C" w14:textId="77777777" w:rsidR="00EE5287" w:rsidRPr="000E0825" w:rsidRDefault="00EE5287" w:rsidP="00EE5287">
            <w:pPr>
              <w:pStyle w:val="StandardOCAshurst"/>
              <w:pBdr>
                <w:bottom w:val="single" w:sz="4" w:space="1" w:color="auto"/>
              </w:pBdr>
              <w:jc w:val="right"/>
              <w:rPr>
                <w:sz w:val="16"/>
                <w:szCs w:val="16"/>
              </w:rPr>
            </w:pPr>
          </w:p>
        </w:tc>
        <w:tc>
          <w:tcPr>
            <w:tcW w:w="486" w:type="pct"/>
            <w:vAlign w:val="bottom"/>
          </w:tcPr>
          <w:p w14:paraId="1CA19729" w14:textId="110FE5F7" w:rsidR="00EE5287" w:rsidRPr="000E0825" w:rsidRDefault="00EE5287" w:rsidP="00EE5287">
            <w:pPr>
              <w:pStyle w:val="StandardOCAshurst"/>
              <w:pBdr>
                <w:bottom w:val="single" w:sz="4" w:space="1" w:color="auto"/>
              </w:pBdr>
              <w:jc w:val="right"/>
              <w:rPr>
                <w:sz w:val="16"/>
                <w:szCs w:val="16"/>
              </w:rPr>
            </w:pPr>
            <w:r w:rsidRPr="000E0825">
              <w:rPr>
                <w:sz w:val="16"/>
                <w:szCs w:val="16"/>
              </w:rPr>
              <w:t>0</w:t>
            </w:r>
          </w:p>
        </w:tc>
      </w:tr>
      <w:tr w:rsidR="00EE5287" w:rsidRPr="00D03658" w14:paraId="04050FD2" w14:textId="77777777" w:rsidTr="00EE5287">
        <w:tc>
          <w:tcPr>
            <w:tcW w:w="1211" w:type="pct"/>
          </w:tcPr>
          <w:p w14:paraId="5D8FF3CA" w14:textId="73092A1E" w:rsidR="00EE5287" w:rsidRPr="000E0825" w:rsidRDefault="00EE5287" w:rsidP="00EE5287">
            <w:pPr>
              <w:pStyle w:val="StandardOCAshurst"/>
              <w:tabs>
                <w:tab w:val="left" w:leader="dot" w:pos="2041"/>
              </w:tabs>
              <w:rPr>
                <w:b/>
                <w:bCs/>
                <w:sz w:val="16"/>
                <w:szCs w:val="16"/>
              </w:rPr>
            </w:pPr>
            <w:r w:rsidRPr="000E0825">
              <w:rPr>
                <w:b/>
                <w:bCs/>
                <w:sz w:val="16"/>
                <w:szCs w:val="16"/>
              </w:rPr>
              <w:t>Total current liabilities</w:t>
            </w:r>
            <w:r w:rsidRPr="000E0825">
              <w:rPr>
                <w:sz w:val="16"/>
                <w:szCs w:val="16"/>
              </w:rPr>
              <w:tab/>
            </w:r>
          </w:p>
        </w:tc>
        <w:tc>
          <w:tcPr>
            <w:tcW w:w="595" w:type="pct"/>
            <w:vAlign w:val="bottom"/>
          </w:tcPr>
          <w:p w14:paraId="76887AC0" w14:textId="42B9F6F1" w:rsidR="00EE5287" w:rsidRPr="000E0825" w:rsidRDefault="00EE5287" w:rsidP="00EE5287">
            <w:pPr>
              <w:pStyle w:val="StandardOCAshurst"/>
              <w:pBdr>
                <w:bottom w:val="single" w:sz="4" w:space="1" w:color="auto"/>
              </w:pBdr>
              <w:jc w:val="right"/>
              <w:rPr>
                <w:sz w:val="16"/>
                <w:szCs w:val="16"/>
              </w:rPr>
            </w:pPr>
            <w:r w:rsidRPr="000E0825">
              <w:rPr>
                <w:sz w:val="16"/>
                <w:szCs w:val="16"/>
              </w:rPr>
              <w:t>943,862</w:t>
            </w:r>
          </w:p>
        </w:tc>
        <w:tc>
          <w:tcPr>
            <w:tcW w:w="541" w:type="pct"/>
            <w:vAlign w:val="bottom"/>
          </w:tcPr>
          <w:p w14:paraId="6CDA06F1" w14:textId="29F5DC85" w:rsidR="00EE5287" w:rsidRPr="000E0825" w:rsidRDefault="00EE5287" w:rsidP="00EE5287">
            <w:pPr>
              <w:pStyle w:val="StandardOCAshurst"/>
              <w:pBdr>
                <w:bottom w:val="single" w:sz="4" w:space="1" w:color="auto"/>
              </w:pBdr>
              <w:jc w:val="right"/>
              <w:rPr>
                <w:sz w:val="16"/>
                <w:szCs w:val="16"/>
              </w:rPr>
            </w:pPr>
            <w:r w:rsidRPr="000E0825">
              <w:rPr>
                <w:sz w:val="16"/>
                <w:szCs w:val="16"/>
              </w:rPr>
              <w:t>14,040</w:t>
            </w:r>
          </w:p>
        </w:tc>
        <w:tc>
          <w:tcPr>
            <w:tcW w:w="541" w:type="pct"/>
            <w:vAlign w:val="bottom"/>
          </w:tcPr>
          <w:p w14:paraId="03493AAC" w14:textId="763E90E1" w:rsidR="00EE5287" w:rsidRPr="000E0825" w:rsidRDefault="00EE5287" w:rsidP="00EE5287">
            <w:pPr>
              <w:pStyle w:val="StandardOCAshurst"/>
              <w:pBdr>
                <w:bottom w:val="single" w:sz="4" w:space="1" w:color="auto"/>
              </w:pBdr>
              <w:jc w:val="right"/>
              <w:rPr>
                <w:sz w:val="16"/>
                <w:szCs w:val="16"/>
              </w:rPr>
            </w:pPr>
            <w:r w:rsidRPr="000E0825">
              <w:rPr>
                <w:sz w:val="16"/>
                <w:szCs w:val="16"/>
              </w:rPr>
              <w:t>0</w:t>
            </w:r>
          </w:p>
        </w:tc>
        <w:tc>
          <w:tcPr>
            <w:tcW w:w="542" w:type="pct"/>
            <w:vAlign w:val="bottom"/>
          </w:tcPr>
          <w:p w14:paraId="2B5C9A59" w14:textId="59490D09" w:rsidR="00EE5287" w:rsidRPr="000E0825" w:rsidRDefault="00EE5287" w:rsidP="00EE5287">
            <w:pPr>
              <w:pStyle w:val="StandardOCAshurst"/>
              <w:pBdr>
                <w:bottom w:val="single" w:sz="4" w:space="1" w:color="auto"/>
              </w:pBdr>
              <w:jc w:val="right"/>
              <w:rPr>
                <w:sz w:val="16"/>
                <w:szCs w:val="16"/>
              </w:rPr>
            </w:pPr>
            <w:r w:rsidRPr="000E0825">
              <w:rPr>
                <w:sz w:val="16"/>
                <w:szCs w:val="16"/>
              </w:rPr>
              <w:t>0</w:t>
            </w:r>
          </w:p>
        </w:tc>
        <w:tc>
          <w:tcPr>
            <w:tcW w:w="541" w:type="pct"/>
            <w:vAlign w:val="bottom"/>
          </w:tcPr>
          <w:p w14:paraId="1A9A1537" w14:textId="6285F180" w:rsidR="00EE5287" w:rsidRPr="000E0825" w:rsidRDefault="00EE5287" w:rsidP="00EE5287">
            <w:pPr>
              <w:pStyle w:val="StandardOCAshurst"/>
              <w:pBdr>
                <w:bottom w:val="single" w:sz="4" w:space="1" w:color="auto"/>
              </w:pBdr>
              <w:jc w:val="right"/>
              <w:rPr>
                <w:sz w:val="16"/>
                <w:szCs w:val="16"/>
              </w:rPr>
            </w:pPr>
            <w:r w:rsidRPr="000E0825">
              <w:rPr>
                <w:sz w:val="16"/>
                <w:szCs w:val="16"/>
              </w:rPr>
              <w:t>(432,819)</w:t>
            </w:r>
          </w:p>
        </w:tc>
        <w:tc>
          <w:tcPr>
            <w:tcW w:w="543" w:type="pct"/>
            <w:vAlign w:val="bottom"/>
          </w:tcPr>
          <w:p w14:paraId="242C9109" w14:textId="478EB688" w:rsidR="00EE5287" w:rsidRPr="000E0825" w:rsidRDefault="00EE5287" w:rsidP="00EE5287">
            <w:pPr>
              <w:pStyle w:val="StandardOCAshurst"/>
              <w:pBdr>
                <w:bottom w:val="single" w:sz="4" w:space="1" w:color="auto"/>
              </w:pBdr>
              <w:jc w:val="right"/>
              <w:rPr>
                <w:sz w:val="16"/>
                <w:szCs w:val="16"/>
              </w:rPr>
            </w:pPr>
            <w:r w:rsidRPr="000E0825">
              <w:rPr>
                <w:sz w:val="16"/>
                <w:szCs w:val="16"/>
              </w:rPr>
              <w:t>0</w:t>
            </w:r>
          </w:p>
        </w:tc>
        <w:tc>
          <w:tcPr>
            <w:tcW w:w="486" w:type="pct"/>
            <w:vAlign w:val="bottom"/>
          </w:tcPr>
          <w:p w14:paraId="5CC4C6A2" w14:textId="7E7E62E4" w:rsidR="00EE5287" w:rsidRPr="000E0825" w:rsidRDefault="00EE5287" w:rsidP="00EE5287">
            <w:pPr>
              <w:pStyle w:val="StandardOCAshurst"/>
              <w:pBdr>
                <w:bottom w:val="single" w:sz="4" w:space="1" w:color="auto"/>
              </w:pBdr>
              <w:jc w:val="right"/>
              <w:rPr>
                <w:sz w:val="16"/>
                <w:szCs w:val="16"/>
              </w:rPr>
            </w:pPr>
            <w:r w:rsidRPr="000E0825">
              <w:rPr>
                <w:sz w:val="16"/>
                <w:szCs w:val="16"/>
              </w:rPr>
              <w:t>525,08</w:t>
            </w:r>
            <w:r w:rsidR="00D21B8A">
              <w:rPr>
                <w:sz w:val="16"/>
                <w:szCs w:val="16"/>
              </w:rPr>
              <w:t>3</w:t>
            </w:r>
          </w:p>
        </w:tc>
      </w:tr>
      <w:tr w:rsidR="00EE5287" w:rsidRPr="00D03658" w14:paraId="19B788C3" w14:textId="77777777" w:rsidTr="00EE5287">
        <w:tc>
          <w:tcPr>
            <w:tcW w:w="1211" w:type="pct"/>
          </w:tcPr>
          <w:p w14:paraId="71786284" w14:textId="3BCB46BF" w:rsidR="00EE5287" w:rsidRPr="000E0825" w:rsidRDefault="00EE5287" w:rsidP="00EE5287">
            <w:pPr>
              <w:pStyle w:val="StandardOCAshurst"/>
              <w:tabs>
                <w:tab w:val="left" w:leader="dot" w:pos="2041"/>
              </w:tabs>
              <w:rPr>
                <w:sz w:val="16"/>
                <w:szCs w:val="16"/>
              </w:rPr>
            </w:pPr>
            <w:r w:rsidRPr="000E0825">
              <w:rPr>
                <w:sz w:val="16"/>
                <w:szCs w:val="16"/>
              </w:rPr>
              <w:t xml:space="preserve"> </w:t>
            </w:r>
          </w:p>
        </w:tc>
        <w:tc>
          <w:tcPr>
            <w:tcW w:w="595" w:type="pct"/>
            <w:vAlign w:val="bottom"/>
          </w:tcPr>
          <w:p w14:paraId="32684E57" w14:textId="77777777" w:rsidR="00EE5287" w:rsidRPr="000E0825" w:rsidRDefault="00EE5287" w:rsidP="00EE5287">
            <w:pPr>
              <w:pStyle w:val="StandardOCAshurst"/>
              <w:jc w:val="right"/>
              <w:rPr>
                <w:sz w:val="16"/>
                <w:szCs w:val="16"/>
              </w:rPr>
            </w:pPr>
          </w:p>
        </w:tc>
        <w:tc>
          <w:tcPr>
            <w:tcW w:w="541" w:type="pct"/>
            <w:vAlign w:val="bottom"/>
          </w:tcPr>
          <w:p w14:paraId="66921C85" w14:textId="77777777" w:rsidR="00EE5287" w:rsidRPr="000E0825" w:rsidRDefault="00EE5287" w:rsidP="00EE5287">
            <w:pPr>
              <w:pStyle w:val="StandardOCAshurst"/>
              <w:jc w:val="right"/>
              <w:rPr>
                <w:sz w:val="16"/>
                <w:szCs w:val="16"/>
              </w:rPr>
            </w:pPr>
          </w:p>
        </w:tc>
        <w:tc>
          <w:tcPr>
            <w:tcW w:w="541" w:type="pct"/>
            <w:vAlign w:val="bottom"/>
          </w:tcPr>
          <w:p w14:paraId="0E5D0E02" w14:textId="77777777" w:rsidR="00EE5287" w:rsidRPr="000E0825" w:rsidRDefault="00EE5287" w:rsidP="00EE5287">
            <w:pPr>
              <w:pStyle w:val="StandardOCAshurst"/>
              <w:jc w:val="right"/>
              <w:rPr>
                <w:sz w:val="16"/>
                <w:szCs w:val="16"/>
              </w:rPr>
            </w:pPr>
          </w:p>
        </w:tc>
        <w:tc>
          <w:tcPr>
            <w:tcW w:w="542" w:type="pct"/>
            <w:vAlign w:val="bottom"/>
          </w:tcPr>
          <w:p w14:paraId="22EF2796" w14:textId="77777777" w:rsidR="00EE5287" w:rsidRPr="000E0825" w:rsidRDefault="00EE5287" w:rsidP="00EE5287">
            <w:pPr>
              <w:pStyle w:val="StandardOCAshurst"/>
              <w:jc w:val="right"/>
              <w:rPr>
                <w:sz w:val="16"/>
                <w:szCs w:val="16"/>
              </w:rPr>
            </w:pPr>
          </w:p>
        </w:tc>
        <w:tc>
          <w:tcPr>
            <w:tcW w:w="541" w:type="pct"/>
            <w:vAlign w:val="bottom"/>
          </w:tcPr>
          <w:p w14:paraId="4BCE7C8F" w14:textId="77777777" w:rsidR="00EE5287" w:rsidRPr="000E0825" w:rsidRDefault="00EE5287" w:rsidP="00EE5287">
            <w:pPr>
              <w:pStyle w:val="StandardOCAshurst"/>
              <w:jc w:val="right"/>
              <w:rPr>
                <w:sz w:val="16"/>
                <w:szCs w:val="16"/>
              </w:rPr>
            </w:pPr>
          </w:p>
        </w:tc>
        <w:tc>
          <w:tcPr>
            <w:tcW w:w="543" w:type="pct"/>
            <w:vAlign w:val="bottom"/>
          </w:tcPr>
          <w:p w14:paraId="4B8D5656" w14:textId="77777777" w:rsidR="00EE5287" w:rsidRPr="000E0825" w:rsidRDefault="00EE5287" w:rsidP="00EE5287">
            <w:pPr>
              <w:pStyle w:val="StandardOCAshurst"/>
              <w:jc w:val="right"/>
              <w:rPr>
                <w:sz w:val="16"/>
                <w:szCs w:val="16"/>
              </w:rPr>
            </w:pPr>
          </w:p>
        </w:tc>
        <w:tc>
          <w:tcPr>
            <w:tcW w:w="486" w:type="pct"/>
            <w:vAlign w:val="bottom"/>
          </w:tcPr>
          <w:p w14:paraId="0835F9A9" w14:textId="77777777" w:rsidR="00EE5287" w:rsidRPr="000E0825" w:rsidRDefault="00EE5287" w:rsidP="00EE5287">
            <w:pPr>
              <w:pStyle w:val="StandardOCAshurst"/>
              <w:jc w:val="right"/>
              <w:rPr>
                <w:sz w:val="16"/>
                <w:szCs w:val="16"/>
              </w:rPr>
            </w:pPr>
          </w:p>
        </w:tc>
      </w:tr>
      <w:tr w:rsidR="00EE5287" w:rsidRPr="00D03658" w14:paraId="5CE2F079" w14:textId="77777777" w:rsidTr="00EE5287">
        <w:tc>
          <w:tcPr>
            <w:tcW w:w="1211" w:type="pct"/>
          </w:tcPr>
          <w:p w14:paraId="2D6571B4" w14:textId="0065E821" w:rsidR="00EE5287" w:rsidRPr="000E0825" w:rsidRDefault="00EE5287" w:rsidP="00EE5287">
            <w:pPr>
              <w:pStyle w:val="StandardOCAshurst"/>
              <w:tabs>
                <w:tab w:val="left" w:leader="dot" w:pos="2041"/>
              </w:tabs>
              <w:rPr>
                <w:b/>
                <w:bCs/>
                <w:sz w:val="16"/>
                <w:szCs w:val="16"/>
              </w:rPr>
            </w:pPr>
            <w:r w:rsidRPr="000E0825">
              <w:rPr>
                <w:b/>
                <w:bCs/>
                <w:sz w:val="16"/>
                <w:szCs w:val="16"/>
              </w:rPr>
              <w:t>Non-current liabilities</w:t>
            </w:r>
          </w:p>
        </w:tc>
        <w:tc>
          <w:tcPr>
            <w:tcW w:w="595" w:type="pct"/>
            <w:vAlign w:val="bottom"/>
          </w:tcPr>
          <w:p w14:paraId="27C7D644" w14:textId="77777777" w:rsidR="00EE5287" w:rsidRPr="000E0825" w:rsidRDefault="00EE5287" w:rsidP="00EE5287">
            <w:pPr>
              <w:pStyle w:val="StandardOCAshurst"/>
              <w:jc w:val="right"/>
              <w:rPr>
                <w:sz w:val="16"/>
                <w:szCs w:val="16"/>
              </w:rPr>
            </w:pPr>
          </w:p>
        </w:tc>
        <w:tc>
          <w:tcPr>
            <w:tcW w:w="541" w:type="pct"/>
            <w:vAlign w:val="bottom"/>
          </w:tcPr>
          <w:p w14:paraId="3873BA4E" w14:textId="77777777" w:rsidR="00EE5287" w:rsidRPr="000E0825" w:rsidRDefault="00EE5287" w:rsidP="00EE5287">
            <w:pPr>
              <w:pStyle w:val="StandardOCAshurst"/>
              <w:jc w:val="right"/>
              <w:rPr>
                <w:sz w:val="16"/>
                <w:szCs w:val="16"/>
              </w:rPr>
            </w:pPr>
          </w:p>
        </w:tc>
        <w:tc>
          <w:tcPr>
            <w:tcW w:w="541" w:type="pct"/>
            <w:vAlign w:val="bottom"/>
          </w:tcPr>
          <w:p w14:paraId="4ABF26BD" w14:textId="77777777" w:rsidR="00EE5287" w:rsidRPr="000E0825" w:rsidRDefault="00EE5287" w:rsidP="00EE5287">
            <w:pPr>
              <w:pStyle w:val="StandardOCAshurst"/>
              <w:jc w:val="right"/>
              <w:rPr>
                <w:sz w:val="16"/>
                <w:szCs w:val="16"/>
              </w:rPr>
            </w:pPr>
          </w:p>
        </w:tc>
        <w:tc>
          <w:tcPr>
            <w:tcW w:w="542" w:type="pct"/>
            <w:vAlign w:val="bottom"/>
          </w:tcPr>
          <w:p w14:paraId="223E09C9" w14:textId="77777777" w:rsidR="00EE5287" w:rsidRPr="000E0825" w:rsidRDefault="00EE5287" w:rsidP="00EE5287">
            <w:pPr>
              <w:pStyle w:val="StandardOCAshurst"/>
              <w:jc w:val="right"/>
              <w:rPr>
                <w:sz w:val="16"/>
                <w:szCs w:val="16"/>
              </w:rPr>
            </w:pPr>
          </w:p>
        </w:tc>
        <w:tc>
          <w:tcPr>
            <w:tcW w:w="541" w:type="pct"/>
            <w:vAlign w:val="bottom"/>
          </w:tcPr>
          <w:p w14:paraId="410A37CA" w14:textId="77777777" w:rsidR="00EE5287" w:rsidRPr="000E0825" w:rsidRDefault="00EE5287" w:rsidP="00EE5287">
            <w:pPr>
              <w:pStyle w:val="StandardOCAshurst"/>
              <w:jc w:val="right"/>
              <w:rPr>
                <w:sz w:val="16"/>
                <w:szCs w:val="16"/>
              </w:rPr>
            </w:pPr>
          </w:p>
        </w:tc>
        <w:tc>
          <w:tcPr>
            <w:tcW w:w="543" w:type="pct"/>
            <w:vAlign w:val="bottom"/>
          </w:tcPr>
          <w:p w14:paraId="400B1D12" w14:textId="77777777" w:rsidR="00EE5287" w:rsidRPr="000E0825" w:rsidRDefault="00EE5287" w:rsidP="00EE5287">
            <w:pPr>
              <w:pStyle w:val="StandardOCAshurst"/>
              <w:jc w:val="right"/>
              <w:rPr>
                <w:sz w:val="16"/>
                <w:szCs w:val="16"/>
              </w:rPr>
            </w:pPr>
          </w:p>
        </w:tc>
        <w:tc>
          <w:tcPr>
            <w:tcW w:w="486" w:type="pct"/>
            <w:vAlign w:val="bottom"/>
          </w:tcPr>
          <w:p w14:paraId="05670978" w14:textId="77777777" w:rsidR="00EE5287" w:rsidRPr="000E0825" w:rsidRDefault="00EE5287" w:rsidP="00EE5287">
            <w:pPr>
              <w:pStyle w:val="StandardOCAshurst"/>
              <w:jc w:val="right"/>
              <w:rPr>
                <w:sz w:val="16"/>
                <w:szCs w:val="16"/>
              </w:rPr>
            </w:pPr>
          </w:p>
        </w:tc>
      </w:tr>
      <w:tr w:rsidR="00EE5287" w:rsidRPr="00D03658" w14:paraId="6CA78281" w14:textId="77777777" w:rsidTr="00EE5287">
        <w:tc>
          <w:tcPr>
            <w:tcW w:w="1211" w:type="pct"/>
          </w:tcPr>
          <w:p w14:paraId="1CE9DAA6" w14:textId="41A1C84B" w:rsidR="00EE5287" w:rsidRPr="000E0825" w:rsidRDefault="00EE5287" w:rsidP="00EE5287">
            <w:pPr>
              <w:pStyle w:val="StandardOCAshurst"/>
              <w:tabs>
                <w:tab w:val="left" w:leader="dot" w:pos="2041"/>
              </w:tabs>
              <w:rPr>
                <w:sz w:val="16"/>
                <w:szCs w:val="16"/>
              </w:rPr>
            </w:pPr>
            <w:r w:rsidRPr="000E0825">
              <w:rPr>
                <w:sz w:val="16"/>
                <w:szCs w:val="16"/>
              </w:rPr>
              <w:t>Borrowings</w:t>
            </w:r>
            <w:r w:rsidRPr="000E0825">
              <w:rPr>
                <w:sz w:val="16"/>
                <w:szCs w:val="16"/>
              </w:rPr>
              <w:tab/>
            </w:r>
          </w:p>
        </w:tc>
        <w:tc>
          <w:tcPr>
            <w:tcW w:w="595" w:type="pct"/>
            <w:vAlign w:val="bottom"/>
          </w:tcPr>
          <w:p w14:paraId="5275CBEC" w14:textId="331FE21A" w:rsidR="00EE5287" w:rsidRPr="000E0825" w:rsidRDefault="00EE5287" w:rsidP="00EE5287">
            <w:pPr>
              <w:pStyle w:val="StandardOCAshurst"/>
              <w:jc w:val="right"/>
              <w:rPr>
                <w:sz w:val="16"/>
                <w:szCs w:val="16"/>
              </w:rPr>
            </w:pPr>
            <w:r w:rsidRPr="000E0825">
              <w:rPr>
                <w:sz w:val="16"/>
                <w:szCs w:val="16"/>
              </w:rPr>
              <w:t>37,854</w:t>
            </w:r>
          </w:p>
        </w:tc>
        <w:tc>
          <w:tcPr>
            <w:tcW w:w="541" w:type="pct"/>
            <w:vAlign w:val="bottom"/>
          </w:tcPr>
          <w:p w14:paraId="0C1D10BA" w14:textId="77777777" w:rsidR="00EE5287" w:rsidRPr="000E0825" w:rsidRDefault="00EE5287" w:rsidP="00EE5287">
            <w:pPr>
              <w:pStyle w:val="StandardOCAshurst"/>
              <w:jc w:val="right"/>
              <w:rPr>
                <w:sz w:val="16"/>
                <w:szCs w:val="16"/>
              </w:rPr>
            </w:pPr>
          </w:p>
        </w:tc>
        <w:tc>
          <w:tcPr>
            <w:tcW w:w="541" w:type="pct"/>
            <w:vAlign w:val="bottom"/>
          </w:tcPr>
          <w:p w14:paraId="521769F0" w14:textId="77777777" w:rsidR="00EE5287" w:rsidRPr="000E0825" w:rsidRDefault="00EE5287" w:rsidP="00EE5287">
            <w:pPr>
              <w:pStyle w:val="StandardOCAshurst"/>
              <w:jc w:val="right"/>
              <w:rPr>
                <w:sz w:val="16"/>
                <w:szCs w:val="16"/>
              </w:rPr>
            </w:pPr>
          </w:p>
        </w:tc>
        <w:tc>
          <w:tcPr>
            <w:tcW w:w="542" w:type="pct"/>
            <w:vAlign w:val="bottom"/>
          </w:tcPr>
          <w:p w14:paraId="67480922" w14:textId="77777777" w:rsidR="00EE5287" w:rsidRPr="000E0825" w:rsidRDefault="00EE5287" w:rsidP="00EE5287">
            <w:pPr>
              <w:pStyle w:val="StandardOCAshurst"/>
              <w:jc w:val="right"/>
              <w:rPr>
                <w:sz w:val="16"/>
                <w:szCs w:val="16"/>
              </w:rPr>
            </w:pPr>
          </w:p>
        </w:tc>
        <w:tc>
          <w:tcPr>
            <w:tcW w:w="541" w:type="pct"/>
            <w:vAlign w:val="bottom"/>
          </w:tcPr>
          <w:p w14:paraId="51933B3C" w14:textId="6931E08D" w:rsidR="00EE5287" w:rsidRPr="000E0825" w:rsidRDefault="00EE5287" w:rsidP="00EE5287">
            <w:pPr>
              <w:pStyle w:val="StandardOCAshurst"/>
              <w:jc w:val="right"/>
              <w:rPr>
                <w:sz w:val="16"/>
                <w:szCs w:val="16"/>
              </w:rPr>
            </w:pPr>
            <w:r w:rsidRPr="000E0825">
              <w:rPr>
                <w:sz w:val="16"/>
                <w:szCs w:val="16"/>
              </w:rPr>
              <w:t>533,145</w:t>
            </w:r>
          </w:p>
        </w:tc>
        <w:tc>
          <w:tcPr>
            <w:tcW w:w="543" w:type="pct"/>
            <w:vAlign w:val="bottom"/>
          </w:tcPr>
          <w:p w14:paraId="18545D7E" w14:textId="77777777" w:rsidR="00EE5287" w:rsidRPr="000E0825" w:rsidRDefault="00EE5287" w:rsidP="00EE5287">
            <w:pPr>
              <w:pStyle w:val="StandardOCAshurst"/>
              <w:jc w:val="right"/>
              <w:rPr>
                <w:sz w:val="16"/>
                <w:szCs w:val="16"/>
              </w:rPr>
            </w:pPr>
          </w:p>
        </w:tc>
        <w:tc>
          <w:tcPr>
            <w:tcW w:w="486" w:type="pct"/>
            <w:vAlign w:val="bottom"/>
          </w:tcPr>
          <w:p w14:paraId="77936570" w14:textId="69F9788B" w:rsidR="00EE5287" w:rsidRPr="000E0825" w:rsidRDefault="00EE5287" w:rsidP="00EE5287">
            <w:pPr>
              <w:pStyle w:val="StandardOCAshurst"/>
              <w:jc w:val="right"/>
              <w:rPr>
                <w:sz w:val="16"/>
                <w:szCs w:val="16"/>
              </w:rPr>
            </w:pPr>
            <w:r w:rsidRPr="000E0825">
              <w:rPr>
                <w:sz w:val="16"/>
                <w:szCs w:val="16"/>
              </w:rPr>
              <w:t>570,999</w:t>
            </w:r>
          </w:p>
        </w:tc>
      </w:tr>
      <w:tr w:rsidR="00EE5287" w:rsidRPr="00D03658" w14:paraId="6056C92B" w14:textId="77777777" w:rsidTr="00EE5287">
        <w:tc>
          <w:tcPr>
            <w:tcW w:w="1211" w:type="pct"/>
          </w:tcPr>
          <w:p w14:paraId="2AAB4C5A" w14:textId="768DC7C6" w:rsidR="00EE5287" w:rsidRPr="000E0825" w:rsidRDefault="00EE5287" w:rsidP="00EE5287">
            <w:pPr>
              <w:pStyle w:val="StandardOCAshurst"/>
              <w:tabs>
                <w:tab w:val="left" w:leader="dot" w:pos="2041"/>
              </w:tabs>
              <w:rPr>
                <w:sz w:val="16"/>
                <w:szCs w:val="16"/>
              </w:rPr>
            </w:pPr>
            <w:r w:rsidRPr="000E0825">
              <w:rPr>
                <w:sz w:val="16"/>
                <w:szCs w:val="16"/>
              </w:rPr>
              <w:t>Bonds</w:t>
            </w:r>
            <w:r w:rsidRPr="000E0825">
              <w:rPr>
                <w:sz w:val="16"/>
                <w:szCs w:val="16"/>
              </w:rPr>
              <w:tab/>
            </w:r>
          </w:p>
        </w:tc>
        <w:tc>
          <w:tcPr>
            <w:tcW w:w="595" w:type="pct"/>
            <w:vAlign w:val="bottom"/>
          </w:tcPr>
          <w:p w14:paraId="089CDCBC" w14:textId="18FCE5B2" w:rsidR="00EE5287" w:rsidRPr="000E0825" w:rsidRDefault="00EE5287" w:rsidP="00EE5287">
            <w:pPr>
              <w:pStyle w:val="StandardOCAshurst"/>
              <w:jc w:val="right"/>
              <w:rPr>
                <w:sz w:val="16"/>
                <w:szCs w:val="16"/>
              </w:rPr>
            </w:pPr>
            <w:r w:rsidRPr="000E0825">
              <w:rPr>
                <w:sz w:val="16"/>
                <w:szCs w:val="16"/>
              </w:rPr>
              <w:t>1,045,041</w:t>
            </w:r>
          </w:p>
        </w:tc>
        <w:tc>
          <w:tcPr>
            <w:tcW w:w="541" w:type="pct"/>
            <w:vAlign w:val="bottom"/>
          </w:tcPr>
          <w:p w14:paraId="04CCC914" w14:textId="77777777" w:rsidR="00EE5287" w:rsidRPr="000E0825" w:rsidRDefault="00EE5287" w:rsidP="00EE5287">
            <w:pPr>
              <w:pStyle w:val="StandardOCAshurst"/>
              <w:jc w:val="right"/>
              <w:rPr>
                <w:sz w:val="16"/>
                <w:szCs w:val="16"/>
              </w:rPr>
            </w:pPr>
          </w:p>
        </w:tc>
        <w:tc>
          <w:tcPr>
            <w:tcW w:w="541" w:type="pct"/>
            <w:vAlign w:val="bottom"/>
          </w:tcPr>
          <w:p w14:paraId="3F4AC142" w14:textId="77777777" w:rsidR="00EE5287" w:rsidRPr="000E0825" w:rsidRDefault="00EE5287" w:rsidP="00EE5287">
            <w:pPr>
              <w:pStyle w:val="StandardOCAshurst"/>
              <w:jc w:val="right"/>
              <w:rPr>
                <w:sz w:val="16"/>
                <w:szCs w:val="16"/>
              </w:rPr>
            </w:pPr>
          </w:p>
        </w:tc>
        <w:tc>
          <w:tcPr>
            <w:tcW w:w="542" w:type="pct"/>
            <w:vAlign w:val="bottom"/>
          </w:tcPr>
          <w:p w14:paraId="31E4D546" w14:textId="77777777" w:rsidR="00EE5287" w:rsidRPr="000E0825" w:rsidRDefault="00EE5287" w:rsidP="00EE5287">
            <w:pPr>
              <w:pStyle w:val="StandardOCAshurst"/>
              <w:jc w:val="right"/>
              <w:rPr>
                <w:sz w:val="16"/>
                <w:szCs w:val="16"/>
              </w:rPr>
            </w:pPr>
          </w:p>
        </w:tc>
        <w:tc>
          <w:tcPr>
            <w:tcW w:w="541" w:type="pct"/>
            <w:vAlign w:val="bottom"/>
          </w:tcPr>
          <w:p w14:paraId="32D69F2B" w14:textId="77777777" w:rsidR="00EE5287" w:rsidRPr="000E0825" w:rsidRDefault="00EE5287" w:rsidP="00EE5287">
            <w:pPr>
              <w:pStyle w:val="StandardOCAshurst"/>
              <w:jc w:val="right"/>
              <w:rPr>
                <w:sz w:val="16"/>
                <w:szCs w:val="16"/>
              </w:rPr>
            </w:pPr>
          </w:p>
        </w:tc>
        <w:tc>
          <w:tcPr>
            <w:tcW w:w="543" w:type="pct"/>
            <w:vAlign w:val="bottom"/>
          </w:tcPr>
          <w:p w14:paraId="6EA50C0F" w14:textId="77777777" w:rsidR="00EE5287" w:rsidRPr="000E0825" w:rsidRDefault="00EE5287" w:rsidP="00EE5287">
            <w:pPr>
              <w:pStyle w:val="StandardOCAshurst"/>
              <w:jc w:val="right"/>
              <w:rPr>
                <w:sz w:val="16"/>
                <w:szCs w:val="16"/>
              </w:rPr>
            </w:pPr>
          </w:p>
        </w:tc>
        <w:tc>
          <w:tcPr>
            <w:tcW w:w="486" w:type="pct"/>
            <w:vAlign w:val="bottom"/>
          </w:tcPr>
          <w:p w14:paraId="4CCC9AAD" w14:textId="22924D01" w:rsidR="00EE5287" w:rsidRPr="000E0825" w:rsidRDefault="00EE5287" w:rsidP="00EE5287">
            <w:pPr>
              <w:pStyle w:val="StandardOCAshurst"/>
              <w:jc w:val="right"/>
              <w:rPr>
                <w:sz w:val="16"/>
                <w:szCs w:val="16"/>
              </w:rPr>
            </w:pPr>
            <w:r w:rsidRPr="000E0825">
              <w:rPr>
                <w:sz w:val="16"/>
                <w:szCs w:val="16"/>
              </w:rPr>
              <w:t>1,045,041</w:t>
            </w:r>
          </w:p>
        </w:tc>
      </w:tr>
      <w:tr w:rsidR="00EE5287" w:rsidRPr="00D03658" w14:paraId="2B83BC45" w14:textId="77777777" w:rsidTr="00EE5287">
        <w:tc>
          <w:tcPr>
            <w:tcW w:w="1211" w:type="pct"/>
          </w:tcPr>
          <w:p w14:paraId="5C0098AA" w14:textId="3835F1AA" w:rsidR="00EE5287" w:rsidRPr="000E0825" w:rsidRDefault="00EE5287" w:rsidP="00EE5287">
            <w:pPr>
              <w:pStyle w:val="StandardOCAshurst"/>
              <w:tabs>
                <w:tab w:val="left" w:leader="dot" w:pos="2041"/>
              </w:tabs>
              <w:rPr>
                <w:sz w:val="16"/>
                <w:szCs w:val="16"/>
              </w:rPr>
            </w:pPr>
            <w:r w:rsidRPr="000E0825">
              <w:rPr>
                <w:sz w:val="16"/>
                <w:szCs w:val="16"/>
              </w:rPr>
              <w:t>Leases liability</w:t>
            </w:r>
            <w:r w:rsidRPr="000E0825">
              <w:rPr>
                <w:sz w:val="16"/>
                <w:szCs w:val="16"/>
              </w:rPr>
              <w:tab/>
            </w:r>
          </w:p>
        </w:tc>
        <w:tc>
          <w:tcPr>
            <w:tcW w:w="595" w:type="pct"/>
            <w:vAlign w:val="bottom"/>
          </w:tcPr>
          <w:p w14:paraId="1DED9604" w14:textId="40C724EC" w:rsidR="00EE5287" w:rsidRPr="000E0825" w:rsidRDefault="00EE5287" w:rsidP="00EE5287">
            <w:pPr>
              <w:pStyle w:val="StandardOCAshurst"/>
              <w:jc w:val="right"/>
              <w:rPr>
                <w:sz w:val="16"/>
                <w:szCs w:val="16"/>
              </w:rPr>
            </w:pPr>
            <w:r w:rsidRPr="000E0825">
              <w:rPr>
                <w:sz w:val="16"/>
                <w:szCs w:val="16"/>
              </w:rPr>
              <w:t>548,407</w:t>
            </w:r>
          </w:p>
        </w:tc>
        <w:tc>
          <w:tcPr>
            <w:tcW w:w="541" w:type="pct"/>
            <w:vAlign w:val="bottom"/>
          </w:tcPr>
          <w:p w14:paraId="3EA0CC47" w14:textId="77777777" w:rsidR="00EE5287" w:rsidRPr="000E0825" w:rsidRDefault="00EE5287" w:rsidP="00EE5287">
            <w:pPr>
              <w:pStyle w:val="StandardOCAshurst"/>
              <w:jc w:val="right"/>
              <w:rPr>
                <w:sz w:val="16"/>
                <w:szCs w:val="16"/>
              </w:rPr>
            </w:pPr>
          </w:p>
        </w:tc>
        <w:tc>
          <w:tcPr>
            <w:tcW w:w="541" w:type="pct"/>
            <w:vAlign w:val="bottom"/>
          </w:tcPr>
          <w:p w14:paraId="39C99BCE" w14:textId="77777777" w:rsidR="00EE5287" w:rsidRPr="000E0825" w:rsidRDefault="00EE5287" w:rsidP="00EE5287">
            <w:pPr>
              <w:pStyle w:val="StandardOCAshurst"/>
              <w:jc w:val="right"/>
              <w:rPr>
                <w:sz w:val="16"/>
                <w:szCs w:val="16"/>
              </w:rPr>
            </w:pPr>
          </w:p>
        </w:tc>
        <w:tc>
          <w:tcPr>
            <w:tcW w:w="542" w:type="pct"/>
            <w:vAlign w:val="bottom"/>
          </w:tcPr>
          <w:p w14:paraId="066B09C7" w14:textId="77777777" w:rsidR="00EE5287" w:rsidRPr="000E0825" w:rsidRDefault="00EE5287" w:rsidP="00EE5287">
            <w:pPr>
              <w:pStyle w:val="StandardOCAshurst"/>
              <w:jc w:val="right"/>
              <w:rPr>
                <w:sz w:val="16"/>
                <w:szCs w:val="16"/>
              </w:rPr>
            </w:pPr>
          </w:p>
        </w:tc>
        <w:tc>
          <w:tcPr>
            <w:tcW w:w="541" w:type="pct"/>
            <w:vAlign w:val="bottom"/>
          </w:tcPr>
          <w:p w14:paraId="5362C5E6" w14:textId="77777777" w:rsidR="00EE5287" w:rsidRPr="000E0825" w:rsidRDefault="00EE5287" w:rsidP="00EE5287">
            <w:pPr>
              <w:pStyle w:val="StandardOCAshurst"/>
              <w:jc w:val="right"/>
              <w:rPr>
                <w:sz w:val="16"/>
                <w:szCs w:val="16"/>
              </w:rPr>
            </w:pPr>
          </w:p>
        </w:tc>
        <w:tc>
          <w:tcPr>
            <w:tcW w:w="543" w:type="pct"/>
            <w:vAlign w:val="bottom"/>
          </w:tcPr>
          <w:p w14:paraId="0F4EE1A6" w14:textId="77777777" w:rsidR="00EE5287" w:rsidRPr="000E0825" w:rsidRDefault="00EE5287" w:rsidP="00EE5287">
            <w:pPr>
              <w:pStyle w:val="StandardOCAshurst"/>
              <w:jc w:val="right"/>
              <w:rPr>
                <w:sz w:val="16"/>
                <w:szCs w:val="16"/>
              </w:rPr>
            </w:pPr>
          </w:p>
        </w:tc>
        <w:tc>
          <w:tcPr>
            <w:tcW w:w="486" w:type="pct"/>
            <w:vAlign w:val="bottom"/>
          </w:tcPr>
          <w:p w14:paraId="60334FA8" w14:textId="61A0F767" w:rsidR="00EE5287" w:rsidRPr="000E0825" w:rsidRDefault="00EE5287" w:rsidP="00EE5287">
            <w:pPr>
              <w:pStyle w:val="StandardOCAshurst"/>
              <w:jc w:val="right"/>
              <w:rPr>
                <w:sz w:val="16"/>
                <w:szCs w:val="16"/>
              </w:rPr>
            </w:pPr>
            <w:r w:rsidRPr="000E0825">
              <w:rPr>
                <w:sz w:val="16"/>
                <w:szCs w:val="16"/>
              </w:rPr>
              <w:t>548,407</w:t>
            </w:r>
          </w:p>
        </w:tc>
      </w:tr>
      <w:tr w:rsidR="00EE5287" w:rsidRPr="00D03658" w14:paraId="2185FAC0" w14:textId="77777777" w:rsidTr="00EE5287">
        <w:tc>
          <w:tcPr>
            <w:tcW w:w="1211" w:type="pct"/>
          </w:tcPr>
          <w:p w14:paraId="16538096" w14:textId="0884CE9E" w:rsidR="00EE5287" w:rsidRPr="000E0825" w:rsidRDefault="00EE5287" w:rsidP="00EE5287">
            <w:pPr>
              <w:pStyle w:val="StandardOCAshurst"/>
              <w:tabs>
                <w:tab w:val="left" w:leader="dot" w:pos="2041"/>
              </w:tabs>
              <w:rPr>
                <w:sz w:val="16"/>
                <w:szCs w:val="16"/>
              </w:rPr>
            </w:pPr>
            <w:r w:rsidRPr="000E0825">
              <w:rPr>
                <w:sz w:val="16"/>
                <w:szCs w:val="16"/>
              </w:rPr>
              <w:t>Contingent consideration</w:t>
            </w:r>
            <w:r w:rsidRPr="000E0825">
              <w:rPr>
                <w:sz w:val="16"/>
                <w:szCs w:val="16"/>
              </w:rPr>
              <w:tab/>
            </w:r>
          </w:p>
        </w:tc>
        <w:tc>
          <w:tcPr>
            <w:tcW w:w="595" w:type="pct"/>
            <w:vAlign w:val="bottom"/>
          </w:tcPr>
          <w:p w14:paraId="1C78ADF8" w14:textId="25746CA3" w:rsidR="00EE5287" w:rsidRPr="000E0825" w:rsidRDefault="00EE5287" w:rsidP="00EE5287">
            <w:pPr>
              <w:pStyle w:val="StandardOCAshurst"/>
              <w:jc w:val="right"/>
              <w:rPr>
                <w:sz w:val="16"/>
                <w:szCs w:val="16"/>
              </w:rPr>
            </w:pPr>
            <w:r w:rsidRPr="000E0825">
              <w:rPr>
                <w:sz w:val="16"/>
                <w:szCs w:val="16"/>
              </w:rPr>
              <w:t>448,384</w:t>
            </w:r>
          </w:p>
        </w:tc>
        <w:tc>
          <w:tcPr>
            <w:tcW w:w="541" w:type="pct"/>
            <w:vAlign w:val="bottom"/>
          </w:tcPr>
          <w:p w14:paraId="5CB6D4C4" w14:textId="77777777" w:rsidR="00EE5287" w:rsidRPr="000E0825" w:rsidRDefault="00EE5287" w:rsidP="00EE5287">
            <w:pPr>
              <w:pStyle w:val="StandardOCAshurst"/>
              <w:jc w:val="right"/>
              <w:rPr>
                <w:sz w:val="16"/>
                <w:szCs w:val="16"/>
              </w:rPr>
            </w:pPr>
          </w:p>
        </w:tc>
        <w:tc>
          <w:tcPr>
            <w:tcW w:w="541" w:type="pct"/>
            <w:vAlign w:val="bottom"/>
          </w:tcPr>
          <w:p w14:paraId="6D0D3C97" w14:textId="774014AA" w:rsidR="00EE5287" w:rsidRPr="000E0825" w:rsidRDefault="00EE5287" w:rsidP="00EE5287">
            <w:pPr>
              <w:pStyle w:val="StandardOCAshurst"/>
              <w:jc w:val="right"/>
              <w:rPr>
                <w:sz w:val="16"/>
                <w:szCs w:val="16"/>
              </w:rPr>
            </w:pPr>
            <w:r w:rsidRPr="000E0825">
              <w:rPr>
                <w:sz w:val="16"/>
                <w:szCs w:val="16"/>
              </w:rPr>
              <w:t>19,700</w:t>
            </w:r>
          </w:p>
        </w:tc>
        <w:tc>
          <w:tcPr>
            <w:tcW w:w="542" w:type="pct"/>
            <w:vAlign w:val="bottom"/>
          </w:tcPr>
          <w:p w14:paraId="2FDA6172" w14:textId="77777777" w:rsidR="00EE5287" w:rsidRPr="000E0825" w:rsidRDefault="00EE5287" w:rsidP="00EE5287">
            <w:pPr>
              <w:pStyle w:val="StandardOCAshurst"/>
              <w:jc w:val="right"/>
              <w:rPr>
                <w:sz w:val="16"/>
                <w:szCs w:val="16"/>
              </w:rPr>
            </w:pPr>
          </w:p>
        </w:tc>
        <w:tc>
          <w:tcPr>
            <w:tcW w:w="541" w:type="pct"/>
            <w:vAlign w:val="bottom"/>
          </w:tcPr>
          <w:p w14:paraId="67D91E2A" w14:textId="6B495B4E" w:rsidR="00EE5287" w:rsidRPr="000E0825" w:rsidRDefault="00EE5287" w:rsidP="00EE5287">
            <w:pPr>
              <w:pStyle w:val="StandardOCAshurst"/>
              <w:jc w:val="right"/>
              <w:rPr>
                <w:sz w:val="16"/>
                <w:szCs w:val="16"/>
              </w:rPr>
            </w:pPr>
            <w:r w:rsidRPr="000E0825">
              <w:rPr>
                <w:sz w:val="16"/>
                <w:szCs w:val="16"/>
              </w:rPr>
              <w:t>(44,589)</w:t>
            </w:r>
          </w:p>
        </w:tc>
        <w:tc>
          <w:tcPr>
            <w:tcW w:w="543" w:type="pct"/>
            <w:vAlign w:val="bottom"/>
          </w:tcPr>
          <w:p w14:paraId="0F67239A" w14:textId="77777777" w:rsidR="00EE5287" w:rsidRPr="000E0825" w:rsidRDefault="00EE5287" w:rsidP="00EE5287">
            <w:pPr>
              <w:pStyle w:val="StandardOCAshurst"/>
              <w:jc w:val="right"/>
              <w:rPr>
                <w:sz w:val="16"/>
                <w:szCs w:val="16"/>
              </w:rPr>
            </w:pPr>
          </w:p>
        </w:tc>
        <w:tc>
          <w:tcPr>
            <w:tcW w:w="486" w:type="pct"/>
            <w:vAlign w:val="bottom"/>
          </w:tcPr>
          <w:p w14:paraId="02CD8578" w14:textId="7065AD53" w:rsidR="00EE5287" w:rsidRPr="000E0825" w:rsidRDefault="00EE5287" w:rsidP="00EE5287">
            <w:pPr>
              <w:pStyle w:val="StandardOCAshurst"/>
              <w:jc w:val="right"/>
              <w:rPr>
                <w:sz w:val="16"/>
                <w:szCs w:val="16"/>
              </w:rPr>
            </w:pPr>
            <w:r w:rsidRPr="000E0825">
              <w:rPr>
                <w:sz w:val="16"/>
                <w:szCs w:val="16"/>
              </w:rPr>
              <w:t>423,495</w:t>
            </w:r>
          </w:p>
        </w:tc>
      </w:tr>
      <w:tr w:rsidR="00EE5287" w:rsidRPr="00D03658" w14:paraId="6455A77A" w14:textId="77777777" w:rsidTr="00EE5287">
        <w:tc>
          <w:tcPr>
            <w:tcW w:w="1211" w:type="pct"/>
          </w:tcPr>
          <w:p w14:paraId="3EB3B71B" w14:textId="69F73E4A" w:rsidR="00EE5287" w:rsidRPr="000E0825" w:rsidRDefault="00EE5287" w:rsidP="00EE5287">
            <w:pPr>
              <w:pStyle w:val="StandardOCAshurst"/>
              <w:tabs>
                <w:tab w:val="left" w:leader="dot" w:pos="2041"/>
              </w:tabs>
              <w:rPr>
                <w:sz w:val="16"/>
                <w:szCs w:val="16"/>
              </w:rPr>
            </w:pPr>
            <w:r w:rsidRPr="000E0825">
              <w:rPr>
                <w:sz w:val="16"/>
                <w:szCs w:val="16"/>
              </w:rPr>
              <w:t>Provisions</w:t>
            </w:r>
            <w:r w:rsidRPr="000E0825">
              <w:rPr>
                <w:sz w:val="16"/>
                <w:szCs w:val="16"/>
              </w:rPr>
              <w:tab/>
            </w:r>
          </w:p>
        </w:tc>
        <w:tc>
          <w:tcPr>
            <w:tcW w:w="595" w:type="pct"/>
            <w:vAlign w:val="bottom"/>
          </w:tcPr>
          <w:p w14:paraId="0F844CB8" w14:textId="7EE4D9C2" w:rsidR="00EE5287" w:rsidRPr="000E0825" w:rsidRDefault="00EE5287" w:rsidP="00EE5287">
            <w:pPr>
              <w:pStyle w:val="StandardOCAshurst"/>
              <w:jc w:val="right"/>
              <w:rPr>
                <w:sz w:val="16"/>
                <w:szCs w:val="16"/>
              </w:rPr>
            </w:pPr>
            <w:r w:rsidRPr="000E0825">
              <w:rPr>
                <w:sz w:val="16"/>
                <w:szCs w:val="16"/>
              </w:rPr>
              <w:t>741,453</w:t>
            </w:r>
          </w:p>
        </w:tc>
        <w:tc>
          <w:tcPr>
            <w:tcW w:w="541" w:type="pct"/>
            <w:vAlign w:val="bottom"/>
          </w:tcPr>
          <w:p w14:paraId="617FF460" w14:textId="07B734D4" w:rsidR="00EE5287" w:rsidRPr="000E0825" w:rsidRDefault="00EE5287" w:rsidP="00EE5287">
            <w:pPr>
              <w:pStyle w:val="StandardOCAshurst"/>
              <w:jc w:val="right"/>
              <w:rPr>
                <w:sz w:val="16"/>
                <w:szCs w:val="16"/>
              </w:rPr>
            </w:pPr>
            <w:r w:rsidRPr="000E0825">
              <w:rPr>
                <w:sz w:val="16"/>
                <w:szCs w:val="16"/>
              </w:rPr>
              <w:t>138,740</w:t>
            </w:r>
          </w:p>
        </w:tc>
        <w:tc>
          <w:tcPr>
            <w:tcW w:w="541" w:type="pct"/>
            <w:vAlign w:val="bottom"/>
          </w:tcPr>
          <w:p w14:paraId="04CEF64C" w14:textId="77777777" w:rsidR="00EE5287" w:rsidRPr="000E0825" w:rsidRDefault="00EE5287" w:rsidP="00EE5287">
            <w:pPr>
              <w:pStyle w:val="StandardOCAshurst"/>
              <w:jc w:val="right"/>
              <w:rPr>
                <w:sz w:val="16"/>
                <w:szCs w:val="16"/>
              </w:rPr>
            </w:pPr>
          </w:p>
        </w:tc>
        <w:tc>
          <w:tcPr>
            <w:tcW w:w="542" w:type="pct"/>
            <w:vAlign w:val="bottom"/>
          </w:tcPr>
          <w:p w14:paraId="12CB78E9" w14:textId="77777777" w:rsidR="00EE5287" w:rsidRPr="000E0825" w:rsidRDefault="00EE5287" w:rsidP="00EE5287">
            <w:pPr>
              <w:pStyle w:val="StandardOCAshurst"/>
              <w:jc w:val="right"/>
              <w:rPr>
                <w:sz w:val="16"/>
                <w:szCs w:val="16"/>
              </w:rPr>
            </w:pPr>
          </w:p>
        </w:tc>
        <w:tc>
          <w:tcPr>
            <w:tcW w:w="541" w:type="pct"/>
            <w:vAlign w:val="bottom"/>
          </w:tcPr>
          <w:p w14:paraId="22EA3812" w14:textId="77777777" w:rsidR="00EE5287" w:rsidRPr="000E0825" w:rsidRDefault="00EE5287" w:rsidP="00EE5287">
            <w:pPr>
              <w:pStyle w:val="StandardOCAshurst"/>
              <w:jc w:val="right"/>
              <w:rPr>
                <w:sz w:val="16"/>
                <w:szCs w:val="16"/>
              </w:rPr>
            </w:pPr>
          </w:p>
        </w:tc>
        <w:tc>
          <w:tcPr>
            <w:tcW w:w="543" w:type="pct"/>
            <w:vAlign w:val="bottom"/>
          </w:tcPr>
          <w:p w14:paraId="0E75D193" w14:textId="77777777" w:rsidR="00EE5287" w:rsidRPr="000E0825" w:rsidRDefault="00EE5287" w:rsidP="00EE5287">
            <w:pPr>
              <w:pStyle w:val="StandardOCAshurst"/>
              <w:jc w:val="right"/>
              <w:rPr>
                <w:sz w:val="16"/>
                <w:szCs w:val="16"/>
              </w:rPr>
            </w:pPr>
          </w:p>
        </w:tc>
        <w:tc>
          <w:tcPr>
            <w:tcW w:w="486" w:type="pct"/>
            <w:vAlign w:val="bottom"/>
          </w:tcPr>
          <w:p w14:paraId="58F5AF5F" w14:textId="1A725D3E" w:rsidR="00EE5287" w:rsidRPr="000E0825" w:rsidRDefault="00EE5287" w:rsidP="00EE5287">
            <w:pPr>
              <w:pStyle w:val="StandardOCAshurst"/>
              <w:jc w:val="right"/>
              <w:rPr>
                <w:sz w:val="16"/>
                <w:szCs w:val="16"/>
              </w:rPr>
            </w:pPr>
            <w:r w:rsidRPr="000E0825">
              <w:rPr>
                <w:sz w:val="16"/>
                <w:szCs w:val="16"/>
              </w:rPr>
              <w:t>880,193</w:t>
            </w:r>
          </w:p>
        </w:tc>
      </w:tr>
      <w:tr w:rsidR="00EE5287" w:rsidRPr="00D03658" w14:paraId="0B707671" w14:textId="77777777" w:rsidTr="00EE5287">
        <w:tc>
          <w:tcPr>
            <w:tcW w:w="1211" w:type="pct"/>
          </w:tcPr>
          <w:p w14:paraId="5C667DBC" w14:textId="4D1D943E" w:rsidR="00EE5287" w:rsidRPr="000E0825" w:rsidRDefault="00EE5287" w:rsidP="00EE5287">
            <w:pPr>
              <w:pStyle w:val="StandardOCAshurst"/>
              <w:tabs>
                <w:tab w:val="left" w:leader="dot" w:pos="2041"/>
              </w:tabs>
              <w:rPr>
                <w:sz w:val="16"/>
                <w:szCs w:val="16"/>
              </w:rPr>
            </w:pPr>
            <w:r w:rsidRPr="000E0825">
              <w:rPr>
                <w:sz w:val="16"/>
                <w:szCs w:val="16"/>
              </w:rPr>
              <w:t>Deferred tax liabilities</w:t>
            </w:r>
            <w:r w:rsidRPr="000E0825">
              <w:rPr>
                <w:sz w:val="16"/>
                <w:szCs w:val="16"/>
              </w:rPr>
              <w:tab/>
            </w:r>
          </w:p>
        </w:tc>
        <w:tc>
          <w:tcPr>
            <w:tcW w:w="595" w:type="pct"/>
            <w:vAlign w:val="bottom"/>
          </w:tcPr>
          <w:p w14:paraId="62F27D98" w14:textId="58E766A0" w:rsidR="00EE5287" w:rsidRPr="000E0825" w:rsidRDefault="00EE5287" w:rsidP="00EE5287">
            <w:pPr>
              <w:pStyle w:val="StandardOCAshurst"/>
              <w:pBdr>
                <w:bottom w:val="single" w:sz="4" w:space="1" w:color="auto"/>
              </w:pBdr>
              <w:jc w:val="right"/>
              <w:rPr>
                <w:sz w:val="16"/>
                <w:szCs w:val="16"/>
              </w:rPr>
            </w:pPr>
            <w:r w:rsidRPr="000E0825">
              <w:rPr>
                <w:sz w:val="16"/>
                <w:szCs w:val="16"/>
              </w:rPr>
              <w:t>6,385</w:t>
            </w:r>
          </w:p>
        </w:tc>
        <w:tc>
          <w:tcPr>
            <w:tcW w:w="541" w:type="pct"/>
            <w:vAlign w:val="bottom"/>
          </w:tcPr>
          <w:p w14:paraId="0BC92A6E"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3F6D7B41" w14:textId="77777777" w:rsidR="00EE5287" w:rsidRPr="000E0825" w:rsidRDefault="00EE5287" w:rsidP="00EE5287">
            <w:pPr>
              <w:pStyle w:val="StandardOCAshurst"/>
              <w:pBdr>
                <w:bottom w:val="single" w:sz="4" w:space="1" w:color="auto"/>
              </w:pBdr>
              <w:jc w:val="right"/>
              <w:rPr>
                <w:sz w:val="16"/>
                <w:szCs w:val="16"/>
              </w:rPr>
            </w:pPr>
          </w:p>
        </w:tc>
        <w:tc>
          <w:tcPr>
            <w:tcW w:w="542" w:type="pct"/>
            <w:vAlign w:val="bottom"/>
          </w:tcPr>
          <w:p w14:paraId="661E366A"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301A7D7D" w14:textId="77777777" w:rsidR="00EE5287" w:rsidRPr="000E0825" w:rsidRDefault="00EE5287" w:rsidP="00EE5287">
            <w:pPr>
              <w:pStyle w:val="StandardOCAshurst"/>
              <w:pBdr>
                <w:bottom w:val="single" w:sz="4" w:space="1" w:color="auto"/>
              </w:pBdr>
              <w:jc w:val="right"/>
              <w:rPr>
                <w:sz w:val="16"/>
                <w:szCs w:val="16"/>
              </w:rPr>
            </w:pPr>
          </w:p>
        </w:tc>
        <w:tc>
          <w:tcPr>
            <w:tcW w:w="543" w:type="pct"/>
            <w:vAlign w:val="bottom"/>
          </w:tcPr>
          <w:p w14:paraId="034CFD5B" w14:textId="77777777" w:rsidR="00EE5287" w:rsidRPr="000E0825" w:rsidRDefault="00EE5287" w:rsidP="00EE5287">
            <w:pPr>
              <w:pStyle w:val="StandardOCAshurst"/>
              <w:pBdr>
                <w:bottom w:val="single" w:sz="4" w:space="1" w:color="auto"/>
              </w:pBdr>
              <w:jc w:val="right"/>
              <w:rPr>
                <w:sz w:val="16"/>
                <w:szCs w:val="16"/>
              </w:rPr>
            </w:pPr>
          </w:p>
        </w:tc>
        <w:tc>
          <w:tcPr>
            <w:tcW w:w="486" w:type="pct"/>
            <w:vAlign w:val="bottom"/>
          </w:tcPr>
          <w:p w14:paraId="3BA03079" w14:textId="306FDE27" w:rsidR="00EE5287" w:rsidRPr="000E0825" w:rsidRDefault="00EE5287" w:rsidP="00EE5287">
            <w:pPr>
              <w:pStyle w:val="StandardOCAshurst"/>
              <w:pBdr>
                <w:bottom w:val="single" w:sz="4" w:space="1" w:color="auto"/>
              </w:pBdr>
              <w:jc w:val="right"/>
              <w:rPr>
                <w:sz w:val="16"/>
                <w:szCs w:val="16"/>
              </w:rPr>
            </w:pPr>
            <w:r w:rsidRPr="000E0825">
              <w:rPr>
                <w:sz w:val="16"/>
                <w:szCs w:val="16"/>
              </w:rPr>
              <w:t>6,385</w:t>
            </w:r>
          </w:p>
        </w:tc>
      </w:tr>
      <w:tr w:rsidR="00EE5287" w:rsidRPr="00D03658" w14:paraId="0BC6F375" w14:textId="77777777" w:rsidTr="00EE5287">
        <w:tc>
          <w:tcPr>
            <w:tcW w:w="1211" w:type="pct"/>
          </w:tcPr>
          <w:p w14:paraId="7C449708" w14:textId="02CCF5EE" w:rsidR="00EE5287" w:rsidRPr="000E0825" w:rsidRDefault="00EE5287" w:rsidP="00EE5287">
            <w:pPr>
              <w:pStyle w:val="StandardOCAshurst"/>
              <w:tabs>
                <w:tab w:val="left" w:leader="dot" w:pos="2041"/>
              </w:tabs>
              <w:rPr>
                <w:b/>
                <w:bCs/>
                <w:sz w:val="16"/>
                <w:szCs w:val="16"/>
              </w:rPr>
            </w:pPr>
            <w:r w:rsidRPr="000E0825">
              <w:rPr>
                <w:b/>
                <w:bCs/>
                <w:sz w:val="16"/>
                <w:szCs w:val="16"/>
              </w:rPr>
              <w:t xml:space="preserve">Total non-current </w:t>
            </w:r>
            <w:r w:rsidRPr="000E0825">
              <w:rPr>
                <w:sz w:val="16"/>
                <w:szCs w:val="16"/>
              </w:rPr>
              <w:t>liabilities</w:t>
            </w:r>
            <w:r w:rsidRPr="000E0825">
              <w:rPr>
                <w:b/>
                <w:bCs/>
                <w:sz w:val="16"/>
                <w:szCs w:val="16"/>
              </w:rPr>
              <w:tab/>
            </w:r>
          </w:p>
        </w:tc>
        <w:tc>
          <w:tcPr>
            <w:tcW w:w="595" w:type="pct"/>
            <w:vAlign w:val="bottom"/>
          </w:tcPr>
          <w:p w14:paraId="6E63142D" w14:textId="7E4DB362" w:rsidR="00EE5287" w:rsidRPr="000E0825" w:rsidRDefault="00EE5287" w:rsidP="00EE5287">
            <w:pPr>
              <w:pStyle w:val="StandardOCAshurst"/>
              <w:pBdr>
                <w:bottom w:val="double" w:sz="4" w:space="1" w:color="auto"/>
              </w:pBdr>
              <w:jc w:val="right"/>
              <w:rPr>
                <w:sz w:val="16"/>
                <w:szCs w:val="16"/>
              </w:rPr>
            </w:pPr>
            <w:r w:rsidRPr="000E0825">
              <w:rPr>
                <w:sz w:val="16"/>
                <w:szCs w:val="16"/>
              </w:rPr>
              <w:t>2,827,524</w:t>
            </w:r>
          </w:p>
        </w:tc>
        <w:tc>
          <w:tcPr>
            <w:tcW w:w="541" w:type="pct"/>
            <w:vAlign w:val="bottom"/>
          </w:tcPr>
          <w:p w14:paraId="6A09EF5E" w14:textId="4EAA54B6" w:rsidR="00EE5287" w:rsidRPr="000E0825" w:rsidRDefault="00EE5287" w:rsidP="00EE5287">
            <w:pPr>
              <w:pStyle w:val="StandardOCAshurst"/>
              <w:pBdr>
                <w:bottom w:val="double" w:sz="4" w:space="1" w:color="auto"/>
              </w:pBdr>
              <w:jc w:val="right"/>
              <w:rPr>
                <w:sz w:val="16"/>
                <w:szCs w:val="16"/>
              </w:rPr>
            </w:pPr>
            <w:r w:rsidRPr="000E0825">
              <w:rPr>
                <w:sz w:val="16"/>
                <w:szCs w:val="16"/>
              </w:rPr>
              <w:t>138,740</w:t>
            </w:r>
          </w:p>
        </w:tc>
        <w:tc>
          <w:tcPr>
            <w:tcW w:w="541" w:type="pct"/>
            <w:vAlign w:val="bottom"/>
          </w:tcPr>
          <w:p w14:paraId="1A30CE14" w14:textId="77809C16" w:rsidR="00EE5287" w:rsidRPr="000E0825" w:rsidRDefault="00EE5287" w:rsidP="00EE5287">
            <w:pPr>
              <w:pStyle w:val="StandardOCAshurst"/>
              <w:pBdr>
                <w:bottom w:val="double" w:sz="4" w:space="1" w:color="auto"/>
              </w:pBdr>
              <w:jc w:val="right"/>
              <w:rPr>
                <w:sz w:val="16"/>
                <w:szCs w:val="16"/>
              </w:rPr>
            </w:pPr>
            <w:r w:rsidRPr="000E0825">
              <w:rPr>
                <w:sz w:val="16"/>
                <w:szCs w:val="16"/>
              </w:rPr>
              <w:t>19,700</w:t>
            </w:r>
          </w:p>
        </w:tc>
        <w:tc>
          <w:tcPr>
            <w:tcW w:w="542" w:type="pct"/>
            <w:vAlign w:val="bottom"/>
          </w:tcPr>
          <w:p w14:paraId="5D5EA271" w14:textId="2FACD054" w:rsidR="00EE5287" w:rsidRPr="000E0825" w:rsidRDefault="00EE5287" w:rsidP="00EE5287">
            <w:pPr>
              <w:pStyle w:val="StandardOCAshurst"/>
              <w:pBdr>
                <w:bottom w:val="double" w:sz="4" w:space="1" w:color="auto"/>
              </w:pBdr>
              <w:jc w:val="right"/>
              <w:rPr>
                <w:sz w:val="16"/>
                <w:szCs w:val="16"/>
              </w:rPr>
            </w:pPr>
            <w:r w:rsidRPr="000E0825">
              <w:rPr>
                <w:sz w:val="16"/>
                <w:szCs w:val="16"/>
              </w:rPr>
              <w:t>0</w:t>
            </w:r>
          </w:p>
        </w:tc>
        <w:tc>
          <w:tcPr>
            <w:tcW w:w="541" w:type="pct"/>
            <w:vAlign w:val="bottom"/>
          </w:tcPr>
          <w:p w14:paraId="128AA657" w14:textId="13C0F545" w:rsidR="00EE5287" w:rsidRPr="000E0825" w:rsidRDefault="00EE5287" w:rsidP="00EE5287">
            <w:pPr>
              <w:pStyle w:val="StandardOCAshurst"/>
              <w:pBdr>
                <w:bottom w:val="double" w:sz="4" w:space="1" w:color="auto"/>
              </w:pBdr>
              <w:jc w:val="right"/>
              <w:rPr>
                <w:sz w:val="16"/>
                <w:szCs w:val="16"/>
              </w:rPr>
            </w:pPr>
            <w:r w:rsidRPr="000E0825">
              <w:rPr>
                <w:sz w:val="16"/>
                <w:szCs w:val="16"/>
              </w:rPr>
              <w:t>488,556</w:t>
            </w:r>
          </w:p>
        </w:tc>
        <w:tc>
          <w:tcPr>
            <w:tcW w:w="543" w:type="pct"/>
            <w:vAlign w:val="bottom"/>
          </w:tcPr>
          <w:p w14:paraId="6C1C108C" w14:textId="6C8E07DE" w:rsidR="00EE5287" w:rsidRPr="000E0825" w:rsidRDefault="00EE5287" w:rsidP="00EE5287">
            <w:pPr>
              <w:pStyle w:val="StandardOCAshurst"/>
              <w:pBdr>
                <w:bottom w:val="double" w:sz="4" w:space="1" w:color="auto"/>
              </w:pBdr>
              <w:jc w:val="right"/>
              <w:rPr>
                <w:sz w:val="16"/>
                <w:szCs w:val="16"/>
              </w:rPr>
            </w:pPr>
            <w:r w:rsidRPr="000E0825">
              <w:rPr>
                <w:sz w:val="16"/>
                <w:szCs w:val="16"/>
              </w:rPr>
              <w:t>0</w:t>
            </w:r>
          </w:p>
        </w:tc>
        <w:tc>
          <w:tcPr>
            <w:tcW w:w="486" w:type="pct"/>
            <w:vAlign w:val="bottom"/>
          </w:tcPr>
          <w:p w14:paraId="0BB3CCDD" w14:textId="1BF0ED42" w:rsidR="00EE5287" w:rsidRPr="000E0825" w:rsidRDefault="00EE5287" w:rsidP="00EE5287">
            <w:pPr>
              <w:pStyle w:val="StandardOCAshurst"/>
              <w:pBdr>
                <w:bottom w:val="double" w:sz="4" w:space="1" w:color="auto"/>
              </w:pBdr>
              <w:jc w:val="right"/>
              <w:rPr>
                <w:sz w:val="16"/>
                <w:szCs w:val="16"/>
              </w:rPr>
            </w:pPr>
            <w:r w:rsidRPr="000E0825">
              <w:rPr>
                <w:sz w:val="16"/>
                <w:szCs w:val="16"/>
              </w:rPr>
              <w:t>3,474,520</w:t>
            </w:r>
          </w:p>
        </w:tc>
      </w:tr>
      <w:tr w:rsidR="00EE5287" w:rsidRPr="00D03658" w14:paraId="67C180F8" w14:textId="77777777" w:rsidTr="00EE5287">
        <w:tc>
          <w:tcPr>
            <w:tcW w:w="1211" w:type="pct"/>
          </w:tcPr>
          <w:p w14:paraId="139452EA" w14:textId="281BF772" w:rsidR="00EE5287" w:rsidRPr="000E0825" w:rsidRDefault="00EE5287" w:rsidP="00EE5287">
            <w:pPr>
              <w:pStyle w:val="StandardOCAshurst"/>
              <w:rPr>
                <w:sz w:val="16"/>
                <w:szCs w:val="16"/>
              </w:rPr>
            </w:pPr>
            <w:r w:rsidRPr="000E0825">
              <w:rPr>
                <w:sz w:val="16"/>
                <w:szCs w:val="16"/>
              </w:rPr>
              <w:t xml:space="preserve"> </w:t>
            </w:r>
          </w:p>
        </w:tc>
        <w:tc>
          <w:tcPr>
            <w:tcW w:w="595" w:type="pct"/>
            <w:vAlign w:val="bottom"/>
          </w:tcPr>
          <w:p w14:paraId="3C3DA57D"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24027505"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0D4FF4AC" w14:textId="77777777" w:rsidR="00EE5287" w:rsidRPr="000E0825" w:rsidRDefault="00EE5287" w:rsidP="00EE5287">
            <w:pPr>
              <w:pStyle w:val="StandardOCAshurst"/>
              <w:pBdr>
                <w:bottom w:val="single" w:sz="4" w:space="1" w:color="auto"/>
              </w:pBdr>
              <w:jc w:val="right"/>
              <w:rPr>
                <w:sz w:val="16"/>
                <w:szCs w:val="16"/>
              </w:rPr>
            </w:pPr>
          </w:p>
        </w:tc>
        <w:tc>
          <w:tcPr>
            <w:tcW w:w="542" w:type="pct"/>
            <w:vAlign w:val="bottom"/>
          </w:tcPr>
          <w:p w14:paraId="4F6A1245"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334BCC37" w14:textId="77777777" w:rsidR="00EE5287" w:rsidRPr="000E0825" w:rsidRDefault="00EE5287" w:rsidP="00EE5287">
            <w:pPr>
              <w:pStyle w:val="StandardOCAshurst"/>
              <w:pBdr>
                <w:bottom w:val="single" w:sz="4" w:space="1" w:color="auto"/>
              </w:pBdr>
              <w:jc w:val="right"/>
              <w:rPr>
                <w:sz w:val="16"/>
                <w:szCs w:val="16"/>
              </w:rPr>
            </w:pPr>
          </w:p>
        </w:tc>
        <w:tc>
          <w:tcPr>
            <w:tcW w:w="543" w:type="pct"/>
            <w:vAlign w:val="bottom"/>
          </w:tcPr>
          <w:p w14:paraId="7DE62A13" w14:textId="77777777" w:rsidR="00EE5287" w:rsidRPr="000E0825" w:rsidRDefault="00EE5287" w:rsidP="00EE5287">
            <w:pPr>
              <w:pStyle w:val="StandardOCAshurst"/>
              <w:pBdr>
                <w:bottom w:val="single" w:sz="4" w:space="1" w:color="auto"/>
              </w:pBdr>
              <w:jc w:val="right"/>
              <w:rPr>
                <w:sz w:val="16"/>
                <w:szCs w:val="16"/>
              </w:rPr>
            </w:pPr>
          </w:p>
        </w:tc>
        <w:tc>
          <w:tcPr>
            <w:tcW w:w="486" w:type="pct"/>
            <w:vAlign w:val="bottom"/>
          </w:tcPr>
          <w:p w14:paraId="01E921C7" w14:textId="77777777" w:rsidR="00EE5287" w:rsidRPr="000E0825" w:rsidRDefault="00EE5287" w:rsidP="00EE5287">
            <w:pPr>
              <w:pStyle w:val="StandardOCAshurst"/>
              <w:pBdr>
                <w:bottom w:val="single" w:sz="4" w:space="1" w:color="auto"/>
              </w:pBdr>
              <w:jc w:val="right"/>
              <w:rPr>
                <w:sz w:val="16"/>
                <w:szCs w:val="16"/>
              </w:rPr>
            </w:pPr>
          </w:p>
        </w:tc>
      </w:tr>
      <w:tr w:rsidR="00EE5287" w:rsidRPr="00D03658" w14:paraId="095E4EC0" w14:textId="77777777" w:rsidTr="00EE5287">
        <w:tc>
          <w:tcPr>
            <w:tcW w:w="1211" w:type="pct"/>
          </w:tcPr>
          <w:p w14:paraId="73A85AD9" w14:textId="0C03520D" w:rsidR="00EE5287" w:rsidRPr="000E0825" w:rsidRDefault="00EE5287" w:rsidP="00EE5287">
            <w:pPr>
              <w:pStyle w:val="StandardOCAshurst"/>
              <w:tabs>
                <w:tab w:val="left" w:leader="dot" w:pos="2041"/>
              </w:tabs>
              <w:rPr>
                <w:b/>
                <w:bCs/>
                <w:sz w:val="16"/>
                <w:szCs w:val="16"/>
              </w:rPr>
            </w:pPr>
            <w:r w:rsidRPr="000E0825">
              <w:rPr>
                <w:b/>
                <w:bCs/>
                <w:sz w:val="16"/>
                <w:szCs w:val="16"/>
              </w:rPr>
              <w:t>Total liabilities</w:t>
            </w:r>
            <w:r w:rsidRPr="000E0825">
              <w:rPr>
                <w:sz w:val="16"/>
                <w:szCs w:val="16"/>
              </w:rPr>
              <w:tab/>
            </w:r>
          </w:p>
        </w:tc>
        <w:tc>
          <w:tcPr>
            <w:tcW w:w="595" w:type="pct"/>
            <w:vAlign w:val="bottom"/>
          </w:tcPr>
          <w:p w14:paraId="1CB2286D" w14:textId="4F4DD8FD" w:rsidR="00EE5287" w:rsidRPr="000E0825" w:rsidRDefault="00EE5287" w:rsidP="00EE5287">
            <w:pPr>
              <w:pStyle w:val="StandardOCAshurst"/>
              <w:pBdr>
                <w:bottom w:val="double" w:sz="4" w:space="1" w:color="auto"/>
              </w:pBdr>
              <w:jc w:val="right"/>
              <w:rPr>
                <w:sz w:val="16"/>
                <w:szCs w:val="16"/>
              </w:rPr>
            </w:pPr>
            <w:r w:rsidRPr="000E0825">
              <w:rPr>
                <w:sz w:val="16"/>
                <w:szCs w:val="16"/>
              </w:rPr>
              <w:t>3,771,386</w:t>
            </w:r>
          </w:p>
        </w:tc>
        <w:tc>
          <w:tcPr>
            <w:tcW w:w="541" w:type="pct"/>
            <w:vAlign w:val="bottom"/>
          </w:tcPr>
          <w:p w14:paraId="79C59F28" w14:textId="04CABACC" w:rsidR="00EE5287" w:rsidRPr="000E0825" w:rsidRDefault="00EE5287" w:rsidP="00EE5287">
            <w:pPr>
              <w:pStyle w:val="StandardOCAshurst"/>
              <w:pBdr>
                <w:bottom w:val="double" w:sz="4" w:space="1" w:color="auto"/>
              </w:pBdr>
              <w:jc w:val="right"/>
              <w:rPr>
                <w:sz w:val="16"/>
                <w:szCs w:val="16"/>
              </w:rPr>
            </w:pPr>
            <w:r w:rsidRPr="000E0825">
              <w:rPr>
                <w:sz w:val="16"/>
                <w:szCs w:val="16"/>
              </w:rPr>
              <w:t>152,780</w:t>
            </w:r>
          </w:p>
        </w:tc>
        <w:tc>
          <w:tcPr>
            <w:tcW w:w="541" w:type="pct"/>
            <w:vAlign w:val="bottom"/>
          </w:tcPr>
          <w:p w14:paraId="2D77BF43" w14:textId="706CD1F6" w:rsidR="00EE5287" w:rsidRPr="000E0825" w:rsidRDefault="00EE5287" w:rsidP="00EE5287">
            <w:pPr>
              <w:pStyle w:val="StandardOCAshurst"/>
              <w:pBdr>
                <w:bottom w:val="double" w:sz="4" w:space="1" w:color="auto"/>
              </w:pBdr>
              <w:jc w:val="right"/>
              <w:rPr>
                <w:sz w:val="16"/>
                <w:szCs w:val="16"/>
              </w:rPr>
            </w:pPr>
            <w:r w:rsidRPr="000E0825">
              <w:rPr>
                <w:sz w:val="16"/>
                <w:szCs w:val="16"/>
              </w:rPr>
              <w:t>19,700</w:t>
            </w:r>
          </w:p>
        </w:tc>
        <w:tc>
          <w:tcPr>
            <w:tcW w:w="542" w:type="pct"/>
            <w:vAlign w:val="bottom"/>
          </w:tcPr>
          <w:p w14:paraId="65F13F62" w14:textId="0A0D2E90" w:rsidR="00EE5287" w:rsidRPr="000E0825" w:rsidRDefault="00EE5287" w:rsidP="00EE5287">
            <w:pPr>
              <w:pStyle w:val="StandardOCAshurst"/>
              <w:pBdr>
                <w:bottom w:val="double" w:sz="4" w:space="1" w:color="auto"/>
              </w:pBdr>
              <w:jc w:val="right"/>
              <w:rPr>
                <w:sz w:val="16"/>
                <w:szCs w:val="16"/>
              </w:rPr>
            </w:pPr>
            <w:r w:rsidRPr="000E0825">
              <w:rPr>
                <w:sz w:val="16"/>
                <w:szCs w:val="16"/>
              </w:rPr>
              <w:t>0</w:t>
            </w:r>
          </w:p>
        </w:tc>
        <w:tc>
          <w:tcPr>
            <w:tcW w:w="541" w:type="pct"/>
            <w:vAlign w:val="bottom"/>
          </w:tcPr>
          <w:p w14:paraId="73198ED4" w14:textId="36BFF2C6" w:rsidR="00EE5287" w:rsidRPr="000E0825" w:rsidRDefault="00EE5287" w:rsidP="00EE5287">
            <w:pPr>
              <w:pStyle w:val="StandardOCAshurst"/>
              <w:pBdr>
                <w:bottom w:val="double" w:sz="4" w:space="1" w:color="auto"/>
              </w:pBdr>
              <w:jc w:val="right"/>
              <w:rPr>
                <w:sz w:val="16"/>
                <w:szCs w:val="16"/>
              </w:rPr>
            </w:pPr>
            <w:r w:rsidRPr="000E0825">
              <w:rPr>
                <w:sz w:val="16"/>
                <w:szCs w:val="16"/>
              </w:rPr>
              <w:t>55,737</w:t>
            </w:r>
          </w:p>
        </w:tc>
        <w:tc>
          <w:tcPr>
            <w:tcW w:w="543" w:type="pct"/>
            <w:vAlign w:val="bottom"/>
          </w:tcPr>
          <w:p w14:paraId="3689615D" w14:textId="7CD17310" w:rsidR="00EE5287" w:rsidRPr="000E0825" w:rsidRDefault="00EE5287" w:rsidP="00EE5287">
            <w:pPr>
              <w:pStyle w:val="StandardOCAshurst"/>
              <w:pBdr>
                <w:bottom w:val="double" w:sz="4" w:space="1" w:color="auto"/>
              </w:pBdr>
              <w:jc w:val="right"/>
              <w:rPr>
                <w:sz w:val="16"/>
                <w:szCs w:val="16"/>
              </w:rPr>
            </w:pPr>
            <w:r w:rsidRPr="000E0825">
              <w:rPr>
                <w:sz w:val="16"/>
                <w:szCs w:val="16"/>
              </w:rPr>
              <w:t>0</w:t>
            </w:r>
          </w:p>
        </w:tc>
        <w:tc>
          <w:tcPr>
            <w:tcW w:w="486" w:type="pct"/>
            <w:vAlign w:val="bottom"/>
          </w:tcPr>
          <w:p w14:paraId="4F68FA7C" w14:textId="19BFD0DE" w:rsidR="00EE5287" w:rsidRPr="000E0825" w:rsidRDefault="00EE5287" w:rsidP="00EE5287">
            <w:pPr>
              <w:pStyle w:val="StandardOCAshurst"/>
              <w:pBdr>
                <w:bottom w:val="double" w:sz="4" w:space="1" w:color="auto"/>
              </w:pBdr>
              <w:jc w:val="right"/>
              <w:rPr>
                <w:sz w:val="16"/>
                <w:szCs w:val="16"/>
              </w:rPr>
            </w:pPr>
            <w:r w:rsidRPr="000E0825">
              <w:rPr>
                <w:sz w:val="16"/>
                <w:szCs w:val="16"/>
              </w:rPr>
              <w:t>3,999,603</w:t>
            </w:r>
          </w:p>
        </w:tc>
      </w:tr>
      <w:tr w:rsidR="00EE5287" w:rsidRPr="00D03658" w14:paraId="599DE677" w14:textId="77777777" w:rsidTr="00EE5287">
        <w:tc>
          <w:tcPr>
            <w:tcW w:w="1211" w:type="pct"/>
          </w:tcPr>
          <w:p w14:paraId="7324CBBE" w14:textId="77777777" w:rsidR="00EE5287" w:rsidRPr="000E0825" w:rsidRDefault="00EE5287" w:rsidP="00EE5287">
            <w:pPr>
              <w:pStyle w:val="StandardOCAshurst"/>
              <w:tabs>
                <w:tab w:val="left" w:leader="dot" w:pos="2041"/>
              </w:tabs>
              <w:rPr>
                <w:sz w:val="16"/>
                <w:szCs w:val="16"/>
              </w:rPr>
            </w:pPr>
          </w:p>
        </w:tc>
        <w:tc>
          <w:tcPr>
            <w:tcW w:w="595" w:type="pct"/>
            <w:vAlign w:val="bottom"/>
          </w:tcPr>
          <w:p w14:paraId="65A922A5"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24A30011"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1C4643C6" w14:textId="77777777" w:rsidR="00EE5287" w:rsidRPr="000E0825" w:rsidRDefault="00EE5287" w:rsidP="00EE5287">
            <w:pPr>
              <w:pStyle w:val="StandardOCAshurst"/>
              <w:pBdr>
                <w:bottom w:val="single" w:sz="4" w:space="1" w:color="auto"/>
              </w:pBdr>
              <w:jc w:val="right"/>
              <w:rPr>
                <w:sz w:val="16"/>
                <w:szCs w:val="16"/>
              </w:rPr>
            </w:pPr>
          </w:p>
        </w:tc>
        <w:tc>
          <w:tcPr>
            <w:tcW w:w="542" w:type="pct"/>
            <w:vAlign w:val="bottom"/>
          </w:tcPr>
          <w:p w14:paraId="4EA2D43A" w14:textId="77777777" w:rsidR="00EE5287" w:rsidRPr="000E0825" w:rsidRDefault="00EE5287" w:rsidP="00EE5287">
            <w:pPr>
              <w:pStyle w:val="StandardOCAshurst"/>
              <w:pBdr>
                <w:bottom w:val="single" w:sz="4" w:space="1" w:color="auto"/>
              </w:pBdr>
              <w:jc w:val="right"/>
              <w:rPr>
                <w:sz w:val="16"/>
                <w:szCs w:val="16"/>
              </w:rPr>
            </w:pPr>
          </w:p>
        </w:tc>
        <w:tc>
          <w:tcPr>
            <w:tcW w:w="541" w:type="pct"/>
            <w:vAlign w:val="bottom"/>
          </w:tcPr>
          <w:p w14:paraId="57B491FB" w14:textId="77777777" w:rsidR="00EE5287" w:rsidRPr="000E0825" w:rsidRDefault="00EE5287" w:rsidP="00EE5287">
            <w:pPr>
              <w:pStyle w:val="StandardOCAshurst"/>
              <w:pBdr>
                <w:bottom w:val="single" w:sz="4" w:space="1" w:color="auto"/>
              </w:pBdr>
              <w:jc w:val="right"/>
              <w:rPr>
                <w:sz w:val="16"/>
                <w:szCs w:val="16"/>
              </w:rPr>
            </w:pPr>
          </w:p>
        </w:tc>
        <w:tc>
          <w:tcPr>
            <w:tcW w:w="543" w:type="pct"/>
            <w:vAlign w:val="bottom"/>
          </w:tcPr>
          <w:p w14:paraId="45512D04" w14:textId="77777777" w:rsidR="00EE5287" w:rsidRPr="000E0825" w:rsidRDefault="00EE5287" w:rsidP="00EE5287">
            <w:pPr>
              <w:pStyle w:val="StandardOCAshurst"/>
              <w:pBdr>
                <w:bottom w:val="single" w:sz="4" w:space="1" w:color="auto"/>
              </w:pBdr>
              <w:jc w:val="right"/>
              <w:rPr>
                <w:sz w:val="16"/>
                <w:szCs w:val="16"/>
              </w:rPr>
            </w:pPr>
          </w:p>
        </w:tc>
        <w:tc>
          <w:tcPr>
            <w:tcW w:w="486" w:type="pct"/>
            <w:vAlign w:val="bottom"/>
          </w:tcPr>
          <w:p w14:paraId="5638BC55" w14:textId="77777777" w:rsidR="00EE5287" w:rsidRPr="000E0825" w:rsidRDefault="00EE5287" w:rsidP="00EE5287">
            <w:pPr>
              <w:pStyle w:val="StandardOCAshurst"/>
              <w:pBdr>
                <w:bottom w:val="single" w:sz="4" w:space="1" w:color="auto"/>
              </w:pBdr>
              <w:jc w:val="right"/>
              <w:rPr>
                <w:sz w:val="16"/>
                <w:szCs w:val="16"/>
              </w:rPr>
            </w:pPr>
          </w:p>
        </w:tc>
      </w:tr>
      <w:tr w:rsidR="00EE5287" w:rsidRPr="00D03658" w14:paraId="37CB3A79" w14:textId="77777777" w:rsidTr="00EE5287">
        <w:tc>
          <w:tcPr>
            <w:tcW w:w="1211" w:type="pct"/>
          </w:tcPr>
          <w:p w14:paraId="3CC1E7AA" w14:textId="766F851A" w:rsidR="00EE5287" w:rsidRPr="000E0825" w:rsidRDefault="00EE5287" w:rsidP="00EE5287">
            <w:pPr>
              <w:pStyle w:val="StandardOCAshurst"/>
              <w:tabs>
                <w:tab w:val="left" w:leader="dot" w:pos="2041"/>
              </w:tabs>
              <w:rPr>
                <w:b/>
                <w:bCs/>
                <w:sz w:val="16"/>
                <w:szCs w:val="16"/>
              </w:rPr>
            </w:pPr>
            <w:r w:rsidRPr="000E0825">
              <w:rPr>
                <w:b/>
                <w:bCs/>
                <w:sz w:val="16"/>
                <w:szCs w:val="16"/>
              </w:rPr>
              <w:t>Net (liabilities) / assets</w:t>
            </w:r>
            <w:r w:rsidRPr="000E0825">
              <w:rPr>
                <w:sz w:val="16"/>
                <w:szCs w:val="16"/>
              </w:rPr>
              <w:tab/>
            </w:r>
          </w:p>
        </w:tc>
        <w:tc>
          <w:tcPr>
            <w:tcW w:w="595" w:type="pct"/>
            <w:vAlign w:val="bottom"/>
          </w:tcPr>
          <w:p w14:paraId="75E13155" w14:textId="33000AC5" w:rsidR="00EE5287" w:rsidRPr="000E0825" w:rsidRDefault="00EE5287" w:rsidP="00EE5287">
            <w:pPr>
              <w:pStyle w:val="StandardOCAshurst"/>
              <w:pBdr>
                <w:bottom w:val="double" w:sz="4" w:space="1" w:color="auto"/>
              </w:pBdr>
              <w:jc w:val="right"/>
              <w:rPr>
                <w:sz w:val="16"/>
                <w:szCs w:val="16"/>
              </w:rPr>
            </w:pPr>
            <w:r>
              <w:rPr>
                <w:sz w:val="16"/>
                <w:szCs w:val="16"/>
              </w:rPr>
              <w:t>91,217</w:t>
            </w:r>
          </w:p>
        </w:tc>
        <w:tc>
          <w:tcPr>
            <w:tcW w:w="541" w:type="pct"/>
            <w:vAlign w:val="bottom"/>
          </w:tcPr>
          <w:p w14:paraId="5B2E7C25" w14:textId="6EBC89EC" w:rsidR="00EE5287" w:rsidRPr="000E0825" w:rsidRDefault="00EE5287" w:rsidP="00EE5287">
            <w:pPr>
              <w:pStyle w:val="StandardOCAshurst"/>
              <w:pBdr>
                <w:bottom w:val="double" w:sz="4" w:space="1" w:color="auto"/>
              </w:pBdr>
              <w:jc w:val="right"/>
              <w:rPr>
                <w:sz w:val="16"/>
                <w:szCs w:val="16"/>
              </w:rPr>
            </w:pPr>
            <w:r w:rsidRPr="000E0825">
              <w:rPr>
                <w:sz w:val="16"/>
                <w:szCs w:val="16"/>
              </w:rPr>
              <w:t>5,656</w:t>
            </w:r>
          </w:p>
        </w:tc>
        <w:tc>
          <w:tcPr>
            <w:tcW w:w="541" w:type="pct"/>
            <w:vAlign w:val="bottom"/>
          </w:tcPr>
          <w:p w14:paraId="215D716F" w14:textId="52040231" w:rsidR="00EE5287" w:rsidRPr="000E0825" w:rsidRDefault="00EE5287" w:rsidP="00EE5287">
            <w:pPr>
              <w:pStyle w:val="StandardOCAshurst"/>
              <w:pBdr>
                <w:bottom w:val="double" w:sz="4" w:space="1" w:color="auto"/>
              </w:pBdr>
              <w:jc w:val="right"/>
              <w:rPr>
                <w:sz w:val="16"/>
                <w:szCs w:val="16"/>
              </w:rPr>
            </w:pPr>
            <w:r w:rsidRPr="000E0825">
              <w:rPr>
                <w:sz w:val="16"/>
                <w:szCs w:val="16"/>
              </w:rPr>
              <w:t>(5,656)</w:t>
            </w:r>
          </w:p>
        </w:tc>
        <w:tc>
          <w:tcPr>
            <w:tcW w:w="542" w:type="pct"/>
            <w:vAlign w:val="bottom"/>
          </w:tcPr>
          <w:p w14:paraId="18D56892" w14:textId="672B688D" w:rsidR="00EE5287" w:rsidRPr="000E0825" w:rsidRDefault="00EE5287" w:rsidP="00EE5287">
            <w:pPr>
              <w:pStyle w:val="StandardOCAshurst"/>
              <w:pBdr>
                <w:bottom w:val="double" w:sz="4" w:space="1" w:color="auto"/>
              </w:pBdr>
              <w:jc w:val="right"/>
              <w:rPr>
                <w:sz w:val="16"/>
                <w:szCs w:val="16"/>
              </w:rPr>
            </w:pPr>
            <w:r w:rsidRPr="000E0825">
              <w:rPr>
                <w:sz w:val="16"/>
                <w:szCs w:val="16"/>
              </w:rPr>
              <w:t>2</w:t>
            </w:r>
            <w:r>
              <w:rPr>
                <w:sz w:val="16"/>
                <w:szCs w:val="16"/>
              </w:rPr>
              <w:t>15,205</w:t>
            </w:r>
          </w:p>
        </w:tc>
        <w:tc>
          <w:tcPr>
            <w:tcW w:w="541" w:type="pct"/>
            <w:vAlign w:val="bottom"/>
          </w:tcPr>
          <w:p w14:paraId="4E197A30" w14:textId="1F9A61FF" w:rsidR="00EE5287" w:rsidRPr="000E0825" w:rsidRDefault="00EE5287" w:rsidP="00EE5287">
            <w:pPr>
              <w:pStyle w:val="StandardOCAshurst"/>
              <w:pBdr>
                <w:bottom w:val="double" w:sz="4" w:space="1" w:color="auto"/>
              </w:pBdr>
              <w:jc w:val="right"/>
              <w:rPr>
                <w:sz w:val="16"/>
                <w:szCs w:val="16"/>
              </w:rPr>
            </w:pPr>
            <w:r w:rsidRPr="000E0825">
              <w:rPr>
                <w:sz w:val="16"/>
                <w:szCs w:val="16"/>
              </w:rPr>
              <w:t>(1,925)</w:t>
            </w:r>
          </w:p>
        </w:tc>
        <w:tc>
          <w:tcPr>
            <w:tcW w:w="543" w:type="pct"/>
            <w:vAlign w:val="bottom"/>
          </w:tcPr>
          <w:p w14:paraId="42715269" w14:textId="00AE46BD" w:rsidR="00EE5287" w:rsidRPr="000E0825" w:rsidRDefault="00EE5287" w:rsidP="00EE5287">
            <w:pPr>
              <w:pStyle w:val="StandardOCAshurst"/>
              <w:pBdr>
                <w:bottom w:val="double" w:sz="4" w:space="1" w:color="auto"/>
              </w:pBdr>
              <w:jc w:val="right"/>
              <w:rPr>
                <w:sz w:val="16"/>
                <w:szCs w:val="16"/>
              </w:rPr>
            </w:pPr>
            <w:r w:rsidRPr="000E0825">
              <w:rPr>
                <w:sz w:val="16"/>
                <w:szCs w:val="16"/>
              </w:rPr>
              <w:t>45,376</w:t>
            </w:r>
          </w:p>
        </w:tc>
        <w:tc>
          <w:tcPr>
            <w:tcW w:w="486" w:type="pct"/>
            <w:vAlign w:val="bottom"/>
          </w:tcPr>
          <w:p w14:paraId="10737138" w14:textId="0756C65D" w:rsidR="00EE5287" w:rsidRPr="000E0825" w:rsidRDefault="00EE5287" w:rsidP="00EE5287">
            <w:pPr>
              <w:pStyle w:val="StandardOCAshurst"/>
              <w:pBdr>
                <w:bottom w:val="double" w:sz="4" w:space="1" w:color="auto"/>
              </w:pBdr>
              <w:jc w:val="right"/>
              <w:rPr>
                <w:sz w:val="16"/>
                <w:szCs w:val="16"/>
              </w:rPr>
            </w:pPr>
            <w:r>
              <w:rPr>
                <w:sz w:val="16"/>
                <w:szCs w:val="16"/>
              </w:rPr>
              <w:t>349,873</w:t>
            </w:r>
          </w:p>
        </w:tc>
      </w:tr>
    </w:tbl>
    <w:p w14:paraId="578B44F6" w14:textId="77777777" w:rsidR="00DE5AF2" w:rsidRPr="007D6590" w:rsidRDefault="00DE5AF2" w:rsidP="00396E87">
      <w:pPr>
        <w:pStyle w:val="NormalOCAshurst"/>
      </w:pPr>
    </w:p>
    <w:p w14:paraId="14E176E6" w14:textId="77777777" w:rsidR="00DE5AF2" w:rsidRPr="007D6590" w:rsidRDefault="00DE5AF2" w:rsidP="00396E87">
      <w:pPr>
        <w:pStyle w:val="NormalOCAshurst"/>
        <w:rPr>
          <w:b/>
          <w:bCs/>
          <w:i/>
          <w:iCs/>
        </w:rPr>
      </w:pPr>
      <w:r w:rsidRPr="007D6590">
        <w:rPr>
          <w:b/>
          <w:bCs/>
          <w:i/>
          <w:iCs/>
        </w:rPr>
        <w:t>Note 1:</w:t>
      </w:r>
    </w:p>
    <w:p w14:paraId="289B0DC1" w14:textId="22027AB7" w:rsidR="00DE5AF2" w:rsidRPr="007D6590" w:rsidRDefault="00DE5AF2" w:rsidP="00396E87">
      <w:pPr>
        <w:pStyle w:val="NormalOCAshurst"/>
      </w:pPr>
      <w:r w:rsidRPr="007D6590">
        <w:t xml:space="preserve">The </w:t>
      </w:r>
      <w:r w:rsidR="00EE5287">
        <w:t xml:space="preserve">restated </w:t>
      </w:r>
      <w:r w:rsidRPr="007D6590">
        <w:t xml:space="preserve">assets and liabilities of </w:t>
      </w:r>
      <w:r w:rsidR="00EE5287">
        <w:t xml:space="preserve">the </w:t>
      </w:r>
      <w:r w:rsidRPr="007D6590">
        <w:t xml:space="preserve">EnQuest </w:t>
      </w:r>
      <w:r w:rsidR="00EE5287">
        <w:t xml:space="preserve">Group as at 31 December 2020 </w:t>
      </w:r>
      <w:r w:rsidRPr="007D6590">
        <w:t xml:space="preserve">have been extracted from </w:t>
      </w:r>
      <w:r w:rsidR="00EF7CF1">
        <w:t>the</w:t>
      </w:r>
      <w:r w:rsidRPr="007D6590">
        <w:t xml:space="preserve"> </w:t>
      </w:r>
      <w:r w:rsidR="00C05476" w:rsidRPr="00C05476">
        <w:t xml:space="preserve"> EnQuest 2021 Half Year Results</w:t>
      </w:r>
      <w:r w:rsidR="004D1D81">
        <w:t xml:space="preserve"> (and as reproduced at paragraph </w:t>
      </w:r>
      <w:r w:rsidR="004D1D81">
        <w:fldChar w:fldCharType="begin"/>
      </w:r>
      <w:r w:rsidR="004D1D81">
        <w:instrText xml:space="preserve"> REF _Ref83026479 \w \h </w:instrText>
      </w:r>
      <w:r w:rsidR="004D1D81">
        <w:fldChar w:fldCharType="separate"/>
      </w:r>
      <w:r w:rsidR="002D487F">
        <w:rPr>
          <w:cs/>
        </w:rPr>
        <w:t>‎</w:t>
      </w:r>
      <w:r w:rsidR="002D487F">
        <w:t>2.1(b)</w:t>
      </w:r>
      <w:r w:rsidR="004D1D81">
        <w:fldChar w:fldCharType="end"/>
      </w:r>
      <w:r w:rsidR="004D1D81">
        <w:t xml:space="preserve"> of </w:t>
      </w:r>
      <w:r w:rsidR="004D1D81">
        <w:fldChar w:fldCharType="begin"/>
      </w:r>
      <w:r w:rsidR="004D1D81">
        <w:instrText xml:space="preserve"> REF _Ref81837180 \w \h </w:instrText>
      </w:r>
      <w:r w:rsidR="004D1D81">
        <w:fldChar w:fldCharType="separate"/>
      </w:r>
      <w:r w:rsidR="002D487F">
        <w:rPr>
          <w:cs/>
        </w:rPr>
        <w:t>‎</w:t>
      </w:r>
      <w:r w:rsidR="002D487F">
        <w:t>Part 1</w:t>
      </w:r>
      <w:r w:rsidR="004D1D81">
        <w:fldChar w:fldCharType="end"/>
      </w:r>
      <w:r w:rsidR="004D1D81">
        <w:t xml:space="preserve"> ("</w:t>
      </w:r>
      <w:r w:rsidR="004D1D81">
        <w:rPr>
          <w:i/>
          <w:iCs/>
        </w:rPr>
        <w:t xml:space="preserve">Supplementary </w:t>
      </w:r>
      <w:r w:rsidR="00D8619F">
        <w:rPr>
          <w:i/>
          <w:iCs/>
        </w:rPr>
        <w:t>Information</w:t>
      </w:r>
      <w:r w:rsidR="004D1D81">
        <w:t>") of this Supplementary Prospectus</w:t>
      </w:r>
      <w:r w:rsidR="00B602CC">
        <w:t>)</w:t>
      </w:r>
      <w:r w:rsidR="004D1D81">
        <w:t>.</w:t>
      </w:r>
      <w:r w:rsidRPr="007D6590">
        <w:t xml:space="preserve"> </w:t>
      </w:r>
    </w:p>
    <w:p w14:paraId="5F6B616E" w14:textId="20AA1B9B" w:rsidR="00DE5AF2" w:rsidRPr="007D6590" w:rsidRDefault="00DE5AF2" w:rsidP="00396E87">
      <w:pPr>
        <w:pStyle w:val="NormalOCAshurst"/>
        <w:rPr>
          <w:b/>
          <w:bCs/>
          <w:i/>
          <w:iCs/>
        </w:rPr>
      </w:pPr>
      <w:r w:rsidRPr="007D6590">
        <w:rPr>
          <w:b/>
          <w:bCs/>
          <w:i/>
          <w:iCs/>
        </w:rPr>
        <w:t>Note 2:</w:t>
      </w:r>
    </w:p>
    <w:p w14:paraId="35859B45" w14:textId="1171EC3C" w:rsidR="00DE5AF2" w:rsidRPr="007D6590" w:rsidRDefault="00EF7CF1" w:rsidP="00396E87">
      <w:pPr>
        <w:pStyle w:val="NormalOCAshurst"/>
      </w:pPr>
      <w:r>
        <w:t xml:space="preserve">The assets and liabilities of the </w:t>
      </w:r>
      <w:r w:rsidR="00551E86">
        <w:t>Golden Eagle Asset</w:t>
      </w:r>
      <w:r>
        <w:t xml:space="preserve"> have been extracted, without adjustment, from the financial information on the </w:t>
      </w:r>
      <w:r w:rsidR="00551E86">
        <w:t>Golden Eagle Asset</w:t>
      </w:r>
      <w:r>
        <w:t xml:space="preserve"> for the year ended 31 December 2020, as included in</w:t>
      </w:r>
      <w:r w:rsidR="00BB5927">
        <w:t xml:space="preserve"> Part 7</w:t>
      </w:r>
      <w:r>
        <w:t xml:space="preserve"> of </w:t>
      </w:r>
      <w:r w:rsidR="007C61AC">
        <w:t>the Original Prospectus</w:t>
      </w:r>
      <w:r>
        <w:t>.</w:t>
      </w:r>
    </w:p>
    <w:p w14:paraId="61A26587" w14:textId="77777777" w:rsidR="00DE5AF2" w:rsidRPr="007D6590" w:rsidRDefault="00DE5AF2" w:rsidP="00284BEE">
      <w:pPr>
        <w:pStyle w:val="NormalOCAshurst"/>
        <w:keepNext/>
        <w:rPr>
          <w:b/>
          <w:bCs/>
          <w:i/>
          <w:iCs/>
        </w:rPr>
      </w:pPr>
      <w:r w:rsidRPr="007D6590">
        <w:rPr>
          <w:b/>
          <w:bCs/>
          <w:i/>
          <w:iCs/>
        </w:rPr>
        <w:lastRenderedPageBreak/>
        <w:t>Note 3:</w:t>
      </w:r>
    </w:p>
    <w:p w14:paraId="75758517" w14:textId="0C76B8D6" w:rsidR="00EF7CF1" w:rsidRDefault="00DE5AF2" w:rsidP="00396E87">
      <w:pPr>
        <w:pStyle w:val="NormalOCAshurst"/>
      </w:pPr>
      <w:r w:rsidRPr="007D6590">
        <w:t>The</w:t>
      </w:r>
      <w:r w:rsidR="00F57F41">
        <w:t xml:space="preserve"> </w:t>
      </w:r>
      <w:r w:rsidR="00EF7CF1">
        <w:t>unaudited pro forma financial information has been prepared on the basis that the Acquisition will be treated as an asset acquisition as it does not meet the IFRS</w:t>
      </w:r>
      <w:r w:rsidR="00D21B8A">
        <w:t xml:space="preserve"> </w:t>
      </w:r>
      <w:r w:rsidR="00EF7CF1">
        <w:t xml:space="preserve">3 </w:t>
      </w:r>
      <w:r w:rsidR="00EE5287">
        <w:t xml:space="preserve">Business Combinations </w:t>
      </w:r>
      <w:r w:rsidR="00EF7CF1">
        <w:t>definition of a business combination. The acquisition adjustments reflect:</w:t>
      </w:r>
    </w:p>
    <w:p w14:paraId="435D391A" w14:textId="161B57E5" w:rsidR="00EF7CF1" w:rsidRDefault="00EF7CF1" w:rsidP="00F57F41">
      <w:pPr>
        <w:pStyle w:val="H3OCAshurst"/>
        <w:numPr>
          <w:ilvl w:val="2"/>
          <w:numId w:val="94"/>
        </w:numPr>
      </w:pPr>
      <w:r>
        <w:t>The Share Consideration for the acquisition of</w:t>
      </w:r>
      <w:r w:rsidR="00142B83">
        <w:t xml:space="preserve"> the</w:t>
      </w:r>
      <w:r>
        <w:t xml:space="preserve"> </w:t>
      </w:r>
      <w:r w:rsidR="00551E86">
        <w:t>Golden Eagle Asset</w:t>
      </w:r>
      <w:r>
        <w:t xml:space="preserve"> being $325.0 million, subject to customary adjustments in respect of working capital and other interim adjustments. The $325.0 million has been adjusted for the initial working capital adjustment net of notional tax, resulting in an initial consideration of $318.0 million.</w:t>
      </w:r>
    </w:p>
    <w:p w14:paraId="18D2F78D" w14:textId="03CD1ACE" w:rsidR="00D85440" w:rsidRDefault="00D85440" w:rsidP="00396E87">
      <w:pPr>
        <w:pStyle w:val="Body2OCAshurst"/>
      </w:pPr>
      <w:r>
        <w:t xml:space="preserve">The calculation of the contingent consideration is based on management’s assessment of the most probable outcome of a range of three potential outcomes driven by expected Dated Brent average crude price between July 2021 and June 2023, as </w:t>
      </w:r>
      <w:r w:rsidR="00EE5287">
        <w:t xml:space="preserve">made at the time, and </w:t>
      </w:r>
      <w:r>
        <w:t xml:space="preserve">outlined in </w:t>
      </w:r>
      <w:r w:rsidR="00C96AC5">
        <w:t xml:space="preserve">paragraph 5 of </w:t>
      </w:r>
      <w:r>
        <w:t>Part 1</w:t>
      </w:r>
      <w:r w:rsidR="00C96AC5">
        <w:t xml:space="preserve"> ("</w:t>
      </w:r>
      <w:r w:rsidR="00C96AC5">
        <w:rPr>
          <w:i/>
          <w:iCs/>
        </w:rPr>
        <w:t>Letter from the Chairman of EnQuest PLC"</w:t>
      </w:r>
      <w:r w:rsidR="00C96AC5">
        <w:t>)</w:t>
      </w:r>
      <w:r>
        <w:t xml:space="preserve"> of </w:t>
      </w:r>
      <w:r w:rsidR="007C61AC">
        <w:t>the Original Prospectus</w:t>
      </w:r>
      <w:r>
        <w:t xml:space="preserve">. </w:t>
      </w:r>
    </w:p>
    <w:p w14:paraId="706F93D1" w14:textId="2E06B917" w:rsidR="00D85440" w:rsidRDefault="00D85440" w:rsidP="00396E87">
      <w:pPr>
        <w:pStyle w:val="Body2OCAshurst"/>
      </w:pPr>
      <w:r>
        <w:t xml:space="preserve">Management assessed the three potential outcomes and based on forecast prices assessed the most probable outcome </w:t>
      </w:r>
      <w:r w:rsidR="00F94EA9">
        <w:t>wa</w:t>
      </w:r>
      <w:r>
        <w:t xml:space="preserve">s an average Dated Brent oil price of $55/bbl - $65/bbl. The consideration payable associated with this potential outcome is $25 million. A 10 per cent. per annum risk adjusted discount rate has been applied to the gross contingent consideration to reflect the value as at 31 December 2020, resulting in the recognition of $19.7 million contingent consideration. </w:t>
      </w:r>
    </w:p>
    <w:p w14:paraId="03039F23" w14:textId="38330852" w:rsidR="00EF7CF1" w:rsidRDefault="00EF7CF1" w:rsidP="00396E87">
      <w:pPr>
        <w:pStyle w:val="Body2OCAshurst"/>
      </w:pPr>
      <w:r>
        <w:t>The $319.6 million deducted from cash and cash equivalents includes transaction costs of $1.6 million.</w:t>
      </w:r>
    </w:p>
    <w:p w14:paraId="2E1DE67A" w14:textId="7E79C045" w:rsidR="00DE5AF2" w:rsidRPr="007D6590" w:rsidRDefault="00EF7CF1" w:rsidP="00396E87">
      <w:pPr>
        <w:pStyle w:val="H3OCAshurst"/>
      </w:pPr>
      <w:r>
        <w:t>The difference between the total consideration and capitalised transaction costs, and the net assets of the Golden Eagle Asset acquired has been allocated to Property, Plant and Equipment.</w:t>
      </w:r>
    </w:p>
    <w:p w14:paraId="4C1FA884" w14:textId="77777777" w:rsidR="00DE5AF2" w:rsidRPr="007D6590" w:rsidRDefault="00DE5AF2" w:rsidP="00396E87">
      <w:pPr>
        <w:pStyle w:val="NormalOCAshurst"/>
        <w:rPr>
          <w:b/>
          <w:bCs/>
          <w:i/>
          <w:iCs/>
        </w:rPr>
      </w:pPr>
      <w:r w:rsidRPr="007D6590">
        <w:rPr>
          <w:b/>
          <w:bCs/>
          <w:i/>
          <w:iCs/>
        </w:rPr>
        <w:t>Note 4:</w:t>
      </w:r>
    </w:p>
    <w:p w14:paraId="7590B3C1" w14:textId="7DB59AE7" w:rsidR="00DE5AF2" w:rsidRPr="007D6590" w:rsidRDefault="00EF7CF1" w:rsidP="00396E87">
      <w:pPr>
        <w:pStyle w:val="NormalOCAshurst"/>
      </w:pPr>
      <w:r>
        <w:t xml:space="preserve">Please refer to Note 4 of the unaudited pro forma income statement on page </w:t>
      </w:r>
      <w:r w:rsidR="001E486A">
        <w:fldChar w:fldCharType="begin"/>
      </w:r>
      <w:r w:rsidR="001E486A">
        <w:instrText xml:space="preserve"> PAGEREF Note4 \h </w:instrText>
      </w:r>
      <w:r w:rsidR="001E486A">
        <w:fldChar w:fldCharType="separate"/>
      </w:r>
      <w:r w:rsidR="002D487F">
        <w:rPr>
          <w:noProof/>
        </w:rPr>
        <w:t>13</w:t>
      </w:r>
      <w:r w:rsidR="001E486A">
        <w:fldChar w:fldCharType="end"/>
      </w:r>
      <w:r>
        <w:t xml:space="preserve"> of </w:t>
      </w:r>
      <w:r w:rsidR="001E486A">
        <w:t>this Supplementary Prospectus</w:t>
      </w:r>
      <w:r w:rsidR="007C61AC">
        <w:t xml:space="preserve"> </w:t>
      </w:r>
      <w:r>
        <w:t>for details of this adjustment.</w:t>
      </w:r>
    </w:p>
    <w:p w14:paraId="4B4CF138" w14:textId="77777777" w:rsidR="00DE5AF2" w:rsidRPr="007D6590" w:rsidRDefault="00DE5AF2" w:rsidP="00396E87">
      <w:pPr>
        <w:pStyle w:val="NormalOCAshurst"/>
        <w:rPr>
          <w:b/>
          <w:bCs/>
          <w:i/>
          <w:iCs/>
        </w:rPr>
      </w:pPr>
      <w:r w:rsidRPr="007D6590">
        <w:rPr>
          <w:b/>
          <w:bCs/>
          <w:i/>
          <w:iCs/>
        </w:rPr>
        <w:t>Note 5:</w:t>
      </w:r>
    </w:p>
    <w:p w14:paraId="6A70FCAE" w14:textId="437C5399" w:rsidR="00EF7CF1" w:rsidRDefault="00DE5AF2" w:rsidP="00396E87">
      <w:pPr>
        <w:pStyle w:val="NormalOCAshurst"/>
      </w:pPr>
      <w:r w:rsidRPr="007D6590">
        <w:t xml:space="preserve">The </w:t>
      </w:r>
      <w:r w:rsidR="00EF7CF1">
        <w:t>financing adjustments assumes an RBL drawdown on 31 December 2020 of $600</w:t>
      </w:r>
      <w:r w:rsidRPr="007D6590">
        <w:t xml:space="preserve"> million </w:t>
      </w:r>
      <w:r w:rsidR="00EF7CF1" w:rsidRPr="00EF7CF1">
        <w:t xml:space="preserve">to facilitate the purchase of the </w:t>
      </w:r>
      <w:r w:rsidR="00551E86">
        <w:t>Golden Eagle Asset</w:t>
      </w:r>
      <w:r w:rsidR="00EF7CF1" w:rsidRPr="00EF7CF1">
        <w:t xml:space="preserve"> and repayment</w:t>
      </w:r>
      <w:r w:rsidR="00EF7CF1">
        <w:t xml:space="preserve"> </w:t>
      </w:r>
      <w:r w:rsidRPr="007D6590">
        <w:t>of the SFA</w:t>
      </w:r>
      <w:r w:rsidR="00EF7CF1">
        <w:t xml:space="preserve"> (</w:t>
      </w:r>
      <w:r w:rsidRPr="007D6590">
        <w:t>$</w:t>
      </w:r>
      <w:r w:rsidR="00EF7CF1">
        <w:t>377.3</w:t>
      </w:r>
      <w:r w:rsidRPr="007D6590">
        <w:t xml:space="preserve"> million</w:t>
      </w:r>
      <w:r w:rsidR="00EF7CF1">
        <w:t>),</w:t>
      </w:r>
      <w:r w:rsidRPr="007D6590">
        <w:t xml:space="preserve"> Sculptor Facility</w:t>
      </w:r>
      <w:r w:rsidR="00B77A99">
        <w:t xml:space="preserve"> </w:t>
      </w:r>
      <w:r w:rsidR="00EF7CF1">
        <w:t>(</w:t>
      </w:r>
      <w:r w:rsidRPr="007D6590">
        <w:t>$67</w:t>
      </w:r>
      <w:r w:rsidR="00EF7CF1">
        <w:t>.7</w:t>
      </w:r>
      <w:r w:rsidRPr="007D6590">
        <w:t xml:space="preserve"> million</w:t>
      </w:r>
      <w:r w:rsidR="00EF7CF1">
        <w:t>) and</w:t>
      </w:r>
      <w:r w:rsidRPr="007D6590">
        <w:t xml:space="preserve"> BP Vendor Loan</w:t>
      </w:r>
      <w:r w:rsidR="00EF7CF1">
        <w:t xml:space="preserve"> ($72.2 million, classified as contingent consideration). Transaction costs of $29.0 million have been capitalised against the RBL principle and will be amortised across the life of the facility</w:t>
      </w:r>
      <w:r w:rsidR="00D85440">
        <w:t xml:space="preserve"> </w:t>
      </w:r>
      <w:r w:rsidR="00D85440" w:rsidRPr="00D85440">
        <w:t>and $1.9 million of unamortised fees in relation to the Sculptor Facility have been fully amortised.</w:t>
      </w:r>
    </w:p>
    <w:p w14:paraId="1D8C1CA6" w14:textId="2953D520" w:rsidR="00EF7CF1" w:rsidRDefault="00EF7CF1" w:rsidP="00396E87">
      <w:pPr>
        <w:pStyle w:val="NormalOCAshurst"/>
      </w:pPr>
      <w:r>
        <w:t>The finance costs incurred on the repaid facilities, and the finance costs assumed to arise on a drawdown of the RBL during the year ended 31 December 2020 have been adjusted in the unaudited pro forma income statement above.</w:t>
      </w:r>
    </w:p>
    <w:p w14:paraId="45AEB982" w14:textId="1023EA25" w:rsidR="00EF7CF1" w:rsidRDefault="00EF7CF1" w:rsidP="00396E87">
      <w:pPr>
        <w:pStyle w:val="NormalOCAshurst"/>
      </w:pPr>
      <w:r>
        <w:t>The</w:t>
      </w:r>
      <w:r w:rsidR="000C7034">
        <w:t xml:space="preserve"> </w:t>
      </w:r>
      <w:r>
        <w:t>unaudited pro forma financial information has been prepared on the basis that assumes the total amounts due as at 31 December 2020 are repaid. The actual amounts repaid will be based on the amounts due at that time.</w:t>
      </w:r>
      <w:bookmarkStart w:id="34" w:name="Note5"/>
      <w:bookmarkEnd w:id="34"/>
    </w:p>
    <w:p w14:paraId="591CACF4" w14:textId="77777777" w:rsidR="00EF7CF1" w:rsidRPr="00AD6D18" w:rsidRDefault="00EF7CF1" w:rsidP="00396E87">
      <w:pPr>
        <w:pStyle w:val="NormalOCAshurst"/>
        <w:rPr>
          <w:b/>
          <w:bCs/>
          <w:i/>
          <w:iCs/>
        </w:rPr>
      </w:pPr>
      <w:r w:rsidRPr="00AD6D18">
        <w:rPr>
          <w:b/>
          <w:bCs/>
          <w:i/>
          <w:iCs/>
        </w:rPr>
        <w:t>Note 6:</w:t>
      </w:r>
    </w:p>
    <w:p w14:paraId="61CEBFCB" w14:textId="5BFCCC2A" w:rsidR="00DE5AF2" w:rsidRPr="007D6590" w:rsidRDefault="00EF7CF1" w:rsidP="00396E87">
      <w:pPr>
        <w:pStyle w:val="NormalOCAshurst"/>
      </w:pPr>
      <w:r>
        <w:t>The gross</w:t>
      </w:r>
      <w:r w:rsidR="00DE5AF2" w:rsidRPr="007D6590">
        <w:t xml:space="preserve"> proceeds of the </w:t>
      </w:r>
      <w:r w:rsidR="003A78EB">
        <w:t>Capital Raising</w:t>
      </w:r>
      <w:r w:rsidR="00D030ED">
        <w:t xml:space="preserve"> </w:t>
      </w:r>
      <w:r w:rsidR="00EE5287">
        <w:t>w</w:t>
      </w:r>
      <w:r w:rsidR="00021BD2">
        <w:t>ere</w:t>
      </w:r>
      <w:r w:rsidR="00EE5287">
        <w:t xml:space="preserve"> </w:t>
      </w:r>
      <w:r w:rsidR="00D030ED">
        <w:t>$50.0 million</w:t>
      </w:r>
      <w:r w:rsidR="00DE5AF2" w:rsidRPr="007D6590">
        <w:t xml:space="preserve">. </w:t>
      </w:r>
    </w:p>
    <w:p w14:paraId="5675E865" w14:textId="7FFB68AD" w:rsidR="00DE5AF2" w:rsidRPr="007D6590" w:rsidRDefault="00DE5AF2" w:rsidP="00396E87">
      <w:pPr>
        <w:pStyle w:val="NormalOCAshurst"/>
      </w:pPr>
      <w:r w:rsidRPr="007D6590">
        <w:t>The net proceeds of $</w:t>
      </w:r>
      <w:r w:rsidR="00D030ED">
        <w:t>45.4</w:t>
      </w:r>
      <w:r w:rsidRPr="007D6590">
        <w:t xml:space="preserve"> million include: (a) the impact of estimated </w:t>
      </w:r>
      <w:r w:rsidR="00D030ED">
        <w:t>transaction costs</w:t>
      </w:r>
      <w:r w:rsidRPr="007D6590">
        <w:t xml:space="preserve"> of </w:t>
      </w:r>
      <w:r w:rsidR="00D030ED">
        <w:t>(</w:t>
      </w:r>
      <w:r w:rsidRPr="007D6590">
        <w:t>$</w:t>
      </w:r>
      <w:r w:rsidR="00D030ED">
        <w:t>3.4</w:t>
      </w:r>
      <w:r w:rsidRPr="007D6590">
        <w:t xml:space="preserve"> million</w:t>
      </w:r>
      <w:r w:rsidR="00D030ED">
        <w:t>)</w:t>
      </w:r>
      <w:r w:rsidRPr="007D6590">
        <w:t xml:space="preserve">, which will be accounted for as a reduction of equity, and (b) the </w:t>
      </w:r>
      <w:r w:rsidR="00D030ED">
        <w:t>issuance</w:t>
      </w:r>
      <w:r w:rsidRPr="007D6590">
        <w:t xml:space="preserve"> of </w:t>
      </w:r>
      <w:r w:rsidR="00D030ED">
        <w:t>circa</w:t>
      </w:r>
      <w:r w:rsidRPr="007D6590">
        <w:t xml:space="preserve"> $</w:t>
      </w:r>
      <w:r w:rsidR="00D030ED">
        <w:t>1.2</w:t>
      </w:r>
      <w:r w:rsidRPr="007D6590">
        <w:t xml:space="preserve"> million</w:t>
      </w:r>
      <w:r w:rsidR="003A78EB">
        <w:t xml:space="preserve"> </w:t>
      </w:r>
      <w:r w:rsidR="00D030ED">
        <w:t xml:space="preserve">of shares to the EBT in accordance with the EBT’s Irrevocable Undertaking (as explained in paragraph </w:t>
      </w:r>
      <w:r w:rsidR="000A375C">
        <w:t xml:space="preserve">18.4 </w:t>
      </w:r>
      <w:r w:rsidR="00D030ED">
        <w:t>of</w:t>
      </w:r>
      <w:r w:rsidR="00BB5927">
        <w:t xml:space="preserve"> Part 12 </w:t>
      </w:r>
      <w:r w:rsidR="00D030ED">
        <w:t>("</w:t>
      </w:r>
      <w:r w:rsidR="00D030ED" w:rsidRPr="00AD6D18">
        <w:rPr>
          <w:i/>
          <w:iCs/>
        </w:rPr>
        <w:t>Additional Information</w:t>
      </w:r>
      <w:r w:rsidR="00D030ED">
        <w:t>")</w:t>
      </w:r>
      <w:r w:rsidR="000C7034">
        <w:t xml:space="preserve"> of the Original Prospectus</w:t>
      </w:r>
      <w:r w:rsidR="00D030ED">
        <w:t>), which is funded by the Company</w:t>
      </w:r>
      <w:r w:rsidRPr="007D6590">
        <w:t>.</w:t>
      </w:r>
    </w:p>
    <w:p w14:paraId="04614CB4" w14:textId="77777777" w:rsidR="00DE5AF2" w:rsidRPr="007D6590" w:rsidRDefault="00DE5AF2" w:rsidP="00396E87">
      <w:pPr>
        <w:pStyle w:val="NormalOCAshurst"/>
        <w:keepNext/>
        <w:rPr>
          <w:b/>
          <w:bCs/>
          <w:i/>
          <w:iCs/>
        </w:rPr>
      </w:pPr>
      <w:r w:rsidRPr="007D6590">
        <w:rPr>
          <w:b/>
          <w:bCs/>
          <w:i/>
          <w:iCs/>
        </w:rPr>
        <w:lastRenderedPageBreak/>
        <w:t>Note 7:</w:t>
      </w:r>
    </w:p>
    <w:p w14:paraId="23C838FC" w14:textId="4CDA45C9" w:rsidR="00DE5AF2" w:rsidRPr="00045FD2" w:rsidRDefault="00DE5AF2">
      <w:pPr>
        <w:pStyle w:val="NormalOCAshurst"/>
        <w:keepNext/>
      </w:pPr>
      <w:r w:rsidRPr="007D6590">
        <w:t xml:space="preserve">In preparing the unaudited pro forma statement of assets and liabilities no account has been taken of the trading or transactions of EnQuest or </w:t>
      </w:r>
      <w:r w:rsidR="00D030ED">
        <w:t xml:space="preserve">the </w:t>
      </w:r>
      <w:r w:rsidR="00551E86">
        <w:t>Golden Eagle Asset</w:t>
      </w:r>
      <w:r w:rsidR="00D030ED">
        <w:t xml:space="preserve"> </w:t>
      </w:r>
      <w:r w:rsidRPr="007D6590">
        <w:t>since 31 December 2020.</w:t>
      </w:r>
    </w:p>
    <w:p w14:paraId="533ED9BD" w14:textId="77777777" w:rsidR="00DE5AF2" w:rsidRPr="007D6590" w:rsidRDefault="00DE5AF2" w:rsidP="00396E87">
      <w:pPr>
        <w:pStyle w:val="NormalOCAshurst"/>
      </w:pPr>
      <w:r w:rsidRPr="007D6590">
        <w:br w:type="page"/>
      </w:r>
    </w:p>
    <w:p w14:paraId="2D33F85C" w14:textId="6CB420A2" w:rsidR="00DE5AF2" w:rsidRPr="007D6590" w:rsidRDefault="00DE5AF2" w:rsidP="00396E87">
      <w:pPr>
        <w:pStyle w:val="NormalOCAshurst"/>
        <w:jc w:val="center"/>
        <w:rPr>
          <w:rFonts w:asciiTheme="majorHAnsi" w:hAnsiTheme="majorHAnsi" w:cstheme="majorHAnsi"/>
          <w:b/>
          <w:bCs/>
        </w:rPr>
      </w:pPr>
      <w:r w:rsidRPr="007D6590">
        <w:rPr>
          <w:rFonts w:asciiTheme="majorHAnsi" w:hAnsiTheme="majorHAnsi" w:cstheme="majorHAnsi"/>
          <w:b/>
          <w:bCs/>
        </w:rPr>
        <w:lastRenderedPageBreak/>
        <w:t>Section B: Accountant's report on the</w:t>
      </w:r>
      <w:r w:rsidR="00DE406E">
        <w:rPr>
          <w:rFonts w:asciiTheme="majorHAnsi" w:hAnsiTheme="majorHAnsi" w:cstheme="majorHAnsi"/>
          <w:b/>
          <w:bCs/>
        </w:rPr>
        <w:t xml:space="preserve"> </w:t>
      </w:r>
      <w:r w:rsidRPr="007D6590">
        <w:rPr>
          <w:rFonts w:asciiTheme="majorHAnsi" w:hAnsiTheme="majorHAnsi" w:cstheme="majorHAnsi"/>
          <w:b/>
          <w:bCs/>
        </w:rPr>
        <w:t>Unaudited Pro Forma Financial Information</w:t>
      </w:r>
    </w:p>
    <w:p w14:paraId="49B6C3B6" w14:textId="77777777" w:rsidR="00DE5AF2" w:rsidRPr="007D6590" w:rsidRDefault="00DE5AF2" w:rsidP="00396E87">
      <w:pPr>
        <w:pStyle w:val="NormalOCAshurst"/>
        <w:spacing w:after="0"/>
        <w:jc w:val="left"/>
        <w:rPr>
          <w:rFonts w:asciiTheme="majorHAnsi" w:hAnsiTheme="majorHAnsi" w:cstheme="majorHAnsi"/>
        </w:rPr>
      </w:pPr>
    </w:p>
    <w:p w14:paraId="037F0A5E" w14:textId="77777777" w:rsidR="00DE5AF2" w:rsidRPr="007D6590" w:rsidRDefault="00DE5AF2" w:rsidP="00396E87">
      <w:pPr>
        <w:pStyle w:val="NormalOCAshurst"/>
        <w:spacing w:after="0"/>
        <w:jc w:val="left"/>
        <w:rPr>
          <w:rFonts w:asciiTheme="majorHAnsi" w:hAnsiTheme="majorHAnsi" w:cstheme="majorHAnsi"/>
        </w:rPr>
      </w:pPr>
      <w:r w:rsidRPr="007D6590">
        <w:rPr>
          <w:noProof/>
        </w:rPr>
        <w:drawing>
          <wp:anchor distT="0" distB="0" distL="0" distR="0" simplePos="0" relativeHeight="252012544" behindDoc="1" locked="0" layoutInCell="1" allowOverlap="1" wp14:anchorId="13AA739B" wp14:editId="0D21B72F">
            <wp:simplePos x="0" y="0"/>
            <wp:positionH relativeFrom="margin">
              <wp:posOffset>0</wp:posOffset>
            </wp:positionH>
            <wp:positionV relativeFrom="page">
              <wp:posOffset>1478915</wp:posOffset>
            </wp:positionV>
            <wp:extent cx="2134870" cy="935990"/>
            <wp:effectExtent l="0" t="0" r="0" b="0"/>
            <wp:wrapNone/>
            <wp:docPr id="27" name="LogoFirst"/>
            <wp:cNvGraphicFramePr/>
            <a:graphic xmlns:a="http://schemas.openxmlformats.org/drawingml/2006/main">
              <a:graphicData uri="http://schemas.openxmlformats.org/drawingml/2006/picture">
                <pic:pic xmlns:pic="http://schemas.openxmlformats.org/drawingml/2006/picture">
                  <pic:nvPicPr>
                    <pic:cNvPr id="53210899" name="LogoFirst"/>
                    <pic:cNvPicPr/>
                  </pic:nvPicPr>
                  <pic:blipFill>
                    <a:blip r:embed="rId17"/>
                    <a:stretch>
                      <a:fillRect/>
                    </a:stretch>
                  </pic:blipFill>
                  <pic:spPr>
                    <a:xfrm>
                      <a:off x="0" y="0"/>
                      <a:ext cx="2134870" cy="935990"/>
                    </a:xfrm>
                    <a:prstGeom prst="rect">
                      <a:avLst/>
                    </a:prstGeom>
                  </pic:spPr>
                </pic:pic>
              </a:graphicData>
            </a:graphic>
          </wp:anchor>
        </w:drawing>
      </w:r>
    </w:p>
    <w:p w14:paraId="3BBD652E" w14:textId="77777777" w:rsidR="00DE5AF2" w:rsidRPr="007D6590" w:rsidRDefault="00DE5AF2" w:rsidP="00396E87">
      <w:pPr>
        <w:pStyle w:val="NormalOCAshurst"/>
        <w:spacing w:after="0"/>
        <w:jc w:val="left"/>
        <w:rPr>
          <w:rFonts w:asciiTheme="majorHAnsi" w:hAnsiTheme="majorHAnsi" w:cstheme="majorHAnsi"/>
        </w:rPr>
      </w:pPr>
    </w:p>
    <w:p w14:paraId="6BDF75EB" w14:textId="77777777" w:rsidR="00DE5AF2" w:rsidRPr="007D6590" w:rsidRDefault="00DE5AF2" w:rsidP="00396E87">
      <w:pPr>
        <w:pStyle w:val="NormalOCAshurst"/>
        <w:spacing w:after="0"/>
        <w:jc w:val="left"/>
        <w:rPr>
          <w:rFonts w:asciiTheme="majorHAnsi" w:hAnsiTheme="majorHAnsi" w:cstheme="majorHAnsi"/>
        </w:rPr>
      </w:pPr>
    </w:p>
    <w:p w14:paraId="76BB9AE6" w14:textId="77777777" w:rsidR="00DE5AF2" w:rsidRPr="007D6590" w:rsidRDefault="00DE5AF2" w:rsidP="00396E87">
      <w:pPr>
        <w:pStyle w:val="NormalOCAshurst"/>
        <w:spacing w:after="0"/>
        <w:jc w:val="left"/>
        <w:rPr>
          <w:rFonts w:asciiTheme="majorHAnsi" w:hAnsiTheme="majorHAnsi" w:cstheme="majorHAnsi"/>
        </w:rPr>
      </w:pPr>
    </w:p>
    <w:p w14:paraId="1632645D" w14:textId="77777777" w:rsidR="00DE5AF2" w:rsidRPr="007D6590" w:rsidRDefault="00DE5AF2" w:rsidP="00396E87">
      <w:pPr>
        <w:pStyle w:val="NormalOCAshurst"/>
        <w:spacing w:after="0"/>
        <w:jc w:val="left"/>
        <w:rPr>
          <w:rFonts w:asciiTheme="majorHAnsi" w:hAnsiTheme="majorHAnsi" w:cstheme="majorHAnsi"/>
        </w:rPr>
      </w:pPr>
    </w:p>
    <w:p w14:paraId="26411289" w14:textId="77777777" w:rsidR="00DE5AF2" w:rsidRPr="007D6590" w:rsidRDefault="00DE5AF2" w:rsidP="00396E87">
      <w:pPr>
        <w:pStyle w:val="NormalOCAshurst"/>
        <w:spacing w:after="0"/>
        <w:jc w:val="left"/>
        <w:rPr>
          <w:rFonts w:asciiTheme="majorHAnsi" w:hAnsiTheme="majorHAnsi" w:cstheme="majorHAnsi"/>
        </w:rPr>
      </w:pPr>
    </w:p>
    <w:p w14:paraId="3D9962A0" w14:textId="77777777" w:rsidR="00E1052F" w:rsidRPr="00E1052F" w:rsidRDefault="00E1052F" w:rsidP="00396E87">
      <w:pPr>
        <w:pStyle w:val="NormalOCAshurst"/>
        <w:spacing w:after="0"/>
        <w:jc w:val="right"/>
        <w:rPr>
          <w:rFonts w:asciiTheme="majorHAnsi" w:hAnsiTheme="majorHAnsi" w:cstheme="majorHAnsi"/>
        </w:rPr>
      </w:pPr>
      <w:r w:rsidRPr="00E1052F">
        <w:rPr>
          <w:rFonts w:asciiTheme="majorHAnsi" w:hAnsiTheme="majorHAnsi" w:cstheme="majorHAnsi"/>
        </w:rPr>
        <w:t>1 New Street Square</w:t>
      </w:r>
    </w:p>
    <w:p w14:paraId="40695730" w14:textId="77777777" w:rsidR="00E1052F" w:rsidRPr="00E1052F" w:rsidRDefault="00E1052F" w:rsidP="00396E87">
      <w:pPr>
        <w:pStyle w:val="NormalOCAshurst"/>
        <w:spacing w:after="0"/>
        <w:jc w:val="right"/>
        <w:rPr>
          <w:rFonts w:asciiTheme="majorHAnsi" w:hAnsiTheme="majorHAnsi" w:cstheme="majorHAnsi"/>
        </w:rPr>
      </w:pPr>
      <w:r w:rsidRPr="00E1052F">
        <w:rPr>
          <w:rFonts w:asciiTheme="majorHAnsi" w:hAnsiTheme="majorHAnsi" w:cstheme="majorHAnsi"/>
        </w:rPr>
        <w:t>London</w:t>
      </w:r>
    </w:p>
    <w:p w14:paraId="0107340E" w14:textId="48C1F1E3" w:rsidR="00DE5AF2" w:rsidRPr="007D6590" w:rsidRDefault="00E1052F" w:rsidP="00396E87">
      <w:pPr>
        <w:pStyle w:val="NormalOCAshurst"/>
        <w:spacing w:after="0"/>
        <w:jc w:val="left"/>
        <w:rPr>
          <w:rFonts w:asciiTheme="majorHAnsi" w:hAnsiTheme="majorHAnsi" w:cstheme="majorHAnsi"/>
        </w:rPr>
      </w:pPr>
      <w:r w:rsidRPr="00E1052F">
        <w:rPr>
          <w:rFonts w:asciiTheme="majorHAnsi" w:hAnsiTheme="majorHAnsi" w:cstheme="majorHAnsi"/>
        </w:rPr>
        <w:t>EC4A 3HQ</w:t>
      </w:r>
    </w:p>
    <w:p w14:paraId="0C64B5E3" w14:textId="77777777" w:rsidR="00DE5AF2" w:rsidRPr="007D6590" w:rsidRDefault="00DE5AF2" w:rsidP="00396E87">
      <w:pPr>
        <w:pStyle w:val="NormalOCAshurst"/>
        <w:spacing w:after="0"/>
        <w:jc w:val="left"/>
        <w:rPr>
          <w:rFonts w:asciiTheme="majorHAnsi" w:hAnsiTheme="majorHAnsi" w:cstheme="majorHAnsi"/>
        </w:rPr>
      </w:pPr>
    </w:p>
    <w:p w14:paraId="0EA26CCF" w14:textId="77777777" w:rsidR="00DE5AF2" w:rsidRPr="007D6590" w:rsidRDefault="00DE5AF2" w:rsidP="00396E87">
      <w:pPr>
        <w:pStyle w:val="NormalOCAshurst"/>
        <w:spacing w:after="0"/>
        <w:jc w:val="left"/>
        <w:rPr>
          <w:rFonts w:asciiTheme="majorHAnsi" w:hAnsiTheme="majorHAnsi" w:cstheme="majorHAnsi"/>
        </w:rPr>
      </w:pPr>
      <w:r w:rsidRPr="007D6590">
        <w:rPr>
          <w:rFonts w:asciiTheme="majorHAnsi" w:hAnsiTheme="majorHAnsi" w:cstheme="majorHAnsi"/>
        </w:rPr>
        <w:t>The Board of Directors</w:t>
      </w:r>
    </w:p>
    <w:p w14:paraId="0834E7AE" w14:textId="77777777" w:rsidR="00DE5AF2" w:rsidRPr="007D6590" w:rsidRDefault="00DE5AF2" w:rsidP="00396E87">
      <w:pPr>
        <w:pStyle w:val="NormalOCAshurst"/>
        <w:spacing w:after="0"/>
        <w:jc w:val="left"/>
        <w:rPr>
          <w:rFonts w:asciiTheme="majorHAnsi" w:hAnsiTheme="majorHAnsi" w:cstheme="majorHAnsi"/>
        </w:rPr>
      </w:pPr>
      <w:r w:rsidRPr="007D6590">
        <w:rPr>
          <w:rFonts w:asciiTheme="majorHAnsi" w:hAnsiTheme="majorHAnsi" w:cstheme="majorHAnsi"/>
        </w:rPr>
        <w:t>on behalf of EnQuest Plc</w:t>
      </w:r>
    </w:p>
    <w:p w14:paraId="70A8A8F4" w14:textId="77777777" w:rsidR="00DE5AF2" w:rsidRPr="007D6590" w:rsidRDefault="00DE5AF2" w:rsidP="00396E87">
      <w:pPr>
        <w:pStyle w:val="NormalOCAshurst"/>
        <w:spacing w:after="0"/>
        <w:jc w:val="left"/>
        <w:rPr>
          <w:rFonts w:asciiTheme="majorHAnsi" w:hAnsiTheme="majorHAnsi" w:cstheme="majorHAnsi"/>
        </w:rPr>
      </w:pPr>
      <w:r w:rsidRPr="007D6590">
        <w:rPr>
          <w:rFonts w:asciiTheme="majorHAnsi" w:hAnsiTheme="majorHAnsi" w:cstheme="majorHAnsi"/>
        </w:rPr>
        <w:t>5th Floor, Cunard House</w:t>
      </w:r>
    </w:p>
    <w:p w14:paraId="11669DAE" w14:textId="77777777" w:rsidR="00DE5AF2" w:rsidRPr="007D6590" w:rsidRDefault="00DE5AF2" w:rsidP="00396E87">
      <w:pPr>
        <w:pStyle w:val="NormalOCAshurst"/>
        <w:spacing w:after="0"/>
        <w:jc w:val="left"/>
        <w:rPr>
          <w:rFonts w:asciiTheme="majorHAnsi" w:hAnsiTheme="majorHAnsi" w:cstheme="majorHAnsi"/>
        </w:rPr>
      </w:pPr>
      <w:r w:rsidRPr="007D6590">
        <w:rPr>
          <w:rFonts w:asciiTheme="majorHAnsi" w:hAnsiTheme="majorHAnsi" w:cstheme="majorHAnsi"/>
        </w:rPr>
        <w:t>15 Regent Street</w:t>
      </w:r>
    </w:p>
    <w:p w14:paraId="28BBCFD7" w14:textId="77777777" w:rsidR="00DE5AF2" w:rsidRPr="007D6590" w:rsidRDefault="00DE5AF2" w:rsidP="00396E87">
      <w:pPr>
        <w:pStyle w:val="NormalOCAshurst"/>
        <w:spacing w:after="0"/>
        <w:jc w:val="left"/>
        <w:rPr>
          <w:rFonts w:asciiTheme="majorHAnsi" w:hAnsiTheme="majorHAnsi" w:cstheme="majorHAnsi"/>
        </w:rPr>
      </w:pPr>
      <w:r w:rsidRPr="007D6590">
        <w:rPr>
          <w:rFonts w:asciiTheme="majorHAnsi" w:hAnsiTheme="majorHAnsi" w:cstheme="majorHAnsi"/>
        </w:rPr>
        <w:t>London</w:t>
      </w:r>
    </w:p>
    <w:p w14:paraId="4821245A" w14:textId="77777777" w:rsidR="00DE5AF2" w:rsidRPr="007D6590" w:rsidRDefault="00DE5AF2" w:rsidP="00396E87">
      <w:pPr>
        <w:pStyle w:val="NormalOCAshurst"/>
        <w:spacing w:after="0"/>
        <w:jc w:val="left"/>
        <w:rPr>
          <w:rFonts w:asciiTheme="majorHAnsi" w:hAnsiTheme="majorHAnsi" w:cstheme="majorHAnsi"/>
        </w:rPr>
      </w:pPr>
      <w:r w:rsidRPr="007D6590">
        <w:rPr>
          <w:rFonts w:asciiTheme="majorHAnsi" w:hAnsiTheme="majorHAnsi" w:cstheme="majorHAnsi"/>
        </w:rPr>
        <w:t>SW1Y 4LR</w:t>
      </w:r>
    </w:p>
    <w:p w14:paraId="3A7C61D8" w14:textId="77777777" w:rsidR="00DE5AF2" w:rsidRPr="007D6590" w:rsidRDefault="00DE5AF2" w:rsidP="00396E87">
      <w:pPr>
        <w:pStyle w:val="NormalOCAshurst"/>
        <w:spacing w:after="0"/>
        <w:jc w:val="left"/>
        <w:rPr>
          <w:rFonts w:asciiTheme="majorHAnsi" w:hAnsiTheme="majorHAnsi" w:cstheme="majorHAnsi"/>
        </w:rPr>
      </w:pPr>
    </w:p>
    <w:p w14:paraId="50C26A71" w14:textId="77777777" w:rsidR="00DE5AF2" w:rsidRPr="007D6590" w:rsidRDefault="00DE5AF2" w:rsidP="00396E87">
      <w:pPr>
        <w:pStyle w:val="NormalOCAshurst"/>
        <w:spacing w:after="0"/>
        <w:jc w:val="left"/>
        <w:rPr>
          <w:rFonts w:asciiTheme="majorHAnsi" w:hAnsiTheme="majorHAnsi" w:cstheme="majorHAnsi"/>
        </w:rPr>
      </w:pPr>
      <w:r w:rsidRPr="007D6590">
        <w:rPr>
          <w:rFonts w:asciiTheme="majorHAnsi" w:hAnsiTheme="majorHAnsi" w:cstheme="majorHAnsi"/>
        </w:rPr>
        <w:t>J.P. Morgan Securities Plc</w:t>
      </w:r>
    </w:p>
    <w:p w14:paraId="4D7A5C1F" w14:textId="77777777" w:rsidR="00DE5AF2" w:rsidRPr="007D6590" w:rsidRDefault="00DE5AF2" w:rsidP="00396E87">
      <w:pPr>
        <w:pStyle w:val="NormalOCAshurst"/>
        <w:spacing w:after="0"/>
        <w:jc w:val="left"/>
        <w:rPr>
          <w:rFonts w:asciiTheme="majorHAnsi" w:hAnsiTheme="majorHAnsi" w:cstheme="majorHAnsi"/>
        </w:rPr>
      </w:pPr>
      <w:r w:rsidRPr="007D6590">
        <w:rPr>
          <w:rFonts w:asciiTheme="majorHAnsi" w:hAnsiTheme="majorHAnsi" w:cstheme="majorHAnsi"/>
        </w:rPr>
        <w:t>25 Bank Street</w:t>
      </w:r>
    </w:p>
    <w:p w14:paraId="6A2D00C1" w14:textId="77777777" w:rsidR="00DE5AF2" w:rsidRPr="007D6590" w:rsidRDefault="00DE5AF2" w:rsidP="00396E87">
      <w:pPr>
        <w:pStyle w:val="NormalOCAshurst"/>
        <w:spacing w:after="0"/>
        <w:jc w:val="left"/>
        <w:rPr>
          <w:rFonts w:asciiTheme="majorHAnsi" w:hAnsiTheme="majorHAnsi" w:cstheme="majorHAnsi"/>
        </w:rPr>
      </w:pPr>
      <w:r w:rsidRPr="007D6590">
        <w:rPr>
          <w:rFonts w:asciiTheme="majorHAnsi" w:hAnsiTheme="majorHAnsi" w:cstheme="majorHAnsi"/>
        </w:rPr>
        <w:t xml:space="preserve">London  </w:t>
      </w:r>
    </w:p>
    <w:p w14:paraId="5B82D0BE" w14:textId="77777777" w:rsidR="00DE5AF2" w:rsidRPr="007D6590" w:rsidRDefault="00DE5AF2" w:rsidP="00396E87">
      <w:pPr>
        <w:pStyle w:val="NormalOCAshurst"/>
        <w:spacing w:after="0"/>
        <w:jc w:val="left"/>
        <w:rPr>
          <w:rFonts w:asciiTheme="majorHAnsi" w:hAnsiTheme="majorHAnsi" w:cstheme="majorHAnsi"/>
        </w:rPr>
      </w:pPr>
      <w:r w:rsidRPr="007D6590">
        <w:rPr>
          <w:rFonts w:asciiTheme="majorHAnsi" w:hAnsiTheme="majorHAnsi" w:cstheme="majorHAnsi"/>
        </w:rPr>
        <w:t>E14 5JP</w:t>
      </w:r>
    </w:p>
    <w:p w14:paraId="448EE0B1" w14:textId="77777777" w:rsidR="00DE5AF2" w:rsidRPr="007D6590" w:rsidRDefault="00DE5AF2" w:rsidP="00396E87">
      <w:pPr>
        <w:pStyle w:val="NormalOCAshurst"/>
        <w:spacing w:after="0"/>
        <w:jc w:val="left"/>
        <w:rPr>
          <w:rFonts w:asciiTheme="majorHAnsi" w:hAnsiTheme="majorHAnsi" w:cstheme="majorHAnsi"/>
        </w:rPr>
      </w:pPr>
    </w:p>
    <w:p w14:paraId="384EADB5" w14:textId="0EECDAB7" w:rsidR="00DE5AF2" w:rsidRPr="007D6590" w:rsidRDefault="006D1B33" w:rsidP="00396E87">
      <w:pPr>
        <w:pStyle w:val="NormalOCAshurst"/>
        <w:spacing w:after="0"/>
        <w:jc w:val="left"/>
        <w:rPr>
          <w:rFonts w:asciiTheme="majorHAnsi" w:hAnsiTheme="majorHAnsi" w:cstheme="majorHAnsi"/>
        </w:rPr>
      </w:pPr>
      <w:r>
        <w:rPr>
          <w:rFonts w:asciiTheme="majorHAnsi" w:hAnsiTheme="majorHAnsi" w:cstheme="majorHAnsi"/>
        </w:rPr>
        <w:t>5</w:t>
      </w:r>
      <w:r w:rsidR="00F42609">
        <w:rPr>
          <w:rFonts w:asciiTheme="majorHAnsi" w:hAnsiTheme="majorHAnsi" w:cstheme="majorHAnsi"/>
        </w:rPr>
        <w:t xml:space="preserve"> </w:t>
      </w:r>
      <w:r w:rsidR="00225053">
        <w:rPr>
          <w:rFonts w:asciiTheme="majorHAnsi" w:hAnsiTheme="majorHAnsi" w:cstheme="majorHAnsi"/>
        </w:rPr>
        <w:t>October</w:t>
      </w:r>
      <w:r w:rsidR="00225053" w:rsidRPr="007D6590">
        <w:rPr>
          <w:rFonts w:asciiTheme="majorHAnsi" w:hAnsiTheme="majorHAnsi" w:cstheme="majorHAnsi"/>
        </w:rPr>
        <w:t xml:space="preserve"> </w:t>
      </w:r>
      <w:r w:rsidR="00DE5AF2" w:rsidRPr="007D6590">
        <w:rPr>
          <w:rFonts w:asciiTheme="majorHAnsi" w:hAnsiTheme="majorHAnsi" w:cstheme="majorHAnsi"/>
        </w:rPr>
        <w:t>2021</w:t>
      </w:r>
    </w:p>
    <w:p w14:paraId="3D6AD691" w14:textId="77777777" w:rsidR="00DE5AF2" w:rsidRPr="007D6590" w:rsidRDefault="00DE5AF2" w:rsidP="00396E87">
      <w:pPr>
        <w:pStyle w:val="NormalOCAshurst"/>
        <w:spacing w:after="0"/>
        <w:jc w:val="left"/>
        <w:rPr>
          <w:rFonts w:asciiTheme="majorHAnsi" w:hAnsiTheme="majorHAnsi" w:cstheme="majorHAnsi"/>
        </w:rPr>
      </w:pPr>
    </w:p>
    <w:p w14:paraId="46B63C09" w14:textId="77777777"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Dear Sirs/Mesdames,</w:t>
      </w:r>
    </w:p>
    <w:p w14:paraId="582A0A6C" w14:textId="18DF5203" w:rsidR="00DE5AF2" w:rsidRPr="007D6590" w:rsidRDefault="00DE5AF2" w:rsidP="00396E87">
      <w:pPr>
        <w:pStyle w:val="NormalOCAshurst"/>
        <w:rPr>
          <w:rFonts w:asciiTheme="majorHAnsi" w:hAnsiTheme="majorHAnsi" w:cstheme="majorHAnsi"/>
          <w:b/>
          <w:bCs/>
        </w:rPr>
      </w:pPr>
      <w:r w:rsidRPr="007D6590">
        <w:rPr>
          <w:rFonts w:asciiTheme="majorHAnsi" w:hAnsiTheme="majorHAnsi" w:cstheme="majorHAnsi"/>
          <w:b/>
          <w:bCs/>
        </w:rPr>
        <w:t xml:space="preserve">EnQuest </w:t>
      </w:r>
      <w:r w:rsidR="005D59E5">
        <w:rPr>
          <w:rFonts w:asciiTheme="majorHAnsi" w:hAnsiTheme="majorHAnsi" w:cstheme="majorHAnsi"/>
          <w:b/>
          <w:bCs/>
        </w:rPr>
        <w:t>PLC</w:t>
      </w:r>
      <w:r w:rsidRPr="007D6590">
        <w:rPr>
          <w:rFonts w:asciiTheme="majorHAnsi" w:hAnsiTheme="majorHAnsi" w:cstheme="majorHAnsi"/>
          <w:b/>
          <w:bCs/>
        </w:rPr>
        <w:t xml:space="preserve"> (the "Company")</w:t>
      </w:r>
    </w:p>
    <w:p w14:paraId="5FDEB350" w14:textId="2947CA2B"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hint="eastAsia"/>
        </w:rPr>
        <w:t xml:space="preserve">We report on the </w:t>
      </w:r>
      <w:r w:rsidR="00920C92">
        <w:rPr>
          <w:rFonts w:asciiTheme="majorHAnsi" w:hAnsiTheme="majorHAnsi" w:cstheme="majorHAnsi"/>
        </w:rPr>
        <w:t xml:space="preserve">unaudited </w:t>
      </w:r>
      <w:r w:rsidRPr="007D6590">
        <w:rPr>
          <w:rFonts w:asciiTheme="majorHAnsi" w:hAnsiTheme="majorHAnsi" w:cstheme="majorHAnsi" w:hint="eastAsia"/>
        </w:rPr>
        <w:t>pro forma financial information (the</w:t>
      </w:r>
      <w:r w:rsidRPr="007D6590">
        <w:rPr>
          <w:rFonts w:asciiTheme="majorHAnsi" w:hAnsiTheme="majorHAnsi" w:cstheme="majorHAnsi"/>
        </w:rPr>
        <w:t xml:space="preserve"> </w:t>
      </w:r>
      <w:r w:rsidRPr="007D6590">
        <w:rPr>
          <w:rFonts w:asciiTheme="majorHAnsi" w:hAnsiTheme="majorHAnsi" w:cstheme="majorHAnsi" w:hint="eastAsia"/>
        </w:rPr>
        <w:t>"</w:t>
      </w:r>
      <w:r w:rsidRPr="007D6590">
        <w:rPr>
          <w:rFonts w:asciiTheme="majorHAnsi" w:hAnsiTheme="majorHAnsi" w:cstheme="majorHAnsi" w:hint="eastAsia"/>
          <w:b/>
          <w:bCs/>
        </w:rPr>
        <w:t xml:space="preserve">Pro forma financial </w:t>
      </w:r>
      <w:r w:rsidRPr="007D6590">
        <w:rPr>
          <w:rFonts w:asciiTheme="majorHAnsi" w:hAnsiTheme="majorHAnsi" w:cstheme="majorHAnsi"/>
          <w:b/>
          <w:bCs/>
        </w:rPr>
        <w:t>information</w:t>
      </w:r>
      <w:r w:rsidRPr="007D6590">
        <w:rPr>
          <w:rFonts w:asciiTheme="majorHAnsi" w:hAnsiTheme="majorHAnsi" w:cstheme="majorHAnsi"/>
        </w:rPr>
        <w:t>"</w:t>
      </w:r>
      <w:r w:rsidRPr="007D6590">
        <w:rPr>
          <w:rFonts w:asciiTheme="majorHAnsi" w:hAnsiTheme="majorHAnsi" w:cstheme="majorHAnsi" w:hint="eastAsia"/>
        </w:rPr>
        <w:t xml:space="preserve">) set out in </w:t>
      </w:r>
      <w:r w:rsidR="00DE406E">
        <w:rPr>
          <w:rFonts w:asciiTheme="majorHAnsi" w:hAnsiTheme="majorHAnsi" w:cstheme="majorHAnsi"/>
        </w:rPr>
        <w:fldChar w:fldCharType="begin"/>
      </w:r>
      <w:r w:rsidR="00DE406E">
        <w:rPr>
          <w:rFonts w:asciiTheme="majorHAnsi" w:hAnsiTheme="majorHAnsi" w:cstheme="majorHAnsi"/>
        </w:rPr>
        <w:instrText xml:space="preserve"> REF _Ref65772195 \r \h </w:instrText>
      </w:r>
      <w:r w:rsidR="00DE406E">
        <w:rPr>
          <w:rFonts w:asciiTheme="majorHAnsi" w:hAnsiTheme="majorHAnsi" w:cstheme="majorHAnsi"/>
        </w:rPr>
      </w:r>
      <w:r w:rsidR="00DE406E">
        <w:rPr>
          <w:rFonts w:asciiTheme="majorHAnsi" w:hAnsiTheme="majorHAnsi" w:cstheme="majorHAnsi"/>
        </w:rPr>
        <w:fldChar w:fldCharType="separate"/>
      </w:r>
      <w:r w:rsidR="002D487F">
        <w:rPr>
          <w:rFonts w:asciiTheme="majorHAnsi" w:hAnsiTheme="majorHAnsi" w:cstheme="majorHAnsi"/>
          <w:cs/>
        </w:rPr>
        <w:t>‎</w:t>
      </w:r>
      <w:r w:rsidR="002D487F">
        <w:rPr>
          <w:rFonts w:asciiTheme="majorHAnsi" w:hAnsiTheme="majorHAnsi" w:cstheme="majorHAnsi"/>
        </w:rPr>
        <w:t>Part 2</w:t>
      </w:r>
      <w:r w:rsidR="00DE406E">
        <w:rPr>
          <w:rFonts w:asciiTheme="majorHAnsi" w:hAnsiTheme="majorHAnsi" w:cstheme="majorHAnsi"/>
        </w:rPr>
        <w:fldChar w:fldCharType="end"/>
      </w:r>
      <w:r w:rsidR="00DE406E">
        <w:rPr>
          <w:rFonts w:asciiTheme="majorHAnsi" w:hAnsiTheme="majorHAnsi" w:cstheme="majorHAnsi"/>
        </w:rPr>
        <w:t xml:space="preserve"> </w:t>
      </w:r>
      <w:r w:rsidRPr="007D6590">
        <w:rPr>
          <w:rFonts w:asciiTheme="majorHAnsi" w:hAnsiTheme="majorHAnsi" w:cstheme="majorHAnsi" w:hint="eastAsia"/>
        </w:rPr>
        <w:t xml:space="preserve">of the </w:t>
      </w:r>
      <w:r w:rsidR="00DE406E">
        <w:rPr>
          <w:rFonts w:asciiTheme="majorHAnsi" w:hAnsiTheme="majorHAnsi" w:cstheme="majorHAnsi"/>
        </w:rPr>
        <w:t>supplementary</w:t>
      </w:r>
      <w:r w:rsidRPr="007D6590">
        <w:rPr>
          <w:rFonts w:asciiTheme="majorHAnsi" w:hAnsiTheme="majorHAnsi" w:cstheme="majorHAnsi"/>
        </w:rPr>
        <w:t xml:space="preserve"> </w:t>
      </w:r>
      <w:r w:rsidRPr="007D6590">
        <w:rPr>
          <w:rFonts w:asciiTheme="majorHAnsi" w:hAnsiTheme="majorHAnsi" w:cstheme="majorHAnsi" w:hint="eastAsia"/>
        </w:rPr>
        <w:t xml:space="preserve">prospectus dated </w:t>
      </w:r>
      <w:r w:rsidR="006D1B33">
        <w:rPr>
          <w:rFonts w:asciiTheme="majorHAnsi" w:hAnsiTheme="majorHAnsi" w:cstheme="majorHAnsi"/>
        </w:rPr>
        <w:t>5</w:t>
      </w:r>
      <w:r w:rsidR="00F42609">
        <w:rPr>
          <w:rFonts w:asciiTheme="majorHAnsi" w:hAnsiTheme="majorHAnsi" w:cstheme="majorHAnsi"/>
        </w:rPr>
        <w:t xml:space="preserve"> </w:t>
      </w:r>
      <w:r w:rsidR="00225053">
        <w:rPr>
          <w:rFonts w:asciiTheme="majorHAnsi" w:hAnsiTheme="majorHAnsi" w:cstheme="majorHAnsi"/>
        </w:rPr>
        <w:t xml:space="preserve">October </w:t>
      </w:r>
      <w:r w:rsidRPr="007D6590">
        <w:rPr>
          <w:rFonts w:asciiTheme="majorHAnsi" w:hAnsiTheme="majorHAnsi" w:cstheme="majorHAnsi"/>
        </w:rPr>
        <w:t>2021</w:t>
      </w:r>
      <w:r w:rsidRPr="007D6590">
        <w:rPr>
          <w:rFonts w:asciiTheme="majorHAnsi" w:hAnsiTheme="majorHAnsi" w:cstheme="majorHAnsi" w:hint="eastAsia"/>
        </w:rPr>
        <w:t xml:space="preserve"> (the </w:t>
      </w:r>
      <w:r w:rsidRPr="007D6590">
        <w:rPr>
          <w:rFonts w:asciiTheme="majorHAnsi" w:hAnsiTheme="majorHAnsi" w:cstheme="majorHAnsi"/>
        </w:rPr>
        <w:t>"</w:t>
      </w:r>
      <w:r w:rsidR="002C52C0" w:rsidRPr="001E486A">
        <w:rPr>
          <w:rFonts w:asciiTheme="majorHAnsi" w:hAnsiTheme="majorHAnsi" w:cstheme="majorHAnsi"/>
          <w:b/>
          <w:bCs/>
        </w:rPr>
        <w:t>Supplementary</w:t>
      </w:r>
      <w:r w:rsidR="002C52C0">
        <w:rPr>
          <w:rFonts w:asciiTheme="majorHAnsi" w:hAnsiTheme="majorHAnsi" w:cstheme="majorHAnsi"/>
        </w:rPr>
        <w:t xml:space="preserve"> </w:t>
      </w:r>
      <w:r w:rsidRPr="007D6590">
        <w:rPr>
          <w:rFonts w:asciiTheme="majorHAnsi" w:hAnsiTheme="majorHAnsi" w:cstheme="majorHAnsi"/>
          <w:b/>
          <w:bCs/>
        </w:rPr>
        <w:t>Prospectus</w:t>
      </w:r>
      <w:r w:rsidRPr="007D6590">
        <w:rPr>
          <w:rFonts w:asciiTheme="majorHAnsi" w:hAnsiTheme="majorHAnsi" w:cstheme="majorHAnsi"/>
        </w:rPr>
        <w:t>"</w:t>
      </w:r>
      <w:r w:rsidRPr="007D6590">
        <w:rPr>
          <w:rFonts w:asciiTheme="majorHAnsi" w:hAnsiTheme="majorHAnsi" w:cstheme="majorHAnsi" w:hint="eastAsia"/>
        </w:rPr>
        <w:t xml:space="preserve">). This report is required </w:t>
      </w:r>
      <w:r w:rsidR="00721DAD">
        <w:rPr>
          <w:rFonts w:asciiTheme="majorHAnsi" w:hAnsiTheme="majorHAnsi" w:cstheme="majorHAnsi"/>
        </w:rPr>
        <w:t>by</w:t>
      </w:r>
      <w:r w:rsidR="00920C92">
        <w:rPr>
          <w:rFonts w:asciiTheme="majorHAnsi" w:hAnsiTheme="majorHAnsi" w:cstheme="majorHAnsi"/>
        </w:rPr>
        <w:t xml:space="preserve"> Annex 20, section 3</w:t>
      </w:r>
      <w:r w:rsidRPr="007D6590">
        <w:rPr>
          <w:rFonts w:asciiTheme="majorHAnsi" w:hAnsiTheme="majorHAnsi" w:cstheme="majorHAnsi" w:hint="eastAsia"/>
        </w:rPr>
        <w:t xml:space="preserve"> of the </w:t>
      </w:r>
      <w:r w:rsidR="001367C5">
        <w:rPr>
          <w:rFonts w:asciiTheme="majorHAnsi" w:hAnsiTheme="majorHAnsi" w:cstheme="majorHAnsi"/>
        </w:rPr>
        <w:t xml:space="preserve">UK </w:t>
      </w:r>
      <w:r w:rsidR="00721DAD">
        <w:rPr>
          <w:rFonts w:asciiTheme="majorHAnsi" w:hAnsiTheme="majorHAnsi" w:cstheme="majorHAnsi"/>
        </w:rPr>
        <w:t>v</w:t>
      </w:r>
      <w:r w:rsidR="001367C5">
        <w:rPr>
          <w:rFonts w:asciiTheme="majorHAnsi" w:hAnsiTheme="majorHAnsi" w:cstheme="majorHAnsi"/>
        </w:rPr>
        <w:t xml:space="preserve">ersion of the </w:t>
      </w:r>
      <w:r w:rsidRPr="007D6590">
        <w:rPr>
          <w:rFonts w:asciiTheme="majorHAnsi" w:hAnsiTheme="majorHAnsi" w:cstheme="majorHAnsi" w:hint="eastAsia"/>
        </w:rPr>
        <w:t>Commission Delegated Regulation (EU) 2</w:t>
      </w:r>
      <w:r w:rsidRPr="007D6590">
        <w:rPr>
          <w:rFonts w:asciiTheme="majorHAnsi" w:hAnsiTheme="majorHAnsi" w:cstheme="majorHAnsi"/>
        </w:rPr>
        <w:t>019/980 (the "</w:t>
      </w:r>
      <w:r w:rsidRPr="007D6590">
        <w:rPr>
          <w:rFonts w:asciiTheme="majorHAnsi" w:hAnsiTheme="majorHAnsi" w:cstheme="majorHAnsi"/>
          <w:b/>
          <w:bCs/>
        </w:rPr>
        <w:t>Prospectus Delegated Regulation</w:t>
      </w:r>
      <w:r w:rsidRPr="007D6590">
        <w:rPr>
          <w:rFonts w:asciiTheme="majorHAnsi" w:hAnsiTheme="majorHAnsi" w:cstheme="majorHAnsi"/>
        </w:rPr>
        <w:t>")</w:t>
      </w:r>
      <w:r w:rsidR="005D59E5">
        <w:rPr>
          <w:rFonts w:asciiTheme="majorHAnsi" w:hAnsiTheme="majorHAnsi" w:cstheme="majorHAnsi"/>
        </w:rPr>
        <w:t xml:space="preserve"> and the </w:t>
      </w:r>
      <w:r w:rsidR="005D59E5" w:rsidRPr="005D59E5">
        <w:rPr>
          <w:rFonts w:asciiTheme="majorHAnsi" w:hAnsiTheme="majorHAnsi" w:cstheme="majorHAnsi"/>
        </w:rPr>
        <w:t>Prospectus Delegated Regulation</w:t>
      </w:r>
      <w:r w:rsidR="005D59E5">
        <w:rPr>
          <w:rFonts w:asciiTheme="majorHAnsi" w:hAnsiTheme="majorHAnsi" w:cstheme="majorHAnsi"/>
        </w:rPr>
        <w:t xml:space="preserve"> as applied by Listing Rule 13.3</w:t>
      </w:r>
      <w:r w:rsidR="00A148B2">
        <w:rPr>
          <w:rFonts w:asciiTheme="majorHAnsi" w:hAnsiTheme="majorHAnsi" w:cstheme="majorHAnsi"/>
        </w:rPr>
        <w:t>.3</w:t>
      </w:r>
      <w:r w:rsidR="005D59E5">
        <w:rPr>
          <w:rFonts w:asciiTheme="majorHAnsi" w:hAnsiTheme="majorHAnsi" w:cstheme="majorHAnsi"/>
        </w:rPr>
        <w:t>R</w:t>
      </w:r>
      <w:r w:rsidRPr="007D6590">
        <w:rPr>
          <w:rFonts w:asciiTheme="majorHAnsi" w:hAnsiTheme="majorHAnsi" w:cstheme="majorHAnsi"/>
        </w:rPr>
        <w:t xml:space="preserve"> and is given for the purpose of complying with </w:t>
      </w:r>
      <w:r w:rsidR="005D59E5">
        <w:rPr>
          <w:rFonts w:asciiTheme="majorHAnsi" w:hAnsiTheme="majorHAnsi" w:cstheme="majorHAnsi"/>
        </w:rPr>
        <w:t>these requirements</w:t>
      </w:r>
      <w:r w:rsidRPr="007D6590">
        <w:rPr>
          <w:rFonts w:asciiTheme="majorHAnsi" w:hAnsiTheme="majorHAnsi" w:cstheme="majorHAnsi"/>
        </w:rPr>
        <w:t xml:space="preserve"> and for no other purpose.</w:t>
      </w:r>
    </w:p>
    <w:p w14:paraId="7D91FB58" w14:textId="77777777" w:rsidR="00DE5AF2" w:rsidRPr="007D6590" w:rsidRDefault="00DE5AF2" w:rsidP="00396E87">
      <w:pPr>
        <w:pStyle w:val="NormalOCAshurst"/>
        <w:rPr>
          <w:rFonts w:asciiTheme="majorHAnsi" w:hAnsiTheme="majorHAnsi" w:cstheme="majorHAnsi"/>
          <w:b/>
          <w:bCs/>
        </w:rPr>
      </w:pPr>
      <w:r w:rsidRPr="007D6590">
        <w:rPr>
          <w:rFonts w:asciiTheme="majorHAnsi" w:hAnsiTheme="majorHAnsi" w:cstheme="majorHAnsi"/>
          <w:b/>
          <w:bCs/>
        </w:rPr>
        <w:t>Opinion</w:t>
      </w:r>
    </w:p>
    <w:p w14:paraId="646465C3" w14:textId="77777777"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In our opinion:</w:t>
      </w:r>
    </w:p>
    <w:p w14:paraId="7AA0E159" w14:textId="139FEE6D"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(a)</w:t>
      </w:r>
      <w:r w:rsidRPr="007D6590">
        <w:rPr>
          <w:rFonts w:asciiTheme="majorHAnsi" w:hAnsiTheme="majorHAnsi" w:cstheme="majorHAnsi"/>
        </w:rPr>
        <w:tab/>
        <w:t xml:space="preserve">the </w:t>
      </w:r>
      <w:r w:rsidR="002C52C0">
        <w:rPr>
          <w:rFonts w:asciiTheme="majorHAnsi" w:hAnsiTheme="majorHAnsi" w:cstheme="majorHAnsi"/>
        </w:rPr>
        <w:t>P</w:t>
      </w:r>
      <w:r w:rsidRPr="007D6590">
        <w:rPr>
          <w:rFonts w:asciiTheme="majorHAnsi" w:hAnsiTheme="majorHAnsi" w:cstheme="majorHAnsi"/>
        </w:rPr>
        <w:t>ro forma financial information has been properly compiled on the basis stated; and</w:t>
      </w:r>
    </w:p>
    <w:p w14:paraId="08F208AC" w14:textId="77777777"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(b)</w:t>
      </w:r>
      <w:r w:rsidRPr="007D6590">
        <w:rPr>
          <w:rFonts w:asciiTheme="majorHAnsi" w:hAnsiTheme="majorHAnsi" w:cstheme="majorHAnsi"/>
        </w:rPr>
        <w:tab/>
        <w:t>such basis is consistent with the accounting policies of the Company.</w:t>
      </w:r>
    </w:p>
    <w:p w14:paraId="48437358" w14:textId="77777777" w:rsidR="00DE5AF2" w:rsidRPr="007D6590" w:rsidRDefault="00DE5AF2" w:rsidP="00396E87">
      <w:pPr>
        <w:pStyle w:val="NormalOCAshurst"/>
        <w:rPr>
          <w:rFonts w:asciiTheme="majorHAnsi" w:hAnsiTheme="majorHAnsi" w:cstheme="majorHAnsi"/>
          <w:b/>
          <w:bCs/>
        </w:rPr>
      </w:pPr>
      <w:r w:rsidRPr="007D6590">
        <w:rPr>
          <w:rFonts w:asciiTheme="majorHAnsi" w:hAnsiTheme="majorHAnsi" w:cstheme="majorHAnsi"/>
          <w:b/>
          <w:bCs/>
        </w:rPr>
        <w:t>Responsibilities</w:t>
      </w:r>
    </w:p>
    <w:p w14:paraId="5EACCE09" w14:textId="77777777"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It is the responsibility of the directors of the Company (the "</w:t>
      </w:r>
      <w:r w:rsidRPr="007D6590">
        <w:rPr>
          <w:rFonts w:asciiTheme="majorHAnsi" w:hAnsiTheme="majorHAnsi" w:cstheme="majorHAnsi"/>
          <w:b/>
          <w:bCs/>
        </w:rPr>
        <w:t>Directors</w:t>
      </w:r>
      <w:r w:rsidRPr="007D6590">
        <w:rPr>
          <w:rFonts w:asciiTheme="majorHAnsi" w:hAnsiTheme="majorHAnsi" w:cstheme="majorHAnsi"/>
        </w:rPr>
        <w:t>") to prepare the Pro forma financial information in accordance with Annex 20 sections 1 and 2 of the Prospectus Delegated Regulation.</w:t>
      </w:r>
    </w:p>
    <w:p w14:paraId="26690BA8" w14:textId="77777777"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It is our responsibility to form an opinion, as to the proper compilation of the Pro forma financial information and to report that opinion to you in accordance with Annex 20 section 3 of the Prospectus Delegated Regulation.</w:t>
      </w:r>
    </w:p>
    <w:p w14:paraId="26F10473" w14:textId="7AC2CBAF"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Save for any responsibility arising under Prospectus Regulation Rule 5.3.2R(2)(f) to any person as and to the extent there provided, to the fullest extent permitted by law we do not assume any responsibility and will not accept any liability to any other person for any loss suffered by any such other person as a result of, arising out of, or in connection with this report or our statement, required by and given solely for the purposes of complying with Annex 1 item 1.3 of the Prospectus Delegated Regulation, consenting to its inclusion in the</w:t>
      </w:r>
      <w:r w:rsidR="00721DAD">
        <w:rPr>
          <w:rFonts w:asciiTheme="majorHAnsi" w:hAnsiTheme="majorHAnsi" w:cstheme="majorHAnsi"/>
        </w:rPr>
        <w:t xml:space="preserve"> Supplementary</w:t>
      </w:r>
      <w:r w:rsidRPr="007D6590">
        <w:rPr>
          <w:rFonts w:asciiTheme="majorHAnsi" w:hAnsiTheme="majorHAnsi" w:cstheme="majorHAnsi"/>
        </w:rPr>
        <w:t xml:space="preserve"> Prospectus.</w:t>
      </w:r>
    </w:p>
    <w:p w14:paraId="07447025" w14:textId="77777777"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lastRenderedPageBreak/>
        <w:t>In providing this opinion we are not updating or refreshing any reports or opinions previously made by us on any financial information used in the compilation of the pro forma financial information, nor do we accept responsibility for such reports or opinions beyond that owed to those to whom those reports or opinions were addressed at the date of their issue.</w:t>
      </w:r>
    </w:p>
    <w:p w14:paraId="678EF00A" w14:textId="77777777" w:rsidR="00DE5AF2" w:rsidRPr="007D6590" w:rsidRDefault="00DE5AF2" w:rsidP="00396E87">
      <w:pPr>
        <w:pStyle w:val="NormalOCAshurst"/>
        <w:rPr>
          <w:rFonts w:asciiTheme="majorHAnsi" w:hAnsiTheme="majorHAnsi" w:cstheme="majorHAnsi"/>
          <w:b/>
          <w:bCs/>
        </w:rPr>
      </w:pPr>
      <w:r w:rsidRPr="007D6590">
        <w:rPr>
          <w:rFonts w:asciiTheme="majorHAnsi" w:hAnsiTheme="majorHAnsi" w:cstheme="majorHAnsi"/>
          <w:b/>
          <w:bCs/>
        </w:rPr>
        <w:t>Basis of preparation</w:t>
      </w:r>
    </w:p>
    <w:p w14:paraId="719B9D1A" w14:textId="3FBCD301"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 xml:space="preserve">The pro forma financial information has been prepared on the basis described </w:t>
      </w:r>
      <w:r w:rsidR="00F94EA9">
        <w:rPr>
          <w:rFonts w:asciiTheme="majorHAnsi" w:hAnsiTheme="majorHAnsi" w:cstheme="majorHAnsi"/>
        </w:rPr>
        <w:t xml:space="preserve">in </w:t>
      </w:r>
      <w:r w:rsidR="00274334">
        <w:rPr>
          <w:rFonts w:asciiTheme="majorHAnsi" w:hAnsiTheme="majorHAnsi" w:cstheme="majorHAnsi"/>
        </w:rPr>
        <w:t>Part 2 of the Supplementary Prospectus</w:t>
      </w:r>
      <w:r w:rsidRPr="007D6590">
        <w:rPr>
          <w:rFonts w:asciiTheme="majorHAnsi" w:hAnsiTheme="majorHAnsi" w:cstheme="majorHAnsi"/>
        </w:rPr>
        <w:t xml:space="preserve">, for illustrative purposes only, to provide information about how the </w:t>
      </w:r>
      <w:r w:rsidR="00274334">
        <w:rPr>
          <w:rFonts w:asciiTheme="majorHAnsi" w:hAnsiTheme="majorHAnsi" w:cstheme="majorHAnsi"/>
        </w:rPr>
        <w:t>t</w:t>
      </w:r>
      <w:r w:rsidR="005D59E5">
        <w:rPr>
          <w:rFonts w:asciiTheme="majorHAnsi" w:hAnsiTheme="majorHAnsi" w:cstheme="majorHAnsi"/>
        </w:rPr>
        <w:t>ransaction</w:t>
      </w:r>
      <w:r w:rsidRPr="007D6590">
        <w:rPr>
          <w:rFonts w:asciiTheme="majorHAnsi" w:hAnsiTheme="majorHAnsi" w:cstheme="majorHAnsi"/>
        </w:rPr>
        <w:t xml:space="preserve"> might have affected the financial information presented on the basis of the accounting policies adopted by the Company in preparing the financial statements for the period ended</w:t>
      </w:r>
      <w:r w:rsidR="00274334">
        <w:rPr>
          <w:rFonts w:asciiTheme="majorHAnsi" w:hAnsiTheme="majorHAnsi" w:cstheme="majorHAnsi"/>
        </w:rPr>
        <w:t xml:space="preserve"> 31 December 2020</w:t>
      </w:r>
      <w:r w:rsidRPr="007D6590">
        <w:rPr>
          <w:rFonts w:asciiTheme="majorHAnsi" w:hAnsiTheme="majorHAnsi" w:cstheme="majorHAnsi"/>
        </w:rPr>
        <w:t xml:space="preserve">. </w:t>
      </w:r>
    </w:p>
    <w:p w14:paraId="79E6D6BE" w14:textId="77777777" w:rsidR="00DE5AF2" w:rsidRPr="007D6590" w:rsidRDefault="00DE5AF2" w:rsidP="00396E87">
      <w:pPr>
        <w:pStyle w:val="NormalOCAshurst"/>
        <w:rPr>
          <w:rFonts w:asciiTheme="majorHAnsi" w:hAnsiTheme="majorHAnsi" w:cstheme="majorHAnsi"/>
          <w:b/>
          <w:bCs/>
        </w:rPr>
      </w:pPr>
      <w:r w:rsidRPr="007D6590">
        <w:rPr>
          <w:rFonts w:asciiTheme="majorHAnsi" w:hAnsiTheme="majorHAnsi" w:cstheme="majorHAnsi"/>
          <w:b/>
          <w:bCs/>
        </w:rPr>
        <w:t>Basis of Opinion</w:t>
      </w:r>
    </w:p>
    <w:p w14:paraId="27C9313C" w14:textId="77777777"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We conducted our work in accordance with the Standards for Investment Reporting issued by the Financial Reporting Council in the United Kingdom.  We are independent of the Company and North Sea (Golden Eagle) Resources Ltd in accordance with the Financial Reporting Council's Ethical Standard as applied to Investment Circular Reporting Engagements, and we have fulfilled our other ethical responsibilities in accordance with these requirements.</w:t>
      </w:r>
    </w:p>
    <w:p w14:paraId="6C728829" w14:textId="77777777"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The work that we performed for the purpose of making this report, which involved no independent examination of any of the underlying financial information, consisted primarily of comparing the unadjusted financial information with the source documents, considering the evidence supporting the adjustments and discussing the Pro forma financial information with the Directors.</w:t>
      </w:r>
    </w:p>
    <w:p w14:paraId="00DE8409" w14:textId="77777777"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We planned and performed our work so as to obtain the information and explanations we considered necessary in order to provide us with reasonable assurance that the Pro forma financial information has been properly compiled on the basis stated and that such basis is consistent with the accounting policies of the Company.</w:t>
      </w:r>
    </w:p>
    <w:p w14:paraId="737BF98D" w14:textId="77777777"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 xml:space="preserve">Our work has not been carried out in accordance with auditing or other standards and practices generally accepted in jurisdictions outside the United Kingdom, including the United States of America, and accordingly should not be relied upon as if it had been carried out in accordance with those standards or practices. </w:t>
      </w:r>
    </w:p>
    <w:p w14:paraId="76217D79" w14:textId="77777777" w:rsidR="00DE5AF2" w:rsidRPr="007D6590" w:rsidRDefault="00DE5AF2" w:rsidP="00396E87">
      <w:pPr>
        <w:pStyle w:val="NormalOCAshurst"/>
        <w:rPr>
          <w:rFonts w:asciiTheme="majorHAnsi" w:hAnsiTheme="majorHAnsi" w:cstheme="majorHAnsi"/>
          <w:b/>
          <w:bCs/>
        </w:rPr>
      </w:pPr>
      <w:r w:rsidRPr="007D6590">
        <w:rPr>
          <w:rFonts w:asciiTheme="majorHAnsi" w:hAnsiTheme="majorHAnsi" w:cstheme="majorHAnsi"/>
          <w:b/>
          <w:bCs/>
        </w:rPr>
        <w:t>Declaration</w:t>
      </w:r>
    </w:p>
    <w:p w14:paraId="7DD77BDF" w14:textId="44065990"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 xml:space="preserve">For the purposes of Prospectus Regulation Rule 5.3.2R(2)(f) we are responsible for this report as part of the </w:t>
      </w:r>
      <w:r w:rsidR="002C52C0">
        <w:rPr>
          <w:rFonts w:asciiTheme="majorHAnsi" w:hAnsiTheme="majorHAnsi" w:cstheme="majorHAnsi"/>
        </w:rPr>
        <w:t xml:space="preserve">Supplementary </w:t>
      </w:r>
      <w:r w:rsidRPr="007D6590">
        <w:rPr>
          <w:rFonts w:asciiTheme="majorHAnsi" w:hAnsiTheme="majorHAnsi" w:cstheme="majorHAnsi"/>
        </w:rPr>
        <w:t>Prospectus and declare that to the best of our knowledge, the information contained in this report is, in accordance with the facts and that the report makes no omission likely to affect its import. This declaration is included in the</w:t>
      </w:r>
      <w:r w:rsidR="002C52C0">
        <w:rPr>
          <w:rFonts w:asciiTheme="majorHAnsi" w:hAnsiTheme="majorHAnsi" w:cstheme="majorHAnsi"/>
        </w:rPr>
        <w:t xml:space="preserve"> Supplementary</w:t>
      </w:r>
      <w:r w:rsidRPr="007D6590">
        <w:rPr>
          <w:rFonts w:asciiTheme="majorHAnsi" w:hAnsiTheme="majorHAnsi" w:cstheme="majorHAnsi"/>
        </w:rPr>
        <w:t xml:space="preserve"> Prospectus in compliance with Annex 1 item 1.2 of the Prospectus Delegated Regulation.</w:t>
      </w:r>
    </w:p>
    <w:p w14:paraId="4EB81006" w14:textId="77777777" w:rsidR="00DE5AF2" w:rsidRPr="007D6590" w:rsidRDefault="00DE5AF2" w:rsidP="00396E87">
      <w:pPr>
        <w:pStyle w:val="NormalOCAshurst"/>
        <w:rPr>
          <w:rFonts w:asciiTheme="majorHAnsi" w:hAnsiTheme="majorHAnsi" w:cstheme="majorHAnsi"/>
        </w:rPr>
      </w:pPr>
    </w:p>
    <w:p w14:paraId="064B9352" w14:textId="77777777"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Yours faithfully</w:t>
      </w:r>
    </w:p>
    <w:p w14:paraId="1C5F5BCD" w14:textId="77777777" w:rsidR="00DE5AF2" w:rsidRPr="007D6590" w:rsidRDefault="00DE5AF2" w:rsidP="00396E87">
      <w:pPr>
        <w:pStyle w:val="NormalOCAshurst"/>
        <w:rPr>
          <w:rFonts w:asciiTheme="majorHAnsi" w:hAnsiTheme="majorHAnsi" w:cstheme="majorHAnsi"/>
        </w:rPr>
      </w:pPr>
    </w:p>
    <w:p w14:paraId="115184FE" w14:textId="77777777" w:rsidR="00DE5AF2" w:rsidRPr="007D6590" w:rsidRDefault="00DE5AF2" w:rsidP="00396E87">
      <w:pPr>
        <w:pStyle w:val="NormalOCAshurst"/>
        <w:rPr>
          <w:rFonts w:asciiTheme="majorHAnsi" w:hAnsiTheme="majorHAnsi" w:cstheme="majorHAnsi"/>
        </w:rPr>
      </w:pPr>
      <w:r w:rsidRPr="007D6590">
        <w:rPr>
          <w:rFonts w:asciiTheme="majorHAnsi" w:hAnsiTheme="majorHAnsi" w:cstheme="majorHAnsi"/>
        </w:rPr>
        <w:t>Deloitte LLP</w:t>
      </w:r>
    </w:p>
    <w:p w14:paraId="7F67BC9E" w14:textId="77777777" w:rsidR="00DE5AF2" w:rsidRPr="007D6590" w:rsidRDefault="00DE5AF2" w:rsidP="00396E87">
      <w:pPr>
        <w:pStyle w:val="NormalOCAshurst"/>
        <w:rPr>
          <w:rFonts w:asciiTheme="majorHAnsi" w:hAnsiTheme="majorHAnsi" w:cstheme="majorHAnsi"/>
        </w:rPr>
      </w:pPr>
    </w:p>
    <w:p w14:paraId="49BBEA04" w14:textId="77777777" w:rsidR="00DE5AF2" w:rsidRPr="007D6590" w:rsidRDefault="00DE5AF2" w:rsidP="00396E87">
      <w:pPr>
        <w:pStyle w:val="NormalOCAshurst"/>
        <w:rPr>
          <w:i/>
          <w:iCs/>
        </w:rPr>
        <w:sectPr w:rsidR="00DE5AF2" w:rsidRPr="007D6590" w:rsidSect="00DE5AF2">
          <w:pgSz w:w="11907" w:h="16839"/>
          <w:pgMar w:top="1440" w:right="1797" w:bottom="1440" w:left="1797" w:header="709" w:footer="709" w:gutter="0"/>
          <w:paperSrc w:first="265" w:other="265"/>
          <w:cols w:space="708"/>
          <w:docGrid w:linePitch="360"/>
        </w:sectPr>
      </w:pPr>
      <w:r w:rsidRPr="007D6590">
        <w:rPr>
          <w:rFonts w:asciiTheme="majorHAnsi" w:hAnsiTheme="majorHAnsi" w:cstheme="majorHAnsi"/>
          <w:i/>
          <w:iCs/>
        </w:rPr>
        <w:t>Deloitte LLP is a limited liability partnership registered in England and Wales with registered number OC303675 and its registered office at 1 New Street Square, London EC4A 3HQ, United Kingdom.  Deloitte LLP is the United Kingdom affiliate of Deloitte NSE LLP, a member firm of Deloitte Touche Tohmatsu Limited, a UK private company limited by guarantee ("DTTL"). DTTL and each of its member firms are legally separate and independent entities. DTTL and Deloitte NSE LLP do not provide services to clients.</w:t>
      </w:r>
    </w:p>
    <w:p w14:paraId="799170F7" w14:textId="2662889B" w:rsidR="006D7B3E" w:rsidRPr="007D6590" w:rsidRDefault="00BB67EC" w:rsidP="00396E87">
      <w:pPr>
        <w:pStyle w:val="SCHEDULEAshurst"/>
        <w:ind w:left="0"/>
        <w:rPr>
          <w:rFonts w:asciiTheme="majorHAnsi" w:hAnsiTheme="majorHAnsi" w:cstheme="majorHAnsi"/>
        </w:rPr>
      </w:pPr>
      <w:bookmarkStart w:id="35" w:name="_Ref81908720"/>
      <w:r>
        <w:rPr>
          <w:rFonts w:asciiTheme="majorHAnsi" w:hAnsiTheme="majorHAnsi" w:cstheme="majorHAnsi"/>
        </w:rPr>
        <w:lastRenderedPageBreak/>
        <w:t xml:space="preserve"> </w:t>
      </w:r>
      <w:bookmarkStart w:id="36" w:name="_Ref82027248"/>
      <w:bookmarkStart w:id="37" w:name="_Toc83904474"/>
      <w:r w:rsidR="006D7B3E" w:rsidRPr="007D6590">
        <w:rPr>
          <w:rFonts w:asciiTheme="majorHAnsi" w:hAnsiTheme="majorHAnsi" w:cstheme="majorHAnsi"/>
        </w:rPr>
        <w:t>‒ ADDITIONAL INFORMATION</w:t>
      </w:r>
      <w:bookmarkEnd w:id="35"/>
      <w:bookmarkEnd w:id="36"/>
      <w:bookmarkEnd w:id="37"/>
    </w:p>
    <w:p w14:paraId="41469CF9" w14:textId="74CE3E18" w:rsidR="00DE5AF2" w:rsidRPr="007D6590" w:rsidRDefault="00DE5AF2" w:rsidP="00396E87">
      <w:pPr>
        <w:pStyle w:val="AltBH1OCAshurst"/>
        <w:numPr>
          <w:ilvl w:val="0"/>
          <w:numId w:val="53"/>
        </w:numPr>
      </w:pPr>
      <w:bookmarkStart w:id="38" w:name="_Ref81908799"/>
      <w:r w:rsidRPr="007D6590">
        <w:t>Responsibility</w:t>
      </w:r>
      <w:bookmarkEnd w:id="38"/>
    </w:p>
    <w:p w14:paraId="4D00C836" w14:textId="738432A9" w:rsidR="00DE5AF2" w:rsidRDefault="00DE5AF2" w:rsidP="00396E87">
      <w:pPr>
        <w:pStyle w:val="Body2OCAshurst"/>
        <w:tabs>
          <w:tab w:val="clear" w:pos="709"/>
          <w:tab w:val="clear" w:pos="1276"/>
          <w:tab w:val="clear" w:pos="1843"/>
          <w:tab w:val="clear" w:pos="2409"/>
          <w:tab w:val="clear" w:pos="2976"/>
          <w:tab w:val="clear" w:pos="3543"/>
          <w:tab w:val="clear" w:pos="4110"/>
          <w:tab w:val="left" w:pos="450"/>
        </w:tabs>
        <w:suppressAutoHyphens w:val="0"/>
        <w:ind w:left="0"/>
      </w:pPr>
      <w:r w:rsidRPr="007D6590">
        <w:t xml:space="preserve">The Company and its Directors, whose names appear </w:t>
      </w:r>
      <w:r w:rsidR="00CC0FBD">
        <w:t>below</w:t>
      </w:r>
      <w:r w:rsidRPr="007D6590">
        <w:t>,</w:t>
      </w:r>
      <w:r w:rsidRPr="007D6590">
        <w:rPr>
          <w:b/>
        </w:rPr>
        <w:t xml:space="preserve"> </w:t>
      </w:r>
      <w:r w:rsidRPr="007D6590">
        <w:t xml:space="preserve">accept responsibility for the information contained in this </w:t>
      </w:r>
      <w:r w:rsidR="00CC0FBD">
        <w:t>Supplementary Prospectus</w:t>
      </w:r>
      <w:r w:rsidRPr="007D6590">
        <w:t xml:space="preserve">. To the best of the knowledge of the Company and the Directors, the information contained in this document is in accordance with the facts and </w:t>
      </w:r>
      <w:r w:rsidR="00706235">
        <w:t xml:space="preserve">this document </w:t>
      </w:r>
      <w:r w:rsidRPr="007D6590">
        <w:t>makes no omission likely to affect its import.</w:t>
      </w:r>
    </w:p>
    <w:tbl>
      <w:tblPr>
        <w:tblW w:w="0" w:type="auto"/>
        <w:jc w:val="center"/>
        <w:tblLook w:val="04A0" w:firstRow="1" w:lastRow="0" w:firstColumn="1" w:lastColumn="0" w:noHBand="0" w:noVBand="1"/>
      </w:tblPr>
      <w:tblGrid>
        <w:gridCol w:w="2977"/>
        <w:gridCol w:w="2835"/>
      </w:tblGrid>
      <w:tr w:rsidR="006D7B3E" w:rsidRPr="007D6590" w14:paraId="476EA951" w14:textId="77777777" w:rsidTr="00284BEE">
        <w:trPr>
          <w:trHeight w:val="389"/>
          <w:tblHeader/>
          <w:jc w:val="center"/>
        </w:trPr>
        <w:tc>
          <w:tcPr>
            <w:tcW w:w="2977" w:type="dxa"/>
            <w:shd w:val="clear" w:color="auto" w:fill="auto"/>
            <w:tcMar>
              <w:left w:w="0" w:type="dxa"/>
            </w:tcMar>
            <w:vAlign w:val="bottom"/>
          </w:tcPr>
          <w:p w14:paraId="73178ED2" w14:textId="77777777" w:rsidR="006D7B3E" w:rsidRPr="007D6590" w:rsidRDefault="006D7B3E" w:rsidP="00396E87">
            <w:pPr>
              <w:pStyle w:val="Body1OCAshurst"/>
              <w:pBdr>
                <w:bottom w:val="single" w:sz="4" w:space="1" w:color="auto"/>
              </w:pBdr>
              <w:spacing w:after="0"/>
              <w:ind w:left="0"/>
              <w:jc w:val="left"/>
              <w:rPr>
                <w:b/>
                <w:i/>
              </w:rPr>
            </w:pPr>
            <w:r w:rsidRPr="007D6590">
              <w:rPr>
                <w:b/>
                <w:i/>
              </w:rPr>
              <w:t>Name</w:t>
            </w:r>
          </w:p>
        </w:tc>
        <w:tc>
          <w:tcPr>
            <w:tcW w:w="2835" w:type="dxa"/>
            <w:shd w:val="clear" w:color="auto" w:fill="auto"/>
            <w:vAlign w:val="bottom"/>
          </w:tcPr>
          <w:p w14:paraId="69CF0E90" w14:textId="77777777" w:rsidR="006D7B3E" w:rsidRPr="007D6590" w:rsidRDefault="006D7B3E" w:rsidP="00396E87">
            <w:pPr>
              <w:pStyle w:val="Body1OCAshurst"/>
              <w:pBdr>
                <w:bottom w:val="single" w:sz="4" w:space="1" w:color="auto"/>
              </w:pBdr>
              <w:spacing w:after="0"/>
              <w:ind w:left="0"/>
              <w:jc w:val="left"/>
              <w:rPr>
                <w:b/>
                <w:i/>
              </w:rPr>
            </w:pPr>
            <w:r w:rsidRPr="007D6590">
              <w:rPr>
                <w:b/>
                <w:i/>
              </w:rPr>
              <w:t>Position</w:t>
            </w:r>
          </w:p>
        </w:tc>
      </w:tr>
      <w:tr w:rsidR="006D7B3E" w:rsidRPr="007D6590" w14:paraId="3694AD03" w14:textId="77777777" w:rsidTr="00284BEE">
        <w:trPr>
          <w:trHeight w:val="389"/>
          <w:jc w:val="center"/>
        </w:trPr>
        <w:tc>
          <w:tcPr>
            <w:tcW w:w="2977" w:type="dxa"/>
            <w:shd w:val="clear" w:color="auto" w:fill="auto"/>
            <w:tcMar>
              <w:left w:w="0" w:type="dxa"/>
            </w:tcMar>
          </w:tcPr>
          <w:p w14:paraId="7B625DB1" w14:textId="77777777" w:rsidR="006D7B3E" w:rsidRPr="007D6590" w:rsidRDefault="006D7B3E" w:rsidP="00396E87">
            <w:r w:rsidRPr="007D6590">
              <w:t>Martin Houston</w:t>
            </w:r>
          </w:p>
        </w:tc>
        <w:tc>
          <w:tcPr>
            <w:tcW w:w="2835" w:type="dxa"/>
            <w:shd w:val="clear" w:color="auto" w:fill="auto"/>
          </w:tcPr>
          <w:p w14:paraId="07B14445" w14:textId="77777777" w:rsidR="006D7B3E" w:rsidRPr="007D6590" w:rsidRDefault="006D7B3E" w:rsidP="00396E87">
            <w:r w:rsidRPr="007D6590">
              <w:t>Non-Executive Chairman</w:t>
            </w:r>
          </w:p>
        </w:tc>
      </w:tr>
      <w:tr w:rsidR="006D7B3E" w:rsidRPr="007D6590" w14:paraId="28C13CDF" w14:textId="77777777" w:rsidTr="00284BEE">
        <w:trPr>
          <w:trHeight w:val="389"/>
          <w:jc w:val="center"/>
        </w:trPr>
        <w:tc>
          <w:tcPr>
            <w:tcW w:w="2977" w:type="dxa"/>
            <w:shd w:val="clear" w:color="auto" w:fill="auto"/>
            <w:tcMar>
              <w:left w:w="0" w:type="dxa"/>
            </w:tcMar>
          </w:tcPr>
          <w:p w14:paraId="00BE0A6F" w14:textId="77777777" w:rsidR="006D7B3E" w:rsidRPr="007D6590" w:rsidRDefault="006D7B3E" w:rsidP="00396E87">
            <w:r w:rsidRPr="007D6590">
              <w:t xml:space="preserve">Amjad Bseisu </w:t>
            </w:r>
          </w:p>
        </w:tc>
        <w:tc>
          <w:tcPr>
            <w:tcW w:w="2835" w:type="dxa"/>
            <w:shd w:val="clear" w:color="auto" w:fill="auto"/>
          </w:tcPr>
          <w:p w14:paraId="15A2FC99" w14:textId="77777777" w:rsidR="006D7B3E" w:rsidRPr="007D6590" w:rsidRDefault="006D7B3E" w:rsidP="00396E87">
            <w:r w:rsidRPr="007D6590">
              <w:t>Chief Executive</w:t>
            </w:r>
          </w:p>
        </w:tc>
      </w:tr>
      <w:tr w:rsidR="006D7B3E" w:rsidRPr="007D6590" w14:paraId="3BA26DE5" w14:textId="77777777" w:rsidTr="00284BEE">
        <w:trPr>
          <w:trHeight w:val="389"/>
          <w:jc w:val="center"/>
        </w:trPr>
        <w:tc>
          <w:tcPr>
            <w:tcW w:w="2977" w:type="dxa"/>
            <w:shd w:val="clear" w:color="auto" w:fill="auto"/>
            <w:tcMar>
              <w:left w:w="0" w:type="dxa"/>
            </w:tcMar>
          </w:tcPr>
          <w:p w14:paraId="1848FA56" w14:textId="77777777" w:rsidR="006D7B3E" w:rsidRPr="007D6590" w:rsidRDefault="006D7B3E" w:rsidP="00396E87">
            <w:r w:rsidRPr="007D6590">
              <w:t xml:space="preserve">Jonathan Swinney </w:t>
            </w:r>
          </w:p>
        </w:tc>
        <w:tc>
          <w:tcPr>
            <w:tcW w:w="2835" w:type="dxa"/>
            <w:shd w:val="clear" w:color="auto" w:fill="auto"/>
          </w:tcPr>
          <w:p w14:paraId="42B883BB" w14:textId="77777777" w:rsidR="006D7B3E" w:rsidRPr="007D6590" w:rsidRDefault="006D7B3E" w:rsidP="00396E87">
            <w:r w:rsidRPr="007D6590">
              <w:t>Chief Financial Officer</w:t>
            </w:r>
          </w:p>
        </w:tc>
      </w:tr>
      <w:tr w:rsidR="006D7B3E" w:rsidRPr="007D6590" w14:paraId="0AA65263" w14:textId="77777777" w:rsidTr="00284BEE">
        <w:trPr>
          <w:trHeight w:val="389"/>
          <w:jc w:val="center"/>
        </w:trPr>
        <w:tc>
          <w:tcPr>
            <w:tcW w:w="2977" w:type="dxa"/>
            <w:shd w:val="clear" w:color="auto" w:fill="auto"/>
            <w:tcMar>
              <w:left w:w="0" w:type="dxa"/>
            </w:tcMar>
          </w:tcPr>
          <w:p w14:paraId="615EBAF6" w14:textId="77777777" w:rsidR="006D7B3E" w:rsidRPr="007D6590" w:rsidRDefault="006D7B3E" w:rsidP="00396E87">
            <w:r w:rsidRPr="007D6590">
              <w:t>Howard Paver</w:t>
            </w:r>
          </w:p>
        </w:tc>
        <w:tc>
          <w:tcPr>
            <w:tcW w:w="2835" w:type="dxa"/>
            <w:shd w:val="clear" w:color="auto" w:fill="auto"/>
          </w:tcPr>
          <w:p w14:paraId="0A37683B" w14:textId="77777777" w:rsidR="006D7B3E" w:rsidRPr="007D6590" w:rsidRDefault="006D7B3E" w:rsidP="00396E87">
            <w:r w:rsidRPr="007D6590">
              <w:t>Senior Independent Director</w:t>
            </w:r>
          </w:p>
        </w:tc>
      </w:tr>
      <w:tr w:rsidR="006D7B3E" w:rsidRPr="007D6590" w14:paraId="2727B0BC" w14:textId="77777777" w:rsidTr="00284BEE">
        <w:trPr>
          <w:trHeight w:val="376"/>
          <w:jc w:val="center"/>
        </w:trPr>
        <w:tc>
          <w:tcPr>
            <w:tcW w:w="2977" w:type="dxa"/>
            <w:shd w:val="clear" w:color="auto" w:fill="auto"/>
            <w:tcMar>
              <w:left w:w="0" w:type="dxa"/>
            </w:tcMar>
          </w:tcPr>
          <w:p w14:paraId="29B36739" w14:textId="77777777" w:rsidR="006D7B3E" w:rsidRPr="007D6590" w:rsidRDefault="006D7B3E" w:rsidP="00396E87">
            <w:r w:rsidRPr="007D6590">
              <w:t xml:space="preserve">Philip Holland </w:t>
            </w:r>
          </w:p>
        </w:tc>
        <w:tc>
          <w:tcPr>
            <w:tcW w:w="2835" w:type="dxa"/>
            <w:shd w:val="clear" w:color="auto" w:fill="auto"/>
          </w:tcPr>
          <w:p w14:paraId="628BC594" w14:textId="77777777" w:rsidR="006D7B3E" w:rsidRPr="007D6590" w:rsidRDefault="006D7B3E" w:rsidP="00396E87">
            <w:r w:rsidRPr="007D6590">
              <w:t>Non-Executive Director</w:t>
            </w:r>
          </w:p>
        </w:tc>
      </w:tr>
      <w:tr w:rsidR="006D7B3E" w:rsidRPr="007D6590" w14:paraId="3AEA2FEB" w14:textId="77777777" w:rsidTr="00284BEE">
        <w:trPr>
          <w:trHeight w:val="389"/>
          <w:jc w:val="center"/>
        </w:trPr>
        <w:tc>
          <w:tcPr>
            <w:tcW w:w="2977" w:type="dxa"/>
            <w:shd w:val="clear" w:color="auto" w:fill="auto"/>
            <w:tcMar>
              <w:left w:w="0" w:type="dxa"/>
            </w:tcMar>
          </w:tcPr>
          <w:p w14:paraId="38B3DA57" w14:textId="77777777" w:rsidR="006D7B3E" w:rsidRPr="007D6590" w:rsidRDefault="006D7B3E" w:rsidP="00396E87">
            <w:r w:rsidRPr="007D6590">
              <w:t xml:space="preserve">Carl </w:t>
            </w:r>
            <w:r w:rsidRPr="007D6590">
              <w:rPr>
                <w:szCs w:val="18"/>
              </w:rPr>
              <w:t>Hughes</w:t>
            </w:r>
            <w:r w:rsidRPr="007D6590">
              <w:t xml:space="preserve"> </w:t>
            </w:r>
          </w:p>
        </w:tc>
        <w:tc>
          <w:tcPr>
            <w:tcW w:w="2835" w:type="dxa"/>
            <w:shd w:val="clear" w:color="auto" w:fill="auto"/>
          </w:tcPr>
          <w:p w14:paraId="66CBFE5D" w14:textId="77777777" w:rsidR="006D7B3E" w:rsidRPr="007D6590" w:rsidRDefault="006D7B3E" w:rsidP="00396E87">
            <w:r w:rsidRPr="007D6590">
              <w:t>Non-Executive Director</w:t>
            </w:r>
          </w:p>
        </w:tc>
      </w:tr>
      <w:tr w:rsidR="006D7B3E" w:rsidRPr="007D6590" w14:paraId="474F911E" w14:textId="77777777" w:rsidTr="00284BEE">
        <w:trPr>
          <w:trHeight w:val="389"/>
          <w:jc w:val="center"/>
        </w:trPr>
        <w:tc>
          <w:tcPr>
            <w:tcW w:w="2977" w:type="dxa"/>
            <w:shd w:val="clear" w:color="auto" w:fill="auto"/>
            <w:tcMar>
              <w:left w:w="0" w:type="dxa"/>
            </w:tcMar>
          </w:tcPr>
          <w:p w14:paraId="453D270F" w14:textId="77777777" w:rsidR="006D7B3E" w:rsidRPr="007D6590" w:rsidRDefault="006D7B3E" w:rsidP="00396E87">
            <w:r w:rsidRPr="007D6590">
              <w:t>Farina Khan</w:t>
            </w:r>
          </w:p>
        </w:tc>
        <w:tc>
          <w:tcPr>
            <w:tcW w:w="2835" w:type="dxa"/>
            <w:shd w:val="clear" w:color="auto" w:fill="auto"/>
          </w:tcPr>
          <w:p w14:paraId="56103860" w14:textId="77777777" w:rsidR="006D7B3E" w:rsidRPr="007D6590" w:rsidRDefault="006D7B3E" w:rsidP="00396E87">
            <w:r w:rsidRPr="007D6590">
              <w:t>Non-Executive Director</w:t>
            </w:r>
          </w:p>
        </w:tc>
      </w:tr>
      <w:tr w:rsidR="006D7B3E" w:rsidRPr="007D6590" w14:paraId="6F701170" w14:textId="77777777" w:rsidTr="00284BEE">
        <w:trPr>
          <w:trHeight w:val="389"/>
          <w:jc w:val="center"/>
        </w:trPr>
        <w:tc>
          <w:tcPr>
            <w:tcW w:w="2977" w:type="dxa"/>
            <w:shd w:val="clear" w:color="auto" w:fill="auto"/>
            <w:tcMar>
              <w:left w:w="0" w:type="dxa"/>
            </w:tcMar>
          </w:tcPr>
          <w:p w14:paraId="527F085C" w14:textId="77777777" w:rsidR="006D7B3E" w:rsidRPr="007D6590" w:rsidRDefault="006D7B3E" w:rsidP="00396E87">
            <w:r w:rsidRPr="007D6590">
              <w:t xml:space="preserve">Liv Monica Stubholt </w:t>
            </w:r>
          </w:p>
        </w:tc>
        <w:tc>
          <w:tcPr>
            <w:tcW w:w="2835" w:type="dxa"/>
            <w:shd w:val="clear" w:color="auto" w:fill="auto"/>
          </w:tcPr>
          <w:p w14:paraId="6E7090CE" w14:textId="77777777" w:rsidR="006D7B3E" w:rsidRPr="007D6590" w:rsidRDefault="006D7B3E" w:rsidP="00396E87">
            <w:r w:rsidRPr="007D6590">
              <w:t>Non-Executive Director</w:t>
            </w:r>
          </w:p>
        </w:tc>
      </w:tr>
      <w:tr w:rsidR="006D7B3E" w:rsidRPr="007D6590" w14:paraId="4E9F1693" w14:textId="77777777" w:rsidTr="00284BEE">
        <w:trPr>
          <w:trHeight w:val="389"/>
          <w:jc w:val="center"/>
        </w:trPr>
        <w:tc>
          <w:tcPr>
            <w:tcW w:w="2977" w:type="dxa"/>
            <w:shd w:val="clear" w:color="auto" w:fill="auto"/>
            <w:tcMar>
              <w:left w:w="0" w:type="dxa"/>
            </w:tcMar>
          </w:tcPr>
          <w:p w14:paraId="3959F764" w14:textId="77777777" w:rsidR="006D7B3E" w:rsidRPr="007D6590" w:rsidRDefault="006D7B3E" w:rsidP="00396E87">
            <w:r w:rsidRPr="007D6590">
              <w:t xml:space="preserve">John </w:t>
            </w:r>
            <w:r w:rsidRPr="007D6590">
              <w:rPr>
                <w:szCs w:val="18"/>
              </w:rPr>
              <w:t>Winterman</w:t>
            </w:r>
            <w:r w:rsidRPr="007D6590">
              <w:t xml:space="preserve"> </w:t>
            </w:r>
          </w:p>
        </w:tc>
        <w:tc>
          <w:tcPr>
            <w:tcW w:w="2835" w:type="dxa"/>
            <w:shd w:val="clear" w:color="auto" w:fill="auto"/>
          </w:tcPr>
          <w:p w14:paraId="4B747AFD" w14:textId="77777777" w:rsidR="006D7B3E" w:rsidRPr="007D6590" w:rsidRDefault="006D7B3E" w:rsidP="00396E87">
            <w:r w:rsidRPr="007D6590">
              <w:t>Non-Executive Director</w:t>
            </w:r>
          </w:p>
        </w:tc>
      </w:tr>
    </w:tbl>
    <w:p w14:paraId="5ED848CD" w14:textId="2CE855EB" w:rsidR="00DE5AF2" w:rsidRPr="007D6590" w:rsidRDefault="00DE5AF2" w:rsidP="00396E87">
      <w:pPr>
        <w:pStyle w:val="NormalOCAshurst"/>
      </w:pPr>
    </w:p>
    <w:p w14:paraId="6EC61489" w14:textId="07A701F5" w:rsidR="00DE5AF2" w:rsidRPr="007D6590" w:rsidRDefault="00CC0FBD" w:rsidP="00396E87">
      <w:pPr>
        <w:pStyle w:val="AltBH1OCAshurst"/>
      </w:pPr>
      <w:bookmarkStart w:id="39" w:name="_Ref81818838"/>
      <w:r w:rsidRPr="00186BEA">
        <w:rPr>
          <w:noProof/>
        </w:rPr>
        <w:t>Consent</w:t>
      </w:r>
      <w:bookmarkEnd w:id="39"/>
    </w:p>
    <w:p w14:paraId="28548280" w14:textId="288D7A75" w:rsidR="00A4761D" w:rsidRDefault="00DE5AF2" w:rsidP="00722F2D">
      <w:pPr>
        <w:pStyle w:val="AltBH2OCAshurst"/>
        <w:numPr>
          <w:ilvl w:val="0"/>
          <w:numId w:val="0"/>
        </w:numPr>
        <w:rPr>
          <w:b w:val="0"/>
        </w:rPr>
      </w:pPr>
      <w:bookmarkStart w:id="40" w:name="_Ref67138917"/>
      <w:r w:rsidRPr="007D6590">
        <w:rPr>
          <w:b w:val="0"/>
        </w:rPr>
        <w:t>Deloitte LLP has given and has not withdrawn its written consent to the inclusion</w:t>
      </w:r>
      <w:r w:rsidR="000D59C7">
        <w:rPr>
          <w:b w:val="0"/>
        </w:rPr>
        <w:t xml:space="preserve"> </w:t>
      </w:r>
      <w:r w:rsidRPr="007D6590">
        <w:rPr>
          <w:b w:val="0"/>
        </w:rPr>
        <w:t xml:space="preserve">of </w:t>
      </w:r>
      <w:r w:rsidR="000D59C7">
        <w:rPr>
          <w:b w:val="0"/>
        </w:rPr>
        <w:t xml:space="preserve">its </w:t>
      </w:r>
      <w:r w:rsidRPr="007D6590">
        <w:rPr>
          <w:b w:val="0"/>
        </w:rPr>
        <w:t>accountant's report on the</w:t>
      </w:r>
      <w:r w:rsidR="00BB67EC">
        <w:rPr>
          <w:b w:val="0"/>
        </w:rPr>
        <w:t xml:space="preserve"> </w:t>
      </w:r>
      <w:r w:rsidRPr="007D6590">
        <w:rPr>
          <w:b w:val="0"/>
        </w:rPr>
        <w:t>unaudited pro forma financial information set out in</w:t>
      </w:r>
      <w:r w:rsidR="00DE406E">
        <w:rPr>
          <w:b w:val="0"/>
        </w:rPr>
        <w:t xml:space="preserve"> </w:t>
      </w:r>
      <w:r w:rsidR="00DE406E">
        <w:rPr>
          <w:b w:val="0"/>
        </w:rPr>
        <w:fldChar w:fldCharType="begin"/>
      </w:r>
      <w:r w:rsidR="00DE406E">
        <w:rPr>
          <w:b w:val="0"/>
        </w:rPr>
        <w:instrText xml:space="preserve"> REF _Ref65772195 \r \h </w:instrText>
      </w:r>
      <w:r w:rsidR="00DE406E">
        <w:rPr>
          <w:b w:val="0"/>
        </w:rPr>
      </w:r>
      <w:r w:rsidR="00DE406E">
        <w:rPr>
          <w:b w:val="0"/>
        </w:rPr>
        <w:fldChar w:fldCharType="separate"/>
      </w:r>
      <w:r w:rsidR="002D487F">
        <w:rPr>
          <w:b w:val="0"/>
          <w:cs/>
        </w:rPr>
        <w:t>‎</w:t>
      </w:r>
      <w:r w:rsidR="002D487F">
        <w:rPr>
          <w:b w:val="0"/>
        </w:rPr>
        <w:t>Part 2</w:t>
      </w:r>
      <w:r w:rsidR="00DE406E">
        <w:rPr>
          <w:b w:val="0"/>
        </w:rPr>
        <w:fldChar w:fldCharType="end"/>
      </w:r>
      <w:r w:rsidR="00DE406E">
        <w:rPr>
          <w:b w:val="0"/>
        </w:rPr>
        <w:t xml:space="preserve"> </w:t>
      </w:r>
      <w:r w:rsidR="00273755">
        <w:rPr>
          <w:b w:val="0"/>
        </w:rPr>
        <w:t>("</w:t>
      </w:r>
      <w:r w:rsidR="00273755">
        <w:rPr>
          <w:b w:val="0"/>
          <w:i/>
          <w:iCs/>
        </w:rPr>
        <w:t xml:space="preserve">Supplemental Unaudited Pro Forma Financial </w:t>
      </w:r>
      <w:r w:rsidR="00273755" w:rsidRPr="00273755">
        <w:rPr>
          <w:b w:val="0"/>
          <w:i/>
          <w:iCs/>
        </w:rPr>
        <w:t>Information</w:t>
      </w:r>
      <w:r w:rsidR="00273755">
        <w:rPr>
          <w:b w:val="0"/>
        </w:rPr>
        <w:t xml:space="preserve">") </w:t>
      </w:r>
      <w:r w:rsidR="00C03B6A" w:rsidRPr="00273755">
        <w:rPr>
          <w:b w:val="0"/>
        </w:rPr>
        <w:t>of</w:t>
      </w:r>
      <w:r w:rsidR="00C03B6A">
        <w:rPr>
          <w:b w:val="0"/>
        </w:rPr>
        <w:t xml:space="preserve"> this document</w:t>
      </w:r>
      <w:r w:rsidRPr="007D6590">
        <w:rPr>
          <w:b w:val="0"/>
        </w:rPr>
        <w:t xml:space="preserve"> and has authorised the contents of its report</w:t>
      </w:r>
      <w:r w:rsidR="000D59C7">
        <w:rPr>
          <w:b w:val="0"/>
        </w:rPr>
        <w:t xml:space="preserve">s which are included in this </w:t>
      </w:r>
      <w:r w:rsidR="00640C88">
        <w:rPr>
          <w:b w:val="0"/>
        </w:rPr>
        <w:t>Supplementary Prospectus</w:t>
      </w:r>
      <w:r w:rsidR="00640C88" w:rsidRPr="007D6590">
        <w:rPr>
          <w:b w:val="0"/>
        </w:rPr>
        <w:t xml:space="preserve"> </w:t>
      </w:r>
      <w:r w:rsidRPr="007D6590">
        <w:rPr>
          <w:b w:val="0"/>
        </w:rPr>
        <w:t xml:space="preserve">for the purposes of Rule 5.3.2R(2)(f) of the </w:t>
      </w:r>
      <w:r w:rsidR="000D59C7">
        <w:rPr>
          <w:b w:val="0"/>
        </w:rPr>
        <w:t xml:space="preserve">UK </w:t>
      </w:r>
      <w:r w:rsidRPr="007D6590">
        <w:rPr>
          <w:b w:val="0"/>
        </w:rPr>
        <w:t xml:space="preserve">Prospectus </w:t>
      </w:r>
      <w:r w:rsidR="00706235">
        <w:rPr>
          <w:b w:val="0"/>
        </w:rPr>
        <w:t xml:space="preserve">Regulation </w:t>
      </w:r>
      <w:r w:rsidRPr="007D6590">
        <w:rPr>
          <w:b w:val="0"/>
        </w:rPr>
        <w:t>Rules</w:t>
      </w:r>
      <w:r w:rsidR="00D47C7B">
        <w:rPr>
          <w:b w:val="0"/>
        </w:rPr>
        <w:t xml:space="preserve"> and for the purposes of </w:t>
      </w:r>
      <w:r w:rsidR="00781C86" w:rsidRPr="00781C86">
        <w:rPr>
          <w:b w:val="0"/>
        </w:rPr>
        <w:t>Annex 1, Item 1.3 of the UK version of Commission Delegated Regulation (EU) 2019/980</w:t>
      </w:r>
      <w:r w:rsidRPr="007D6590">
        <w:rPr>
          <w:b w:val="0"/>
        </w:rPr>
        <w:t>.</w:t>
      </w:r>
      <w:bookmarkEnd w:id="40"/>
    </w:p>
    <w:p w14:paraId="4E722B81" w14:textId="798A76E7" w:rsidR="00DE5AF2" w:rsidRPr="007D6590" w:rsidRDefault="002C52C0" w:rsidP="00396E87">
      <w:pPr>
        <w:pStyle w:val="AltBH1OCAshurst"/>
        <w:keepNext/>
      </w:pPr>
      <w:bookmarkStart w:id="41" w:name="_Ref81908712"/>
      <w:r>
        <w:t>Company's website</w:t>
      </w:r>
      <w:bookmarkEnd w:id="41"/>
    </w:p>
    <w:p w14:paraId="32826A67" w14:textId="5B13914D" w:rsidR="00DE5AF2" w:rsidRPr="007D6590" w:rsidRDefault="00DE5AF2" w:rsidP="00396E87">
      <w:pPr>
        <w:pStyle w:val="NormalOCAshurst"/>
      </w:pPr>
      <w:r w:rsidRPr="007D6590">
        <w:t>The contents of the Company's website (</w:t>
      </w:r>
      <w:r w:rsidRPr="00186BEA">
        <w:rPr>
          <w:i/>
          <w:iCs/>
        </w:rPr>
        <w:t>www.</w:t>
      </w:r>
      <w:r w:rsidR="00021BD2">
        <w:rPr>
          <w:i/>
          <w:iCs/>
        </w:rPr>
        <w:t>e</w:t>
      </w:r>
      <w:r w:rsidRPr="00186BEA">
        <w:rPr>
          <w:i/>
          <w:iCs/>
        </w:rPr>
        <w:t>n</w:t>
      </w:r>
      <w:r w:rsidR="00021BD2">
        <w:rPr>
          <w:i/>
          <w:iCs/>
        </w:rPr>
        <w:t>q</w:t>
      </w:r>
      <w:r w:rsidRPr="00186BEA">
        <w:rPr>
          <w:i/>
          <w:iCs/>
        </w:rPr>
        <w:t>uest.com</w:t>
      </w:r>
      <w:r w:rsidRPr="007D6590">
        <w:t xml:space="preserve">), any website mentioned in this prospectus or any website directly linked to these websites have not been verified and do not form part of this </w:t>
      </w:r>
      <w:r w:rsidR="00BB67EC">
        <w:t xml:space="preserve">Supplementary </w:t>
      </w:r>
      <w:r w:rsidRPr="007D6590">
        <w:t>Prospectus, and prospective investors should not rely upon them.</w:t>
      </w:r>
    </w:p>
    <w:p w14:paraId="20223822" w14:textId="3A0D5973" w:rsidR="0066653B" w:rsidRDefault="0066653B" w:rsidP="00396E87">
      <w:pPr>
        <w:pStyle w:val="AltBH1OCAshurst"/>
        <w:keepNext/>
      </w:pPr>
      <w:bookmarkStart w:id="42" w:name="_Ref67137780"/>
      <w:r>
        <w:t>Update on Completion and publication of second supplementary prospectus</w:t>
      </w:r>
    </w:p>
    <w:p w14:paraId="6A9D43D9" w14:textId="77777777" w:rsidR="0066653B" w:rsidRPr="0066653B" w:rsidRDefault="0066653B" w:rsidP="001E486A">
      <w:pPr>
        <w:pStyle w:val="AltBH1OCAshurst"/>
        <w:keepNext/>
        <w:numPr>
          <w:ilvl w:val="0"/>
          <w:numId w:val="0"/>
        </w:numPr>
        <w:rPr>
          <w:b w:val="0"/>
          <w:bCs/>
        </w:rPr>
      </w:pPr>
      <w:r w:rsidRPr="0066653B">
        <w:rPr>
          <w:b w:val="0"/>
          <w:bCs/>
        </w:rPr>
        <w:t xml:space="preserve">Listing Rules 6.2.1R and 6.2.4R require EnQuest to have published audited historical financial information in respect of the Golden Eagle Asset that has a latest balance sheet date that is not more than six months before the date of the Original Prospectus and not more than nine months before the date of Re-admission. </w:t>
      </w:r>
    </w:p>
    <w:p w14:paraId="5B476528" w14:textId="7954C32E" w:rsidR="0066653B" w:rsidRDefault="00B760B1" w:rsidP="0066653B">
      <w:pPr>
        <w:pStyle w:val="AltBH1OCAshurst"/>
        <w:keepNext/>
        <w:numPr>
          <w:ilvl w:val="0"/>
          <w:numId w:val="0"/>
        </w:numPr>
        <w:rPr>
          <w:b w:val="0"/>
          <w:bCs/>
        </w:rPr>
      </w:pPr>
      <w:r>
        <w:rPr>
          <w:b w:val="0"/>
          <w:bCs/>
        </w:rPr>
        <w:t>Since</w:t>
      </w:r>
      <w:r w:rsidR="0066653B" w:rsidRPr="0066653B">
        <w:rPr>
          <w:b w:val="0"/>
          <w:bCs/>
        </w:rPr>
        <w:t xml:space="preserve"> 30 September 2021, the latest balance sheet date of the audited financial information in respect of the Golden Eagle Asset contained in Part 7 ("</w:t>
      </w:r>
      <w:r w:rsidR="0066653B" w:rsidRPr="001E486A">
        <w:rPr>
          <w:b w:val="0"/>
          <w:bCs/>
          <w:i/>
          <w:iCs/>
        </w:rPr>
        <w:t>Financial Information on the Golden Eagle Asset</w:t>
      </w:r>
      <w:r w:rsidR="0066653B" w:rsidRPr="0066653B">
        <w:rPr>
          <w:b w:val="0"/>
          <w:bCs/>
        </w:rPr>
        <w:t xml:space="preserve">") of the Original Prospectus </w:t>
      </w:r>
      <w:r>
        <w:rPr>
          <w:b w:val="0"/>
          <w:bCs/>
        </w:rPr>
        <w:t>is</w:t>
      </w:r>
      <w:r w:rsidR="0066653B" w:rsidRPr="0066653B">
        <w:rPr>
          <w:b w:val="0"/>
          <w:bCs/>
        </w:rPr>
        <w:t xml:space="preserve"> more than nine months old.</w:t>
      </w:r>
    </w:p>
    <w:p w14:paraId="3979AFF0" w14:textId="56894B93" w:rsidR="0066653B" w:rsidRPr="001E486A" w:rsidRDefault="000A375C" w:rsidP="001E486A">
      <w:pPr>
        <w:pStyle w:val="AltBH1OCAshurst"/>
        <w:keepNext/>
        <w:numPr>
          <w:ilvl w:val="0"/>
          <w:numId w:val="0"/>
        </w:numPr>
        <w:rPr>
          <w:b w:val="0"/>
          <w:bCs/>
        </w:rPr>
      </w:pPr>
      <w:r>
        <w:rPr>
          <w:b w:val="0"/>
          <w:bCs/>
        </w:rPr>
        <w:t xml:space="preserve">As </w:t>
      </w:r>
      <w:r w:rsidRPr="000A375C">
        <w:rPr>
          <w:b w:val="0"/>
          <w:bCs/>
        </w:rPr>
        <w:t xml:space="preserve">it is now expected that Completion will take place </w:t>
      </w:r>
      <w:r w:rsidR="00E27CCA">
        <w:rPr>
          <w:b w:val="0"/>
          <w:bCs/>
        </w:rPr>
        <w:t>by</w:t>
      </w:r>
      <w:r w:rsidR="000A4615">
        <w:rPr>
          <w:b w:val="0"/>
          <w:bCs/>
        </w:rPr>
        <w:t xml:space="preserve"> the </w:t>
      </w:r>
      <w:r w:rsidR="00062E8E">
        <w:rPr>
          <w:b w:val="0"/>
          <w:bCs/>
        </w:rPr>
        <w:t>beginning</w:t>
      </w:r>
      <w:r w:rsidR="000A4615">
        <w:rPr>
          <w:b w:val="0"/>
          <w:bCs/>
        </w:rPr>
        <w:t xml:space="preserve"> of </w:t>
      </w:r>
      <w:r w:rsidR="00062E8E">
        <w:rPr>
          <w:b w:val="0"/>
          <w:bCs/>
        </w:rPr>
        <w:t>November</w:t>
      </w:r>
      <w:r w:rsidRPr="000A375C">
        <w:rPr>
          <w:b w:val="0"/>
          <w:bCs/>
        </w:rPr>
        <w:t xml:space="preserve"> 2021</w:t>
      </w:r>
      <w:r w:rsidR="00240B9C">
        <w:rPr>
          <w:b w:val="0"/>
          <w:bCs/>
        </w:rPr>
        <w:t>, due to a delay in the hive down of the Golden Eagle Asset into North Sea (Golden Eagle) Resources Ltd (the entity in which the Company will acquire from Suncor)</w:t>
      </w:r>
      <w:r w:rsidR="0066653B">
        <w:rPr>
          <w:b w:val="0"/>
          <w:bCs/>
        </w:rPr>
        <w:t xml:space="preserve">, </w:t>
      </w:r>
      <w:r w:rsidR="00B17DF2">
        <w:rPr>
          <w:b w:val="0"/>
          <w:bCs/>
        </w:rPr>
        <w:t>EnQuest intends to publish a second supplementary prospectus</w:t>
      </w:r>
      <w:r w:rsidR="00B17DF2" w:rsidRPr="00B17DF2">
        <w:rPr>
          <w:b w:val="0"/>
          <w:bCs/>
        </w:rPr>
        <w:t xml:space="preserve"> </w:t>
      </w:r>
      <w:r w:rsidR="00240B9C">
        <w:rPr>
          <w:b w:val="0"/>
          <w:bCs/>
        </w:rPr>
        <w:t xml:space="preserve">in due course </w:t>
      </w:r>
      <w:r w:rsidR="00B17DF2" w:rsidRPr="00B17DF2">
        <w:rPr>
          <w:b w:val="0"/>
          <w:bCs/>
        </w:rPr>
        <w:t>contain</w:t>
      </w:r>
      <w:r w:rsidR="00B17DF2">
        <w:rPr>
          <w:b w:val="0"/>
          <w:bCs/>
        </w:rPr>
        <w:t xml:space="preserve">ing </w:t>
      </w:r>
      <w:r w:rsidR="0042284E">
        <w:rPr>
          <w:b w:val="0"/>
          <w:bCs/>
        </w:rPr>
        <w:t>more recent</w:t>
      </w:r>
      <w:r w:rsidR="00B17DF2" w:rsidRPr="00B17DF2">
        <w:rPr>
          <w:b w:val="0"/>
          <w:bCs/>
        </w:rPr>
        <w:t xml:space="preserve"> historical financial information in respect of the Golden </w:t>
      </w:r>
      <w:r w:rsidR="00B17DF2" w:rsidRPr="00B17DF2">
        <w:rPr>
          <w:b w:val="0"/>
          <w:bCs/>
        </w:rPr>
        <w:lastRenderedPageBreak/>
        <w:t>Eagle Asset in order to satisfy the requirements of Listing Rules 6.2.1R and 6.2.4R and to enable Re-admission to occur once the conditions to Completion have been satisfied.</w:t>
      </w:r>
    </w:p>
    <w:p w14:paraId="5038AE8F" w14:textId="5F0D6680" w:rsidR="00DE5AF2" w:rsidRPr="007D6590" w:rsidRDefault="00DE5AF2" w:rsidP="00396E87">
      <w:pPr>
        <w:pStyle w:val="AltBH1OCAshurst"/>
        <w:keepNext/>
      </w:pPr>
      <w:r w:rsidRPr="007D6590">
        <w:t>Documents available for inspection</w:t>
      </w:r>
      <w:bookmarkEnd w:id="42"/>
    </w:p>
    <w:p w14:paraId="298D862F" w14:textId="2E1F1974" w:rsidR="00DE5AF2" w:rsidRPr="007D6590" w:rsidRDefault="00DE5AF2" w:rsidP="00396E87">
      <w:pPr>
        <w:pStyle w:val="NormalOCAshurst"/>
        <w:tabs>
          <w:tab w:val="left" w:pos="8280"/>
        </w:tabs>
        <w:suppressAutoHyphens w:val="0"/>
        <w:ind w:right="7"/>
      </w:pPr>
      <w:r w:rsidRPr="007D6590">
        <w:t xml:space="preserve">Copies of the following documents </w:t>
      </w:r>
      <w:r w:rsidR="00CC0FBD" w:rsidRPr="00CC0FBD">
        <w:t xml:space="preserve">will be published on the Company's website at </w:t>
      </w:r>
      <w:r w:rsidR="00640C88" w:rsidRPr="00186BEA">
        <w:rPr>
          <w:i/>
          <w:iCs/>
        </w:rPr>
        <w:t>www.EnQuest.com</w:t>
      </w:r>
      <w:r w:rsidR="00CC0FBD">
        <w:rPr>
          <w:i/>
          <w:iCs/>
        </w:rPr>
        <w:t xml:space="preserve"> </w:t>
      </w:r>
      <w:r w:rsidR="00CC0FBD">
        <w:t>and</w:t>
      </w:r>
      <w:r w:rsidR="00CC0FBD" w:rsidRPr="00CC0FBD" w:rsidDel="00CC0FBD">
        <w:t xml:space="preserve"> </w:t>
      </w:r>
      <w:r w:rsidRPr="007D6590">
        <w:t>available for inspection, subject to compliance with appropriate COVID-19 precautionary measures, during usual business hours on any weekday (Saturdays, Sundays and public holidays excepted) from the date of this document until Re-admission at the offices of Ashurst LLP at London Fruit &amp; Wool Exchange 1 Duval Square, London E1 6PW:</w:t>
      </w:r>
    </w:p>
    <w:p w14:paraId="6F127FF0" w14:textId="7C0DC6D4" w:rsidR="00DE5AF2" w:rsidRPr="007D6590" w:rsidRDefault="00DE5AF2" w:rsidP="00396E87">
      <w:pPr>
        <w:pStyle w:val="AltBH3OCAshurst"/>
      </w:pPr>
      <w:r w:rsidRPr="004E512A">
        <w:t xml:space="preserve">the letter of consent referred to in paragraph </w:t>
      </w:r>
      <w:r w:rsidR="00640C88">
        <w:fldChar w:fldCharType="begin"/>
      </w:r>
      <w:r w:rsidR="00640C88">
        <w:instrText xml:space="preserve"> REF _Ref81818838 \r \h </w:instrText>
      </w:r>
      <w:r w:rsidR="00640C88">
        <w:fldChar w:fldCharType="separate"/>
      </w:r>
      <w:r w:rsidR="002D487F">
        <w:rPr>
          <w:cs/>
        </w:rPr>
        <w:t>‎</w:t>
      </w:r>
      <w:r w:rsidR="002D487F">
        <w:t>2</w:t>
      </w:r>
      <w:r w:rsidR="00640C88">
        <w:fldChar w:fldCharType="end"/>
      </w:r>
      <w:r w:rsidR="00640C88">
        <w:t xml:space="preserve"> </w:t>
      </w:r>
      <w:r w:rsidR="00CC0FBD">
        <w:t>above</w:t>
      </w:r>
      <w:r w:rsidRPr="007D6590">
        <w:t>;</w:t>
      </w:r>
    </w:p>
    <w:p w14:paraId="5BDE826B" w14:textId="6BDA39FC" w:rsidR="00DE5AF2" w:rsidRPr="007D6590" w:rsidRDefault="00BB67EC" w:rsidP="00396E87">
      <w:pPr>
        <w:pStyle w:val="AltBH3OCAshurst"/>
      </w:pPr>
      <w:r>
        <w:t xml:space="preserve">the report by Deloitte LLP on the unaudited pro forma financial information set out in Section B of </w:t>
      </w:r>
      <w:r>
        <w:rPr>
          <w:b/>
        </w:rPr>
        <w:fldChar w:fldCharType="begin"/>
      </w:r>
      <w:r>
        <w:instrText xml:space="preserve"> REF _Ref65772195 \r \h </w:instrText>
      </w:r>
      <w:r>
        <w:rPr>
          <w:b/>
        </w:rPr>
      </w:r>
      <w:r>
        <w:rPr>
          <w:b/>
        </w:rPr>
        <w:fldChar w:fldCharType="separate"/>
      </w:r>
      <w:r w:rsidR="002D487F">
        <w:rPr>
          <w:cs/>
        </w:rPr>
        <w:t>‎</w:t>
      </w:r>
      <w:r w:rsidR="002D487F">
        <w:t>Part 2</w:t>
      </w:r>
      <w:r>
        <w:rPr>
          <w:b/>
        </w:rPr>
        <w:fldChar w:fldCharType="end"/>
      </w:r>
      <w:r>
        <w:t xml:space="preserve"> ("</w:t>
      </w:r>
      <w:r w:rsidR="004C22E7" w:rsidRPr="00615140">
        <w:rPr>
          <w:i/>
          <w:iCs/>
        </w:rPr>
        <w:t>Supplemental</w:t>
      </w:r>
      <w:r w:rsidR="004C22E7">
        <w:t xml:space="preserve"> </w:t>
      </w:r>
      <w:r w:rsidRPr="00BB67EC">
        <w:rPr>
          <w:i/>
          <w:iCs/>
        </w:rPr>
        <w:t>Unaudited Pro</w:t>
      </w:r>
      <w:r w:rsidR="00273755">
        <w:rPr>
          <w:i/>
          <w:iCs/>
        </w:rPr>
        <w:t xml:space="preserve"> F</w:t>
      </w:r>
      <w:r w:rsidRPr="00BB67EC">
        <w:rPr>
          <w:i/>
          <w:iCs/>
        </w:rPr>
        <w:t>orma Financial Information</w:t>
      </w:r>
      <w:r>
        <w:t>")</w:t>
      </w:r>
      <w:r w:rsidR="000A605B">
        <w:t xml:space="preserve"> of this Supplementary Prospectus</w:t>
      </w:r>
      <w:r>
        <w:t>;</w:t>
      </w:r>
      <w:r w:rsidR="00DE5AF2" w:rsidRPr="007D6590">
        <w:t xml:space="preserve"> and</w:t>
      </w:r>
    </w:p>
    <w:p w14:paraId="023E3C1C" w14:textId="77777777" w:rsidR="00DE5AF2" w:rsidRPr="007D6590" w:rsidRDefault="00DE5AF2" w:rsidP="00396E87">
      <w:pPr>
        <w:pStyle w:val="AltBH3OCAshurst"/>
      </w:pPr>
      <w:r w:rsidRPr="007D6590">
        <w:t>this document.</w:t>
      </w:r>
    </w:p>
    <w:p w14:paraId="6AD4C5F6" w14:textId="77777777" w:rsidR="00DE5AF2" w:rsidRPr="007D6590" w:rsidRDefault="00DE5AF2" w:rsidP="00396E87">
      <w:pPr>
        <w:pStyle w:val="NormalOCAshurst"/>
        <w:rPr>
          <w:rFonts w:asciiTheme="majorHAnsi" w:hAnsiTheme="majorHAnsi" w:cstheme="majorHAnsi"/>
        </w:rPr>
      </w:pPr>
    </w:p>
    <w:p w14:paraId="1A8ABA03" w14:textId="77777777" w:rsidR="00DE5AF2" w:rsidRPr="00841D68" w:rsidRDefault="00DE5AF2" w:rsidP="00396E87">
      <w:pPr>
        <w:pStyle w:val="MainHeadingOCAshurst"/>
        <w:rPr>
          <w:rFonts w:asciiTheme="majorHAnsi" w:hAnsiTheme="majorHAnsi" w:cstheme="majorHAnsi"/>
        </w:rPr>
      </w:pPr>
    </w:p>
    <w:sectPr w:rsidR="00DE5AF2" w:rsidRPr="00841D68" w:rsidSect="00DE5AF2">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08" w:footer="708"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0130B" w14:textId="77777777" w:rsidR="00626462" w:rsidRDefault="00626462">
      <w:r>
        <w:separator/>
      </w:r>
    </w:p>
  </w:endnote>
  <w:endnote w:type="continuationSeparator" w:id="0">
    <w:p w14:paraId="14AD75F6" w14:textId="77777777" w:rsidR="00626462" w:rsidRDefault="0062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5142D" w14:textId="77777777" w:rsidR="006D1B33" w:rsidRDefault="006D1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1E0" w:firstRow="1" w:lastRow="1" w:firstColumn="1" w:lastColumn="1" w:noHBand="0" w:noVBand="0"/>
    </w:tblPr>
    <w:tblGrid>
      <w:gridCol w:w="3006"/>
      <w:gridCol w:w="3006"/>
      <w:gridCol w:w="3015"/>
    </w:tblGrid>
    <w:tr w:rsidR="00626462" w14:paraId="502C70E1" w14:textId="77777777">
      <w:tc>
        <w:tcPr>
          <w:tcW w:w="1665" w:type="pct"/>
        </w:tcPr>
        <w:p w14:paraId="34919856" w14:textId="77777777" w:rsidR="00626462" w:rsidRPr="00A414FC" w:rsidRDefault="00626462">
          <w:pPr>
            <w:pStyle w:val="Footer"/>
          </w:pPr>
        </w:p>
      </w:tc>
      <w:tc>
        <w:tcPr>
          <w:tcW w:w="1665" w:type="pct"/>
        </w:tcPr>
        <w:p w14:paraId="508DF827" w14:textId="77777777" w:rsidR="00626462" w:rsidRPr="006169B1" w:rsidRDefault="00626462">
          <w:pPr>
            <w:pStyle w:val="Footer"/>
            <w:jc w:val="center"/>
            <w:rPr>
              <w:rStyle w:val="PageNumber"/>
              <w:rFonts w:ascii="Times New Roman" w:hAnsi="Times New Roman"/>
            </w:rPr>
          </w:pPr>
          <w:r w:rsidRPr="006169B1">
            <w:rPr>
              <w:rStyle w:val="PageNumber"/>
              <w:rFonts w:ascii="Times New Roman" w:hAnsi="Times New Roman"/>
            </w:rPr>
            <w:fldChar w:fldCharType="begin"/>
          </w:r>
          <w:r w:rsidRPr="006169B1">
            <w:rPr>
              <w:rStyle w:val="PageNumber"/>
              <w:rFonts w:ascii="Times New Roman" w:hAnsi="Times New Roman"/>
            </w:rPr>
            <w:instrText xml:space="preserve"> PAGE </w:instrText>
          </w:r>
          <w:r w:rsidRPr="006169B1">
            <w:rPr>
              <w:rStyle w:val="PageNumber"/>
              <w:rFonts w:ascii="Times New Roman" w:hAnsi="Times New Roman"/>
            </w:rPr>
            <w:fldChar w:fldCharType="separate"/>
          </w:r>
          <w:r>
            <w:rPr>
              <w:rStyle w:val="PageNumber"/>
              <w:rFonts w:ascii="Times New Roman" w:hAnsi="Times New Roman"/>
              <w:noProof/>
            </w:rPr>
            <w:t>iv</w:t>
          </w:r>
          <w:r w:rsidRPr="006169B1">
            <w:rPr>
              <w:rStyle w:val="PageNumber"/>
              <w:rFonts w:ascii="Times New Roman" w:hAnsi="Times New Roman"/>
            </w:rPr>
            <w:fldChar w:fldCharType="end"/>
          </w:r>
        </w:p>
      </w:tc>
      <w:tc>
        <w:tcPr>
          <w:tcW w:w="1670" w:type="pct"/>
        </w:tcPr>
        <w:p w14:paraId="7175D2FF" w14:textId="77777777" w:rsidR="00626462" w:rsidRPr="00A414FC" w:rsidRDefault="00626462">
          <w:pPr>
            <w:pStyle w:val="Footer"/>
          </w:pPr>
        </w:p>
      </w:tc>
    </w:tr>
    <w:tr w:rsidR="00626462" w14:paraId="36BD15B7" w14:textId="77777777">
      <w:tc>
        <w:tcPr>
          <w:tcW w:w="5000" w:type="pct"/>
          <w:gridSpan w:val="3"/>
        </w:tcPr>
        <w:p w14:paraId="53F34579" w14:textId="0DB0AE05" w:rsidR="00626462" w:rsidRPr="006169B1" w:rsidRDefault="00626462">
          <w:pPr>
            <w:pStyle w:val="Footer"/>
            <w:rPr>
              <w:rFonts w:ascii="Times New Roman" w:hAnsi="Times New Roman"/>
            </w:rPr>
          </w:pPr>
          <w:r w:rsidRPr="006169B1">
            <w:rPr>
              <w:rFonts w:ascii="Times New Roman" w:hAnsi="Times New Roman"/>
            </w:rPr>
            <w:fldChar w:fldCharType="begin"/>
          </w:r>
          <w:r w:rsidRPr="006169B1">
            <w:rPr>
              <w:rFonts w:ascii="Times New Roman" w:hAnsi="Times New Roman"/>
            </w:rPr>
            <w:instrText xml:space="preserve"> DOCPROPERTY  ashurstDocRef  \* MERGEFORMAT </w:instrText>
          </w:r>
          <w:r w:rsidRPr="006169B1">
            <w:rPr>
              <w:rFonts w:ascii="Times New Roman" w:hAnsi="Times New Roman"/>
            </w:rPr>
            <w:fldChar w:fldCharType="separate"/>
          </w:r>
          <w:r w:rsidR="006D1B33">
            <w:rPr>
              <w:rFonts w:ascii="Times New Roman" w:hAnsi="Times New Roman"/>
            </w:rPr>
            <w:t>EUS\393904335.09</w:t>
          </w:r>
          <w:r w:rsidRPr="006169B1">
            <w:rPr>
              <w:rFonts w:ascii="Times New Roman" w:hAnsi="Times New Roman"/>
            </w:rPr>
            <w:fldChar w:fldCharType="end"/>
          </w:r>
        </w:p>
      </w:tc>
    </w:tr>
  </w:tbl>
  <w:p w14:paraId="0EF6D065" w14:textId="77777777" w:rsidR="00626462" w:rsidRPr="00A414FC" w:rsidRDefault="00626462" w:rsidP="00DE5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AEE95" w14:textId="77777777" w:rsidR="006D1B33" w:rsidRDefault="006D1B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1E0" w:firstRow="1" w:lastRow="1" w:firstColumn="1" w:lastColumn="1" w:noHBand="0" w:noVBand="0"/>
    </w:tblPr>
    <w:tblGrid>
      <w:gridCol w:w="2766"/>
      <w:gridCol w:w="2766"/>
      <w:gridCol w:w="2775"/>
    </w:tblGrid>
    <w:tr w:rsidR="00626462" w14:paraId="69518E3D" w14:textId="77777777">
      <w:tc>
        <w:tcPr>
          <w:tcW w:w="1665" w:type="pct"/>
        </w:tcPr>
        <w:p w14:paraId="24AE8FFE" w14:textId="77777777" w:rsidR="00626462" w:rsidRPr="006169B1" w:rsidRDefault="00626462">
          <w:pPr>
            <w:pStyle w:val="Footer"/>
            <w:rPr>
              <w:rFonts w:ascii="Times New Roman" w:hAnsi="Times New Roman"/>
            </w:rPr>
          </w:pPr>
        </w:p>
      </w:tc>
      <w:tc>
        <w:tcPr>
          <w:tcW w:w="1665" w:type="pct"/>
        </w:tcPr>
        <w:p w14:paraId="57D6C2A9" w14:textId="77777777" w:rsidR="00626462" w:rsidRPr="00A414FC" w:rsidRDefault="00626462">
          <w:pPr>
            <w:pStyle w:val="Footer"/>
            <w:jc w:val="center"/>
            <w:rPr>
              <w:rStyle w:val="PageNumber"/>
            </w:rPr>
          </w:pPr>
        </w:p>
      </w:tc>
      <w:tc>
        <w:tcPr>
          <w:tcW w:w="1670" w:type="pct"/>
        </w:tcPr>
        <w:p w14:paraId="64F6C0DB" w14:textId="77777777" w:rsidR="00626462" w:rsidRPr="00A414FC" w:rsidRDefault="00626462">
          <w:pPr>
            <w:pStyle w:val="Footer"/>
          </w:pPr>
        </w:p>
      </w:tc>
    </w:tr>
    <w:tr w:rsidR="00626462" w14:paraId="100C851F" w14:textId="77777777">
      <w:tc>
        <w:tcPr>
          <w:tcW w:w="5000" w:type="pct"/>
          <w:gridSpan w:val="3"/>
        </w:tcPr>
        <w:p w14:paraId="78CA9D96" w14:textId="033EAB02" w:rsidR="00626462" w:rsidRPr="006169B1" w:rsidRDefault="00626462">
          <w:pPr>
            <w:pStyle w:val="Footer"/>
            <w:rPr>
              <w:rFonts w:ascii="Times New Roman" w:hAnsi="Times New Roman"/>
            </w:rPr>
          </w:pPr>
          <w:r w:rsidRPr="006169B1">
            <w:rPr>
              <w:rFonts w:ascii="Times New Roman" w:hAnsi="Times New Roman"/>
            </w:rPr>
            <w:fldChar w:fldCharType="begin"/>
          </w:r>
          <w:r w:rsidRPr="006169B1">
            <w:rPr>
              <w:rFonts w:ascii="Times New Roman" w:hAnsi="Times New Roman"/>
            </w:rPr>
            <w:instrText xml:space="preserve"> DOCPROPERTY  ashurstDocRef  \* MERGEFORMAT </w:instrText>
          </w:r>
          <w:r w:rsidRPr="006169B1">
            <w:rPr>
              <w:rFonts w:ascii="Times New Roman" w:hAnsi="Times New Roman"/>
            </w:rPr>
            <w:fldChar w:fldCharType="separate"/>
          </w:r>
          <w:r w:rsidR="006D1B33">
            <w:rPr>
              <w:rFonts w:ascii="Times New Roman" w:hAnsi="Times New Roman"/>
            </w:rPr>
            <w:t>EUS\393904335.09</w:t>
          </w:r>
          <w:r w:rsidRPr="006169B1">
            <w:rPr>
              <w:rFonts w:ascii="Times New Roman" w:hAnsi="Times New Roman"/>
            </w:rPr>
            <w:fldChar w:fldCharType="end"/>
          </w:r>
        </w:p>
      </w:tc>
    </w:tr>
  </w:tbl>
  <w:p w14:paraId="4B5BB307" w14:textId="77777777" w:rsidR="00626462" w:rsidRPr="00A414FC" w:rsidRDefault="00626462" w:rsidP="00DE5A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1E0" w:firstRow="1" w:lastRow="1" w:firstColumn="1" w:lastColumn="1" w:noHBand="0" w:noVBand="0"/>
    </w:tblPr>
    <w:tblGrid>
      <w:gridCol w:w="2768"/>
      <w:gridCol w:w="2768"/>
      <w:gridCol w:w="2777"/>
    </w:tblGrid>
    <w:tr w:rsidR="00626462" w14:paraId="5EDD4D60" w14:textId="77777777">
      <w:tc>
        <w:tcPr>
          <w:tcW w:w="1665" w:type="pct"/>
        </w:tcPr>
        <w:p w14:paraId="6C3BA5B5" w14:textId="2C5F3063" w:rsidR="00626462" w:rsidRPr="00A414FC" w:rsidRDefault="00626462">
          <w:pPr>
            <w:pStyle w:val="Footer"/>
          </w:pPr>
        </w:p>
      </w:tc>
      <w:tc>
        <w:tcPr>
          <w:tcW w:w="1665" w:type="pct"/>
        </w:tcPr>
        <w:p w14:paraId="47510D6F" w14:textId="77777777" w:rsidR="00626462" w:rsidRPr="006169B1" w:rsidRDefault="00626462">
          <w:pPr>
            <w:pStyle w:val="Footer"/>
            <w:jc w:val="center"/>
            <w:rPr>
              <w:rStyle w:val="PageNumber"/>
              <w:rFonts w:ascii="Times New Roman" w:hAnsi="Times New Roman"/>
            </w:rPr>
          </w:pPr>
          <w:r w:rsidRPr="006169B1">
            <w:rPr>
              <w:rStyle w:val="PageNumber"/>
              <w:rFonts w:ascii="Times New Roman" w:hAnsi="Times New Roman"/>
            </w:rPr>
            <w:t xml:space="preserve"> </w:t>
          </w:r>
          <w:r w:rsidRPr="006169B1">
            <w:rPr>
              <w:rStyle w:val="PageNumber"/>
              <w:rFonts w:ascii="Times New Roman" w:hAnsi="Times New Roman"/>
            </w:rPr>
            <w:fldChar w:fldCharType="begin"/>
          </w:r>
          <w:r w:rsidRPr="006169B1">
            <w:rPr>
              <w:rStyle w:val="PageNumber"/>
              <w:rFonts w:ascii="Times New Roman" w:hAnsi="Times New Roman"/>
            </w:rPr>
            <w:instrText xml:space="preserve"> PAGE  \* MERGEFORMAT </w:instrText>
          </w:r>
          <w:r w:rsidRPr="006169B1">
            <w:rPr>
              <w:rStyle w:val="PageNumber"/>
              <w:rFonts w:ascii="Times New Roman" w:hAnsi="Times New Roman"/>
            </w:rPr>
            <w:fldChar w:fldCharType="separate"/>
          </w:r>
          <w:r>
            <w:rPr>
              <w:rStyle w:val="PageNumber"/>
              <w:rFonts w:ascii="Times New Roman" w:hAnsi="Times New Roman"/>
              <w:noProof/>
            </w:rPr>
            <w:t>233</w:t>
          </w:r>
          <w:r w:rsidRPr="006169B1">
            <w:rPr>
              <w:rStyle w:val="PageNumber"/>
              <w:rFonts w:ascii="Times New Roman" w:hAnsi="Times New Roman"/>
            </w:rPr>
            <w:fldChar w:fldCharType="end"/>
          </w:r>
          <w:r w:rsidRPr="006169B1">
            <w:rPr>
              <w:rStyle w:val="PageNumber"/>
              <w:rFonts w:ascii="Times New Roman" w:hAnsi="Times New Roman"/>
            </w:rPr>
            <w:t xml:space="preserve"> </w:t>
          </w:r>
        </w:p>
      </w:tc>
      <w:tc>
        <w:tcPr>
          <w:tcW w:w="1670" w:type="pct"/>
        </w:tcPr>
        <w:p w14:paraId="0B7D3EC2" w14:textId="77777777" w:rsidR="00626462" w:rsidRPr="00A414FC" w:rsidRDefault="00626462">
          <w:pPr>
            <w:pStyle w:val="Footer"/>
          </w:pPr>
        </w:p>
      </w:tc>
    </w:tr>
    <w:tr w:rsidR="00626462" w14:paraId="50EE2F60" w14:textId="77777777">
      <w:tc>
        <w:tcPr>
          <w:tcW w:w="5000" w:type="pct"/>
          <w:gridSpan w:val="3"/>
        </w:tcPr>
        <w:p w14:paraId="6AEE3EDA" w14:textId="031C3A7F" w:rsidR="00626462" w:rsidRPr="006169B1" w:rsidRDefault="00626462">
          <w:pPr>
            <w:pStyle w:val="Footer"/>
            <w:rPr>
              <w:rFonts w:ascii="Times New Roman" w:hAnsi="Times New Roman"/>
            </w:rPr>
          </w:pPr>
          <w:r w:rsidRPr="006169B1">
            <w:rPr>
              <w:rFonts w:ascii="Times New Roman" w:hAnsi="Times New Roman"/>
            </w:rPr>
            <w:fldChar w:fldCharType="begin"/>
          </w:r>
          <w:r w:rsidRPr="006169B1">
            <w:rPr>
              <w:rFonts w:ascii="Times New Roman" w:hAnsi="Times New Roman"/>
            </w:rPr>
            <w:instrText xml:space="preserve"> DOCPROPERTY  ashurstDocRef  \* MERGEFORMAT </w:instrText>
          </w:r>
          <w:r w:rsidRPr="006169B1">
            <w:rPr>
              <w:rFonts w:ascii="Times New Roman" w:hAnsi="Times New Roman"/>
            </w:rPr>
            <w:fldChar w:fldCharType="separate"/>
          </w:r>
          <w:r w:rsidR="006D1B33">
            <w:rPr>
              <w:rFonts w:ascii="Times New Roman" w:hAnsi="Times New Roman"/>
            </w:rPr>
            <w:t>EUS\393904335.09</w:t>
          </w:r>
          <w:r w:rsidRPr="006169B1">
            <w:rPr>
              <w:rFonts w:ascii="Times New Roman" w:hAnsi="Times New Roman"/>
            </w:rPr>
            <w:fldChar w:fldCharType="end"/>
          </w:r>
        </w:p>
      </w:tc>
    </w:tr>
  </w:tbl>
  <w:p w14:paraId="5C9C4B38" w14:textId="77777777" w:rsidR="00626462" w:rsidRPr="00A414FC" w:rsidRDefault="00626462" w:rsidP="00DE5A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1E0" w:firstRow="1" w:lastRow="1" w:firstColumn="1" w:lastColumn="1" w:noHBand="0" w:noVBand="0"/>
    </w:tblPr>
    <w:tblGrid>
      <w:gridCol w:w="3006"/>
      <w:gridCol w:w="3006"/>
      <w:gridCol w:w="3015"/>
    </w:tblGrid>
    <w:tr w:rsidR="00626462" w14:paraId="409BA3D5" w14:textId="77777777">
      <w:tc>
        <w:tcPr>
          <w:tcW w:w="1665" w:type="pct"/>
        </w:tcPr>
        <w:p w14:paraId="205DC80E" w14:textId="77777777" w:rsidR="00626462" w:rsidRPr="00E85EAB" w:rsidRDefault="00626462">
          <w:pPr>
            <w:pStyle w:val="Footer"/>
          </w:pPr>
        </w:p>
      </w:tc>
      <w:tc>
        <w:tcPr>
          <w:tcW w:w="1665" w:type="pct"/>
        </w:tcPr>
        <w:p w14:paraId="48D08067" w14:textId="77777777" w:rsidR="00626462" w:rsidRPr="00E85EAB" w:rsidRDefault="00626462" w:rsidP="00DE5AF2">
          <w:pPr>
            <w:pStyle w:val="StandardAshurst"/>
            <w:jc w:val="center"/>
            <w:rPr>
              <w:rStyle w:val="PageNumber"/>
            </w:rPr>
          </w:pPr>
          <w:r w:rsidRPr="00E85EAB">
            <w:rPr>
              <w:rStyle w:val="PageNumber"/>
            </w:rPr>
            <w:fldChar w:fldCharType="begin"/>
          </w:r>
          <w:r w:rsidRPr="00E85EAB">
            <w:rPr>
              <w:rStyle w:val="PageNumber"/>
            </w:rPr>
            <w:instrText xml:space="preserve"> PAGE  \* MERGEFORMAT </w:instrText>
          </w:r>
          <w:r w:rsidRPr="00E85EAB">
            <w:rPr>
              <w:rStyle w:val="PageNumber"/>
            </w:rPr>
            <w:fldChar w:fldCharType="separate"/>
          </w:r>
          <w:r>
            <w:rPr>
              <w:rStyle w:val="PageNumber"/>
              <w:noProof/>
            </w:rPr>
            <w:t>270</w:t>
          </w:r>
          <w:r w:rsidRPr="00E85EAB">
            <w:rPr>
              <w:rStyle w:val="PageNumber"/>
            </w:rPr>
            <w:fldChar w:fldCharType="end"/>
          </w:r>
        </w:p>
      </w:tc>
      <w:tc>
        <w:tcPr>
          <w:tcW w:w="1670" w:type="pct"/>
        </w:tcPr>
        <w:p w14:paraId="01DAC3F1" w14:textId="77777777" w:rsidR="00626462" w:rsidRPr="00E85EAB" w:rsidRDefault="00626462">
          <w:pPr>
            <w:pStyle w:val="Footer"/>
          </w:pPr>
        </w:p>
      </w:tc>
    </w:tr>
    <w:tr w:rsidR="00626462" w14:paraId="5BEA927F" w14:textId="77777777">
      <w:tc>
        <w:tcPr>
          <w:tcW w:w="5000" w:type="pct"/>
          <w:gridSpan w:val="3"/>
        </w:tcPr>
        <w:p w14:paraId="2DE8ED76" w14:textId="30C74740" w:rsidR="00626462" w:rsidRPr="00E85EAB" w:rsidRDefault="006D1B33">
          <w:pPr>
            <w:pStyle w:val="Footer"/>
          </w:pPr>
          <w:r>
            <w:fldChar w:fldCharType="begin"/>
          </w:r>
          <w:r>
            <w:instrText xml:space="preserve"> DOCPROPERTY  ashurstDocRef  \* MERGEFORMAT </w:instrText>
          </w:r>
          <w:r>
            <w:fldChar w:fldCharType="separate"/>
          </w:r>
          <w:r w:rsidR="00626462">
            <w:t>EUS\393904335.07</w:t>
          </w:r>
          <w:r>
            <w:fldChar w:fldCharType="end"/>
          </w:r>
        </w:p>
      </w:tc>
    </w:tr>
  </w:tbl>
  <w:p w14:paraId="5102E8AE" w14:textId="77777777" w:rsidR="00626462" w:rsidRPr="00E85EAB" w:rsidRDefault="00626462" w:rsidP="00DE5AF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1E0" w:firstRow="1" w:lastRow="1" w:firstColumn="1" w:lastColumn="1" w:noHBand="0" w:noVBand="0"/>
    </w:tblPr>
    <w:tblGrid>
      <w:gridCol w:w="2766"/>
      <w:gridCol w:w="2766"/>
      <w:gridCol w:w="2774"/>
    </w:tblGrid>
    <w:tr w:rsidR="00626462" w14:paraId="5CFAED75" w14:textId="77777777">
      <w:tc>
        <w:tcPr>
          <w:tcW w:w="1665" w:type="pct"/>
        </w:tcPr>
        <w:p w14:paraId="16C332FA" w14:textId="16C7DDC1" w:rsidR="00626462" w:rsidRPr="00E85EAB" w:rsidRDefault="00626462">
          <w:pPr>
            <w:pStyle w:val="Footer"/>
          </w:pPr>
        </w:p>
      </w:tc>
      <w:tc>
        <w:tcPr>
          <w:tcW w:w="1665" w:type="pct"/>
        </w:tcPr>
        <w:p w14:paraId="59875EA3" w14:textId="77777777" w:rsidR="00626462" w:rsidRPr="00186BEA" w:rsidRDefault="00626462" w:rsidP="00DE5AF2">
          <w:pPr>
            <w:pStyle w:val="StandardAshurst"/>
            <w:jc w:val="center"/>
            <w:rPr>
              <w:rStyle w:val="PageNumber"/>
              <w:sz w:val="18"/>
              <w:szCs w:val="18"/>
            </w:rPr>
          </w:pPr>
          <w:r w:rsidRPr="00186BEA">
            <w:rPr>
              <w:rStyle w:val="PageNumber"/>
              <w:sz w:val="18"/>
              <w:szCs w:val="18"/>
            </w:rPr>
            <w:fldChar w:fldCharType="begin"/>
          </w:r>
          <w:r w:rsidRPr="00186BEA">
            <w:rPr>
              <w:rStyle w:val="PageNumber"/>
              <w:sz w:val="18"/>
              <w:szCs w:val="18"/>
            </w:rPr>
            <w:instrText xml:space="preserve"> PAGE  \* MERGEFORMAT </w:instrText>
          </w:r>
          <w:r w:rsidRPr="00186BEA">
            <w:rPr>
              <w:rStyle w:val="PageNumber"/>
              <w:sz w:val="18"/>
              <w:szCs w:val="18"/>
            </w:rPr>
            <w:fldChar w:fldCharType="separate"/>
          </w:r>
          <w:r w:rsidRPr="00186BEA">
            <w:rPr>
              <w:rStyle w:val="PageNumber"/>
              <w:noProof/>
              <w:sz w:val="18"/>
              <w:szCs w:val="18"/>
            </w:rPr>
            <w:t>291</w:t>
          </w:r>
          <w:r w:rsidRPr="00186BEA">
            <w:rPr>
              <w:rStyle w:val="PageNumber"/>
              <w:sz w:val="18"/>
              <w:szCs w:val="18"/>
            </w:rPr>
            <w:fldChar w:fldCharType="end"/>
          </w:r>
        </w:p>
      </w:tc>
      <w:tc>
        <w:tcPr>
          <w:tcW w:w="1670" w:type="pct"/>
        </w:tcPr>
        <w:p w14:paraId="3946676F" w14:textId="77777777" w:rsidR="00626462" w:rsidRPr="00E85EAB" w:rsidRDefault="00626462">
          <w:pPr>
            <w:pStyle w:val="Footer"/>
          </w:pPr>
        </w:p>
      </w:tc>
    </w:tr>
    <w:tr w:rsidR="00626462" w14:paraId="0CEECDAB" w14:textId="77777777">
      <w:tc>
        <w:tcPr>
          <w:tcW w:w="5000" w:type="pct"/>
          <w:gridSpan w:val="3"/>
        </w:tcPr>
        <w:p w14:paraId="21747D12" w14:textId="37E5D682" w:rsidR="00626462" w:rsidRPr="00186BEA" w:rsidRDefault="00626462">
          <w:pPr>
            <w:pStyle w:val="Footer"/>
            <w:rPr>
              <w:sz w:val="18"/>
              <w:szCs w:val="18"/>
            </w:rPr>
          </w:pPr>
          <w:r w:rsidRPr="00186BEA">
            <w:rPr>
              <w:sz w:val="18"/>
              <w:szCs w:val="18"/>
            </w:rPr>
            <w:fldChar w:fldCharType="begin"/>
          </w:r>
          <w:r w:rsidRPr="00186BEA">
            <w:rPr>
              <w:sz w:val="18"/>
              <w:szCs w:val="18"/>
            </w:rPr>
            <w:instrText xml:space="preserve"> DOCPROPERTY  ashurstDocRef  \* MERGEFORMAT </w:instrText>
          </w:r>
          <w:r w:rsidRPr="00186BEA">
            <w:rPr>
              <w:sz w:val="18"/>
              <w:szCs w:val="18"/>
            </w:rPr>
            <w:fldChar w:fldCharType="separate"/>
          </w:r>
          <w:r w:rsidR="006D1B33">
            <w:rPr>
              <w:sz w:val="18"/>
              <w:szCs w:val="18"/>
            </w:rPr>
            <w:t>EUS\393904335.09</w:t>
          </w:r>
          <w:r w:rsidRPr="00186BEA">
            <w:rPr>
              <w:sz w:val="18"/>
              <w:szCs w:val="18"/>
            </w:rPr>
            <w:fldChar w:fldCharType="end"/>
          </w:r>
        </w:p>
      </w:tc>
    </w:tr>
  </w:tbl>
  <w:p w14:paraId="4054E074" w14:textId="77777777" w:rsidR="00626462" w:rsidRPr="00E85EAB" w:rsidRDefault="00626462" w:rsidP="00DE5AF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1E0" w:firstRow="1" w:lastRow="1" w:firstColumn="1" w:lastColumn="1" w:noHBand="0" w:noVBand="0"/>
    </w:tblPr>
    <w:tblGrid>
      <w:gridCol w:w="2766"/>
      <w:gridCol w:w="2766"/>
      <w:gridCol w:w="2774"/>
    </w:tblGrid>
    <w:tr w:rsidR="00626462" w14:paraId="4CC22D94" w14:textId="77777777">
      <w:tc>
        <w:tcPr>
          <w:tcW w:w="1665" w:type="pct"/>
        </w:tcPr>
        <w:p w14:paraId="57FFD764" w14:textId="77777777" w:rsidR="00626462" w:rsidRPr="00E85EAB" w:rsidRDefault="00626462">
          <w:pPr>
            <w:pStyle w:val="Footer"/>
          </w:pPr>
        </w:p>
      </w:tc>
      <w:tc>
        <w:tcPr>
          <w:tcW w:w="1665" w:type="pct"/>
        </w:tcPr>
        <w:p w14:paraId="0CF6FCDC" w14:textId="77777777" w:rsidR="00626462" w:rsidRPr="00E85EAB" w:rsidRDefault="00626462" w:rsidP="00DE5AF2">
          <w:pPr>
            <w:pStyle w:val="StandardAshurst"/>
            <w:jc w:val="center"/>
            <w:rPr>
              <w:rStyle w:val="PageNumber"/>
            </w:rPr>
          </w:pPr>
          <w:r w:rsidRPr="00E85EAB">
            <w:rPr>
              <w:rStyle w:val="PageNumber"/>
            </w:rPr>
            <w:fldChar w:fldCharType="begin"/>
          </w:r>
          <w:r w:rsidRPr="00E85EAB">
            <w:rPr>
              <w:rStyle w:val="PageNumber"/>
            </w:rPr>
            <w:instrText xml:space="preserve"> PAGE  \* MERGEFORMAT </w:instrText>
          </w:r>
          <w:r w:rsidRPr="00E85EAB">
            <w:rPr>
              <w:rStyle w:val="PageNumber"/>
            </w:rPr>
            <w:fldChar w:fldCharType="separate"/>
          </w:r>
          <w:r>
            <w:rPr>
              <w:rStyle w:val="PageNumber"/>
              <w:noProof/>
            </w:rPr>
            <w:t>270</w:t>
          </w:r>
          <w:r w:rsidRPr="00E85EAB">
            <w:rPr>
              <w:rStyle w:val="PageNumber"/>
            </w:rPr>
            <w:fldChar w:fldCharType="end"/>
          </w:r>
        </w:p>
      </w:tc>
      <w:tc>
        <w:tcPr>
          <w:tcW w:w="1670" w:type="pct"/>
        </w:tcPr>
        <w:p w14:paraId="7A4F3C1D" w14:textId="77777777" w:rsidR="00626462" w:rsidRPr="00E85EAB" w:rsidRDefault="00626462">
          <w:pPr>
            <w:pStyle w:val="Footer"/>
          </w:pPr>
        </w:p>
      </w:tc>
    </w:tr>
    <w:tr w:rsidR="00626462" w14:paraId="5DDD9D3C" w14:textId="77777777">
      <w:tc>
        <w:tcPr>
          <w:tcW w:w="5000" w:type="pct"/>
          <w:gridSpan w:val="3"/>
        </w:tcPr>
        <w:p w14:paraId="505B6925" w14:textId="42CEB4F7" w:rsidR="00626462" w:rsidRPr="00E85EAB" w:rsidRDefault="006D1B33">
          <w:pPr>
            <w:pStyle w:val="Footer"/>
          </w:pPr>
          <w:r>
            <w:fldChar w:fldCharType="begin"/>
          </w:r>
          <w:r>
            <w:instrText xml:space="preserve"> DOCPROPERTY  ashurstDocRef  \* MERGEFORMAT </w:instrText>
          </w:r>
          <w:r>
            <w:fldChar w:fldCharType="separate"/>
          </w:r>
          <w:r w:rsidR="00626462">
            <w:t>EUS\393904335.07</w:t>
          </w:r>
          <w:r>
            <w:fldChar w:fldCharType="end"/>
          </w:r>
        </w:p>
      </w:tc>
    </w:tr>
  </w:tbl>
  <w:p w14:paraId="19E5FD1C" w14:textId="77777777" w:rsidR="00626462" w:rsidRPr="00E85EAB" w:rsidRDefault="00626462" w:rsidP="00DE5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9B0A2" w14:textId="77777777" w:rsidR="00626462" w:rsidRPr="00E85EAB" w:rsidRDefault="00626462">
      <w:r w:rsidRPr="00E85EAB">
        <w:separator/>
      </w:r>
    </w:p>
  </w:footnote>
  <w:footnote w:type="continuationSeparator" w:id="0">
    <w:p w14:paraId="270BD621" w14:textId="77777777" w:rsidR="00626462" w:rsidRPr="00E85EAB" w:rsidRDefault="00626462">
      <w:r w:rsidRPr="00E85EAB">
        <w:continuationSeparator/>
      </w:r>
    </w:p>
  </w:footnote>
  <w:footnote w:id="1">
    <w:p w14:paraId="6F868858" w14:textId="7D38DD8B" w:rsidR="00626462" w:rsidRPr="00134F8F" w:rsidRDefault="00626462">
      <w:pPr>
        <w:pStyle w:val="FootnoteText"/>
      </w:pPr>
      <w:r>
        <w:rPr>
          <w:rStyle w:val="FootnoteReference"/>
        </w:rPr>
        <w:footnoteRef/>
      </w:r>
      <w:r>
        <w:t xml:space="preserve"> For details on the Magnus Contingent Consideration, refer to paragraph 3.1 of Part 4 ("</w:t>
      </w:r>
      <w:r>
        <w:rPr>
          <w:i/>
          <w:iCs/>
        </w:rPr>
        <w:t>Operating and Financial Review of the EnQuest Group</w:t>
      </w:r>
      <w:r>
        <w:t>") of the Original Prospectus.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321FE" w14:textId="77777777" w:rsidR="006D1B33" w:rsidRDefault="006D1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50128" w14:textId="07630A3A" w:rsidR="00626462" w:rsidRPr="006D1B33" w:rsidRDefault="00626462" w:rsidP="006D1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6A887" w14:textId="77777777" w:rsidR="006D1B33" w:rsidRDefault="006D1B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16D1F" w14:textId="77777777" w:rsidR="00626462" w:rsidRPr="00E85EAB" w:rsidRDefault="0062646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469D6" w14:textId="77777777" w:rsidR="00626462" w:rsidRPr="00E85EAB" w:rsidRDefault="0062646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0C307" w14:textId="77777777" w:rsidR="00626462" w:rsidRPr="00E85EAB" w:rsidRDefault="006264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C384B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1F64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BC08F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C8083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B831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9E4B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CA50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C087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AA9E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D858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80801"/>
    <w:multiLevelType w:val="multilevel"/>
    <w:tmpl w:val="82E4FC46"/>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bullet"/>
      <w:lvlText w:val=""/>
      <w:lvlJc w:val="left"/>
      <w:pPr>
        <w:tabs>
          <w:tab w:val="num" w:pos="709"/>
        </w:tabs>
        <w:ind w:left="709" w:hanging="709"/>
      </w:pPr>
      <w:rPr>
        <w:rFonts w:ascii="Symbol" w:hAnsi="Symbol" w:hint="default"/>
        <w:b w:val="0"/>
        <w:i w:val="0"/>
      </w:rPr>
    </w:lvl>
    <w:lvl w:ilvl="3">
      <w:start w:val="1"/>
      <w:numFmt w:val="lowerRoman"/>
      <w:lvlText w:val="(%4)"/>
      <w:lvlJc w:val="left"/>
      <w:pPr>
        <w:tabs>
          <w:tab w:val="num" w:pos="1276"/>
        </w:tabs>
        <w:ind w:left="1276" w:hanging="567"/>
      </w:pPr>
      <w:rPr>
        <w:rFonts w:hint="default"/>
        <w:b w:val="0"/>
        <w:i w:val="0"/>
      </w:rPr>
    </w:lvl>
    <w:lvl w:ilvl="4">
      <w:start w:val="1"/>
      <w:numFmt w:val="upperLetter"/>
      <w:lvlText w:val="(%5)"/>
      <w:lvlJc w:val="left"/>
      <w:pPr>
        <w:tabs>
          <w:tab w:val="num" w:pos="1843"/>
        </w:tabs>
        <w:ind w:left="1843" w:hanging="567"/>
      </w:pPr>
      <w:rPr>
        <w:rFonts w:hint="default"/>
        <w:b w:val="0"/>
        <w:i w:val="0"/>
      </w:rPr>
    </w:lvl>
    <w:lvl w:ilvl="5">
      <w:start w:val="1"/>
      <w:numFmt w:val="decimal"/>
      <w:lvlText w:val="(%6)"/>
      <w:lvlJc w:val="left"/>
      <w:pPr>
        <w:tabs>
          <w:tab w:val="num" w:pos="2410"/>
        </w:tabs>
        <w:ind w:left="2410" w:hanging="567"/>
      </w:pPr>
      <w:rPr>
        <w:rFonts w:hint="default"/>
        <w:b w:val="0"/>
        <w:i w:val="0"/>
      </w:rPr>
    </w:lvl>
    <w:lvl w:ilvl="6">
      <w:start w:val="1"/>
      <w:numFmt w:val="lowerLetter"/>
      <w:lvlText w:val="(%7)"/>
      <w:lvlJc w:val="left"/>
      <w:pPr>
        <w:tabs>
          <w:tab w:val="num" w:pos="2977"/>
        </w:tabs>
        <w:ind w:left="2977" w:hanging="567"/>
      </w:pPr>
      <w:rPr>
        <w:rFonts w:hint="default"/>
        <w:b w:val="0"/>
        <w:i w:val="0"/>
      </w:rPr>
    </w:lvl>
    <w:lvl w:ilvl="7">
      <w:start w:val="1"/>
      <w:numFmt w:val="lowerRoman"/>
      <w:lvlText w:val="(%8)"/>
      <w:lvlJc w:val="left"/>
      <w:pPr>
        <w:tabs>
          <w:tab w:val="num" w:pos="3544"/>
        </w:tabs>
        <w:ind w:left="3544" w:hanging="567"/>
      </w:pPr>
      <w:rPr>
        <w:rFonts w:hint="default"/>
        <w:b w:val="0"/>
        <w:i w:val="0"/>
      </w:rPr>
    </w:lvl>
    <w:lvl w:ilvl="8">
      <w:numFmt w:val="none"/>
      <w:lvlText w:val=""/>
      <w:lvlJc w:val="left"/>
      <w:pPr>
        <w:tabs>
          <w:tab w:val="num" w:pos="0"/>
        </w:tabs>
        <w:ind w:left="0" w:firstLine="0"/>
      </w:pPr>
      <w:rPr>
        <w:rFonts w:hint="default"/>
      </w:rPr>
    </w:lvl>
  </w:abstractNum>
  <w:abstractNum w:abstractNumId="11" w15:restartNumberingAfterBreak="0">
    <w:nsid w:val="027D320E"/>
    <w:multiLevelType w:val="multilevel"/>
    <w:tmpl w:val="0809001D"/>
    <w:name w:val="AltBH1-8OC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E17314"/>
    <w:multiLevelType w:val="multilevel"/>
    <w:tmpl w:val="6CE2785A"/>
    <w:lvl w:ilvl="0">
      <w:start w:val="1"/>
      <w:numFmt w:val="decimal"/>
      <w:pStyle w:val="APPENDIXAshurst"/>
      <w:suff w:val="nothing"/>
      <w:lvlText w:val="appendix %1"/>
      <w:lvlJc w:val="left"/>
      <w:pPr>
        <w:ind w:left="0" w:firstLine="0"/>
      </w:pPr>
      <w:rPr>
        <w:rFonts w:hint="default"/>
        <w:b/>
        <w:i w:val="0"/>
        <w:sz w:val="18"/>
        <w:szCs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3" w15:restartNumberingAfterBreak="0">
    <w:nsid w:val="045E4AD4"/>
    <w:multiLevelType w:val="multilevel"/>
    <w:tmpl w:val="ED22CB7C"/>
    <w:name w:val="NewTableNumOC"/>
    <w:lvl w:ilvl="0">
      <w:start w:val="1"/>
      <w:numFmt w:val="lowerLetter"/>
      <w:pStyle w:val="OCTable1Ashurst"/>
      <w:lvlText w:val="(%1)"/>
      <w:lvlJc w:val="left"/>
      <w:pPr>
        <w:tabs>
          <w:tab w:val="num" w:pos="709"/>
        </w:tabs>
        <w:ind w:left="709" w:hanging="709"/>
      </w:pPr>
      <w:rPr>
        <w:rFonts w:hint="default"/>
      </w:rPr>
    </w:lvl>
    <w:lvl w:ilvl="1">
      <w:start w:val="1"/>
      <w:numFmt w:val="lowerRoman"/>
      <w:pStyle w:val="OCTable2Ashurst"/>
      <w:lvlText w:val="(%2)"/>
      <w:lvlJc w:val="left"/>
      <w:pPr>
        <w:tabs>
          <w:tab w:val="num" w:pos="1276"/>
        </w:tabs>
        <w:ind w:left="1276" w:hanging="567"/>
      </w:pPr>
      <w:rPr>
        <w:rFonts w:hint="default"/>
      </w:rPr>
    </w:lvl>
    <w:lvl w:ilvl="2">
      <w:start w:val="1"/>
      <w:numFmt w:val="upperLetter"/>
      <w:pStyle w:val="OCTable3Ashurst"/>
      <w:lvlText w:val="(%3)"/>
      <w:lvlJc w:val="left"/>
      <w:pPr>
        <w:tabs>
          <w:tab w:val="num" w:pos="1843"/>
        </w:tabs>
        <w:ind w:left="1843" w:hanging="567"/>
      </w:pPr>
      <w:rPr>
        <w:rFonts w:hint="default"/>
      </w:rPr>
    </w:lvl>
    <w:lvl w:ilvl="3">
      <w:start w:val="1"/>
      <w:numFmt w:val="decimal"/>
      <w:pStyle w:val="OCTable4Ashurst"/>
      <w:lvlText w:val="(%4)"/>
      <w:lvlJc w:val="left"/>
      <w:pPr>
        <w:tabs>
          <w:tab w:val="num" w:pos="2410"/>
        </w:tabs>
        <w:ind w:left="2410" w:hanging="56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lowerRoman"/>
      <w:lvlText w:val="%9."/>
      <w:lvlJc w:val="left"/>
      <w:pPr>
        <w:ind w:left="-32767" w:firstLine="0"/>
      </w:pPr>
      <w:rPr>
        <w:rFonts w:hint="default"/>
      </w:rPr>
    </w:lvl>
  </w:abstractNum>
  <w:abstractNum w:abstractNumId="14" w15:restartNumberingAfterBreak="0">
    <w:nsid w:val="094A0D3F"/>
    <w:multiLevelType w:val="hybridMultilevel"/>
    <w:tmpl w:val="3968D1D6"/>
    <w:lvl w:ilvl="0" w:tplc="37ECC1CE">
      <w:start w:val="1"/>
      <w:numFmt w:val="bullet"/>
      <w:pStyle w:val="Bullet2Ashurst"/>
      <w:lvlText w:val=""/>
      <w:lvlJc w:val="left"/>
      <w:pPr>
        <w:tabs>
          <w:tab w:val="num" w:pos="1406"/>
        </w:tabs>
        <w:ind w:left="1406" w:hanging="624"/>
      </w:pPr>
      <w:rPr>
        <w:rFonts w:ascii="Symbol" w:hAnsi="Symbol" w:hint="default"/>
        <w:b w:val="0"/>
        <w:i w:val="0"/>
        <w:sz w:val="18"/>
        <w:szCs w:val="18"/>
      </w:rPr>
    </w:lvl>
    <w:lvl w:ilvl="1" w:tplc="808E29DE" w:tentative="1">
      <w:start w:val="1"/>
      <w:numFmt w:val="bullet"/>
      <w:lvlText w:val="o"/>
      <w:lvlJc w:val="left"/>
      <w:pPr>
        <w:tabs>
          <w:tab w:val="num" w:pos="1440"/>
        </w:tabs>
        <w:ind w:left="1440" w:hanging="360"/>
      </w:pPr>
      <w:rPr>
        <w:rFonts w:ascii="Courier New" w:hAnsi="Courier New" w:cs="Courier New" w:hint="default"/>
      </w:rPr>
    </w:lvl>
    <w:lvl w:ilvl="2" w:tplc="6D6AE588" w:tentative="1">
      <w:start w:val="1"/>
      <w:numFmt w:val="bullet"/>
      <w:lvlText w:val=""/>
      <w:lvlJc w:val="left"/>
      <w:pPr>
        <w:tabs>
          <w:tab w:val="num" w:pos="2160"/>
        </w:tabs>
        <w:ind w:left="2160" w:hanging="360"/>
      </w:pPr>
      <w:rPr>
        <w:rFonts w:ascii="Wingdings" w:hAnsi="Wingdings" w:hint="default"/>
      </w:rPr>
    </w:lvl>
    <w:lvl w:ilvl="3" w:tplc="4950D4F6" w:tentative="1">
      <w:start w:val="1"/>
      <w:numFmt w:val="bullet"/>
      <w:lvlText w:val=""/>
      <w:lvlJc w:val="left"/>
      <w:pPr>
        <w:tabs>
          <w:tab w:val="num" w:pos="2880"/>
        </w:tabs>
        <w:ind w:left="2880" w:hanging="360"/>
      </w:pPr>
      <w:rPr>
        <w:rFonts w:ascii="Symbol" w:hAnsi="Symbol" w:hint="default"/>
      </w:rPr>
    </w:lvl>
    <w:lvl w:ilvl="4" w:tplc="75DE3306" w:tentative="1">
      <w:start w:val="1"/>
      <w:numFmt w:val="bullet"/>
      <w:lvlText w:val="o"/>
      <w:lvlJc w:val="left"/>
      <w:pPr>
        <w:tabs>
          <w:tab w:val="num" w:pos="3600"/>
        </w:tabs>
        <w:ind w:left="3600" w:hanging="360"/>
      </w:pPr>
      <w:rPr>
        <w:rFonts w:ascii="Courier New" w:hAnsi="Courier New" w:cs="Courier New" w:hint="default"/>
      </w:rPr>
    </w:lvl>
    <w:lvl w:ilvl="5" w:tplc="F34AFF14" w:tentative="1">
      <w:start w:val="1"/>
      <w:numFmt w:val="bullet"/>
      <w:lvlText w:val=""/>
      <w:lvlJc w:val="left"/>
      <w:pPr>
        <w:tabs>
          <w:tab w:val="num" w:pos="4320"/>
        </w:tabs>
        <w:ind w:left="4320" w:hanging="360"/>
      </w:pPr>
      <w:rPr>
        <w:rFonts w:ascii="Wingdings" w:hAnsi="Wingdings" w:hint="default"/>
      </w:rPr>
    </w:lvl>
    <w:lvl w:ilvl="6" w:tplc="6AF00560" w:tentative="1">
      <w:start w:val="1"/>
      <w:numFmt w:val="bullet"/>
      <w:lvlText w:val=""/>
      <w:lvlJc w:val="left"/>
      <w:pPr>
        <w:tabs>
          <w:tab w:val="num" w:pos="5040"/>
        </w:tabs>
        <w:ind w:left="5040" w:hanging="360"/>
      </w:pPr>
      <w:rPr>
        <w:rFonts w:ascii="Symbol" w:hAnsi="Symbol" w:hint="default"/>
      </w:rPr>
    </w:lvl>
    <w:lvl w:ilvl="7" w:tplc="92843E68" w:tentative="1">
      <w:start w:val="1"/>
      <w:numFmt w:val="bullet"/>
      <w:lvlText w:val="o"/>
      <w:lvlJc w:val="left"/>
      <w:pPr>
        <w:tabs>
          <w:tab w:val="num" w:pos="5760"/>
        </w:tabs>
        <w:ind w:left="5760" w:hanging="360"/>
      </w:pPr>
      <w:rPr>
        <w:rFonts w:ascii="Courier New" w:hAnsi="Courier New" w:cs="Courier New" w:hint="default"/>
      </w:rPr>
    </w:lvl>
    <w:lvl w:ilvl="8" w:tplc="7E06524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D303A8"/>
    <w:multiLevelType w:val="multilevel"/>
    <w:tmpl w:val="08090023"/>
    <w:styleLink w:val="ArticleSection"/>
    <w:lvl w:ilvl="0">
      <w:start w:val="1"/>
      <w:numFmt w:val="upperRoman"/>
      <w:lvlText w:val="Article %1."/>
      <w:lvlJc w:val="left"/>
      <w:pPr>
        <w:ind w:left="0" w:firstLine="0"/>
      </w:pPr>
      <w:rPr>
        <w:rFonts w:asciiTheme="minorHAnsi" w:eastAsiaTheme="minorEastAsia"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0A21331E"/>
    <w:multiLevelType w:val="multilevel"/>
    <w:tmpl w:val="1DF4A388"/>
    <w:lvl w:ilvl="0">
      <w:start w:val="1"/>
      <w:numFmt w:val="decimal"/>
      <w:pStyle w:val="SCHEDULEAshurst"/>
      <w:suff w:val="nothing"/>
      <w:lvlText w:val="Part %1"/>
      <w:lvlJc w:val="left"/>
      <w:pPr>
        <w:ind w:left="8364"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7" w15:restartNumberingAfterBreak="0">
    <w:nsid w:val="0B3F2518"/>
    <w:multiLevelType w:val="multilevel"/>
    <w:tmpl w:val="026C2912"/>
    <w:name w:val="DefSubOC"/>
    <w:lvl w:ilvl="0">
      <w:start w:val="1"/>
      <w:numFmt w:val="none"/>
      <w:pStyle w:val="DefClauseOCAshurst"/>
      <w:suff w:val="nothing"/>
      <w:lvlText w:val=""/>
      <w:lvlJc w:val="left"/>
      <w:pPr>
        <w:ind w:left="0" w:firstLine="0"/>
      </w:pPr>
      <w:rPr>
        <w:rFonts w:hint="default"/>
      </w:rPr>
    </w:lvl>
    <w:lvl w:ilvl="1">
      <w:start w:val="1"/>
      <w:numFmt w:val="lowerLetter"/>
      <w:pStyle w:val="DefSubOCAshurst"/>
      <w:lvlText w:val="(%2)"/>
      <w:lvlJc w:val="left"/>
      <w:pPr>
        <w:tabs>
          <w:tab w:val="num" w:pos="709"/>
        </w:tabs>
        <w:ind w:left="709" w:hanging="709"/>
      </w:pPr>
      <w:rPr>
        <w:rFonts w:hint="default"/>
      </w:rPr>
    </w:lvl>
    <w:lvl w:ilvl="2">
      <w:start w:val="1"/>
      <w:numFmt w:val="lowerRoman"/>
      <w:pStyle w:val="DefSubSubOCAshurst"/>
      <w:lvlText w:val="(%3)"/>
      <w:lvlJc w:val="left"/>
      <w:pPr>
        <w:tabs>
          <w:tab w:val="num" w:pos="1276"/>
        </w:tabs>
        <w:ind w:left="1276" w:hanging="567"/>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0D884D71"/>
    <w:multiLevelType w:val="hybridMultilevel"/>
    <w:tmpl w:val="64B02178"/>
    <w:lvl w:ilvl="0" w:tplc="BAAC0208">
      <w:start w:val="1"/>
      <w:numFmt w:val="decimal"/>
      <w:lvlText w:val="(%1)"/>
      <w:lvlJc w:val="left"/>
      <w:pPr>
        <w:ind w:left="720" w:hanging="360"/>
      </w:pPr>
      <w:rPr>
        <w:rFonts w:hint="default"/>
        <w:sz w:val="14"/>
        <w:szCs w:val="14"/>
      </w:rPr>
    </w:lvl>
    <w:lvl w:ilvl="1" w:tplc="61AA29E4" w:tentative="1">
      <w:start w:val="1"/>
      <w:numFmt w:val="lowerLetter"/>
      <w:lvlText w:val="%2."/>
      <w:lvlJc w:val="left"/>
      <w:pPr>
        <w:ind w:left="1440" w:hanging="360"/>
      </w:pPr>
    </w:lvl>
    <w:lvl w:ilvl="2" w:tplc="6CDC9E4E" w:tentative="1">
      <w:start w:val="1"/>
      <w:numFmt w:val="lowerRoman"/>
      <w:lvlText w:val="%3."/>
      <w:lvlJc w:val="right"/>
      <w:pPr>
        <w:ind w:left="2160" w:hanging="180"/>
      </w:pPr>
    </w:lvl>
    <w:lvl w:ilvl="3" w:tplc="C84A73D2" w:tentative="1">
      <w:start w:val="1"/>
      <w:numFmt w:val="decimal"/>
      <w:lvlText w:val="%4."/>
      <w:lvlJc w:val="left"/>
      <w:pPr>
        <w:ind w:left="2880" w:hanging="360"/>
      </w:pPr>
    </w:lvl>
    <w:lvl w:ilvl="4" w:tplc="CFF81C9C" w:tentative="1">
      <w:start w:val="1"/>
      <w:numFmt w:val="lowerLetter"/>
      <w:lvlText w:val="%5."/>
      <w:lvlJc w:val="left"/>
      <w:pPr>
        <w:ind w:left="3600" w:hanging="360"/>
      </w:pPr>
    </w:lvl>
    <w:lvl w:ilvl="5" w:tplc="F900138A" w:tentative="1">
      <w:start w:val="1"/>
      <w:numFmt w:val="lowerRoman"/>
      <w:lvlText w:val="%6."/>
      <w:lvlJc w:val="right"/>
      <w:pPr>
        <w:ind w:left="4320" w:hanging="180"/>
      </w:pPr>
    </w:lvl>
    <w:lvl w:ilvl="6" w:tplc="DECA8694" w:tentative="1">
      <w:start w:val="1"/>
      <w:numFmt w:val="decimal"/>
      <w:lvlText w:val="%7."/>
      <w:lvlJc w:val="left"/>
      <w:pPr>
        <w:ind w:left="5040" w:hanging="360"/>
      </w:pPr>
    </w:lvl>
    <w:lvl w:ilvl="7" w:tplc="58A07638" w:tentative="1">
      <w:start w:val="1"/>
      <w:numFmt w:val="lowerLetter"/>
      <w:lvlText w:val="%8."/>
      <w:lvlJc w:val="left"/>
      <w:pPr>
        <w:ind w:left="5760" w:hanging="360"/>
      </w:pPr>
    </w:lvl>
    <w:lvl w:ilvl="8" w:tplc="C6985450" w:tentative="1">
      <w:start w:val="1"/>
      <w:numFmt w:val="lowerRoman"/>
      <w:lvlText w:val="%9."/>
      <w:lvlJc w:val="right"/>
      <w:pPr>
        <w:ind w:left="6480" w:hanging="180"/>
      </w:pPr>
    </w:lvl>
  </w:abstractNum>
  <w:abstractNum w:abstractNumId="19" w15:restartNumberingAfterBreak="0">
    <w:nsid w:val="0DF760F2"/>
    <w:multiLevelType w:val="hybridMultilevel"/>
    <w:tmpl w:val="76AC1166"/>
    <w:lvl w:ilvl="0" w:tplc="F9E44808">
      <w:numFmt w:val="bullet"/>
      <w:lvlText w:val="•"/>
      <w:lvlJc w:val="left"/>
      <w:pPr>
        <w:ind w:left="1279" w:hanging="570"/>
      </w:pPr>
      <w:rPr>
        <w:rFonts w:ascii="Times New Roman" w:eastAsiaTheme="minorEastAsia" w:hAnsi="Times New Roman" w:cs="Times New Roman" w:hint="default"/>
      </w:rPr>
    </w:lvl>
    <w:lvl w:ilvl="1" w:tplc="BECE5800">
      <w:start w:val="1"/>
      <w:numFmt w:val="bullet"/>
      <w:lvlText w:val="o"/>
      <w:lvlJc w:val="left"/>
      <w:pPr>
        <w:ind w:left="1789" w:hanging="360"/>
      </w:pPr>
      <w:rPr>
        <w:rFonts w:ascii="Courier New" w:hAnsi="Courier New" w:cs="Courier New" w:hint="default"/>
      </w:rPr>
    </w:lvl>
    <w:lvl w:ilvl="2" w:tplc="77568AE2" w:tentative="1">
      <w:start w:val="1"/>
      <w:numFmt w:val="bullet"/>
      <w:lvlText w:val=""/>
      <w:lvlJc w:val="left"/>
      <w:pPr>
        <w:ind w:left="2509" w:hanging="360"/>
      </w:pPr>
      <w:rPr>
        <w:rFonts w:ascii="Wingdings" w:hAnsi="Wingdings" w:hint="default"/>
      </w:rPr>
    </w:lvl>
    <w:lvl w:ilvl="3" w:tplc="8EDE7602" w:tentative="1">
      <w:start w:val="1"/>
      <w:numFmt w:val="bullet"/>
      <w:lvlText w:val=""/>
      <w:lvlJc w:val="left"/>
      <w:pPr>
        <w:ind w:left="3229" w:hanging="360"/>
      </w:pPr>
      <w:rPr>
        <w:rFonts w:ascii="Symbol" w:hAnsi="Symbol" w:hint="default"/>
      </w:rPr>
    </w:lvl>
    <w:lvl w:ilvl="4" w:tplc="AEA0A862" w:tentative="1">
      <w:start w:val="1"/>
      <w:numFmt w:val="bullet"/>
      <w:lvlText w:val="o"/>
      <w:lvlJc w:val="left"/>
      <w:pPr>
        <w:ind w:left="3949" w:hanging="360"/>
      </w:pPr>
      <w:rPr>
        <w:rFonts w:ascii="Courier New" w:hAnsi="Courier New" w:cs="Courier New" w:hint="default"/>
      </w:rPr>
    </w:lvl>
    <w:lvl w:ilvl="5" w:tplc="5A1EA5F4" w:tentative="1">
      <w:start w:val="1"/>
      <w:numFmt w:val="bullet"/>
      <w:lvlText w:val=""/>
      <w:lvlJc w:val="left"/>
      <w:pPr>
        <w:ind w:left="4669" w:hanging="360"/>
      </w:pPr>
      <w:rPr>
        <w:rFonts w:ascii="Wingdings" w:hAnsi="Wingdings" w:hint="default"/>
      </w:rPr>
    </w:lvl>
    <w:lvl w:ilvl="6" w:tplc="0908EE5C" w:tentative="1">
      <w:start w:val="1"/>
      <w:numFmt w:val="bullet"/>
      <w:lvlText w:val=""/>
      <w:lvlJc w:val="left"/>
      <w:pPr>
        <w:ind w:left="5389" w:hanging="360"/>
      </w:pPr>
      <w:rPr>
        <w:rFonts w:ascii="Symbol" w:hAnsi="Symbol" w:hint="default"/>
      </w:rPr>
    </w:lvl>
    <w:lvl w:ilvl="7" w:tplc="E3860DB8" w:tentative="1">
      <w:start w:val="1"/>
      <w:numFmt w:val="bullet"/>
      <w:lvlText w:val="o"/>
      <w:lvlJc w:val="left"/>
      <w:pPr>
        <w:ind w:left="6109" w:hanging="360"/>
      </w:pPr>
      <w:rPr>
        <w:rFonts w:ascii="Courier New" w:hAnsi="Courier New" w:cs="Courier New" w:hint="default"/>
      </w:rPr>
    </w:lvl>
    <w:lvl w:ilvl="8" w:tplc="C6483368" w:tentative="1">
      <w:start w:val="1"/>
      <w:numFmt w:val="bullet"/>
      <w:lvlText w:val=""/>
      <w:lvlJc w:val="left"/>
      <w:pPr>
        <w:ind w:left="6829" w:hanging="360"/>
      </w:pPr>
      <w:rPr>
        <w:rFonts w:ascii="Wingdings" w:hAnsi="Wingdings" w:hint="default"/>
      </w:rPr>
    </w:lvl>
  </w:abstractNum>
  <w:abstractNum w:abstractNumId="20" w15:restartNumberingAfterBreak="0">
    <w:nsid w:val="10A41E8C"/>
    <w:multiLevelType w:val="multilevel"/>
    <w:tmpl w:val="0809001D"/>
    <w:styleLink w:val="1ai"/>
    <w:lvl w:ilvl="0">
      <w:start w:val="1"/>
      <w:numFmt w:val="decimal"/>
      <w:lvlText w:val="%1)"/>
      <w:lvlJc w:val="left"/>
      <w:pPr>
        <w:ind w:left="360" w:hanging="360"/>
      </w:pPr>
      <w:rPr>
        <w:rFonts w:asciiTheme="minorHAnsi" w:eastAsiaTheme="minorEastAsia"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0F77C36"/>
    <w:multiLevelType w:val="hybridMultilevel"/>
    <w:tmpl w:val="0804BDDA"/>
    <w:lvl w:ilvl="0" w:tplc="7D7C916E">
      <w:start w:val="1"/>
      <w:numFmt w:val="bullet"/>
      <w:pStyle w:val="Bullet1Ashurst"/>
      <w:lvlText w:val=""/>
      <w:lvlJc w:val="left"/>
      <w:pPr>
        <w:tabs>
          <w:tab w:val="num" w:pos="1406"/>
        </w:tabs>
        <w:ind w:left="1406" w:hanging="624"/>
      </w:pPr>
      <w:rPr>
        <w:rFonts w:ascii="Symbol" w:hAnsi="Symbol" w:hint="default"/>
        <w:b w:val="0"/>
        <w:i w:val="0"/>
        <w:sz w:val="18"/>
        <w:szCs w:val="18"/>
      </w:rPr>
    </w:lvl>
    <w:lvl w:ilvl="1" w:tplc="8C96DF6A" w:tentative="1">
      <w:start w:val="1"/>
      <w:numFmt w:val="bullet"/>
      <w:lvlText w:val="o"/>
      <w:lvlJc w:val="left"/>
      <w:pPr>
        <w:tabs>
          <w:tab w:val="num" w:pos="1440"/>
        </w:tabs>
        <w:ind w:left="1440" w:hanging="360"/>
      </w:pPr>
      <w:rPr>
        <w:rFonts w:ascii="Courier New" w:hAnsi="Courier New" w:cs="Courier New" w:hint="default"/>
      </w:rPr>
    </w:lvl>
    <w:lvl w:ilvl="2" w:tplc="85184CF8" w:tentative="1">
      <w:start w:val="1"/>
      <w:numFmt w:val="bullet"/>
      <w:lvlText w:val=""/>
      <w:lvlJc w:val="left"/>
      <w:pPr>
        <w:tabs>
          <w:tab w:val="num" w:pos="2160"/>
        </w:tabs>
        <w:ind w:left="2160" w:hanging="360"/>
      </w:pPr>
      <w:rPr>
        <w:rFonts w:ascii="Wingdings" w:hAnsi="Wingdings" w:hint="default"/>
      </w:rPr>
    </w:lvl>
    <w:lvl w:ilvl="3" w:tplc="45BEF464" w:tentative="1">
      <w:start w:val="1"/>
      <w:numFmt w:val="bullet"/>
      <w:lvlText w:val=""/>
      <w:lvlJc w:val="left"/>
      <w:pPr>
        <w:tabs>
          <w:tab w:val="num" w:pos="2880"/>
        </w:tabs>
        <w:ind w:left="2880" w:hanging="360"/>
      </w:pPr>
      <w:rPr>
        <w:rFonts w:ascii="Symbol" w:hAnsi="Symbol" w:hint="default"/>
      </w:rPr>
    </w:lvl>
    <w:lvl w:ilvl="4" w:tplc="5FEAF902" w:tentative="1">
      <w:start w:val="1"/>
      <w:numFmt w:val="bullet"/>
      <w:lvlText w:val="o"/>
      <w:lvlJc w:val="left"/>
      <w:pPr>
        <w:tabs>
          <w:tab w:val="num" w:pos="3600"/>
        </w:tabs>
        <w:ind w:left="3600" w:hanging="360"/>
      </w:pPr>
      <w:rPr>
        <w:rFonts w:ascii="Courier New" w:hAnsi="Courier New" w:cs="Courier New" w:hint="default"/>
      </w:rPr>
    </w:lvl>
    <w:lvl w:ilvl="5" w:tplc="4D94AC2E" w:tentative="1">
      <w:start w:val="1"/>
      <w:numFmt w:val="bullet"/>
      <w:lvlText w:val=""/>
      <w:lvlJc w:val="left"/>
      <w:pPr>
        <w:tabs>
          <w:tab w:val="num" w:pos="4320"/>
        </w:tabs>
        <w:ind w:left="4320" w:hanging="360"/>
      </w:pPr>
      <w:rPr>
        <w:rFonts w:ascii="Wingdings" w:hAnsi="Wingdings" w:hint="default"/>
      </w:rPr>
    </w:lvl>
    <w:lvl w:ilvl="6" w:tplc="047C7FAE" w:tentative="1">
      <w:start w:val="1"/>
      <w:numFmt w:val="bullet"/>
      <w:lvlText w:val=""/>
      <w:lvlJc w:val="left"/>
      <w:pPr>
        <w:tabs>
          <w:tab w:val="num" w:pos="5040"/>
        </w:tabs>
        <w:ind w:left="5040" w:hanging="360"/>
      </w:pPr>
      <w:rPr>
        <w:rFonts w:ascii="Symbol" w:hAnsi="Symbol" w:hint="default"/>
      </w:rPr>
    </w:lvl>
    <w:lvl w:ilvl="7" w:tplc="CD444FD8" w:tentative="1">
      <w:start w:val="1"/>
      <w:numFmt w:val="bullet"/>
      <w:lvlText w:val="o"/>
      <w:lvlJc w:val="left"/>
      <w:pPr>
        <w:tabs>
          <w:tab w:val="num" w:pos="5760"/>
        </w:tabs>
        <w:ind w:left="5760" w:hanging="360"/>
      </w:pPr>
      <w:rPr>
        <w:rFonts w:ascii="Courier New" w:hAnsi="Courier New" w:cs="Courier New" w:hint="default"/>
      </w:rPr>
    </w:lvl>
    <w:lvl w:ilvl="8" w:tplc="90DEF8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4280898"/>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3" w15:restartNumberingAfterBreak="0">
    <w:nsid w:val="15F05088"/>
    <w:multiLevelType w:val="multilevel"/>
    <w:tmpl w:val="4246DD00"/>
    <w:lvl w:ilvl="0">
      <w:start w:val="1"/>
      <w:numFmt w:val="decimal"/>
      <w:pStyle w:val="AltH1OCAshurst"/>
      <w:lvlText w:val="%1."/>
      <w:lvlJc w:val="left"/>
      <w:pPr>
        <w:tabs>
          <w:tab w:val="num" w:pos="709"/>
        </w:tabs>
        <w:ind w:left="709" w:hanging="709"/>
      </w:pPr>
      <w:rPr>
        <w:rFonts w:hint="default"/>
        <w:b w:val="0"/>
        <w:i w:val="0"/>
      </w:rPr>
    </w:lvl>
    <w:lvl w:ilvl="1">
      <w:start w:val="1"/>
      <w:numFmt w:val="decimal"/>
      <w:pStyle w:val="AltH2OCAshurst"/>
      <w:lvlText w:val="%1.%2"/>
      <w:lvlJc w:val="left"/>
      <w:pPr>
        <w:tabs>
          <w:tab w:val="num" w:pos="709"/>
        </w:tabs>
        <w:ind w:left="709" w:hanging="709"/>
      </w:pPr>
      <w:rPr>
        <w:rFonts w:hint="default"/>
        <w:b w:val="0"/>
        <w:i w:val="0"/>
      </w:rPr>
    </w:lvl>
    <w:lvl w:ilvl="2">
      <w:start w:val="1"/>
      <w:numFmt w:val="lowerLetter"/>
      <w:pStyle w:val="AltH3OCAshurst"/>
      <w:lvlText w:val="(%3)"/>
      <w:lvlJc w:val="left"/>
      <w:pPr>
        <w:tabs>
          <w:tab w:val="num" w:pos="709"/>
        </w:tabs>
        <w:ind w:left="709" w:hanging="709"/>
      </w:pPr>
      <w:rPr>
        <w:rFonts w:hint="default"/>
        <w:b w:val="0"/>
        <w:i w:val="0"/>
      </w:rPr>
    </w:lvl>
    <w:lvl w:ilvl="3">
      <w:start w:val="1"/>
      <w:numFmt w:val="lowerRoman"/>
      <w:lvlText w:val="(%4)"/>
      <w:lvlJc w:val="left"/>
      <w:pPr>
        <w:tabs>
          <w:tab w:val="num" w:pos="1276"/>
        </w:tabs>
        <w:ind w:left="1276" w:hanging="567"/>
      </w:pPr>
      <w:rPr>
        <w:rFonts w:hint="default"/>
        <w:b w:val="0"/>
        <w:i w:val="0"/>
      </w:rPr>
    </w:lvl>
    <w:lvl w:ilvl="4">
      <w:start w:val="1"/>
      <w:numFmt w:val="upperLetter"/>
      <w:pStyle w:val="AltH5OCAshurst"/>
      <w:lvlText w:val="(%5)"/>
      <w:lvlJc w:val="left"/>
      <w:pPr>
        <w:tabs>
          <w:tab w:val="num" w:pos="1843"/>
        </w:tabs>
        <w:ind w:left="1843" w:hanging="567"/>
      </w:pPr>
      <w:rPr>
        <w:rFonts w:hint="default"/>
        <w:b w:val="0"/>
        <w:i w:val="0"/>
      </w:rPr>
    </w:lvl>
    <w:lvl w:ilvl="5">
      <w:start w:val="1"/>
      <w:numFmt w:val="decimal"/>
      <w:pStyle w:val="AltH6OCAshurst"/>
      <w:lvlText w:val="(%6)"/>
      <w:lvlJc w:val="left"/>
      <w:pPr>
        <w:tabs>
          <w:tab w:val="num" w:pos="2410"/>
        </w:tabs>
        <w:ind w:left="2410" w:hanging="567"/>
      </w:pPr>
      <w:rPr>
        <w:rFonts w:hint="default"/>
        <w:b w:val="0"/>
        <w:i w:val="0"/>
      </w:rPr>
    </w:lvl>
    <w:lvl w:ilvl="6">
      <w:start w:val="1"/>
      <w:numFmt w:val="lowerLetter"/>
      <w:pStyle w:val="AltH7OCAshurst"/>
      <w:lvlText w:val="(%7)"/>
      <w:lvlJc w:val="left"/>
      <w:pPr>
        <w:tabs>
          <w:tab w:val="num" w:pos="2977"/>
        </w:tabs>
        <w:ind w:left="2977" w:hanging="567"/>
      </w:pPr>
      <w:rPr>
        <w:rFonts w:hint="default"/>
        <w:b w:val="0"/>
        <w:i w:val="0"/>
      </w:rPr>
    </w:lvl>
    <w:lvl w:ilvl="7">
      <w:start w:val="1"/>
      <w:numFmt w:val="lowerRoman"/>
      <w:pStyle w:val="AltH8OCAshurst"/>
      <w:lvlText w:val="(%8)"/>
      <w:lvlJc w:val="left"/>
      <w:pPr>
        <w:tabs>
          <w:tab w:val="num" w:pos="3544"/>
        </w:tabs>
        <w:ind w:left="3544" w:hanging="567"/>
      </w:pPr>
      <w:rPr>
        <w:rFonts w:hint="default"/>
        <w:b w:val="0"/>
        <w:i w:val="0"/>
      </w:rPr>
    </w:lvl>
    <w:lvl w:ilvl="8">
      <w:numFmt w:val="none"/>
      <w:lvlText w:val=""/>
      <w:lvlJc w:val="left"/>
      <w:pPr>
        <w:tabs>
          <w:tab w:val="num" w:pos="0"/>
        </w:tabs>
        <w:ind w:left="0" w:firstLine="0"/>
      </w:pPr>
      <w:rPr>
        <w:rFonts w:hint="default"/>
      </w:rPr>
    </w:lvl>
  </w:abstractNum>
  <w:abstractNum w:abstractNumId="24" w15:restartNumberingAfterBreak="0">
    <w:nsid w:val="16933E9B"/>
    <w:multiLevelType w:val="hybridMultilevel"/>
    <w:tmpl w:val="0D92E928"/>
    <w:name w:val="WW8Num14"/>
    <w:lvl w:ilvl="0" w:tplc="AFD61690">
      <w:start w:val="1"/>
      <w:numFmt w:val="lowerLetter"/>
      <w:lvlText w:val="(%1)"/>
      <w:lvlJc w:val="left"/>
      <w:pPr>
        <w:tabs>
          <w:tab w:val="num" w:pos="1406"/>
        </w:tabs>
        <w:ind w:left="1406" w:hanging="624"/>
      </w:pPr>
      <w:rPr>
        <w:rFonts w:hint="default"/>
        <w:b w:val="0"/>
        <w:i w:val="0"/>
        <w:sz w:val="18"/>
        <w:szCs w:val="18"/>
      </w:rPr>
    </w:lvl>
    <w:lvl w:ilvl="1" w:tplc="0F7A21D4" w:tentative="1">
      <w:start w:val="1"/>
      <w:numFmt w:val="lowerLetter"/>
      <w:lvlText w:val="%2."/>
      <w:lvlJc w:val="left"/>
      <w:pPr>
        <w:tabs>
          <w:tab w:val="num" w:pos="1440"/>
        </w:tabs>
        <w:ind w:left="1440" w:hanging="360"/>
      </w:pPr>
    </w:lvl>
    <w:lvl w:ilvl="2" w:tplc="4E12A164" w:tentative="1">
      <w:start w:val="1"/>
      <w:numFmt w:val="lowerRoman"/>
      <w:lvlText w:val="%3."/>
      <w:lvlJc w:val="right"/>
      <w:pPr>
        <w:tabs>
          <w:tab w:val="num" w:pos="2160"/>
        </w:tabs>
        <w:ind w:left="2160" w:hanging="180"/>
      </w:pPr>
    </w:lvl>
    <w:lvl w:ilvl="3" w:tplc="FB70C32A" w:tentative="1">
      <w:start w:val="1"/>
      <w:numFmt w:val="decimal"/>
      <w:lvlText w:val="%4."/>
      <w:lvlJc w:val="left"/>
      <w:pPr>
        <w:tabs>
          <w:tab w:val="num" w:pos="2880"/>
        </w:tabs>
        <w:ind w:left="2880" w:hanging="360"/>
      </w:pPr>
    </w:lvl>
    <w:lvl w:ilvl="4" w:tplc="95484E48" w:tentative="1">
      <w:start w:val="1"/>
      <w:numFmt w:val="lowerLetter"/>
      <w:lvlText w:val="%5."/>
      <w:lvlJc w:val="left"/>
      <w:pPr>
        <w:tabs>
          <w:tab w:val="num" w:pos="3600"/>
        </w:tabs>
        <w:ind w:left="3600" w:hanging="360"/>
      </w:pPr>
    </w:lvl>
    <w:lvl w:ilvl="5" w:tplc="92BE299A" w:tentative="1">
      <w:start w:val="1"/>
      <w:numFmt w:val="lowerRoman"/>
      <w:lvlText w:val="%6."/>
      <w:lvlJc w:val="right"/>
      <w:pPr>
        <w:tabs>
          <w:tab w:val="num" w:pos="4320"/>
        </w:tabs>
        <w:ind w:left="4320" w:hanging="180"/>
      </w:pPr>
    </w:lvl>
    <w:lvl w:ilvl="6" w:tplc="62F85396" w:tentative="1">
      <w:start w:val="1"/>
      <w:numFmt w:val="decimal"/>
      <w:lvlText w:val="%7."/>
      <w:lvlJc w:val="left"/>
      <w:pPr>
        <w:tabs>
          <w:tab w:val="num" w:pos="5040"/>
        </w:tabs>
        <w:ind w:left="5040" w:hanging="360"/>
      </w:pPr>
    </w:lvl>
    <w:lvl w:ilvl="7" w:tplc="087830B4" w:tentative="1">
      <w:start w:val="1"/>
      <w:numFmt w:val="lowerLetter"/>
      <w:lvlText w:val="%8."/>
      <w:lvlJc w:val="left"/>
      <w:pPr>
        <w:tabs>
          <w:tab w:val="num" w:pos="5760"/>
        </w:tabs>
        <w:ind w:left="5760" w:hanging="360"/>
      </w:pPr>
    </w:lvl>
    <w:lvl w:ilvl="8" w:tplc="EDA0A348" w:tentative="1">
      <w:start w:val="1"/>
      <w:numFmt w:val="lowerRoman"/>
      <w:lvlText w:val="%9."/>
      <w:lvlJc w:val="right"/>
      <w:pPr>
        <w:tabs>
          <w:tab w:val="num" w:pos="6480"/>
        </w:tabs>
        <w:ind w:left="6480" w:hanging="180"/>
      </w:pPr>
    </w:lvl>
  </w:abstractNum>
  <w:abstractNum w:abstractNumId="25" w15:restartNumberingAfterBreak="0">
    <w:nsid w:val="19480FCF"/>
    <w:multiLevelType w:val="multilevel"/>
    <w:tmpl w:val="CE7E7482"/>
    <w:name w:val="Alt2_RecitalsAshurst"/>
    <w:lvl w:ilvl="0">
      <w:start w:val="1"/>
      <w:numFmt w:val="upperLetter"/>
      <w:pStyle w:val="Alt2RecitalsAshurst"/>
      <w:lvlText w:val="(%1)"/>
      <w:lvlJc w:val="left"/>
      <w:pPr>
        <w:tabs>
          <w:tab w:val="num" w:pos="782"/>
        </w:tabs>
        <w:ind w:left="782" w:hanging="782"/>
      </w:pPr>
      <w:rPr>
        <w:rFonts w:hint="default"/>
        <w:b w:val="0"/>
        <w:i w:val="0"/>
        <w:sz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3901"/>
        </w:tabs>
        <w:ind w:left="3901" w:hanging="624"/>
      </w:pPr>
      <w:rPr>
        <w:rFonts w:hint="default"/>
      </w:rPr>
    </w:lvl>
    <w:lvl w:ilvl="7">
      <w:start w:val="1"/>
      <w:numFmt w:val="none"/>
      <w:lvlText w:val=""/>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21EF0DBE"/>
    <w:multiLevelType w:val="hybridMultilevel"/>
    <w:tmpl w:val="D16A8FC0"/>
    <w:lvl w:ilvl="0" w:tplc="8DF46F58">
      <w:start w:val="1"/>
      <w:numFmt w:val="bullet"/>
      <w:lvlText w:val=""/>
      <w:lvlJc w:val="left"/>
      <w:pPr>
        <w:ind w:left="720" w:hanging="360"/>
      </w:pPr>
      <w:rPr>
        <w:rFonts w:ascii="Symbol" w:hAnsi="Symbol" w:hint="default"/>
      </w:rPr>
    </w:lvl>
    <w:lvl w:ilvl="1" w:tplc="F06E6098" w:tentative="1">
      <w:start w:val="1"/>
      <w:numFmt w:val="bullet"/>
      <w:lvlText w:val="o"/>
      <w:lvlJc w:val="left"/>
      <w:pPr>
        <w:ind w:left="1440" w:hanging="360"/>
      </w:pPr>
      <w:rPr>
        <w:rFonts w:ascii="Courier New" w:hAnsi="Courier New" w:cs="Courier New" w:hint="default"/>
      </w:rPr>
    </w:lvl>
    <w:lvl w:ilvl="2" w:tplc="0C66EB28" w:tentative="1">
      <w:start w:val="1"/>
      <w:numFmt w:val="bullet"/>
      <w:lvlText w:val=""/>
      <w:lvlJc w:val="left"/>
      <w:pPr>
        <w:ind w:left="2160" w:hanging="360"/>
      </w:pPr>
      <w:rPr>
        <w:rFonts w:ascii="Wingdings" w:hAnsi="Wingdings" w:hint="default"/>
      </w:rPr>
    </w:lvl>
    <w:lvl w:ilvl="3" w:tplc="FF6A531A" w:tentative="1">
      <w:start w:val="1"/>
      <w:numFmt w:val="bullet"/>
      <w:lvlText w:val=""/>
      <w:lvlJc w:val="left"/>
      <w:pPr>
        <w:ind w:left="2880" w:hanging="360"/>
      </w:pPr>
      <w:rPr>
        <w:rFonts w:ascii="Symbol" w:hAnsi="Symbol" w:hint="default"/>
      </w:rPr>
    </w:lvl>
    <w:lvl w:ilvl="4" w:tplc="98C2D8B0" w:tentative="1">
      <w:start w:val="1"/>
      <w:numFmt w:val="bullet"/>
      <w:lvlText w:val="o"/>
      <w:lvlJc w:val="left"/>
      <w:pPr>
        <w:ind w:left="3600" w:hanging="360"/>
      </w:pPr>
      <w:rPr>
        <w:rFonts w:ascii="Courier New" w:hAnsi="Courier New" w:cs="Courier New" w:hint="default"/>
      </w:rPr>
    </w:lvl>
    <w:lvl w:ilvl="5" w:tplc="5C7A0CCE" w:tentative="1">
      <w:start w:val="1"/>
      <w:numFmt w:val="bullet"/>
      <w:lvlText w:val=""/>
      <w:lvlJc w:val="left"/>
      <w:pPr>
        <w:ind w:left="4320" w:hanging="360"/>
      </w:pPr>
      <w:rPr>
        <w:rFonts w:ascii="Wingdings" w:hAnsi="Wingdings" w:hint="default"/>
      </w:rPr>
    </w:lvl>
    <w:lvl w:ilvl="6" w:tplc="8B885C42" w:tentative="1">
      <w:start w:val="1"/>
      <w:numFmt w:val="bullet"/>
      <w:lvlText w:val=""/>
      <w:lvlJc w:val="left"/>
      <w:pPr>
        <w:ind w:left="5040" w:hanging="360"/>
      </w:pPr>
      <w:rPr>
        <w:rFonts w:ascii="Symbol" w:hAnsi="Symbol" w:hint="default"/>
      </w:rPr>
    </w:lvl>
    <w:lvl w:ilvl="7" w:tplc="A348857A" w:tentative="1">
      <w:start w:val="1"/>
      <w:numFmt w:val="bullet"/>
      <w:lvlText w:val="o"/>
      <w:lvlJc w:val="left"/>
      <w:pPr>
        <w:ind w:left="5760" w:hanging="360"/>
      </w:pPr>
      <w:rPr>
        <w:rFonts w:ascii="Courier New" w:hAnsi="Courier New" w:cs="Courier New" w:hint="default"/>
      </w:rPr>
    </w:lvl>
    <w:lvl w:ilvl="8" w:tplc="3F40F7DA" w:tentative="1">
      <w:start w:val="1"/>
      <w:numFmt w:val="bullet"/>
      <w:lvlText w:val=""/>
      <w:lvlJc w:val="left"/>
      <w:pPr>
        <w:ind w:left="6480" w:hanging="360"/>
      </w:pPr>
      <w:rPr>
        <w:rFonts w:ascii="Wingdings" w:hAnsi="Wingdings" w:hint="default"/>
      </w:rPr>
    </w:lvl>
  </w:abstractNum>
  <w:abstractNum w:abstractNumId="27" w15:restartNumberingAfterBreak="0">
    <w:nsid w:val="2265377C"/>
    <w:multiLevelType w:val="multilevel"/>
    <w:tmpl w:val="153636B8"/>
    <w:lvl w:ilvl="0">
      <w:start w:val="1"/>
      <w:numFmt w:val="decimal"/>
      <w:pStyle w:val="H1OCAshurst"/>
      <w:lvlText w:val="%1."/>
      <w:lvlJc w:val="left"/>
      <w:pPr>
        <w:tabs>
          <w:tab w:val="num" w:pos="709"/>
        </w:tabs>
        <w:ind w:left="709" w:hanging="709"/>
      </w:pPr>
      <w:rPr>
        <w:rFonts w:hint="default"/>
        <w:b w:val="0"/>
        <w:i w:val="0"/>
      </w:rPr>
    </w:lvl>
    <w:lvl w:ilvl="1">
      <w:start w:val="1"/>
      <w:numFmt w:val="decimal"/>
      <w:pStyle w:val="H2OCAshurst"/>
      <w:lvlText w:val="%1.%2"/>
      <w:lvlJc w:val="left"/>
      <w:pPr>
        <w:tabs>
          <w:tab w:val="num" w:pos="709"/>
        </w:tabs>
        <w:ind w:left="709" w:hanging="709"/>
      </w:pPr>
      <w:rPr>
        <w:rFonts w:hint="default"/>
        <w:b w:val="0"/>
        <w:i w:val="0"/>
      </w:rPr>
    </w:lvl>
    <w:lvl w:ilvl="2">
      <w:start w:val="1"/>
      <w:numFmt w:val="lowerLetter"/>
      <w:pStyle w:val="H3OCAshurst"/>
      <w:lvlText w:val="(%3)"/>
      <w:lvlJc w:val="left"/>
      <w:pPr>
        <w:tabs>
          <w:tab w:val="num" w:pos="709"/>
        </w:tabs>
        <w:ind w:left="709" w:hanging="709"/>
      </w:pPr>
      <w:rPr>
        <w:rFonts w:hint="default"/>
        <w:b w:val="0"/>
        <w:i w:val="0"/>
      </w:rPr>
    </w:lvl>
    <w:lvl w:ilvl="3">
      <w:start w:val="1"/>
      <w:numFmt w:val="lowerRoman"/>
      <w:pStyle w:val="H4OCAshurst"/>
      <w:lvlText w:val="(%4)"/>
      <w:lvlJc w:val="left"/>
      <w:pPr>
        <w:tabs>
          <w:tab w:val="num" w:pos="1276"/>
        </w:tabs>
        <w:ind w:left="1276" w:hanging="567"/>
      </w:pPr>
      <w:rPr>
        <w:rFonts w:hint="default"/>
        <w:b w:val="0"/>
        <w:i w:val="0"/>
      </w:rPr>
    </w:lvl>
    <w:lvl w:ilvl="4">
      <w:start w:val="1"/>
      <w:numFmt w:val="upperLetter"/>
      <w:pStyle w:val="H5OCAshurst"/>
      <w:lvlText w:val="(%5)"/>
      <w:lvlJc w:val="left"/>
      <w:pPr>
        <w:tabs>
          <w:tab w:val="num" w:pos="1843"/>
        </w:tabs>
        <w:ind w:left="1843" w:hanging="567"/>
      </w:pPr>
      <w:rPr>
        <w:rFonts w:hint="default"/>
        <w:b w:val="0"/>
        <w:i w:val="0"/>
      </w:rPr>
    </w:lvl>
    <w:lvl w:ilvl="5">
      <w:start w:val="1"/>
      <w:numFmt w:val="decimal"/>
      <w:pStyle w:val="H6OCAshurst"/>
      <w:lvlText w:val="(%6)"/>
      <w:lvlJc w:val="left"/>
      <w:pPr>
        <w:tabs>
          <w:tab w:val="num" w:pos="2410"/>
        </w:tabs>
        <w:ind w:left="2410" w:hanging="567"/>
      </w:pPr>
      <w:rPr>
        <w:rFonts w:hint="default"/>
        <w:b w:val="0"/>
        <w:i w:val="0"/>
      </w:rPr>
    </w:lvl>
    <w:lvl w:ilvl="6">
      <w:start w:val="1"/>
      <w:numFmt w:val="lowerLetter"/>
      <w:pStyle w:val="H7OCAshurst"/>
      <w:lvlText w:val="(%7)"/>
      <w:lvlJc w:val="left"/>
      <w:pPr>
        <w:tabs>
          <w:tab w:val="num" w:pos="2977"/>
        </w:tabs>
        <w:ind w:left="2977" w:hanging="567"/>
      </w:pPr>
      <w:rPr>
        <w:rFonts w:hint="default"/>
        <w:b w:val="0"/>
        <w:i w:val="0"/>
      </w:rPr>
    </w:lvl>
    <w:lvl w:ilvl="7">
      <w:start w:val="1"/>
      <w:numFmt w:val="lowerRoman"/>
      <w:pStyle w:val="H8OCAshurst"/>
      <w:lvlText w:val="(%8)"/>
      <w:lvlJc w:val="left"/>
      <w:pPr>
        <w:tabs>
          <w:tab w:val="num" w:pos="3544"/>
        </w:tabs>
        <w:ind w:left="3544" w:hanging="567"/>
      </w:pPr>
      <w:rPr>
        <w:rFonts w:hint="default"/>
        <w:b w:val="0"/>
        <w:i w:val="0"/>
      </w:rPr>
    </w:lvl>
    <w:lvl w:ilvl="8">
      <w:start w:val="1"/>
      <w:numFmt w:val="none"/>
      <w:lvlText w:val=""/>
      <w:lvlJc w:val="left"/>
      <w:pPr>
        <w:tabs>
          <w:tab w:val="num" w:pos="0"/>
        </w:tabs>
        <w:ind w:left="0" w:firstLine="0"/>
      </w:pPr>
      <w:rPr>
        <w:rFonts w:hint="default"/>
      </w:rPr>
    </w:lvl>
  </w:abstractNum>
  <w:abstractNum w:abstractNumId="28" w15:restartNumberingAfterBreak="0">
    <w:nsid w:val="24017375"/>
    <w:multiLevelType w:val="hybridMultilevel"/>
    <w:tmpl w:val="423C433A"/>
    <w:lvl w:ilvl="0" w:tplc="9AA2A894">
      <w:start w:val="1"/>
      <w:numFmt w:val="bullet"/>
      <w:lvlText w:val="o"/>
      <w:lvlJc w:val="left"/>
      <w:pPr>
        <w:ind w:left="1069" w:hanging="360"/>
      </w:pPr>
      <w:rPr>
        <w:rFonts w:ascii="Courier New" w:hAnsi="Courier New" w:cs="Courier New" w:hint="default"/>
      </w:rPr>
    </w:lvl>
    <w:lvl w:ilvl="1" w:tplc="E4F41CF6" w:tentative="1">
      <w:start w:val="1"/>
      <w:numFmt w:val="bullet"/>
      <w:lvlText w:val="o"/>
      <w:lvlJc w:val="left"/>
      <w:pPr>
        <w:ind w:left="1789" w:hanging="360"/>
      </w:pPr>
      <w:rPr>
        <w:rFonts w:ascii="Courier New" w:hAnsi="Courier New" w:cs="Courier New" w:hint="default"/>
      </w:rPr>
    </w:lvl>
    <w:lvl w:ilvl="2" w:tplc="8138B086" w:tentative="1">
      <w:start w:val="1"/>
      <w:numFmt w:val="bullet"/>
      <w:lvlText w:val=""/>
      <w:lvlJc w:val="left"/>
      <w:pPr>
        <w:ind w:left="2509" w:hanging="360"/>
      </w:pPr>
      <w:rPr>
        <w:rFonts w:ascii="Wingdings" w:hAnsi="Wingdings" w:hint="default"/>
      </w:rPr>
    </w:lvl>
    <w:lvl w:ilvl="3" w:tplc="A2841416" w:tentative="1">
      <w:start w:val="1"/>
      <w:numFmt w:val="bullet"/>
      <w:lvlText w:val=""/>
      <w:lvlJc w:val="left"/>
      <w:pPr>
        <w:ind w:left="3229" w:hanging="360"/>
      </w:pPr>
      <w:rPr>
        <w:rFonts w:ascii="Symbol" w:hAnsi="Symbol" w:hint="default"/>
      </w:rPr>
    </w:lvl>
    <w:lvl w:ilvl="4" w:tplc="D902A5A4" w:tentative="1">
      <w:start w:val="1"/>
      <w:numFmt w:val="bullet"/>
      <w:lvlText w:val="o"/>
      <w:lvlJc w:val="left"/>
      <w:pPr>
        <w:ind w:left="3949" w:hanging="360"/>
      </w:pPr>
      <w:rPr>
        <w:rFonts w:ascii="Courier New" w:hAnsi="Courier New" w:cs="Courier New" w:hint="default"/>
      </w:rPr>
    </w:lvl>
    <w:lvl w:ilvl="5" w:tplc="F280C6FC" w:tentative="1">
      <w:start w:val="1"/>
      <w:numFmt w:val="bullet"/>
      <w:lvlText w:val=""/>
      <w:lvlJc w:val="left"/>
      <w:pPr>
        <w:ind w:left="4669" w:hanging="360"/>
      </w:pPr>
      <w:rPr>
        <w:rFonts w:ascii="Wingdings" w:hAnsi="Wingdings" w:hint="default"/>
      </w:rPr>
    </w:lvl>
    <w:lvl w:ilvl="6" w:tplc="67A0C166" w:tentative="1">
      <w:start w:val="1"/>
      <w:numFmt w:val="bullet"/>
      <w:lvlText w:val=""/>
      <w:lvlJc w:val="left"/>
      <w:pPr>
        <w:ind w:left="5389" w:hanging="360"/>
      </w:pPr>
      <w:rPr>
        <w:rFonts w:ascii="Symbol" w:hAnsi="Symbol" w:hint="default"/>
      </w:rPr>
    </w:lvl>
    <w:lvl w:ilvl="7" w:tplc="207A4878" w:tentative="1">
      <w:start w:val="1"/>
      <w:numFmt w:val="bullet"/>
      <w:lvlText w:val="o"/>
      <w:lvlJc w:val="left"/>
      <w:pPr>
        <w:ind w:left="6109" w:hanging="360"/>
      </w:pPr>
      <w:rPr>
        <w:rFonts w:ascii="Courier New" w:hAnsi="Courier New" w:cs="Courier New" w:hint="default"/>
      </w:rPr>
    </w:lvl>
    <w:lvl w:ilvl="8" w:tplc="92066C64" w:tentative="1">
      <w:start w:val="1"/>
      <w:numFmt w:val="bullet"/>
      <w:lvlText w:val=""/>
      <w:lvlJc w:val="left"/>
      <w:pPr>
        <w:ind w:left="6829" w:hanging="360"/>
      </w:pPr>
      <w:rPr>
        <w:rFonts w:ascii="Wingdings" w:hAnsi="Wingdings" w:hint="default"/>
      </w:rPr>
    </w:lvl>
  </w:abstractNum>
  <w:abstractNum w:abstractNumId="29" w15:restartNumberingAfterBreak="0">
    <w:nsid w:val="29D86EA3"/>
    <w:multiLevelType w:val="hybridMultilevel"/>
    <w:tmpl w:val="802EECDE"/>
    <w:lvl w:ilvl="0" w:tplc="EA8A73DA">
      <w:start w:val="1"/>
      <w:numFmt w:val="bullet"/>
      <w:lvlText w:val=""/>
      <w:lvlJc w:val="left"/>
      <w:pPr>
        <w:ind w:left="720" w:hanging="360"/>
      </w:pPr>
      <w:rPr>
        <w:rFonts w:ascii="Symbol" w:hAnsi="Symbol" w:hint="default"/>
      </w:rPr>
    </w:lvl>
    <w:lvl w:ilvl="1" w:tplc="F60E3CCE" w:tentative="1">
      <w:start w:val="1"/>
      <w:numFmt w:val="bullet"/>
      <w:lvlText w:val="o"/>
      <w:lvlJc w:val="left"/>
      <w:pPr>
        <w:ind w:left="1440" w:hanging="360"/>
      </w:pPr>
      <w:rPr>
        <w:rFonts w:ascii="Courier New" w:hAnsi="Courier New" w:cs="Courier New" w:hint="default"/>
      </w:rPr>
    </w:lvl>
    <w:lvl w:ilvl="2" w:tplc="0B307EC8" w:tentative="1">
      <w:start w:val="1"/>
      <w:numFmt w:val="bullet"/>
      <w:lvlText w:val=""/>
      <w:lvlJc w:val="left"/>
      <w:pPr>
        <w:ind w:left="2160" w:hanging="360"/>
      </w:pPr>
      <w:rPr>
        <w:rFonts w:ascii="Wingdings" w:hAnsi="Wingdings" w:hint="default"/>
      </w:rPr>
    </w:lvl>
    <w:lvl w:ilvl="3" w:tplc="5EFE9938" w:tentative="1">
      <w:start w:val="1"/>
      <w:numFmt w:val="bullet"/>
      <w:lvlText w:val=""/>
      <w:lvlJc w:val="left"/>
      <w:pPr>
        <w:ind w:left="2880" w:hanging="360"/>
      </w:pPr>
      <w:rPr>
        <w:rFonts w:ascii="Symbol" w:hAnsi="Symbol" w:hint="default"/>
      </w:rPr>
    </w:lvl>
    <w:lvl w:ilvl="4" w:tplc="6A7EE27A" w:tentative="1">
      <w:start w:val="1"/>
      <w:numFmt w:val="bullet"/>
      <w:lvlText w:val="o"/>
      <w:lvlJc w:val="left"/>
      <w:pPr>
        <w:ind w:left="3600" w:hanging="360"/>
      </w:pPr>
      <w:rPr>
        <w:rFonts w:ascii="Courier New" w:hAnsi="Courier New" w:cs="Courier New" w:hint="default"/>
      </w:rPr>
    </w:lvl>
    <w:lvl w:ilvl="5" w:tplc="DE0028AC" w:tentative="1">
      <w:start w:val="1"/>
      <w:numFmt w:val="bullet"/>
      <w:lvlText w:val=""/>
      <w:lvlJc w:val="left"/>
      <w:pPr>
        <w:ind w:left="4320" w:hanging="360"/>
      </w:pPr>
      <w:rPr>
        <w:rFonts w:ascii="Wingdings" w:hAnsi="Wingdings" w:hint="default"/>
      </w:rPr>
    </w:lvl>
    <w:lvl w:ilvl="6" w:tplc="CBA41196" w:tentative="1">
      <w:start w:val="1"/>
      <w:numFmt w:val="bullet"/>
      <w:lvlText w:val=""/>
      <w:lvlJc w:val="left"/>
      <w:pPr>
        <w:ind w:left="5040" w:hanging="360"/>
      </w:pPr>
      <w:rPr>
        <w:rFonts w:ascii="Symbol" w:hAnsi="Symbol" w:hint="default"/>
      </w:rPr>
    </w:lvl>
    <w:lvl w:ilvl="7" w:tplc="F8E02EA8" w:tentative="1">
      <w:start w:val="1"/>
      <w:numFmt w:val="bullet"/>
      <w:lvlText w:val="o"/>
      <w:lvlJc w:val="left"/>
      <w:pPr>
        <w:ind w:left="5760" w:hanging="360"/>
      </w:pPr>
      <w:rPr>
        <w:rFonts w:ascii="Courier New" w:hAnsi="Courier New" w:cs="Courier New" w:hint="default"/>
      </w:rPr>
    </w:lvl>
    <w:lvl w:ilvl="8" w:tplc="71D0AA92" w:tentative="1">
      <w:start w:val="1"/>
      <w:numFmt w:val="bullet"/>
      <w:lvlText w:val=""/>
      <w:lvlJc w:val="left"/>
      <w:pPr>
        <w:ind w:left="6480" w:hanging="360"/>
      </w:pPr>
      <w:rPr>
        <w:rFonts w:ascii="Wingdings" w:hAnsi="Wingdings" w:hint="default"/>
      </w:rPr>
    </w:lvl>
  </w:abstractNum>
  <w:abstractNum w:abstractNumId="30" w15:restartNumberingAfterBreak="0">
    <w:nsid w:val="29EA3829"/>
    <w:multiLevelType w:val="multilevel"/>
    <w:tmpl w:val="07BE7142"/>
    <w:lvl w:ilvl="0">
      <w:start w:val="1"/>
      <w:numFmt w:val="decimal"/>
      <w:pStyle w:val="SH1Ashurst"/>
      <w:lvlText w:val="%1."/>
      <w:lvlJc w:val="left"/>
      <w:pPr>
        <w:tabs>
          <w:tab w:val="num" w:pos="782"/>
        </w:tabs>
        <w:ind w:left="782" w:hanging="782"/>
      </w:pPr>
      <w:rPr>
        <w:rFonts w:hint="default"/>
        <w:b w:val="0"/>
        <w:i w:val="0"/>
        <w:sz w:val="18"/>
      </w:rPr>
    </w:lvl>
    <w:lvl w:ilvl="1">
      <w:start w:val="1"/>
      <w:numFmt w:val="decimal"/>
      <w:pStyle w:val="SH2Ashurst"/>
      <w:lvlText w:val="%1.%2"/>
      <w:lvlJc w:val="left"/>
      <w:pPr>
        <w:tabs>
          <w:tab w:val="num" w:pos="782"/>
        </w:tabs>
        <w:ind w:left="782" w:hanging="782"/>
      </w:pPr>
      <w:rPr>
        <w:rFonts w:hint="default"/>
        <w:b w:val="0"/>
        <w:i w:val="0"/>
        <w:sz w:val="18"/>
        <w:szCs w:val="18"/>
        <w:u w:val="none"/>
      </w:rPr>
    </w:lvl>
    <w:lvl w:ilvl="2">
      <w:start w:val="1"/>
      <w:numFmt w:val="lowerLetter"/>
      <w:pStyle w:val="SH3Ashurst"/>
      <w:lvlText w:val="(%3)"/>
      <w:lvlJc w:val="left"/>
      <w:pPr>
        <w:tabs>
          <w:tab w:val="num" w:pos="1406"/>
        </w:tabs>
        <w:ind w:left="1406" w:hanging="624"/>
      </w:pPr>
      <w:rPr>
        <w:rFonts w:hint="default"/>
        <w:b w:val="0"/>
        <w:i w:val="0"/>
        <w:caps w:val="0"/>
        <w:smallCaps w:val="0"/>
        <w:sz w:val="18"/>
        <w:u w:val="none"/>
      </w:rPr>
    </w:lvl>
    <w:lvl w:ilvl="3">
      <w:start w:val="1"/>
      <w:numFmt w:val="lowerRoman"/>
      <w:pStyle w:val="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31" w15:restartNumberingAfterBreak="0">
    <w:nsid w:val="2CFF7910"/>
    <w:multiLevelType w:val="multilevel"/>
    <w:tmpl w:val="663C9EFA"/>
    <w:lvl w:ilvl="0">
      <w:start w:val="1"/>
      <w:numFmt w:val="decimal"/>
      <w:pStyle w:val="AltPartiesAshurst"/>
      <w:lvlText w:val="(%1)"/>
      <w:lvlJc w:val="left"/>
      <w:pPr>
        <w:tabs>
          <w:tab w:val="num" w:pos="782"/>
        </w:tabs>
        <w:ind w:left="782" w:hanging="782"/>
      </w:pPr>
      <w:rPr>
        <w:rFonts w:hint="default"/>
        <w:b w:val="0"/>
        <w:i w:val="0"/>
        <w:sz w:val="18"/>
      </w:rPr>
    </w:lvl>
    <w:lvl w:ilvl="1">
      <w:start w:val="1"/>
      <w:numFmt w:val="none"/>
      <w:lvlText w:val=""/>
      <w:lvlJc w:val="left"/>
      <w:pPr>
        <w:tabs>
          <w:tab w:val="num" w:pos="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szCs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302E0DF5"/>
    <w:multiLevelType w:val="multilevel"/>
    <w:tmpl w:val="6018EBCE"/>
    <w:lvl w:ilvl="0">
      <w:start w:val="1"/>
      <w:numFmt w:val="upperRoman"/>
      <w:pStyle w:val="AltRecitalsAshurst"/>
      <w:lvlText w:val="%1."/>
      <w:lvlJc w:val="left"/>
      <w:pPr>
        <w:tabs>
          <w:tab w:val="num" w:pos="782"/>
        </w:tabs>
        <w:ind w:left="782" w:hanging="782"/>
      </w:pPr>
      <w:rPr>
        <w:rFonts w:hint="default"/>
        <w:b w:val="0"/>
        <w:i w:val="0"/>
        <w:sz w:val="18"/>
        <w:szCs w:val="18"/>
      </w:rPr>
    </w:lvl>
    <w:lvl w:ilvl="1">
      <w:numFmt w:val="none"/>
      <w:lvlText w:val=""/>
      <w:lvlJc w:val="left"/>
      <w:pPr>
        <w:tabs>
          <w:tab w:val="num" w:pos="-3168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407F7A8A"/>
    <w:multiLevelType w:val="multilevel"/>
    <w:tmpl w:val="32928FFA"/>
    <w:lvl w:ilvl="0">
      <w:start w:val="1"/>
      <w:numFmt w:val="decimal"/>
      <w:pStyle w:val="AltSH1Ashurst"/>
      <w:lvlText w:val="%1."/>
      <w:lvlJc w:val="left"/>
      <w:pPr>
        <w:tabs>
          <w:tab w:val="num" w:pos="782"/>
        </w:tabs>
        <w:ind w:left="782" w:hanging="782"/>
      </w:pPr>
      <w:rPr>
        <w:rFonts w:hint="default"/>
        <w:b w:val="0"/>
        <w:i w:val="0"/>
        <w:sz w:val="18"/>
      </w:rPr>
    </w:lvl>
    <w:lvl w:ilvl="1">
      <w:start w:val="1"/>
      <w:numFmt w:val="decimal"/>
      <w:pStyle w:val="AltSH2Ashurst"/>
      <w:lvlText w:val="%1.%2"/>
      <w:lvlJc w:val="left"/>
      <w:pPr>
        <w:tabs>
          <w:tab w:val="num" w:pos="782"/>
        </w:tabs>
        <w:ind w:left="782" w:hanging="782"/>
      </w:pPr>
      <w:rPr>
        <w:rFonts w:hint="default"/>
        <w:b w:val="0"/>
        <w:i w:val="0"/>
        <w:sz w:val="18"/>
        <w:szCs w:val="18"/>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18"/>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34" w15:restartNumberingAfterBreak="0">
    <w:nsid w:val="41AE6517"/>
    <w:multiLevelType w:val="multilevel"/>
    <w:tmpl w:val="773C9390"/>
    <w:lvl w:ilvl="0">
      <w:start w:val="1"/>
      <w:numFmt w:val="upperLetter"/>
      <w:pStyle w:val="RecitalsAshurst"/>
      <w:lvlText w:val="(%1)"/>
      <w:lvlJc w:val="left"/>
      <w:pPr>
        <w:tabs>
          <w:tab w:val="num" w:pos="782"/>
        </w:tabs>
        <w:ind w:left="782" w:hanging="782"/>
      </w:pPr>
      <w:rPr>
        <w:rFonts w:hint="default"/>
        <w:b w:val="0"/>
        <w:i w:val="0"/>
        <w:sz w:val="18"/>
        <w:szCs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35" w15:restartNumberingAfterBreak="0">
    <w:nsid w:val="44302431"/>
    <w:multiLevelType w:val="multilevel"/>
    <w:tmpl w:val="0CE4DF3C"/>
    <w:lvl w:ilvl="0">
      <w:start w:val="1"/>
      <w:numFmt w:val="decimal"/>
      <w:pStyle w:val="TableNum1OCAshurst"/>
      <w:suff w:val="nothing"/>
      <w:lvlText w:val="%1."/>
      <w:lvlJc w:val="left"/>
      <w:pPr>
        <w:ind w:left="0" w:firstLine="0"/>
      </w:pPr>
      <w:rPr>
        <w:rFonts w:hint="default"/>
        <w:b w:val="0"/>
        <w:i w:val="0"/>
        <w:sz w:val="18"/>
      </w:rPr>
    </w:lvl>
    <w:lvl w:ilvl="1">
      <w:start w:val="1"/>
      <w:numFmt w:val="decimal"/>
      <w:pStyle w:val="TableNum2OCAshurst"/>
      <w:suff w:val="nothing"/>
      <w:lvlText w:val="%1.%2"/>
      <w:lvlJc w:val="left"/>
      <w:pPr>
        <w:ind w:left="0" w:firstLine="0"/>
      </w:pPr>
      <w:rPr>
        <w:rFonts w:hint="default"/>
        <w:b w:val="0"/>
        <w:i w:val="0"/>
        <w:sz w:val="18"/>
        <w:szCs w:val="18"/>
      </w:rPr>
    </w:lvl>
    <w:lvl w:ilvl="2">
      <w:start w:val="1"/>
      <w:numFmt w:val="lowerLetter"/>
      <w:pStyle w:val="TableNum3OCAshurst"/>
      <w:suff w:val="nothing"/>
      <w:lvlText w:val="(%3)"/>
      <w:lvlJc w:val="left"/>
      <w:pPr>
        <w:ind w:left="0" w:firstLine="0"/>
      </w:pPr>
      <w:rPr>
        <w:rFonts w:hint="default"/>
        <w:b w:val="0"/>
        <w:i w:val="0"/>
        <w:sz w:val="18"/>
        <w:szCs w:val="18"/>
      </w:rPr>
    </w:lvl>
    <w:lvl w:ilvl="3">
      <w:start w:val="1"/>
      <w:numFmt w:val="lowerRoman"/>
      <w:pStyle w:val="TableNum4OCAshurst"/>
      <w:suff w:val="nothing"/>
      <w:lvlText w:val="(%4)"/>
      <w:lvlJc w:val="left"/>
      <w:pPr>
        <w:ind w:left="0" w:firstLine="0"/>
      </w:pPr>
      <w:rPr>
        <w:rFonts w:hint="default"/>
        <w:b w:val="0"/>
        <w:i w:val="0"/>
        <w:sz w:val="18"/>
        <w:szCs w:val="18"/>
      </w:rPr>
    </w:lvl>
    <w:lvl w:ilvl="4">
      <w:start w:val="1"/>
      <w:numFmt w:val="upperLetter"/>
      <w:pStyle w:val="TableNum5OCAshurst"/>
      <w:suff w:val="nothing"/>
      <w:lvlText w:val="(%5)"/>
      <w:lvlJc w:val="left"/>
      <w:pPr>
        <w:ind w:left="0" w:firstLine="0"/>
      </w:pPr>
      <w:rPr>
        <w:rFonts w:hint="default"/>
        <w:b w:val="0"/>
        <w:i w:val="0"/>
        <w:sz w:val="18"/>
        <w:szCs w:val="18"/>
      </w:rPr>
    </w:lvl>
    <w:lvl w:ilvl="5">
      <w:start w:val="1"/>
      <w:numFmt w:val="decimal"/>
      <w:pStyle w:val="TableNum6OCAshurst"/>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6" w15:restartNumberingAfterBreak="0">
    <w:nsid w:val="4ED1674E"/>
    <w:multiLevelType w:val="multilevel"/>
    <w:tmpl w:val="398ACB1E"/>
    <w:lvl w:ilvl="0">
      <w:start w:val="1"/>
      <w:numFmt w:val="none"/>
      <w:pStyle w:val="DefinitionsClauseAshurst"/>
      <w:suff w:val="nothing"/>
      <w:lvlText w:val=""/>
      <w:lvlJc w:val="left"/>
      <w:pPr>
        <w:ind w:left="782" w:firstLine="0"/>
      </w:pPr>
      <w:rPr>
        <w:rFonts w:ascii="Verdana" w:hAnsi="Verdana" w:hint="default"/>
        <w:b w:val="0"/>
        <w:i w:val="0"/>
        <w:sz w:val="18"/>
        <w:szCs w:val="18"/>
      </w:rPr>
    </w:lvl>
    <w:lvl w:ilvl="1">
      <w:start w:val="1"/>
      <w:numFmt w:val="lowerLetter"/>
      <w:pStyle w:val="DefinitionsAshurst"/>
      <w:lvlText w:val="(%2)"/>
      <w:lvlJc w:val="left"/>
      <w:pPr>
        <w:tabs>
          <w:tab w:val="num" w:pos="1406"/>
        </w:tabs>
        <w:ind w:left="1406" w:hanging="624"/>
      </w:pPr>
      <w:rPr>
        <w:rFonts w:ascii="Verdana" w:hAnsi="Verdana" w:hint="default"/>
        <w:b w:val="0"/>
        <w:i w:val="0"/>
        <w:sz w:val="18"/>
        <w:szCs w:val="18"/>
      </w:rPr>
    </w:lvl>
    <w:lvl w:ilvl="2">
      <w:start w:val="1"/>
      <w:numFmt w:val="lowerRoman"/>
      <w:pStyle w:val="DefSubAshurst"/>
      <w:lvlText w:val="(%3)"/>
      <w:lvlJc w:val="left"/>
      <w:pPr>
        <w:tabs>
          <w:tab w:val="num" w:pos="2030"/>
        </w:tabs>
        <w:ind w:left="2030" w:hanging="624"/>
      </w:pPr>
      <w:rPr>
        <w:rFonts w:hint="default"/>
      </w:rPr>
    </w:lvl>
    <w:lvl w:ilvl="3">
      <w:start w:val="1"/>
      <w:numFmt w:val="none"/>
      <w:suff w:val="nothing"/>
      <w:lvlText w:val=""/>
      <w:lvlJc w:val="left"/>
      <w:pPr>
        <w:ind w:left="1564" w:firstLine="0"/>
      </w:pPr>
      <w:rPr>
        <w:rFonts w:hint="default"/>
      </w:rPr>
    </w:lvl>
    <w:lvl w:ilvl="4">
      <w:start w:val="1"/>
      <w:numFmt w:val="none"/>
      <w:suff w:val="nothing"/>
      <w:lvlText w:val=""/>
      <w:lvlJc w:val="left"/>
      <w:pPr>
        <w:ind w:left="1564" w:firstLine="0"/>
      </w:pPr>
      <w:rPr>
        <w:rFonts w:hint="default"/>
      </w:rPr>
    </w:lvl>
    <w:lvl w:ilvl="5">
      <w:start w:val="1"/>
      <w:numFmt w:val="none"/>
      <w:suff w:val="nothing"/>
      <w:lvlText w:val=""/>
      <w:lvlJc w:val="left"/>
      <w:pPr>
        <w:ind w:left="1564" w:firstLine="0"/>
      </w:pPr>
      <w:rPr>
        <w:rFonts w:hint="default"/>
      </w:rPr>
    </w:lvl>
    <w:lvl w:ilvl="6">
      <w:start w:val="1"/>
      <w:numFmt w:val="none"/>
      <w:suff w:val="nothing"/>
      <w:lvlText w:val=""/>
      <w:lvlJc w:val="left"/>
      <w:pPr>
        <w:ind w:left="1564" w:firstLine="0"/>
      </w:pPr>
      <w:rPr>
        <w:rFonts w:hint="default"/>
      </w:rPr>
    </w:lvl>
    <w:lvl w:ilvl="7">
      <w:start w:val="1"/>
      <w:numFmt w:val="none"/>
      <w:suff w:val="nothing"/>
      <w:lvlText w:val=""/>
      <w:lvlJc w:val="left"/>
      <w:pPr>
        <w:ind w:left="1564" w:firstLine="0"/>
      </w:pPr>
      <w:rPr>
        <w:rFonts w:hint="default"/>
      </w:rPr>
    </w:lvl>
    <w:lvl w:ilvl="8">
      <w:start w:val="1"/>
      <w:numFmt w:val="none"/>
      <w:suff w:val="nothing"/>
      <w:lvlText w:val=""/>
      <w:lvlJc w:val="left"/>
      <w:pPr>
        <w:ind w:left="1564" w:firstLine="0"/>
      </w:pPr>
      <w:rPr>
        <w:rFonts w:hint="default"/>
      </w:rPr>
    </w:lvl>
  </w:abstractNum>
  <w:abstractNum w:abstractNumId="37" w15:restartNumberingAfterBreak="0">
    <w:nsid w:val="4F011D52"/>
    <w:multiLevelType w:val="multilevel"/>
    <w:tmpl w:val="A5DEE4B6"/>
    <w:name w:val="AltBH1-8OCAshurst"/>
    <w:lvl w:ilvl="0">
      <w:start w:val="1"/>
      <w:numFmt w:val="decimal"/>
      <w:pStyle w:val="AltBH1OCAshurst"/>
      <w:lvlText w:val="%1."/>
      <w:lvlJc w:val="left"/>
      <w:pPr>
        <w:tabs>
          <w:tab w:val="num" w:pos="709"/>
        </w:tabs>
        <w:ind w:left="709" w:hanging="709"/>
      </w:pPr>
      <w:rPr>
        <w:rFonts w:hint="default"/>
        <w:b w:val="0"/>
        <w:i w:val="0"/>
      </w:rPr>
    </w:lvl>
    <w:lvl w:ilvl="1">
      <w:start w:val="1"/>
      <w:numFmt w:val="decimal"/>
      <w:pStyle w:val="AltBH2OCAshurst"/>
      <w:lvlText w:val="%1.%2"/>
      <w:lvlJc w:val="left"/>
      <w:pPr>
        <w:tabs>
          <w:tab w:val="num" w:pos="709"/>
        </w:tabs>
        <w:ind w:left="709" w:hanging="709"/>
      </w:pPr>
      <w:rPr>
        <w:rFonts w:hint="default"/>
        <w:b w:val="0"/>
        <w:i w:val="0"/>
      </w:rPr>
    </w:lvl>
    <w:lvl w:ilvl="2">
      <w:start w:val="1"/>
      <w:numFmt w:val="lowerLetter"/>
      <w:pStyle w:val="AltBH3OCAshurst"/>
      <w:lvlText w:val="(%3)"/>
      <w:lvlJc w:val="left"/>
      <w:pPr>
        <w:tabs>
          <w:tab w:val="num" w:pos="709"/>
        </w:tabs>
        <w:ind w:left="709" w:hanging="709"/>
      </w:pPr>
      <w:rPr>
        <w:rFonts w:hint="default"/>
        <w:b w:val="0"/>
        <w:i w:val="0"/>
      </w:rPr>
    </w:lvl>
    <w:lvl w:ilvl="3">
      <w:start w:val="1"/>
      <w:numFmt w:val="lowerRoman"/>
      <w:pStyle w:val="AltBH4OCAshurst"/>
      <w:lvlText w:val="(%4)"/>
      <w:lvlJc w:val="left"/>
      <w:pPr>
        <w:tabs>
          <w:tab w:val="num" w:pos="1276"/>
        </w:tabs>
        <w:ind w:left="1276" w:hanging="567"/>
      </w:pPr>
      <w:rPr>
        <w:rFonts w:hint="default"/>
        <w:b w:val="0"/>
        <w:i w:val="0"/>
        <w:sz w:val="20"/>
        <w:szCs w:val="20"/>
      </w:rPr>
    </w:lvl>
    <w:lvl w:ilvl="4">
      <w:start w:val="1"/>
      <w:numFmt w:val="upperLetter"/>
      <w:pStyle w:val="AltBH5OCAshurst"/>
      <w:lvlText w:val="(%5)"/>
      <w:lvlJc w:val="left"/>
      <w:pPr>
        <w:tabs>
          <w:tab w:val="num" w:pos="1843"/>
        </w:tabs>
        <w:ind w:left="1843" w:hanging="567"/>
      </w:pPr>
      <w:rPr>
        <w:rFonts w:hint="default"/>
        <w:b w:val="0"/>
        <w:i w:val="0"/>
      </w:rPr>
    </w:lvl>
    <w:lvl w:ilvl="5">
      <w:start w:val="1"/>
      <w:numFmt w:val="decimal"/>
      <w:pStyle w:val="AltBH6OCAshurst"/>
      <w:lvlText w:val="(%6)"/>
      <w:lvlJc w:val="left"/>
      <w:pPr>
        <w:tabs>
          <w:tab w:val="num" w:pos="2410"/>
        </w:tabs>
        <w:ind w:left="2410" w:hanging="567"/>
      </w:pPr>
      <w:rPr>
        <w:rFonts w:hint="default"/>
        <w:b w:val="0"/>
        <w:i w:val="0"/>
      </w:rPr>
    </w:lvl>
    <w:lvl w:ilvl="6">
      <w:start w:val="1"/>
      <w:numFmt w:val="lowerLetter"/>
      <w:pStyle w:val="AltBH7OCAShurst"/>
      <w:lvlText w:val="(%7)"/>
      <w:lvlJc w:val="left"/>
      <w:pPr>
        <w:tabs>
          <w:tab w:val="num" w:pos="2977"/>
        </w:tabs>
        <w:ind w:left="2977" w:hanging="567"/>
      </w:pPr>
      <w:rPr>
        <w:rFonts w:hint="default"/>
        <w:b w:val="0"/>
        <w:i w:val="0"/>
      </w:rPr>
    </w:lvl>
    <w:lvl w:ilvl="7">
      <w:start w:val="1"/>
      <w:numFmt w:val="lowerRoman"/>
      <w:pStyle w:val="AltBH8OCAshurst"/>
      <w:lvlText w:val="(%8)"/>
      <w:lvlJc w:val="left"/>
      <w:pPr>
        <w:tabs>
          <w:tab w:val="num" w:pos="3544"/>
        </w:tabs>
        <w:ind w:left="3544" w:hanging="567"/>
      </w:pPr>
      <w:rPr>
        <w:rFonts w:hint="default"/>
      </w:rPr>
    </w:lvl>
    <w:lvl w:ilvl="8">
      <w:start w:val="1"/>
      <w:numFmt w:val="none"/>
      <w:lvlText w:val=""/>
      <w:lvlJc w:val="left"/>
      <w:pPr>
        <w:tabs>
          <w:tab w:val="num" w:pos="0"/>
        </w:tabs>
        <w:ind w:left="0" w:firstLine="0"/>
      </w:pPr>
      <w:rPr>
        <w:rFonts w:hint="default"/>
      </w:rPr>
    </w:lvl>
  </w:abstractNum>
  <w:abstractNum w:abstractNumId="38" w15:restartNumberingAfterBreak="0">
    <w:nsid w:val="4F4B3ADF"/>
    <w:multiLevelType w:val="multilevel"/>
    <w:tmpl w:val="2BD29BB0"/>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39" w15:restartNumberingAfterBreak="0">
    <w:nsid w:val="57C67C4B"/>
    <w:multiLevelType w:val="hybridMultilevel"/>
    <w:tmpl w:val="E86E7356"/>
    <w:lvl w:ilvl="0" w:tplc="66809566">
      <w:start w:val="1"/>
      <w:numFmt w:val="bullet"/>
      <w:pStyle w:val="Bullet6Ashurst"/>
      <w:lvlText w:val=""/>
      <w:lvlJc w:val="left"/>
      <w:pPr>
        <w:tabs>
          <w:tab w:val="num" w:pos="3901"/>
        </w:tabs>
        <w:ind w:left="3901" w:hanging="624"/>
      </w:pPr>
      <w:rPr>
        <w:rFonts w:ascii="Symbol" w:hAnsi="Symbol" w:hint="default"/>
        <w:b w:val="0"/>
        <w:i w:val="0"/>
        <w:sz w:val="18"/>
        <w:szCs w:val="18"/>
      </w:rPr>
    </w:lvl>
    <w:lvl w:ilvl="1" w:tplc="066A74F8" w:tentative="1">
      <w:start w:val="1"/>
      <w:numFmt w:val="bullet"/>
      <w:lvlText w:val="o"/>
      <w:lvlJc w:val="left"/>
      <w:pPr>
        <w:tabs>
          <w:tab w:val="num" w:pos="1440"/>
        </w:tabs>
        <w:ind w:left="1440" w:hanging="360"/>
      </w:pPr>
      <w:rPr>
        <w:rFonts w:ascii="Courier New" w:hAnsi="Courier New" w:cs="Courier New" w:hint="default"/>
      </w:rPr>
    </w:lvl>
    <w:lvl w:ilvl="2" w:tplc="D23A9E96" w:tentative="1">
      <w:start w:val="1"/>
      <w:numFmt w:val="bullet"/>
      <w:lvlText w:val=""/>
      <w:lvlJc w:val="left"/>
      <w:pPr>
        <w:tabs>
          <w:tab w:val="num" w:pos="2160"/>
        </w:tabs>
        <w:ind w:left="2160" w:hanging="360"/>
      </w:pPr>
      <w:rPr>
        <w:rFonts w:ascii="Wingdings" w:hAnsi="Wingdings" w:hint="default"/>
      </w:rPr>
    </w:lvl>
    <w:lvl w:ilvl="3" w:tplc="5024E502" w:tentative="1">
      <w:start w:val="1"/>
      <w:numFmt w:val="bullet"/>
      <w:lvlText w:val=""/>
      <w:lvlJc w:val="left"/>
      <w:pPr>
        <w:tabs>
          <w:tab w:val="num" w:pos="2880"/>
        </w:tabs>
        <w:ind w:left="2880" w:hanging="360"/>
      </w:pPr>
      <w:rPr>
        <w:rFonts w:ascii="Symbol" w:hAnsi="Symbol" w:hint="default"/>
      </w:rPr>
    </w:lvl>
    <w:lvl w:ilvl="4" w:tplc="1424FC3E" w:tentative="1">
      <w:start w:val="1"/>
      <w:numFmt w:val="bullet"/>
      <w:lvlText w:val="o"/>
      <w:lvlJc w:val="left"/>
      <w:pPr>
        <w:tabs>
          <w:tab w:val="num" w:pos="3600"/>
        </w:tabs>
        <w:ind w:left="3600" w:hanging="360"/>
      </w:pPr>
      <w:rPr>
        <w:rFonts w:ascii="Courier New" w:hAnsi="Courier New" w:cs="Courier New" w:hint="default"/>
      </w:rPr>
    </w:lvl>
    <w:lvl w:ilvl="5" w:tplc="6D920E74" w:tentative="1">
      <w:start w:val="1"/>
      <w:numFmt w:val="bullet"/>
      <w:lvlText w:val=""/>
      <w:lvlJc w:val="left"/>
      <w:pPr>
        <w:tabs>
          <w:tab w:val="num" w:pos="4320"/>
        </w:tabs>
        <w:ind w:left="4320" w:hanging="360"/>
      </w:pPr>
      <w:rPr>
        <w:rFonts w:ascii="Wingdings" w:hAnsi="Wingdings" w:hint="default"/>
      </w:rPr>
    </w:lvl>
    <w:lvl w:ilvl="6" w:tplc="E7147632" w:tentative="1">
      <w:start w:val="1"/>
      <w:numFmt w:val="bullet"/>
      <w:lvlText w:val=""/>
      <w:lvlJc w:val="left"/>
      <w:pPr>
        <w:tabs>
          <w:tab w:val="num" w:pos="5040"/>
        </w:tabs>
        <w:ind w:left="5040" w:hanging="360"/>
      </w:pPr>
      <w:rPr>
        <w:rFonts w:ascii="Symbol" w:hAnsi="Symbol" w:hint="default"/>
      </w:rPr>
    </w:lvl>
    <w:lvl w:ilvl="7" w:tplc="C748B594" w:tentative="1">
      <w:start w:val="1"/>
      <w:numFmt w:val="bullet"/>
      <w:lvlText w:val="o"/>
      <w:lvlJc w:val="left"/>
      <w:pPr>
        <w:tabs>
          <w:tab w:val="num" w:pos="5760"/>
        </w:tabs>
        <w:ind w:left="5760" w:hanging="360"/>
      </w:pPr>
      <w:rPr>
        <w:rFonts w:ascii="Courier New" w:hAnsi="Courier New" w:cs="Courier New" w:hint="default"/>
      </w:rPr>
    </w:lvl>
    <w:lvl w:ilvl="8" w:tplc="675EFDF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D77A9B"/>
    <w:multiLevelType w:val="hybridMultilevel"/>
    <w:tmpl w:val="B99075E0"/>
    <w:name w:val="WW8Num62"/>
    <w:lvl w:ilvl="0" w:tplc="390AC5B0">
      <w:start w:val="1"/>
      <w:numFmt w:val="lowerRoman"/>
      <w:lvlText w:val="(%1)"/>
      <w:lvlJc w:val="left"/>
      <w:pPr>
        <w:tabs>
          <w:tab w:val="num" w:pos="2030"/>
        </w:tabs>
        <w:ind w:left="2030" w:hanging="624"/>
      </w:pPr>
      <w:rPr>
        <w:rFonts w:hint="default"/>
        <w:b w:val="0"/>
        <w:i w:val="0"/>
        <w:sz w:val="18"/>
        <w:szCs w:val="18"/>
      </w:rPr>
    </w:lvl>
    <w:lvl w:ilvl="1" w:tplc="66C06178" w:tentative="1">
      <w:start w:val="1"/>
      <w:numFmt w:val="lowerLetter"/>
      <w:lvlText w:val="%2."/>
      <w:lvlJc w:val="left"/>
      <w:pPr>
        <w:tabs>
          <w:tab w:val="num" w:pos="1440"/>
        </w:tabs>
        <w:ind w:left="1440" w:hanging="360"/>
      </w:pPr>
    </w:lvl>
    <w:lvl w:ilvl="2" w:tplc="AA26F5B0" w:tentative="1">
      <w:start w:val="1"/>
      <w:numFmt w:val="lowerRoman"/>
      <w:lvlText w:val="%3."/>
      <w:lvlJc w:val="right"/>
      <w:pPr>
        <w:tabs>
          <w:tab w:val="num" w:pos="2160"/>
        </w:tabs>
        <w:ind w:left="2160" w:hanging="180"/>
      </w:pPr>
    </w:lvl>
    <w:lvl w:ilvl="3" w:tplc="06F2C9D6" w:tentative="1">
      <w:start w:val="1"/>
      <w:numFmt w:val="decimal"/>
      <w:lvlText w:val="%4."/>
      <w:lvlJc w:val="left"/>
      <w:pPr>
        <w:tabs>
          <w:tab w:val="num" w:pos="2880"/>
        </w:tabs>
        <w:ind w:left="2880" w:hanging="360"/>
      </w:pPr>
    </w:lvl>
    <w:lvl w:ilvl="4" w:tplc="8BCCAFC4" w:tentative="1">
      <w:start w:val="1"/>
      <w:numFmt w:val="lowerLetter"/>
      <w:lvlText w:val="%5."/>
      <w:lvlJc w:val="left"/>
      <w:pPr>
        <w:tabs>
          <w:tab w:val="num" w:pos="3600"/>
        </w:tabs>
        <w:ind w:left="3600" w:hanging="360"/>
      </w:pPr>
    </w:lvl>
    <w:lvl w:ilvl="5" w:tplc="66DED266" w:tentative="1">
      <w:start w:val="1"/>
      <w:numFmt w:val="lowerRoman"/>
      <w:lvlText w:val="%6."/>
      <w:lvlJc w:val="right"/>
      <w:pPr>
        <w:tabs>
          <w:tab w:val="num" w:pos="4320"/>
        </w:tabs>
        <w:ind w:left="4320" w:hanging="180"/>
      </w:pPr>
    </w:lvl>
    <w:lvl w:ilvl="6" w:tplc="40E02AE8" w:tentative="1">
      <w:start w:val="1"/>
      <w:numFmt w:val="decimal"/>
      <w:lvlText w:val="%7."/>
      <w:lvlJc w:val="left"/>
      <w:pPr>
        <w:tabs>
          <w:tab w:val="num" w:pos="5040"/>
        </w:tabs>
        <w:ind w:left="5040" w:hanging="360"/>
      </w:pPr>
    </w:lvl>
    <w:lvl w:ilvl="7" w:tplc="78E0B4E0" w:tentative="1">
      <w:start w:val="1"/>
      <w:numFmt w:val="lowerLetter"/>
      <w:lvlText w:val="%8."/>
      <w:lvlJc w:val="left"/>
      <w:pPr>
        <w:tabs>
          <w:tab w:val="num" w:pos="5760"/>
        </w:tabs>
        <w:ind w:left="5760" w:hanging="360"/>
      </w:pPr>
    </w:lvl>
    <w:lvl w:ilvl="8" w:tplc="8662CA66" w:tentative="1">
      <w:start w:val="1"/>
      <w:numFmt w:val="lowerRoman"/>
      <w:lvlText w:val="%9."/>
      <w:lvlJc w:val="right"/>
      <w:pPr>
        <w:tabs>
          <w:tab w:val="num" w:pos="6480"/>
        </w:tabs>
        <w:ind w:left="6480" w:hanging="180"/>
      </w:pPr>
    </w:lvl>
  </w:abstractNum>
  <w:abstractNum w:abstractNumId="41" w15:restartNumberingAfterBreak="0">
    <w:nsid w:val="593047D9"/>
    <w:multiLevelType w:val="hybridMultilevel"/>
    <w:tmpl w:val="622A5644"/>
    <w:lvl w:ilvl="0" w:tplc="6F30F4AC">
      <w:start w:val="1"/>
      <w:numFmt w:val="bullet"/>
      <w:pStyle w:val="BulletAshurst"/>
      <w:lvlText w:val=""/>
      <w:lvlJc w:val="left"/>
      <w:pPr>
        <w:tabs>
          <w:tab w:val="num" w:pos="782"/>
        </w:tabs>
        <w:ind w:left="782" w:hanging="782"/>
      </w:pPr>
      <w:rPr>
        <w:rFonts w:ascii="Symbol" w:hAnsi="Symbol" w:hint="default"/>
      </w:rPr>
    </w:lvl>
    <w:lvl w:ilvl="1" w:tplc="320C4FB6" w:tentative="1">
      <w:start w:val="1"/>
      <w:numFmt w:val="bullet"/>
      <w:lvlText w:val="o"/>
      <w:lvlJc w:val="left"/>
      <w:pPr>
        <w:tabs>
          <w:tab w:val="num" w:pos="1440"/>
        </w:tabs>
        <w:ind w:left="1440" w:hanging="360"/>
      </w:pPr>
      <w:rPr>
        <w:rFonts w:ascii="Courier New" w:hAnsi="Courier New" w:cs="Courier New" w:hint="default"/>
      </w:rPr>
    </w:lvl>
    <w:lvl w:ilvl="2" w:tplc="4CFCF5B8" w:tentative="1">
      <w:start w:val="1"/>
      <w:numFmt w:val="bullet"/>
      <w:lvlText w:val=""/>
      <w:lvlJc w:val="left"/>
      <w:pPr>
        <w:tabs>
          <w:tab w:val="num" w:pos="2160"/>
        </w:tabs>
        <w:ind w:left="2160" w:hanging="360"/>
      </w:pPr>
      <w:rPr>
        <w:rFonts w:ascii="Wingdings" w:hAnsi="Wingdings" w:hint="default"/>
      </w:rPr>
    </w:lvl>
    <w:lvl w:ilvl="3" w:tplc="194E492A" w:tentative="1">
      <w:start w:val="1"/>
      <w:numFmt w:val="bullet"/>
      <w:lvlText w:val=""/>
      <w:lvlJc w:val="left"/>
      <w:pPr>
        <w:tabs>
          <w:tab w:val="num" w:pos="2880"/>
        </w:tabs>
        <w:ind w:left="2880" w:hanging="360"/>
      </w:pPr>
      <w:rPr>
        <w:rFonts w:ascii="Symbol" w:hAnsi="Symbol" w:hint="default"/>
      </w:rPr>
    </w:lvl>
    <w:lvl w:ilvl="4" w:tplc="32C41A54" w:tentative="1">
      <w:start w:val="1"/>
      <w:numFmt w:val="bullet"/>
      <w:lvlText w:val="o"/>
      <w:lvlJc w:val="left"/>
      <w:pPr>
        <w:tabs>
          <w:tab w:val="num" w:pos="3600"/>
        </w:tabs>
        <w:ind w:left="3600" w:hanging="360"/>
      </w:pPr>
      <w:rPr>
        <w:rFonts w:ascii="Courier New" w:hAnsi="Courier New" w:cs="Courier New" w:hint="default"/>
      </w:rPr>
    </w:lvl>
    <w:lvl w:ilvl="5" w:tplc="48CE8E6C" w:tentative="1">
      <w:start w:val="1"/>
      <w:numFmt w:val="bullet"/>
      <w:lvlText w:val=""/>
      <w:lvlJc w:val="left"/>
      <w:pPr>
        <w:tabs>
          <w:tab w:val="num" w:pos="4320"/>
        </w:tabs>
        <w:ind w:left="4320" w:hanging="360"/>
      </w:pPr>
      <w:rPr>
        <w:rFonts w:ascii="Wingdings" w:hAnsi="Wingdings" w:hint="default"/>
      </w:rPr>
    </w:lvl>
    <w:lvl w:ilvl="6" w:tplc="44BEA2D2" w:tentative="1">
      <w:start w:val="1"/>
      <w:numFmt w:val="bullet"/>
      <w:lvlText w:val=""/>
      <w:lvlJc w:val="left"/>
      <w:pPr>
        <w:tabs>
          <w:tab w:val="num" w:pos="5040"/>
        </w:tabs>
        <w:ind w:left="5040" w:hanging="360"/>
      </w:pPr>
      <w:rPr>
        <w:rFonts w:ascii="Symbol" w:hAnsi="Symbol" w:hint="default"/>
      </w:rPr>
    </w:lvl>
    <w:lvl w:ilvl="7" w:tplc="F02E969E" w:tentative="1">
      <w:start w:val="1"/>
      <w:numFmt w:val="bullet"/>
      <w:lvlText w:val="o"/>
      <w:lvlJc w:val="left"/>
      <w:pPr>
        <w:tabs>
          <w:tab w:val="num" w:pos="5760"/>
        </w:tabs>
        <w:ind w:left="5760" w:hanging="360"/>
      </w:pPr>
      <w:rPr>
        <w:rFonts w:ascii="Courier New" w:hAnsi="Courier New" w:cs="Courier New" w:hint="default"/>
      </w:rPr>
    </w:lvl>
    <w:lvl w:ilvl="8" w:tplc="CF90618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E4791F"/>
    <w:multiLevelType w:val="multilevel"/>
    <w:tmpl w:val="28EEA852"/>
    <w:lvl w:ilvl="0">
      <w:start w:val="1"/>
      <w:numFmt w:val="decimal"/>
      <w:pStyle w:val="AltScheduleAshurst"/>
      <w:suff w:val="nothing"/>
      <w:lvlText w:val="schedule %1"/>
      <w:lvlJc w:val="left"/>
      <w:pPr>
        <w:ind w:left="0" w:firstLine="0"/>
      </w:pPr>
      <w:rPr>
        <w:rFonts w:hint="default"/>
        <w:b/>
        <w:i w:val="0"/>
        <w:sz w:val="18"/>
      </w:rPr>
    </w:lvl>
    <w:lvl w:ilvl="1">
      <w:start w:val="1"/>
      <w:numFmt w:val="none"/>
      <w:suff w:val="nothing"/>
      <w:lvlText w:val=""/>
      <w:lvlJc w:val="left"/>
      <w:pPr>
        <w:ind w:left="0" w:firstLine="0"/>
      </w:pPr>
      <w:rPr>
        <w:rFonts w:hint="default"/>
        <w:b w:val="0"/>
        <w:i w:val="0"/>
        <w:sz w:val="18"/>
        <w:szCs w:val="18"/>
      </w:rPr>
    </w:lvl>
    <w:lvl w:ilvl="2">
      <w:start w:val="1"/>
      <w:numFmt w:val="none"/>
      <w:suff w:val="nothing"/>
      <w:lvlText w:val=""/>
      <w:lvlJc w:val="left"/>
      <w:pPr>
        <w:ind w:left="0" w:firstLine="0"/>
      </w:pPr>
      <w:rPr>
        <w:rFonts w:hint="default"/>
        <w:b w:val="0"/>
        <w:i w:val="0"/>
        <w:sz w:val="18"/>
        <w:szCs w:val="18"/>
      </w:rPr>
    </w:lvl>
    <w:lvl w:ilvl="3">
      <w:start w:val="1"/>
      <w:numFmt w:val="none"/>
      <w:suff w:val="nothing"/>
      <w:lvlText w:val=""/>
      <w:lvlJc w:val="left"/>
      <w:pPr>
        <w:ind w:left="0" w:firstLine="0"/>
      </w:pPr>
      <w:rPr>
        <w:rFonts w:hint="default"/>
        <w:b w:val="0"/>
        <w:i w:val="0"/>
        <w:sz w:val="18"/>
        <w:szCs w:val="18"/>
      </w:rPr>
    </w:lvl>
    <w:lvl w:ilvl="4">
      <w:start w:val="1"/>
      <w:numFmt w:val="none"/>
      <w:suff w:val="nothing"/>
      <w:lvlText w:val=""/>
      <w:lvlJc w:val="left"/>
      <w:pPr>
        <w:ind w:left="0" w:firstLine="0"/>
      </w:pPr>
      <w:rPr>
        <w:rFonts w:hint="default"/>
        <w:b w:val="0"/>
        <w:i w:val="0"/>
        <w:sz w:val="18"/>
        <w:szCs w:val="18"/>
      </w:rPr>
    </w:lvl>
    <w:lvl w:ilvl="5">
      <w:start w:val="27"/>
      <w:numFmt w:val="none"/>
      <w:suff w:val="nothing"/>
      <w:lvlText w:val=""/>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3" w15:restartNumberingAfterBreak="0">
    <w:nsid w:val="67F16158"/>
    <w:multiLevelType w:val="hybridMultilevel"/>
    <w:tmpl w:val="63ECDCCE"/>
    <w:lvl w:ilvl="0" w:tplc="8DB01A36">
      <w:start w:val="1"/>
      <w:numFmt w:val="bullet"/>
      <w:pStyle w:val="Bullet3Ashurst"/>
      <w:lvlText w:val=""/>
      <w:lvlJc w:val="left"/>
      <w:pPr>
        <w:tabs>
          <w:tab w:val="num" w:pos="2030"/>
        </w:tabs>
        <w:ind w:left="2030" w:hanging="624"/>
      </w:pPr>
      <w:rPr>
        <w:rFonts w:ascii="Symbol" w:hAnsi="Symbol" w:hint="default"/>
        <w:b w:val="0"/>
        <w:i w:val="0"/>
        <w:sz w:val="18"/>
        <w:szCs w:val="18"/>
      </w:rPr>
    </w:lvl>
    <w:lvl w:ilvl="1" w:tplc="0C00DE6C" w:tentative="1">
      <w:start w:val="1"/>
      <w:numFmt w:val="bullet"/>
      <w:lvlText w:val="o"/>
      <w:lvlJc w:val="left"/>
      <w:pPr>
        <w:tabs>
          <w:tab w:val="num" w:pos="1440"/>
        </w:tabs>
        <w:ind w:left="1440" w:hanging="360"/>
      </w:pPr>
      <w:rPr>
        <w:rFonts w:ascii="Courier New" w:hAnsi="Courier New" w:cs="Courier New" w:hint="default"/>
      </w:rPr>
    </w:lvl>
    <w:lvl w:ilvl="2" w:tplc="5A2CCA32" w:tentative="1">
      <w:start w:val="1"/>
      <w:numFmt w:val="bullet"/>
      <w:lvlText w:val=""/>
      <w:lvlJc w:val="left"/>
      <w:pPr>
        <w:tabs>
          <w:tab w:val="num" w:pos="2160"/>
        </w:tabs>
        <w:ind w:left="2160" w:hanging="360"/>
      </w:pPr>
      <w:rPr>
        <w:rFonts w:ascii="Wingdings" w:hAnsi="Wingdings" w:hint="default"/>
      </w:rPr>
    </w:lvl>
    <w:lvl w:ilvl="3" w:tplc="83C0FB0C" w:tentative="1">
      <w:start w:val="1"/>
      <w:numFmt w:val="bullet"/>
      <w:lvlText w:val=""/>
      <w:lvlJc w:val="left"/>
      <w:pPr>
        <w:tabs>
          <w:tab w:val="num" w:pos="2880"/>
        </w:tabs>
        <w:ind w:left="2880" w:hanging="360"/>
      </w:pPr>
      <w:rPr>
        <w:rFonts w:ascii="Symbol" w:hAnsi="Symbol" w:hint="default"/>
      </w:rPr>
    </w:lvl>
    <w:lvl w:ilvl="4" w:tplc="BB3222FC" w:tentative="1">
      <w:start w:val="1"/>
      <w:numFmt w:val="bullet"/>
      <w:lvlText w:val="o"/>
      <w:lvlJc w:val="left"/>
      <w:pPr>
        <w:tabs>
          <w:tab w:val="num" w:pos="3600"/>
        </w:tabs>
        <w:ind w:left="3600" w:hanging="360"/>
      </w:pPr>
      <w:rPr>
        <w:rFonts w:ascii="Courier New" w:hAnsi="Courier New" w:cs="Courier New" w:hint="default"/>
      </w:rPr>
    </w:lvl>
    <w:lvl w:ilvl="5" w:tplc="9258C6D4" w:tentative="1">
      <w:start w:val="1"/>
      <w:numFmt w:val="bullet"/>
      <w:lvlText w:val=""/>
      <w:lvlJc w:val="left"/>
      <w:pPr>
        <w:tabs>
          <w:tab w:val="num" w:pos="4320"/>
        </w:tabs>
        <w:ind w:left="4320" w:hanging="360"/>
      </w:pPr>
      <w:rPr>
        <w:rFonts w:ascii="Wingdings" w:hAnsi="Wingdings" w:hint="default"/>
      </w:rPr>
    </w:lvl>
    <w:lvl w:ilvl="6" w:tplc="69846028" w:tentative="1">
      <w:start w:val="1"/>
      <w:numFmt w:val="bullet"/>
      <w:lvlText w:val=""/>
      <w:lvlJc w:val="left"/>
      <w:pPr>
        <w:tabs>
          <w:tab w:val="num" w:pos="5040"/>
        </w:tabs>
        <w:ind w:left="5040" w:hanging="360"/>
      </w:pPr>
      <w:rPr>
        <w:rFonts w:ascii="Symbol" w:hAnsi="Symbol" w:hint="default"/>
      </w:rPr>
    </w:lvl>
    <w:lvl w:ilvl="7" w:tplc="31CE2A9A" w:tentative="1">
      <w:start w:val="1"/>
      <w:numFmt w:val="bullet"/>
      <w:lvlText w:val="o"/>
      <w:lvlJc w:val="left"/>
      <w:pPr>
        <w:tabs>
          <w:tab w:val="num" w:pos="5760"/>
        </w:tabs>
        <w:ind w:left="5760" w:hanging="360"/>
      </w:pPr>
      <w:rPr>
        <w:rFonts w:ascii="Courier New" w:hAnsi="Courier New" w:cs="Courier New" w:hint="default"/>
      </w:rPr>
    </w:lvl>
    <w:lvl w:ilvl="8" w:tplc="C48E2D2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246705"/>
    <w:multiLevelType w:val="multilevel"/>
    <w:tmpl w:val="0A907C1E"/>
    <w:lvl w:ilvl="0">
      <w:start w:val="1"/>
      <w:numFmt w:val="decimal"/>
      <w:pStyle w:val="TableNum1Ashurst"/>
      <w:suff w:val="nothing"/>
      <w:lvlText w:val="%1."/>
      <w:lvlJc w:val="left"/>
      <w:pPr>
        <w:ind w:left="0" w:firstLine="0"/>
      </w:pPr>
      <w:rPr>
        <w:rFonts w:hint="default"/>
        <w:b w:val="0"/>
        <w:i w:val="0"/>
        <w:sz w:val="18"/>
      </w:rPr>
    </w:lvl>
    <w:lvl w:ilvl="1">
      <w:start w:val="1"/>
      <w:numFmt w:val="decimal"/>
      <w:pStyle w:val="TableNum2Ashurst"/>
      <w:suff w:val="nothing"/>
      <w:lvlText w:val="%1.%2"/>
      <w:lvlJc w:val="left"/>
      <w:pPr>
        <w:ind w:left="0" w:firstLine="0"/>
      </w:pPr>
      <w:rPr>
        <w:rFonts w:hint="default"/>
        <w:b w:val="0"/>
        <w:i w:val="0"/>
        <w:sz w:val="18"/>
        <w:szCs w:val="18"/>
      </w:rPr>
    </w:lvl>
    <w:lvl w:ilvl="2">
      <w:start w:val="1"/>
      <w:numFmt w:val="lowerLetter"/>
      <w:pStyle w:val="TableNum3Ashurst"/>
      <w:suff w:val="nothing"/>
      <w:lvlText w:val="(%3)"/>
      <w:lvlJc w:val="left"/>
      <w:pPr>
        <w:ind w:left="0" w:firstLine="0"/>
      </w:pPr>
      <w:rPr>
        <w:rFonts w:hint="default"/>
        <w:b w:val="0"/>
        <w:i w:val="0"/>
        <w:sz w:val="18"/>
        <w:szCs w:val="18"/>
      </w:rPr>
    </w:lvl>
    <w:lvl w:ilvl="3">
      <w:start w:val="1"/>
      <w:numFmt w:val="lowerRoman"/>
      <w:pStyle w:val="TableNum4Ashurst"/>
      <w:suff w:val="nothing"/>
      <w:lvlText w:val="(%4)"/>
      <w:lvlJc w:val="left"/>
      <w:pPr>
        <w:ind w:left="0" w:firstLine="0"/>
      </w:pPr>
      <w:rPr>
        <w:rFonts w:hint="default"/>
        <w:b w:val="0"/>
        <w:i w:val="0"/>
        <w:sz w:val="18"/>
        <w:szCs w:val="18"/>
      </w:rPr>
    </w:lvl>
    <w:lvl w:ilvl="4">
      <w:start w:val="1"/>
      <w:numFmt w:val="upperLetter"/>
      <w:pStyle w:val="TableNum5Ashurst"/>
      <w:suff w:val="nothing"/>
      <w:lvlText w:val="(%5)"/>
      <w:lvlJc w:val="left"/>
      <w:pPr>
        <w:ind w:left="0" w:firstLine="0"/>
      </w:pPr>
      <w:rPr>
        <w:rFonts w:hint="default"/>
        <w:b w:val="0"/>
        <w:i w:val="0"/>
        <w:sz w:val="18"/>
        <w:szCs w:val="18"/>
      </w:rPr>
    </w:lvl>
    <w:lvl w:ilvl="5">
      <w:start w:val="27"/>
      <w:numFmt w:val="lowerLetter"/>
      <w:pStyle w:val="TableNum6Ashurst"/>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5" w15:restartNumberingAfterBreak="0">
    <w:nsid w:val="6D13513A"/>
    <w:multiLevelType w:val="hybridMultilevel"/>
    <w:tmpl w:val="F8AEB498"/>
    <w:lvl w:ilvl="0" w:tplc="BFACA31C">
      <w:start w:val="1"/>
      <w:numFmt w:val="bullet"/>
      <w:pStyle w:val="Bullet4Ashurst"/>
      <w:lvlText w:val=""/>
      <w:lvlJc w:val="left"/>
      <w:pPr>
        <w:tabs>
          <w:tab w:val="num" w:pos="2654"/>
        </w:tabs>
        <w:ind w:left="2654" w:hanging="624"/>
      </w:pPr>
      <w:rPr>
        <w:rFonts w:ascii="Symbol" w:hAnsi="Symbol" w:hint="default"/>
        <w:b w:val="0"/>
        <w:i w:val="0"/>
        <w:sz w:val="18"/>
        <w:szCs w:val="18"/>
      </w:rPr>
    </w:lvl>
    <w:lvl w:ilvl="1" w:tplc="ED86BFD6" w:tentative="1">
      <w:start w:val="1"/>
      <w:numFmt w:val="bullet"/>
      <w:lvlText w:val="o"/>
      <w:lvlJc w:val="left"/>
      <w:pPr>
        <w:tabs>
          <w:tab w:val="num" w:pos="1440"/>
        </w:tabs>
        <w:ind w:left="1440" w:hanging="360"/>
      </w:pPr>
      <w:rPr>
        <w:rFonts w:ascii="Courier New" w:hAnsi="Courier New" w:cs="Courier New" w:hint="default"/>
      </w:rPr>
    </w:lvl>
    <w:lvl w:ilvl="2" w:tplc="08A895E6" w:tentative="1">
      <w:start w:val="1"/>
      <w:numFmt w:val="bullet"/>
      <w:lvlText w:val=""/>
      <w:lvlJc w:val="left"/>
      <w:pPr>
        <w:tabs>
          <w:tab w:val="num" w:pos="2160"/>
        </w:tabs>
        <w:ind w:left="2160" w:hanging="360"/>
      </w:pPr>
      <w:rPr>
        <w:rFonts w:ascii="Wingdings" w:hAnsi="Wingdings" w:hint="default"/>
      </w:rPr>
    </w:lvl>
    <w:lvl w:ilvl="3" w:tplc="291EBACE" w:tentative="1">
      <w:start w:val="1"/>
      <w:numFmt w:val="bullet"/>
      <w:lvlText w:val=""/>
      <w:lvlJc w:val="left"/>
      <w:pPr>
        <w:tabs>
          <w:tab w:val="num" w:pos="2880"/>
        </w:tabs>
        <w:ind w:left="2880" w:hanging="360"/>
      </w:pPr>
      <w:rPr>
        <w:rFonts w:ascii="Symbol" w:hAnsi="Symbol" w:hint="default"/>
      </w:rPr>
    </w:lvl>
    <w:lvl w:ilvl="4" w:tplc="0C986C3E" w:tentative="1">
      <w:start w:val="1"/>
      <w:numFmt w:val="bullet"/>
      <w:lvlText w:val="o"/>
      <w:lvlJc w:val="left"/>
      <w:pPr>
        <w:tabs>
          <w:tab w:val="num" w:pos="3600"/>
        </w:tabs>
        <w:ind w:left="3600" w:hanging="360"/>
      </w:pPr>
      <w:rPr>
        <w:rFonts w:ascii="Courier New" w:hAnsi="Courier New" w:cs="Courier New" w:hint="default"/>
      </w:rPr>
    </w:lvl>
    <w:lvl w:ilvl="5" w:tplc="0C1CF176" w:tentative="1">
      <w:start w:val="1"/>
      <w:numFmt w:val="bullet"/>
      <w:lvlText w:val=""/>
      <w:lvlJc w:val="left"/>
      <w:pPr>
        <w:tabs>
          <w:tab w:val="num" w:pos="4320"/>
        </w:tabs>
        <w:ind w:left="4320" w:hanging="360"/>
      </w:pPr>
      <w:rPr>
        <w:rFonts w:ascii="Wingdings" w:hAnsi="Wingdings" w:hint="default"/>
      </w:rPr>
    </w:lvl>
    <w:lvl w:ilvl="6" w:tplc="EA66FD90" w:tentative="1">
      <w:start w:val="1"/>
      <w:numFmt w:val="bullet"/>
      <w:lvlText w:val=""/>
      <w:lvlJc w:val="left"/>
      <w:pPr>
        <w:tabs>
          <w:tab w:val="num" w:pos="5040"/>
        </w:tabs>
        <w:ind w:left="5040" w:hanging="360"/>
      </w:pPr>
      <w:rPr>
        <w:rFonts w:ascii="Symbol" w:hAnsi="Symbol" w:hint="default"/>
      </w:rPr>
    </w:lvl>
    <w:lvl w:ilvl="7" w:tplc="2DE8820A" w:tentative="1">
      <w:start w:val="1"/>
      <w:numFmt w:val="bullet"/>
      <w:lvlText w:val="o"/>
      <w:lvlJc w:val="left"/>
      <w:pPr>
        <w:tabs>
          <w:tab w:val="num" w:pos="5760"/>
        </w:tabs>
        <w:ind w:left="5760" w:hanging="360"/>
      </w:pPr>
      <w:rPr>
        <w:rFonts w:ascii="Courier New" w:hAnsi="Courier New" w:cs="Courier New" w:hint="default"/>
      </w:rPr>
    </w:lvl>
    <w:lvl w:ilvl="8" w:tplc="242278B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9E7A60"/>
    <w:multiLevelType w:val="multilevel"/>
    <w:tmpl w:val="0809001F"/>
    <w:styleLink w:val="111111"/>
    <w:lvl w:ilvl="0">
      <w:start w:val="1"/>
      <w:numFmt w:val="decimal"/>
      <w:lvlText w:val="%1."/>
      <w:lvlJc w:val="left"/>
      <w:pPr>
        <w:ind w:left="360" w:hanging="360"/>
      </w:pPr>
      <w:rPr>
        <w:rFonts w:asciiTheme="minorHAnsi" w:eastAsiaTheme="minorEastAsia"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16504C1"/>
    <w:multiLevelType w:val="singleLevel"/>
    <w:tmpl w:val="0D8E4CE0"/>
    <w:lvl w:ilvl="0">
      <w:start w:val="1"/>
      <w:numFmt w:val="lowerLetter"/>
      <w:lvlText w:val="(%1)"/>
      <w:lvlJc w:val="left"/>
      <w:pPr>
        <w:tabs>
          <w:tab w:val="num" w:pos="709"/>
        </w:tabs>
        <w:ind w:left="709" w:hanging="709"/>
      </w:pPr>
      <w:rPr>
        <w:b w:val="0"/>
        <w:i w:val="0"/>
        <w:caps w:val="0"/>
      </w:rPr>
    </w:lvl>
  </w:abstractNum>
  <w:abstractNum w:abstractNumId="48" w15:restartNumberingAfterBreak="0">
    <w:nsid w:val="71AF1EE5"/>
    <w:multiLevelType w:val="multilevel"/>
    <w:tmpl w:val="0809001D"/>
    <w:name w:val="AltBH1-8OC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6FF6F28"/>
    <w:multiLevelType w:val="singleLevel"/>
    <w:tmpl w:val="14E04F3A"/>
    <w:lvl w:ilvl="0">
      <w:start w:val="1"/>
      <w:numFmt w:val="bullet"/>
      <w:pStyle w:val="BulletOCAshurst"/>
      <w:lvlText w:val=""/>
      <w:lvlJc w:val="left"/>
      <w:pPr>
        <w:tabs>
          <w:tab w:val="num" w:pos="709"/>
        </w:tabs>
        <w:ind w:left="709" w:hanging="709"/>
      </w:pPr>
      <w:rPr>
        <w:rFonts w:ascii="Symbol" w:hAnsi="Symbol" w:hint="default"/>
        <w:b w:val="0"/>
        <w:i w:val="0"/>
        <w:color w:val="auto"/>
        <w:sz w:val="20"/>
      </w:rPr>
    </w:lvl>
  </w:abstractNum>
  <w:abstractNum w:abstractNumId="50" w15:restartNumberingAfterBreak="0">
    <w:nsid w:val="7B792B61"/>
    <w:multiLevelType w:val="hybridMultilevel"/>
    <w:tmpl w:val="AA02C10E"/>
    <w:lvl w:ilvl="0" w:tplc="47FC1392">
      <w:start w:val="1"/>
      <w:numFmt w:val="decimal"/>
      <w:pStyle w:val="PartiesAshurst"/>
      <w:lvlText w:val="(%1)"/>
      <w:lvlJc w:val="left"/>
      <w:pPr>
        <w:tabs>
          <w:tab w:val="num" w:pos="782"/>
        </w:tabs>
        <w:ind w:left="782" w:hanging="782"/>
      </w:pPr>
      <w:rPr>
        <w:rFonts w:hint="default"/>
        <w:b w:val="0"/>
        <w:i w:val="0"/>
        <w:sz w:val="18"/>
        <w:szCs w:val="18"/>
      </w:rPr>
    </w:lvl>
    <w:lvl w:ilvl="1" w:tplc="43E2BAEC" w:tentative="1">
      <w:start w:val="1"/>
      <w:numFmt w:val="lowerLetter"/>
      <w:lvlText w:val="%2."/>
      <w:lvlJc w:val="left"/>
      <w:pPr>
        <w:tabs>
          <w:tab w:val="num" w:pos="1440"/>
        </w:tabs>
        <w:ind w:left="1440" w:hanging="360"/>
      </w:pPr>
    </w:lvl>
    <w:lvl w:ilvl="2" w:tplc="97B443A8" w:tentative="1">
      <w:start w:val="1"/>
      <w:numFmt w:val="lowerRoman"/>
      <w:lvlText w:val="%3."/>
      <w:lvlJc w:val="right"/>
      <w:pPr>
        <w:tabs>
          <w:tab w:val="num" w:pos="2160"/>
        </w:tabs>
        <w:ind w:left="2160" w:hanging="180"/>
      </w:pPr>
    </w:lvl>
    <w:lvl w:ilvl="3" w:tplc="D2B04F7C" w:tentative="1">
      <w:start w:val="1"/>
      <w:numFmt w:val="decimal"/>
      <w:lvlText w:val="%4."/>
      <w:lvlJc w:val="left"/>
      <w:pPr>
        <w:tabs>
          <w:tab w:val="num" w:pos="2880"/>
        </w:tabs>
        <w:ind w:left="2880" w:hanging="360"/>
      </w:pPr>
    </w:lvl>
    <w:lvl w:ilvl="4" w:tplc="9EF21D88" w:tentative="1">
      <w:start w:val="1"/>
      <w:numFmt w:val="lowerLetter"/>
      <w:lvlText w:val="%5."/>
      <w:lvlJc w:val="left"/>
      <w:pPr>
        <w:tabs>
          <w:tab w:val="num" w:pos="3600"/>
        </w:tabs>
        <w:ind w:left="3600" w:hanging="360"/>
      </w:pPr>
    </w:lvl>
    <w:lvl w:ilvl="5" w:tplc="3D541A3E" w:tentative="1">
      <w:start w:val="1"/>
      <w:numFmt w:val="lowerRoman"/>
      <w:lvlText w:val="%6."/>
      <w:lvlJc w:val="right"/>
      <w:pPr>
        <w:tabs>
          <w:tab w:val="num" w:pos="4320"/>
        </w:tabs>
        <w:ind w:left="4320" w:hanging="180"/>
      </w:pPr>
    </w:lvl>
    <w:lvl w:ilvl="6" w:tplc="034A8C04" w:tentative="1">
      <w:start w:val="1"/>
      <w:numFmt w:val="decimal"/>
      <w:lvlText w:val="%7."/>
      <w:lvlJc w:val="left"/>
      <w:pPr>
        <w:tabs>
          <w:tab w:val="num" w:pos="5040"/>
        </w:tabs>
        <w:ind w:left="5040" w:hanging="360"/>
      </w:pPr>
    </w:lvl>
    <w:lvl w:ilvl="7" w:tplc="21A4E9B0" w:tentative="1">
      <w:start w:val="1"/>
      <w:numFmt w:val="lowerLetter"/>
      <w:lvlText w:val="%8."/>
      <w:lvlJc w:val="left"/>
      <w:pPr>
        <w:tabs>
          <w:tab w:val="num" w:pos="5760"/>
        </w:tabs>
        <w:ind w:left="5760" w:hanging="360"/>
      </w:pPr>
    </w:lvl>
    <w:lvl w:ilvl="8" w:tplc="B3EE277E" w:tentative="1">
      <w:start w:val="1"/>
      <w:numFmt w:val="lowerRoman"/>
      <w:lvlText w:val="%9."/>
      <w:lvlJc w:val="right"/>
      <w:pPr>
        <w:tabs>
          <w:tab w:val="num" w:pos="6480"/>
        </w:tabs>
        <w:ind w:left="6480" w:hanging="180"/>
      </w:pPr>
    </w:lvl>
  </w:abstractNum>
  <w:abstractNum w:abstractNumId="51" w15:restartNumberingAfterBreak="0">
    <w:nsid w:val="7BCD3DD8"/>
    <w:multiLevelType w:val="multilevel"/>
    <w:tmpl w:val="E98052C4"/>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lowerLetter"/>
      <w:pStyle w:val="AltH7Ashurst"/>
      <w:lvlText w:val="(%7)"/>
      <w:lvlJc w:val="left"/>
      <w:pPr>
        <w:tabs>
          <w:tab w:val="num" w:pos="3901"/>
        </w:tabs>
        <w:ind w:left="3901" w:hanging="624"/>
      </w:pPr>
      <w:rPr>
        <w:rFonts w:hint="default"/>
        <w:b w:val="0"/>
        <w:i w:val="0"/>
        <w:sz w:val="18"/>
        <w:szCs w:val="18"/>
      </w:rPr>
    </w:lvl>
    <w:lvl w:ilvl="7">
      <w:start w:val="1"/>
      <w:numFmt w:val="lowerRoman"/>
      <w:pStyle w:val="Alt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52" w15:restartNumberingAfterBreak="0">
    <w:nsid w:val="7CCA31EC"/>
    <w:multiLevelType w:val="hybridMultilevel"/>
    <w:tmpl w:val="4C3E3524"/>
    <w:lvl w:ilvl="0" w:tplc="3850CDC6">
      <w:start w:val="1"/>
      <w:numFmt w:val="bullet"/>
      <w:pStyle w:val="Bullet5Ashurst"/>
      <w:lvlText w:val=""/>
      <w:lvlJc w:val="left"/>
      <w:pPr>
        <w:tabs>
          <w:tab w:val="num" w:pos="3277"/>
        </w:tabs>
        <w:ind w:left="3277" w:hanging="623"/>
      </w:pPr>
      <w:rPr>
        <w:rFonts w:ascii="Symbol" w:hAnsi="Symbol" w:hint="default"/>
        <w:b w:val="0"/>
        <w:i w:val="0"/>
        <w:sz w:val="18"/>
        <w:szCs w:val="18"/>
      </w:rPr>
    </w:lvl>
    <w:lvl w:ilvl="1" w:tplc="A7A61684" w:tentative="1">
      <w:start w:val="1"/>
      <w:numFmt w:val="bullet"/>
      <w:lvlText w:val="o"/>
      <w:lvlJc w:val="left"/>
      <w:pPr>
        <w:tabs>
          <w:tab w:val="num" w:pos="1440"/>
        </w:tabs>
        <w:ind w:left="1440" w:hanging="360"/>
      </w:pPr>
      <w:rPr>
        <w:rFonts w:ascii="Courier New" w:hAnsi="Courier New" w:cs="Courier New" w:hint="default"/>
      </w:rPr>
    </w:lvl>
    <w:lvl w:ilvl="2" w:tplc="216ED7A6" w:tentative="1">
      <w:start w:val="1"/>
      <w:numFmt w:val="bullet"/>
      <w:lvlText w:val=""/>
      <w:lvlJc w:val="left"/>
      <w:pPr>
        <w:tabs>
          <w:tab w:val="num" w:pos="2160"/>
        </w:tabs>
        <w:ind w:left="2160" w:hanging="360"/>
      </w:pPr>
      <w:rPr>
        <w:rFonts w:ascii="Wingdings" w:hAnsi="Wingdings" w:hint="default"/>
      </w:rPr>
    </w:lvl>
    <w:lvl w:ilvl="3" w:tplc="77766C02" w:tentative="1">
      <w:start w:val="1"/>
      <w:numFmt w:val="bullet"/>
      <w:lvlText w:val=""/>
      <w:lvlJc w:val="left"/>
      <w:pPr>
        <w:tabs>
          <w:tab w:val="num" w:pos="2880"/>
        </w:tabs>
        <w:ind w:left="2880" w:hanging="360"/>
      </w:pPr>
      <w:rPr>
        <w:rFonts w:ascii="Symbol" w:hAnsi="Symbol" w:hint="default"/>
      </w:rPr>
    </w:lvl>
    <w:lvl w:ilvl="4" w:tplc="0DAE3A0E" w:tentative="1">
      <w:start w:val="1"/>
      <w:numFmt w:val="bullet"/>
      <w:lvlText w:val="o"/>
      <w:lvlJc w:val="left"/>
      <w:pPr>
        <w:tabs>
          <w:tab w:val="num" w:pos="3600"/>
        </w:tabs>
        <w:ind w:left="3600" w:hanging="360"/>
      </w:pPr>
      <w:rPr>
        <w:rFonts w:ascii="Courier New" w:hAnsi="Courier New" w:cs="Courier New" w:hint="default"/>
      </w:rPr>
    </w:lvl>
    <w:lvl w:ilvl="5" w:tplc="888C0C18" w:tentative="1">
      <w:start w:val="1"/>
      <w:numFmt w:val="bullet"/>
      <w:lvlText w:val=""/>
      <w:lvlJc w:val="left"/>
      <w:pPr>
        <w:tabs>
          <w:tab w:val="num" w:pos="4320"/>
        </w:tabs>
        <w:ind w:left="4320" w:hanging="360"/>
      </w:pPr>
      <w:rPr>
        <w:rFonts w:ascii="Wingdings" w:hAnsi="Wingdings" w:hint="default"/>
      </w:rPr>
    </w:lvl>
    <w:lvl w:ilvl="6" w:tplc="6AC2FEDC" w:tentative="1">
      <w:start w:val="1"/>
      <w:numFmt w:val="bullet"/>
      <w:lvlText w:val=""/>
      <w:lvlJc w:val="left"/>
      <w:pPr>
        <w:tabs>
          <w:tab w:val="num" w:pos="5040"/>
        </w:tabs>
        <w:ind w:left="5040" w:hanging="360"/>
      </w:pPr>
      <w:rPr>
        <w:rFonts w:ascii="Symbol" w:hAnsi="Symbol" w:hint="default"/>
      </w:rPr>
    </w:lvl>
    <w:lvl w:ilvl="7" w:tplc="C1F6B6A2" w:tentative="1">
      <w:start w:val="1"/>
      <w:numFmt w:val="bullet"/>
      <w:lvlText w:val="o"/>
      <w:lvlJc w:val="left"/>
      <w:pPr>
        <w:tabs>
          <w:tab w:val="num" w:pos="5760"/>
        </w:tabs>
        <w:ind w:left="5760" w:hanging="360"/>
      </w:pPr>
      <w:rPr>
        <w:rFonts w:ascii="Courier New" w:hAnsi="Courier New" w:cs="Courier New" w:hint="default"/>
      </w:rPr>
    </w:lvl>
    <w:lvl w:ilvl="8" w:tplc="E318B6C6"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2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37"/>
  </w:num>
  <w:num w:numId="15">
    <w:abstractNumId w:val="35"/>
  </w:num>
  <w:num w:numId="16">
    <w:abstractNumId w:val="23"/>
  </w:num>
  <w:num w:numId="17">
    <w:abstractNumId w:val="46"/>
  </w:num>
  <w:num w:numId="18">
    <w:abstractNumId w:val="20"/>
  </w:num>
  <w:num w:numId="19">
    <w:abstractNumId w:val="15"/>
  </w:num>
  <w:num w:numId="20">
    <w:abstractNumId w:val="13"/>
  </w:num>
  <w:num w:numId="21">
    <w:abstractNumId w:val="17"/>
  </w:num>
  <w:num w:numId="22">
    <w:abstractNumId w:val="51"/>
  </w:num>
  <w:num w:numId="23">
    <w:abstractNumId w:val="41"/>
  </w:num>
  <w:num w:numId="24">
    <w:abstractNumId w:val="38"/>
  </w:num>
  <w:num w:numId="25">
    <w:abstractNumId w:val="50"/>
  </w:num>
  <w:num w:numId="26">
    <w:abstractNumId w:val="32"/>
  </w:num>
  <w:num w:numId="27">
    <w:abstractNumId w:val="30"/>
  </w:num>
  <w:num w:numId="28">
    <w:abstractNumId w:val="33"/>
  </w:num>
  <w:num w:numId="29">
    <w:abstractNumId w:val="21"/>
  </w:num>
  <w:num w:numId="30">
    <w:abstractNumId w:val="14"/>
  </w:num>
  <w:num w:numId="31">
    <w:abstractNumId w:val="43"/>
  </w:num>
  <w:num w:numId="32">
    <w:abstractNumId w:val="45"/>
  </w:num>
  <w:num w:numId="33">
    <w:abstractNumId w:val="52"/>
  </w:num>
  <w:num w:numId="34">
    <w:abstractNumId w:val="39"/>
  </w:num>
  <w:num w:numId="35">
    <w:abstractNumId w:val="12"/>
  </w:num>
  <w:num w:numId="36">
    <w:abstractNumId w:val="16"/>
  </w:num>
  <w:num w:numId="37">
    <w:abstractNumId w:val="44"/>
  </w:num>
  <w:num w:numId="38">
    <w:abstractNumId w:val="34"/>
  </w:num>
  <w:num w:numId="39">
    <w:abstractNumId w:val="36"/>
  </w:num>
  <w:num w:numId="40">
    <w:abstractNumId w:val="25"/>
  </w:num>
  <w:num w:numId="41">
    <w:abstractNumId w:val="31"/>
  </w:num>
  <w:num w:numId="42">
    <w:abstractNumId w:val="4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0">
    <w:abstractNumId w:val="10"/>
  </w:num>
  <w:num w:numId="51">
    <w:abstractNumId w:val="19"/>
  </w:num>
  <w:num w:numId="52">
    <w:abstractNumId w:val="28"/>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2">
    <w:abstractNumId w:val="26"/>
  </w:num>
  <w:num w:numId="63">
    <w:abstractNumId w:val="29"/>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num>
  <w:num w:numId="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7">
    <w:abstractNumId w:val="23"/>
  </w:num>
  <w:num w:numId="78">
    <w:abstractNumId w:val="37"/>
  </w:num>
  <w:num w:numId="79">
    <w:abstractNumId w:val="37"/>
  </w:num>
  <w:num w:numId="80">
    <w:abstractNumId w:val="37"/>
  </w:num>
  <w:num w:numId="81">
    <w:abstractNumId w:val="47"/>
  </w:num>
  <w:num w:numId="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9"/>
  </w:num>
  <w:num w:numId="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num>
  <w:num w:numId="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num>
  <w:num w:numId="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7"/>
  </w:num>
  <w:num w:numId="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stylePaneSortMethod w:val="0000"/>
  <w:defaultTabStop w:val="709"/>
  <w:noPunctuationKerning/>
  <w:characterSpacingControl w:val="doNotCompress"/>
  <w:hdrShapeDefaults>
    <o:shapedefaults v:ext="edit" spidmax="40550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OfferingCircular&quot; /&gt;_x000d__x000a_        &lt;item name=&quot;dataID&quot; value=&quot;&quot; /&gt;_x000d__x000a_        &lt;item name=&quot;officeID&quot; value=&quot;london&quot; /&gt;_x000d__x000a_        &lt;item name=&quot;languageID&quot; value=&quot;english-uk&quot; /&gt;_x000d__x000a_        &lt;item name=&quot;localeID&quot; value=&quot;2057&quot; /&gt;_x000d__x000a_        &lt;item name=&quot;authorID&quot; value=&quot;Deena McCabe&quot; /&gt;_x000d__x000a_        &lt;item name=&quot;day&quot; value=&quot;31&quot; /&gt;_x000d__x000a_        &lt;item name=&quot;month&quot; value=&quot;12&quot; /&gt;_x000d__x000a_        &lt;item name=&quot;year&quot; value=&quot;2015&quot; /&gt;_x000d__x000a_        &lt;item name=&quot;legacyTemplateName&quot; value=&quot;&quot; /&gt;_x000d__x000a_        &lt;item name=&quot;iwStartFolder&quot; value=&quot;&quot; /&gt;_x000d__x000a_      &lt;/items&gt;_x000d__x000a_    &lt;/set&gt;_x000d__x000a_  &lt;/documentData&gt;_x000d__x000a_&lt;/ashurstDocument&gt;"/>
  </w:docVars>
  <w:rsids>
    <w:rsidRoot w:val="00BF629A"/>
    <w:rsid w:val="0000021B"/>
    <w:rsid w:val="0000082F"/>
    <w:rsid w:val="00002E94"/>
    <w:rsid w:val="000035FF"/>
    <w:rsid w:val="00004995"/>
    <w:rsid w:val="00004ACA"/>
    <w:rsid w:val="00021069"/>
    <w:rsid w:val="000210DB"/>
    <w:rsid w:val="00021BD2"/>
    <w:rsid w:val="00022B51"/>
    <w:rsid w:val="000233A7"/>
    <w:rsid w:val="00037A4D"/>
    <w:rsid w:val="00040057"/>
    <w:rsid w:val="00043857"/>
    <w:rsid w:val="00045FD2"/>
    <w:rsid w:val="000559C0"/>
    <w:rsid w:val="00062E8E"/>
    <w:rsid w:val="000635C5"/>
    <w:rsid w:val="00064570"/>
    <w:rsid w:val="000663F6"/>
    <w:rsid w:val="00066CE9"/>
    <w:rsid w:val="00067C81"/>
    <w:rsid w:val="00073B4B"/>
    <w:rsid w:val="000837EB"/>
    <w:rsid w:val="00097C72"/>
    <w:rsid w:val="000A02CF"/>
    <w:rsid w:val="000A0D20"/>
    <w:rsid w:val="000A375C"/>
    <w:rsid w:val="000A4615"/>
    <w:rsid w:val="000A5A50"/>
    <w:rsid w:val="000A605B"/>
    <w:rsid w:val="000A7CF5"/>
    <w:rsid w:val="000B2938"/>
    <w:rsid w:val="000B62BC"/>
    <w:rsid w:val="000C07AE"/>
    <w:rsid w:val="000C1F15"/>
    <w:rsid w:val="000C7034"/>
    <w:rsid w:val="000C7BCD"/>
    <w:rsid w:val="000D1B6D"/>
    <w:rsid w:val="000D59C7"/>
    <w:rsid w:val="000D5E4E"/>
    <w:rsid w:val="000E0825"/>
    <w:rsid w:val="000E1897"/>
    <w:rsid w:val="000E54AF"/>
    <w:rsid w:val="000E65EB"/>
    <w:rsid w:val="000F0304"/>
    <w:rsid w:val="000F1CCF"/>
    <w:rsid w:val="000F1FAB"/>
    <w:rsid w:val="000F25A1"/>
    <w:rsid w:val="000F4EB4"/>
    <w:rsid w:val="0010052C"/>
    <w:rsid w:val="001015DE"/>
    <w:rsid w:val="00101EC6"/>
    <w:rsid w:val="00107B30"/>
    <w:rsid w:val="0011564D"/>
    <w:rsid w:val="001175CB"/>
    <w:rsid w:val="001203F8"/>
    <w:rsid w:val="00126A72"/>
    <w:rsid w:val="00126CB4"/>
    <w:rsid w:val="00133FC3"/>
    <w:rsid w:val="00134F8F"/>
    <w:rsid w:val="001367C5"/>
    <w:rsid w:val="00142B83"/>
    <w:rsid w:val="00145FA3"/>
    <w:rsid w:val="00152232"/>
    <w:rsid w:val="001545EB"/>
    <w:rsid w:val="001610F9"/>
    <w:rsid w:val="00161D2B"/>
    <w:rsid w:val="001636F5"/>
    <w:rsid w:val="00170A4C"/>
    <w:rsid w:val="00170DF0"/>
    <w:rsid w:val="00171D3D"/>
    <w:rsid w:val="0018301E"/>
    <w:rsid w:val="00186BEA"/>
    <w:rsid w:val="00193836"/>
    <w:rsid w:val="00196014"/>
    <w:rsid w:val="001967DD"/>
    <w:rsid w:val="001A164E"/>
    <w:rsid w:val="001A5917"/>
    <w:rsid w:val="001B349E"/>
    <w:rsid w:val="001B4D15"/>
    <w:rsid w:val="001C51D9"/>
    <w:rsid w:val="001C6963"/>
    <w:rsid w:val="001D2F74"/>
    <w:rsid w:val="001D3519"/>
    <w:rsid w:val="001E18B3"/>
    <w:rsid w:val="001E1C4C"/>
    <w:rsid w:val="001E486A"/>
    <w:rsid w:val="001F301B"/>
    <w:rsid w:val="0020138C"/>
    <w:rsid w:val="00207C18"/>
    <w:rsid w:val="002140A5"/>
    <w:rsid w:val="00216E85"/>
    <w:rsid w:val="00225053"/>
    <w:rsid w:val="002265C6"/>
    <w:rsid w:val="002307F7"/>
    <w:rsid w:val="002341EC"/>
    <w:rsid w:val="0023493D"/>
    <w:rsid w:val="00235539"/>
    <w:rsid w:val="00236A4D"/>
    <w:rsid w:val="00240B9C"/>
    <w:rsid w:val="00241FBF"/>
    <w:rsid w:val="00243067"/>
    <w:rsid w:val="0024664C"/>
    <w:rsid w:val="002535CC"/>
    <w:rsid w:val="00273755"/>
    <w:rsid w:val="00274334"/>
    <w:rsid w:val="00277294"/>
    <w:rsid w:val="00284BEE"/>
    <w:rsid w:val="0029442B"/>
    <w:rsid w:val="00295118"/>
    <w:rsid w:val="00295226"/>
    <w:rsid w:val="0029706E"/>
    <w:rsid w:val="00297ED5"/>
    <w:rsid w:val="002A03A6"/>
    <w:rsid w:val="002A14FA"/>
    <w:rsid w:val="002A5C3E"/>
    <w:rsid w:val="002B10AF"/>
    <w:rsid w:val="002B168C"/>
    <w:rsid w:val="002B5D9C"/>
    <w:rsid w:val="002C52C0"/>
    <w:rsid w:val="002D369B"/>
    <w:rsid w:val="002D487F"/>
    <w:rsid w:val="002D5E50"/>
    <w:rsid w:val="002E35F9"/>
    <w:rsid w:val="002E78AB"/>
    <w:rsid w:val="002F3F77"/>
    <w:rsid w:val="002F484F"/>
    <w:rsid w:val="002F5975"/>
    <w:rsid w:val="002F5C59"/>
    <w:rsid w:val="00300B1F"/>
    <w:rsid w:val="00301E44"/>
    <w:rsid w:val="00304F1E"/>
    <w:rsid w:val="003070D5"/>
    <w:rsid w:val="0031124E"/>
    <w:rsid w:val="00312BE9"/>
    <w:rsid w:val="00320A72"/>
    <w:rsid w:val="003232BC"/>
    <w:rsid w:val="00325921"/>
    <w:rsid w:val="00327358"/>
    <w:rsid w:val="00327E4B"/>
    <w:rsid w:val="00336624"/>
    <w:rsid w:val="00337945"/>
    <w:rsid w:val="00337CCB"/>
    <w:rsid w:val="00341DD9"/>
    <w:rsid w:val="0034246F"/>
    <w:rsid w:val="00343346"/>
    <w:rsid w:val="003463A1"/>
    <w:rsid w:val="00351236"/>
    <w:rsid w:val="00352FFE"/>
    <w:rsid w:val="0035429E"/>
    <w:rsid w:val="00357415"/>
    <w:rsid w:val="00357474"/>
    <w:rsid w:val="00361EB6"/>
    <w:rsid w:val="00362E13"/>
    <w:rsid w:val="003642E7"/>
    <w:rsid w:val="003669B3"/>
    <w:rsid w:val="00367B64"/>
    <w:rsid w:val="00371E5E"/>
    <w:rsid w:val="00372687"/>
    <w:rsid w:val="003733AC"/>
    <w:rsid w:val="003740F3"/>
    <w:rsid w:val="00376639"/>
    <w:rsid w:val="00376EB6"/>
    <w:rsid w:val="003773E8"/>
    <w:rsid w:val="00381A78"/>
    <w:rsid w:val="00381B55"/>
    <w:rsid w:val="0038228E"/>
    <w:rsid w:val="00385E9C"/>
    <w:rsid w:val="00390744"/>
    <w:rsid w:val="003935B8"/>
    <w:rsid w:val="003966D3"/>
    <w:rsid w:val="00396A46"/>
    <w:rsid w:val="00396E87"/>
    <w:rsid w:val="003A3329"/>
    <w:rsid w:val="003A3C32"/>
    <w:rsid w:val="003A5166"/>
    <w:rsid w:val="003A59A0"/>
    <w:rsid w:val="003A78EB"/>
    <w:rsid w:val="003B087C"/>
    <w:rsid w:val="003B1801"/>
    <w:rsid w:val="003C092F"/>
    <w:rsid w:val="003C12DA"/>
    <w:rsid w:val="003C42A3"/>
    <w:rsid w:val="003D5792"/>
    <w:rsid w:val="003E0E98"/>
    <w:rsid w:val="003E29FE"/>
    <w:rsid w:val="003F3484"/>
    <w:rsid w:val="003F4825"/>
    <w:rsid w:val="003F6395"/>
    <w:rsid w:val="003F723B"/>
    <w:rsid w:val="0040679D"/>
    <w:rsid w:val="00411462"/>
    <w:rsid w:val="00412499"/>
    <w:rsid w:val="00414E78"/>
    <w:rsid w:val="0042284E"/>
    <w:rsid w:val="00432501"/>
    <w:rsid w:val="00432BD4"/>
    <w:rsid w:val="0043454D"/>
    <w:rsid w:val="004360E3"/>
    <w:rsid w:val="00440080"/>
    <w:rsid w:val="004409EA"/>
    <w:rsid w:val="00441113"/>
    <w:rsid w:val="00454320"/>
    <w:rsid w:val="00455EC6"/>
    <w:rsid w:val="00457F7B"/>
    <w:rsid w:val="00460951"/>
    <w:rsid w:val="004662FA"/>
    <w:rsid w:val="004669C4"/>
    <w:rsid w:val="004700CE"/>
    <w:rsid w:val="004707DE"/>
    <w:rsid w:val="004710D5"/>
    <w:rsid w:val="00474B67"/>
    <w:rsid w:val="00476C34"/>
    <w:rsid w:val="00483358"/>
    <w:rsid w:val="0049331B"/>
    <w:rsid w:val="0049433B"/>
    <w:rsid w:val="00497A9C"/>
    <w:rsid w:val="004A1D7E"/>
    <w:rsid w:val="004A785A"/>
    <w:rsid w:val="004B2F79"/>
    <w:rsid w:val="004B393F"/>
    <w:rsid w:val="004B575F"/>
    <w:rsid w:val="004B6753"/>
    <w:rsid w:val="004C0324"/>
    <w:rsid w:val="004C12EB"/>
    <w:rsid w:val="004C22E7"/>
    <w:rsid w:val="004C2DB1"/>
    <w:rsid w:val="004D18D0"/>
    <w:rsid w:val="004D1D81"/>
    <w:rsid w:val="004E3D18"/>
    <w:rsid w:val="004E512A"/>
    <w:rsid w:val="004E5EB5"/>
    <w:rsid w:val="004F3559"/>
    <w:rsid w:val="005045B4"/>
    <w:rsid w:val="0050544E"/>
    <w:rsid w:val="005068FF"/>
    <w:rsid w:val="00506949"/>
    <w:rsid w:val="005079D3"/>
    <w:rsid w:val="00510D96"/>
    <w:rsid w:val="00514C05"/>
    <w:rsid w:val="0053189A"/>
    <w:rsid w:val="00541665"/>
    <w:rsid w:val="00541C77"/>
    <w:rsid w:val="00544B65"/>
    <w:rsid w:val="00551E86"/>
    <w:rsid w:val="00553027"/>
    <w:rsid w:val="005626EE"/>
    <w:rsid w:val="005666DD"/>
    <w:rsid w:val="0057035A"/>
    <w:rsid w:val="00575C85"/>
    <w:rsid w:val="00577CC0"/>
    <w:rsid w:val="005838F9"/>
    <w:rsid w:val="00587F0D"/>
    <w:rsid w:val="00592B85"/>
    <w:rsid w:val="00596024"/>
    <w:rsid w:val="005961AE"/>
    <w:rsid w:val="00596A49"/>
    <w:rsid w:val="005A449B"/>
    <w:rsid w:val="005C05BC"/>
    <w:rsid w:val="005C12AA"/>
    <w:rsid w:val="005C52F8"/>
    <w:rsid w:val="005D0E88"/>
    <w:rsid w:val="005D1FC2"/>
    <w:rsid w:val="005D59E5"/>
    <w:rsid w:val="005D64A6"/>
    <w:rsid w:val="005D758C"/>
    <w:rsid w:val="005E5A28"/>
    <w:rsid w:val="005F1C70"/>
    <w:rsid w:val="005F2F7A"/>
    <w:rsid w:val="005F35EA"/>
    <w:rsid w:val="005F3BA6"/>
    <w:rsid w:val="005F676B"/>
    <w:rsid w:val="005F68CE"/>
    <w:rsid w:val="006013E6"/>
    <w:rsid w:val="006040C2"/>
    <w:rsid w:val="00604867"/>
    <w:rsid w:val="006077F4"/>
    <w:rsid w:val="00607A66"/>
    <w:rsid w:val="00610789"/>
    <w:rsid w:val="006108B1"/>
    <w:rsid w:val="00615140"/>
    <w:rsid w:val="00620073"/>
    <w:rsid w:val="00623151"/>
    <w:rsid w:val="00623DDD"/>
    <w:rsid w:val="00624211"/>
    <w:rsid w:val="00624555"/>
    <w:rsid w:val="006254C2"/>
    <w:rsid w:val="00626462"/>
    <w:rsid w:val="0063235D"/>
    <w:rsid w:val="006336BE"/>
    <w:rsid w:val="00640C6D"/>
    <w:rsid w:val="00640C88"/>
    <w:rsid w:val="00640E37"/>
    <w:rsid w:val="00641D26"/>
    <w:rsid w:val="00643676"/>
    <w:rsid w:val="00645BFE"/>
    <w:rsid w:val="00646876"/>
    <w:rsid w:val="00647842"/>
    <w:rsid w:val="00654BDF"/>
    <w:rsid w:val="00654FF4"/>
    <w:rsid w:val="0066653B"/>
    <w:rsid w:val="00671444"/>
    <w:rsid w:val="00673743"/>
    <w:rsid w:val="00680608"/>
    <w:rsid w:val="006807C6"/>
    <w:rsid w:val="006807E4"/>
    <w:rsid w:val="006842B9"/>
    <w:rsid w:val="00685703"/>
    <w:rsid w:val="006922E5"/>
    <w:rsid w:val="00694AA5"/>
    <w:rsid w:val="00694C92"/>
    <w:rsid w:val="00696912"/>
    <w:rsid w:val="006B0D97"/>
    <w:rsid w:val="006B23B6"/>
    <w:rsid w:val="006B48A5"/>
    <w:rsid w:val="006C0460"/>
    <w:rsid w:val="006C3C50"/>
    <w:rsid w:val="006C3C90"/>
    <w:rsid w:val="006C5CBF"/>
    <w:rsid w:val="006C65F3"/>
    <w:rsid w:val="006C6B80"/>
    <w:rsid w:val="006C7C15"/>
    <w:rsid w:val="006C7FCA"/>
    <w:rsid w:val="006D0DE8"/>
    <w:rsid w:val="006D1B33"/>
    <w:rsid w:val="006D1DF7"/>
    <w:rsid w:val="006D20A7"/>
    <w:rsid w:val="006D25D7"/>
    <w:rsid w:val="006D4001"/>
    <w:rsid w:val="006D61C0"/>
    <w:rsid w:val="006D66A4"/>
    <w:rsid w:val="006D7B3E"/>
    <w:rsid w:val="006E022C"/>
    <w:rsid w:val="006E461A"/>
    <w:rsid w:val="006E47AF"/>
    <w:rsid w:val="006F0370"/>
    <w:rsid w:val="006F0BB2"/>
    <w:rsid w:val="006F65C4"/>
    <w:rsid w:val="006F68AE"/>
    <w:rsid w:val="00701FD8"/>
    <w:rsid w:val="00703944"/>
    <w:rsid w:val="00704B42"/>
    <w:rsid w:val="00706235"/>
    <w:rsid w:val="00706B94"/>
    <w:rsid w:val="00707237"/>
    <w:rsid w:val="0071469A"/>
    <w:rsid w:val="0071562C"/>
    <w:rsid w:val="00716F6D"/>
    <w:rsid w:val="00717F78"/>
    <w:rsid w:val="0072138C"/>
    <w:rsid w:val="00721DAD"/>
    <w:rsid w:val="00722F2D"/>
    <w:rsid w:val="0072337D"/>
    <w:rsid w:val="00723A18"/>
    <w:rsid w:val="00726AB5"/>
    <w:rsid w:val="00730D7D"/>
    <w:rsid w:val="007311C2"/>
    <w:rsid w:val="00734128"/>
    <w:rsid w:val="00735FD3"/>
    <w:rsid w:val="00741019"/>
    <w:rsid w:val="00746954"/>
    <w:rsid w:val="00750E7D"/>
    <w:rsid w:val="007512CE"/>
    <w:rsid w:val="0075462B"/>
    <w:rsid w:val="00761399"/>
    <w:rsid w:val="007619EA"/>
    <w:rsid w:val="00762F56"/>
    <w:rsid w:val="0076337F"/>
    <w:rsid w:val="00763F15"/>
    <w:rsid w:val="00764DF5"/>
    <w:rsid w:val="00765CC3"/>
    <w:rsid w:val="00771CF5"/>
    <w:rsid w:val="007739E6"/>
    <w:rsid w:val="00775FDA"/>
    <w:rsid w:val="007771C9"/>
    <w:rsid w:val="00780E9A"/>
    <w:rsid w:val="00781C86"/>
    <w:rsid w:val="0078431A"/>
    <w:rsid w:val="00787600"/>
    <w:rsid w:val="007922C5"/>
    <w:rsid w:val="007965CB"/>
    <w:rsid w:val="007A06DF"/>
    <w:rsid w:val="007A070B"/>
    <w:rsid w:val="007A081F"/>
    <w:rsid w:val="007A1A03"/>
    <w:rsid w:val="007A2148"/>
    <w:rsid w:val="007A3498"/>
    <w:rsid w:val="007A436E"/>
    <w:rsid w:val="007B05DC"/>
    <w:rsid w:val="007B1BDC"/>
    <w:rsid w:val="007B5B20"/>
    <w:rsid w:val="007B611D"/>
    <w:rsid w:val="007C28EE"/>
    <w:rsid w:val="007C3381"/>
    <w:rsid w:val="007C61AC"/>
    <w:rsid w:val="007D59E4"/>
    <w:rsid w:val="007D6590"/>
    <w:rsid w:val="007E09AD"/>
    <w:rsid w:val="007E15C9"/>
    <w:rsid w:val="007F05D5"/>
    <w:rsid w:val="007F29B4"/>
    <w:rsid w:val="007F677F"/>
    <w:rsid w:val="007F7AF6"/>
    <w:rsid w:val="0080161E"/>
    <w:rsid w:val="008016D9"/>
    <w:rsid w:val="00811F52"/>
    <w:rsid w:val="0081264B"/>
    <w:rsid w:val="008166B7"/>
    <w:rsid w:val="00817904"/>
    <w:rsid w:val="008301CC"/>
    <w:rsid w:val="008349DC"/>
    <w:rsid w:val="008403AD"/>
    <w:rsid w:val="008424A0"/>
    <w:rsid w:val="00843BE7"/>
    <w:rsid w:val="0084442A"/>
    <w:rsid w:val="008453FB"/>
    <w:rsid w:val="00845E64"/>
    <w:rsid w:val="00855904"/>
    <w:rsid w:val="00856E16"/>
    <w:rsid w:val="00860128"/>
    <w:rsid w:val="00860830"/>
    <w:rsid w:val="00866F33"/>
    <w:rsid w:val="00873720"/>
    <w:rsid w:val="00875239"/>
    <w:rsid w:val="00875375"/>
    <w:rsid w:val="008829BC"/>
    <w:rsid w:val="00883512"/>
    <w:rsid w:val="0088497A"/>
    <w:rsid w:val="00885E70"/>
    <w:rsid w:val="008870C6"/>
    <w:rsid w:val="00887563"/>
    <w:rsid w:val="0089059C"/>
    <w:rsid w:val="0089111A"/>
    <w:rsid w:val="00891634"/>
    <w:rsid w:val="00891A46"/>
    <w:rsid w:val="00894B9F"/>
    <w:rsid w:val="00897DE2"/>
    <w:rsid w:val="008A24D1"/>
    <w:rsid w:val="008A49DF"/>
    <w:rsid w:val="008A676B"/>
    <w:rsid w:val="008A774C"/>
    <w:rsid w:val="008B0475"/>
    <w:rsid w:val="008B2F4B"/>
    <w:rsid w:val="008B5A41"/>
    <w:rsid w:val="008B635D"/>
    <w:rsid w:val="008B72E4"/>
    <w:rsid w:val="008C059A"/>
    <w:rsid w:val="008C2BE3"/>
    <w:rsid w:val="008D1ADC"/>
    <w:rsid w:val="008D1C46"/>
    <w:rsid w:val="008D67DE"/>
    <w:rsid w:val="008E0FC7"/>
    <w:rsid w:val="008E1829"/>
    <w:rsid w:val="008E19A9"/>
    <w:rsid w:val="008E2DD8"/>
    <w:rsid w:val="008F0885"/>
    <w:rsid w:val="008F1D1F"/>
    <w:rsid w:val="008F1F44"/>
    <w:rsid w:val="008F3158"/>
    <w:rsid w:val="008F3C07"/>
    <w:rsid w:val="008F3EFA"/>
    <w:rsid w:val="008F7654"/>
    <w:rsid w:val="0090230F"/>
    <w:rsid w:val="00902C77"/>
    <w:rsid w:val="00903589"/>
    <w:rsid w:val="00905695"/>
    <w:rsid w:val="00913D3D"/>
    <w:rsid w:val="00920C92"/>
    <w:rsid w:val="009229E3"/>
    <w:rsid w:val="00922A43"/>
    <w:rsid w:val="009231AC"/>
    <w:rsid w:val="009267F7"/>
    <w:rsid w:val="00931DE8"/>
    <w:rsid w:val="00932685"/>
    <w:rsid w:val="00935704"/>
    <w:rsid w:val="00940B01"/>
    <w:rsid w:val="00941A61"/>
    <w:rsid w:val="0094408B"/>
    <w:rsid w:val="00951384"/>
    <w:rsid w:val="0095458B"/>
    <w:rsid w:val="00957523"/>
    <w:rsid w:val="00964000"/>
    <w:rsid w:val="009710FC"/>
    <w:rsid w:val="00972DD8"/>
    <w:rsid w:val="009767FB"/>
    <w:rsid w:val="00977564"/>
    <w:rsid w:val="0098154E"/>
    <w:rsid w:val="009928D1"/>
    <w:rsid w:val="0099416D"/>
    <w:rsid w:val="009953EE"/>
    <w:rsid w:val="00997093"/>
    <w:rsid w:val="009A0620"/>
    <w:rsid w:val="009A3BDF"/>
    <w:rsid w:val="009A7598"/>
    <w:rsid w:val="009B0309"/>
    <w:rsid w:val="009B6C51"/>
    <w:rsid w:val="009C3251"/>
    <w:rsid w:val="009C3ADD"/>
    <w:rsid w:val="009D2D3C"/>
    <w:rsid w:val="009D3158"/>
    <w:rsid w:val="009E0D1A"/>
    <w:rsid w:val="009E40FC"/>
    <w:rsid w:val="009E4A4E"/>
    <w:rsid w:val="009F2098"/>
    <w:rsid w:val="009F77BC"/>
    <w:rsid w:val="00A0760D"/>
    <w:rsid w:val="00A11134"/>
    <w:rsid w:val="00A148B2"/>
    <w:rsid w:val="00A1629D"/>
    <w:rsid w:val="00A17618"/>
    <w:rsid w:val="00A20B8C"/>
    <w:rsid w:val="00A222B2"/>
    <w:rsid w:val="00A35C20"/>
    <w:rsid w:val="00A4374E"/>
    <w:rsid w:val="00A43BBE"/>
    <w:rsid w:val="00A4483E"/>
    <w:rsid w:val="00A45357"/>
    <w:rsid w:val="00A4761D"/>
    <w:rsid w:val="00A47C31"/>
    <w:rsid w:val="00A5487A"/>
    <w:rsid w:val="00A56AAA"/>
    <w:rsid w:val="00A5790C"/>
    <w:rsid w:val="00A57970"/>
    <w:rsid w:val="00A57C4E"/>
    <w:rsid w:val="00A679C4"/>
    <w:rsid w:val="00A73121"/>
    <w:rsid w:val="00A737F2"/>
    <w:rsid w:val="00A76039"/>
    <w:rsid w:val="00A7674D"/>
    <w:rsid w:val="00A858D8"/>
    <w:rsid w:val="00A872A7"/>
    <w:rsid w:val="00A87DD1"/>
    <w:rsid w:val="00A9147F"/>
    <w:rsid w:val="00A93E14"/>
    <w:rsid w:val="00AA114C"/>
    <w:rsid w:val="00AA1EE3"/>
    <w:rsid w:val="00AA3226"/>
    <w:rsid w:val="00AA44FC"/>
    <w:rsid w:val="00AA57DB"/>
    <w:rsid w:val="00AB07B0"/>
    <w:rsid w:val="00AB37F9"/>
    <w:rsid w:val="00AB457F"/>
    <w:rsid w:val="00AB7A60"/>
    <w:rsid w:val="00AC1548"/>
    <w:rsid w:val="00AC1F61"/>
    <w:rsid w:val="00AD23AB"/>
    <w:rsid w:val="00AD2420"/>
    <w:rsid w:val="00AD6D18"/>
    <w:rsid w:val="00AE2751"/>
    <w:rsid w:val="00AE6D82"/>
    <w:rsid w:val="00AF04B8"/>
    <w:rsid w:val="00AF120C"/>
    <w:rsid w:val="00AF26CA"/>
    <w:rsid w:val="00AF2CB7"/>
    <w:rsid w:val="00AF68C8"/>
    <w:rsid w:val="00B01D67"/>
    <w:rsid w:val="00B024A4"/>
    <w:rsid w:val="00B05049"/>
    <w:rsid w:val="00B07D12"/>
    <w:rsid w:val="00B15867"/>
    <w:rsid w:val="00B17DF2"/>
    <w:rsid w:val="00B22C99"/>
    <w:rsid w:val="00B236B7"/>
    <w:rsid w:val="00B24FB0"/>
    <w:rsid w:val="00B250D6"/>
    <w:rsid w:val="00B2669D"/>
    <w:rsid w:val="00B27BB0"/>
    <w:rsid w:val="00B305D7"/>
    <w:rsid w:val="00B34173"/>
    <w:rsid w:val="00B40945"/>
    <w:rsid w:val="00B40D20"/>
    <w:rsid w:val="00B4143D"/>
    <w:rsid w:val="00B449BF"/>
    <w:rsid w:val="00B45E56"/>
    <w:rsid w:val="00B54580"/>
    <w:rsid w:val="00B573D8"/>
    <w:rsid w:val="00B602CC"/>
    <w:rsid w:val="00B708DE"/>
    <w:rsid w:val="00B70DAE"/>
    <w:rsid w:val="00B70E34"/>
    <w:rsid w:val="00B71B32"/>
    <w:rsid w:val="00B73123"/>
    <w:rsid w:val="00B755E7"/>
    <w:rsid w:val="00B760B1"/>
    <w:rsid w:val="00B760ED"/>
    <w:rsid w:val="00B776B7"/>
    <w:rsid w:val="00B77A99"/>
    <w:rsid w:val="00B818CE"/>
    <w:rsid w:val="00B81CA0"/>
    <w:rsid w:val="00B9205F"/>
    <w:rsid w:val="00B954D3"/>
    <w:rsid w:val="00B95F1F"/>
    <w:rsid w:val="00B96368"/>
    <w:rsid w:val="00BA131F"/>
    <w:rsid w:val="00BA4DB2"/>
    <w:rsid w:val="00BB1548"/>
    <w:rsid w:val="00BB28EF"/>
    <w:rsid w:val="00BB5927"/>
    <w:rsid w:val="00BB67EC"/>
    <w:rsid w:val="00BB75D6"/>
    <w:rsid w:val="00BC2BF0"/>
    <w:rsid w:val="00BD30C2"/>
    <w:rsid w:val="00BD62E9"/>
    <w:rsid w:val="00BD6EB6"/>
    <w:rsid w:val="00BE2DFF"/>
    <w:rsid w:val="00BE4F76"/>
    <w:rsid w:val="00BE6B4E"/>
    <w:rsid w:val="00BE7796"/>
    <w:rsid w:val="00BF1157"/>
    <w:rsid w:val="00BF2D8F"/>
    <w:rsid w:val="00BF4027"/>
    <w:rsid w:val="00BF629A"/>
    <w:rsid w:val="00BF7C6B"/>
    <w:rsid w:val="00C00D9F"/>
    <w:rsid w:val="00C01455"/>
    <w:rsid w:val="00C03B6A"/>
    <w:rsid w:val="00C048CC"/>
    <w:rsid w:val="00C05476"/>
    <w:rsid w:val="00C10599"/>
    <w:rsid w:val="00C12566"/>
    <w:rsid w:val="00C137EF"/>
    <w:rsid w:val="00C2016F"/>
    <w:rsid w:val="00C329FC"/>
    <w:rsid w:val="00C33173"/>
    <w:rsid w:val="00C43324"/>
    <w:rsid w:val="00C45D06"/>
    <w:rsid w:val="00C4658A"/>
    <w:rsid w:val="00C5335C"/>
    <w:rsid w:val="00C5357C"/>
    <w:rsid w:val="00C54470"/>
    <w:rsid w:val="00C553A9"/>
    <w:rsid w:val="00C636D5"/>
    <w:rsid w:val="00C63CFF"/>
    <w:rsid w:val="00C66975"/>
    <w:rsid w:val="00C71875"/>
    <w:rsid w:val="00C72993"/>
    <w:rsid w:val="00C7349F"/>
    <w:rsid w:val="00C8170C"/>
    <w:rsid w:val="00C86284"/>
    <w:rsid w:val="00C87FE4"/>
    <w:rsid w:val="00C93709"/>
    <w:rsid w:val="00C96AC5"/>
    <w:rsid w:val="00CA3036"/>
    <w:rsid w:val="00CA5703"/>
    <w:rsid w:val="00CA7C19"/>
    <w:rsid w:val="00CB6968"/>
    <w:rsid w:val="00CB7288"/>
    <w:rsid w:val="00CC0166"/>
    <w:rsid w:val="00CC0FBD"/>
    <w:rsid w:val="00CC333A"/>
    <w:rsid w:val="00CC515C"/>
    <w:rsid w:val="00CC761B"/>
    <w:rsid w:val="00CC7F5E"/>
    <w:rsid w:val="00CD7BA5"/>
    <w:rsid w:val="00CE0399"/>
    <w:rsid w:val="00CE2747"/>
    <w:rsid w:val="00CE408E"/>
    <w:rsid w:val="00CF2145"/>
    <w:rsid w:val="00CF7E9A"/>
    <w:rsid w:val="00D0115F"/>
    <w:rsid w:val="00D02E53"/>
    <w:rsid w:val="00D030ED"/>
    <w:rsid w:val="00D03658"/>
    <w:rsid w:val="00D0437D"/>
    <w:rsid w:val="00D046D4"/>
    <w:rsid w:val="00D1146E"/>
    <w:rsid w:val="00D11E1F"/>
    <w:rsid w:val="00D13F28"/>
    <w:rsid w:val="00D16728"/>
    <w:rsid w:val="00D21B8A"/>
    <w:rsid w:val="00D3238B"/>
    <w:rsid w:val="00D45653"/>
    <w:rsid w:val="00D45691"/>
    <w:rsid w:val="00D47C7B"/>
    <w:rsid w:val="00D52A2C"/>
    <w:rsid w:val="00D603E2"/>
    <w:rsid w:val="00D6535C"/>
    <w:rsid w:val="00D65BFF"/>
    <w:rsid w:val="00D67818"/>
    <w:rsid w:val="00D70608"/>
    <w:rsid w:val="00D70D53"/>
    <w:rsid w:val="00D72226"/>
    <w:rsid w:val="00D73B13"/>
    <w:rsid w:val="00D76278"/>
    <w:rsid w:val="00D76BA4"/>
    <w:rsid w:val="00D8028E"/>
    <w:rsid w:val="00D85440"/>
    <w:rsid w:val="00D8619F"/>
    <w:rsid w:val="00D93BDB"/>
    <w:rsid w:val="00D94394"/>
    <w:rsid w:val="00D9522B"/>
    <w:rsid w:val="00DA0DBD"/>
    <w:rsid w:val="00DA303A"/>
    <w:rsid w:val="00DA4EF9"/>
    <w:rsid w:val="00DA638E"/>
    <w:rsid w:val="00DB1A42"/>
    <w:rsid w:val="00DB7F02"/>
    <w:rsid w:val="00DC6BE7"/>
    <w:rsid w:val="00DC6FE4"/>
    <w:rsid w:val="00DD0C54"/>
    <w:rsid w:val="00DD2A66"/>
    <w:rsid w:val="00DD2D9F"/>
    <w:rsid w:val="00DE1DEB"/>
    <w:rsid w:val="00DE3DB8"/>
    <w:rsid w:val="00DE406E"/>
    <w:rsid w:val="00DE49E5"/>
    <w:rsid w:val="00DE5026"/>
    <w:rsid w:val="00DE5AF2"/>
    <w:rsid w:val="00DF36DD"/>
    <w:rsid w:val="00DF6C90"/>
    <w:rsid w:val="00E00BFB"/>
    <w:rsid w:val="00E070E5"/>
    <w:rsid w:val="00E1052F"/>
    <w:rsid w:val="00E116C9"/>
    <w:rsid w:val="00E11AC9"/>
    <w:rsid w:val="00E23E91"/>
    <w:rsid w:val="00E26DD3"/>
    <w:rsid w:val="00E27CCA"/>
    <w:rsid w:val="00E3065F"/>
    <w:rsid w:val="00E3069E"/>
    <w:rsid w:val="00E344CC"/>
    <w:rsid w:val="00E40749"/>
    <w:rsid w:val="00E42371"/>
    <w:rsid w:val="00E435FC"/>
    <w:rsid w:val="00E5149B"/>
    <w:rsid w:val="00E516B3"/>
    <w:rsid w:val="00E53419"/>
    <w:rsid w:val="00E641DE"/>
    <w:rsid w:val="00E64238"/>
    <w:rsid w:val="00E65230"/>
    <w:rsid w:val="00E7124A"/>
    <w:rsid w:val="00E74D14"/>
    <w:rsid w:val="00E75F0E"/>
    <w:rsid w:val="00E81F8B"/>
    <w:rsid w:val="00E848AA"/>
    <w:rsid w:val="00E93BDB"/>
    <w:rsid w:val="00EA03D9"/>
    <w:rsid w:val="00EA1356"/>
    <w:rsid w:val="00EA1690"/>
    <w:rsid w:val="00EA289E"/>
    <w:rsid w:val="00EA5DA8"/>
    <w:rsid w:val="00EA76AD"/>
    <w:rsid w:val="00EB2F5C"/>
    <w:rsid w:val="00EB4051"/>
    <w:rsid w:val="00EC0A87"/>
    <w:rsid w:val="00EC3D40"/>
    <w:rsid w:val="00EC5660"/>
    <w:rsid w:val="00EC58A1"/>
    <w:rsid w:val="00ED2609"/>
    <w:rsid w:val="00ED3550"/>
    <w:rsid w:val="00ED36B7"/>
    <w:rsid w:val="00ED7211"/>
    <w:rsid w:val="00EE1679"/>
    <w:rsid w:val="00EE30D2"/>
    <w:rsid w:val="00EE4503"/>
    <w:rsid w:val="00EE4F7F"/>
    <w:rsid w:val="00EE5287"/>
    <w:rsid w:val="00EE589C"/>
    <w:rsid w:val="00EE6B70"/>
    <w:rsid w:val="00EF3678"/>
    <w:rsid w:val="00EF6F85"/>
    <w:rsid w:val="00EF7CF1"/>
    <w:rsid w:val="00F0201C"/>
    <w:rsid w:val="00F050E9"/>
    <w:rsid w:val="00F05EF6"/>
    <w:rsid w:val="00F07B77"/>
    <w:rsid w:val="00F146A1"/>
    <w:rsid w:val="00F2001B"/>
    <w:rsid w:val="00F27421"/>
    <w:rsid w:val="00F3104B"/>
    <w:rsid w:val="00F35211"/>
    <w:rsid w:val="00F371F1"/>
    <w:rsid w:val="00F42609"/>
    <w:rsid w:val="00F4393F"/>
    <w:rsid w:val="00F50960"/>
    <w:rsid w:val="00F524D4"/>
    <w:rsid w:val="00F56985"/>
    <w:rsid w:val="00F57F41"/>
    <w:rsid w:val="00F6699B"/>
    <w:rsid w:val="00F672E4"/>
    <w:rsid w:val="00F8023F"/>
    <w:rsid w:val="00F86019"/>
    <w:rsid w:val="00F939A0"/>
    <w:rsid w:val="00F93D73"/>
    <w:rsid w:val="00F94EA9"/>
    <w:rsid w:val="00F954D4"/>
    <w:rsid w:val="00F96DA1"/>
    <w:rsid w:val="00FA50D3"/>
    <w:rsid w:val="00FA719D"/>
    <w:rsid w:val="00FB1748"/>
    <w:rsid w:val="00FB207B"/>
    <w:rsid w:val="00FB27B8"/>
    <w:rsid w:val="00FB45B0"/>
    <w:rsid w:val="00FB6CC4"/>
    <w:rsid w:val="00FB7ACA"/>
    <w:rsid w:val="00FC013C"/>
    <w:rsid w:val="00FC12F4"/>
    <w:rsid w:val="00FC252A"/>
    <w:rsid w:val="00FC7DFA"/>
    <w:rsid w:val="00FC7ECF"/>
    <w:rsid w:val="00FD048D"/>
    <w:rsid w:val="00FE051B"/>
    <w:rsid w:val="00FE6368"/>
    <w:rsid w:val="00FF539A"/>
    <w:rsid w:val="00FF68A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5505"/>
    <o:shapelayout v:ext="edit">
      <o:idmap v:ext="edit" data="1"/>
    </o:shapelayout>
  </w:shapeDefaults>
  <w:decimalSymbol w:val="."/>
  <w:listSeparator w:val=","/>
  <w14:docId w14:val="0B955E7E"/>
  <w15:docId w15:val="{301AB3B5-B993-4808-8599-324691F4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zh-TW" w:bidi="ar-SA"/>
      </w:rPr>
    </w:rPrDefault>
    <w:pPrDefault/>
  </w:docDefaults>
  <w:latentStyles w:defLockedState="0" w:defUIPriority="98"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2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30"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atentStyles>
  <w:style w:type="paragraph" w:default="1" w:styleId="Normal">
    <w:name w:val="Normal"/>
    <w:uiPriority w:val="98"/>
    <w:rsid w:val="004914F6"/>
    <w:rPr>
      <w:rFonts w:asciiTheme="minorHAnsi" w:eastAsiaTheme="minorEastAsia" w:hAnsiTheme="minorHAnsi"/>
    </w:rPr>
  </w:style>
  <w:style w:type="paragraph" w:styleId="Heading1">
    <w:name w:val="heading 1"/>
    <w:basedOn w:val="Normal"/>
    <w:next w:val="Normal"/>
    <w:link w:val="Heading1Char"/>
    <w:uiPriority w:val="98"/>
    <w:rsid w:val="005305D4"/>
    <w:pPr>
      <w:keepNext/>
      <w:numPr>
        <w:numId w:val="13"/>
      </w:numPr>
      <w:spacing w:before="240" w:after="60"/>
      <w:outlineLvl w:val="0"/>
    </w:pPr>
    <w:rPr>
      <w:rFonts w:cs="Arial"/>
      <w:b/>
      <w:bCs/>
      <w:kern w:val="32"/>
      <w:sz w:val="32"/>
      <w:szCs w:val="32"/>
    </w:rPr>
  </w:style>
  <w:style w:type="paragraph" w:styleId="Heading2">
    <w:name w:val="heading 2"/>
    <w:basedOn w:val="Normal"/>
    <w:next w:val="Normal"/>
    <w:link w:val="Heading2Char"/>
    <w:uiPriority w:val="98"/>
    <w:rsid w:val="005305D4"/>
    <w:pPr>
      <w:keepNext/>
      <w:numPr>
        <w:ilvl w:val="1"/>
        <w:numId w:val="13"/>
      </w:numPr>
      <w:spacing w:before="240" w:after="60"/>
      <w:outlineLvl w:val="1"/>
    </w:pPr>
    <w:rPr>
      <w:rFonts w:cs="Arial"/>
      <w:b/>
      <w:bCs/>
      <w:i/>
      <w:iCs/>
      <w:sz w:val="28"/>
      <w:szCs w:val="28"/>
    </w:rPr>
  </w:style>
  <w:style w:type="paragraph" w:styleId="Heading3">
    <w:name w:val="heading 3"/>
    <w:basedOn w:val="Normal"/>
    <w:next w:val="Normal"/>
    <w:link w:val="Heading3Char"/>
    <w:uiPriority w:val="98"/>
    <w:rsid w:val="005305D4"/>
    <w:pPr>
      <w:keepNext/>
      <w:numPr>
        <w:ilvl w:val="2"/>
        <w:numId w:val="13"/>
      </w:numPr>
      <w:spacing w:before="240" w:after="60"/>
      <w:outlineLvl w:val="2"/>
    </w:pPr>
    <w:rPr>
      <w:rFonts w:cs="Arial"/>
      <w:b/>
      <w:bCs/>
      <w:sz w:val="26"/>
      <w:szCs w:val="26"/>
    </w:rPr>
  </w:style>
  <w:style w:type="paragraph" w:styleId="Heading4">
    <w:name w:val="heading 4"/>
    <w:basedOn w:val="Normal"/>
    <w:next w:val="Normal"/>
    <w:link w:val="Heading4Char"/>
    <w:uiPriority w:val="98"/>
    <w:rsid w:val="005305D4"/>
    <w:pPr>
      <w:keepNext/>
      <w:numPr>
        <w:ilvl w:val="3"/>
        <w:numId w:val="13"/>
      </w:numPr>
      <w:spacing w:before="240" w:after="60"/>
      <w:outlineLvl w:val="3"/>
    </w:pPr>
    <w:rPr>
      <w:b/>
      <w:bCs/>
      <w:sz w:val="28"/>
      <w:szCs w:val="28"/>
    </w:rPr>
  </w:style>
  <w:style w:type="paragraph" w:styleId="Heading5">
    <w:name w:val="heading 5"/>
    <w:basedOn w:val="Normal"/>
    <w:next w:val="Normal"/>
    <w:link w:val="Heading5Char"/>
    <w:uiPriority w:val="98"/>
    <w:rsid w:val="005305D4"/>
    <w:pPr>
      <w:numPr>
        <w:ilvl w:val="4"/>
        <w:numId w:val="13"/>
      </w:numPr>
      <w:spacing w:before="240" w:after="60"/>
      <w:outlineLvl w:val="4"/>
    </w:pPr>
    <w:rPr>
      <w:b/>
      <w:bCs/>
      <w:i/>
      <w:iCs/>
      <w:sz w:val="26"/>
      <w:szCs w:val="26"/>
    </w:rPr>
  </w:style>
  <w:style w:type="paragraph" w:styleId="Heading6">
    <w:name w:val="heading 6"/>
    <w:basedOn w:val="Normal"/>
    <w:next w:val="Normal"/>
    <w:link w:val="Heading6Char"/>
    <w:uiPriority w:val="98"/>
    <w:rsid w:val="005305D4"/>
    <w:pPr>
      <w:numPr>
        <w:ilvl w:val="5"/>
        <w:numId w:val="13"/>
      </w:numPr>
      <w:spacing w:before="240" w:after="60"/>
      <w:outlineLvl w:val="5"/>
    </w:pPr>
    <w:rPr>
      <w:b/>
      <w:bCs/>
      <w:sz w:val="22"/>
      <w:szCs w:val="22"/>
    </w:rPr>
  </w:style>
  <w:style w:type="paragraph" w:styleId="Heading7">
    <w:name w:val="heading 7"/>
    <w:basedOn w:val="Normal"/>
    <w:next w:val="Normal"/>
    <w:link w:val="Heading7Char"/>
    <w:uiPriority w:val="98"/>
    <w:rsid w:val="005305D4"/>
    <w:pPr>
      <w:numPr>
        <w:ilvl w:val="6"/>
        <w:numId w:val="13"/>
      </w:numPr>
      <w:spacing w:before="240" w:after="60"/>
      <w:outlineLvl w:val="6"/>
    </w:pPr>
    <w:rPr>
      <w:sz w:val="24"/>
      <w:szCs w:val="24"/>
    </w:rPr>
  </w:style>
  <w:style w:type="paragraph" w:styleId="Heading8">
    <w:name w:val="heading 8"/>
    <w:basedOn w:val="Normal"/>
    <w:next w:val="Normal"/>
    <w:link w:val="Heading8Char"/>
    <w:uiPriority w:val="98"/>
    <w:rsid w:val="005305D4"/>
    <w:pPr>
      <w:numPr>
        <w:ilvl w:val="7"/>
        <w:numId w:val="13"/>
      </w:numPr>
      <w:spacing w:before="240" w:after="60"/>
      <w:outlineLvl w:val="7"/>
    </w:pPr>
    <w:rPr>
      <w:i/>
      <w:iCs/>
      <w:sz w:val="24"/>
      <w:szCs w:val="24"/>
    </w:rPr>
  </w:style>
  <w:style w:type="paragraph" w:styleId="Heading9">
    <w:name w:val="heading 9"/>
    <w:basedOn w:val="Normal"/>
    <w:next w:val="Normal"/>
    <w:link w:val="Heading9Char"/>
    <w:uiPriority w:val="98"/>
    <w:rsid w:val="005305D4"/>
    <w:pPr>
      <w:numPr>
        <w:ilvl w:val="8"/>
        <w:numId w:val="1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OCAshurst"/>
    <w:next w:val="NormalOCAshurst"/>
    <w:uiPriority w:val="29"/>
    <w:unhideWhenUsed/>
    <w:rsid w:val="00A1623F"/>
    <w:pPr>
      <w:tabs>
        <w:tab w:val="right" w:leader="dot" w:pos="8295"/>
      </w:tabs>
    </w:pPr>
  </w:style>
  <w:style w:type="paragraph" w:customStyle="1" w:styleId="NormalOCAshurst">
    <w:name w:val="NormalOCAshurst"/>
    <w:link w:val="NormalOCAshurstChar"/>
    <w:qFormat/>
    <w:rsid w:val="00190F21"/>
    <w:pPr>
      <w:suppressAutoHyphens/>
      <w:spacing w:after="200"/>
      <w:jc w:val="both"/>
    </w:pPr>
    <w:rPr>
      <w:rFonts w:asciiTheme="minorHAnsi" w:eastAsiaTheme="minorEastAsia" w:hAnsiTheme="minorHAnsi"/>
      <w:lang w:eastAsia="en-GB"/>
    </w:rPr>
  </w:style>
  <w:style w:type="paragraph" w:customStyle="1" w:styleId="Body1OCAshurst">
    <w:name w:val="Body1OCAshurst"/>
    <w:basedOn w:val="NormalOCAshurst"/>
    <w:uiPriority w:val="2"/>
    <w:qFormat/>
    <w:rsid w:val="00190F21"/>
    <w:pPr>
      <w:tabs>
        <w:tab w:val="left" w:pos="709"/>
        <w:tab w:val="left" w:pos="1276"/>
        <w:tab w:val="left" w:pos="1843"/>
        <w:tab w:val="left" w:pos="2410"/>
        <w:tab w:val="left" w:pos="2977"/>
        <w:tab w:val="left" w:pos="3544"/>
        <w:tab w:val="left" w:pos="4111"/>
      </w:tabs>
      <w:ind w:left="709"/>
    </w:pPr>
  </w:style>
  <w:style w:type="paragraph" w:customStyle="1" w:styleId="Body2OCAshurst">
    <w:name w:val="Body2OCAshurst"/>
    <w:basedOn w:val="NormalOCAshurst"/>
    <w:link w:val="Body2OCAshurstChar"/>
    <w:uiPriority w:val="2"/>
    <w:qFormat/>
    <w:rsid w:val="00190F21"/>
    <w:pPr>
      <w:tabs>
        <w:tab w:val="left" w:pos="709"/>
        <w:tab w:val="left" w:pos="1276"/>
        <w:tab w:val="left" w:pos="1843"/>
        <w:tab w:val="left" w:pos="2409"/>
        <w:tab w:val="left" w:pos="2976"/>
        <w:tab w:val="left" w:pos="3543"/>
        <w:tab w:val="left" w:pos="4110"/>
      </w:tabs>
      <w:ind w:left="709"/>
    </w:pPr>
  </w:style>
  <w:style w:type="paragraph" w:customStyle="1" w:styleId="Body3OCAshurst">
    <w:name w:val="Body3OCAshurst"/>
    <w:basedOn w:val="NormalOCAshurst"/>
    <w:uiPriority w:val="2"/>
    <w:qFormat/>
    <w:rsid w:val="00190F21"/>
    <w:pPr>
      <w:tabs>
        <w:tab w:val="left" w:pos="709"/>
        <w:tab w:val="left" w:pos="1276"/>
        <w:tab w:val="left" w:pos="1843"/>
        <w:tab w:val="left" w:pos="2409"/>
        <w:tab w:val="left" w:pos="2976"/>
        <w:tab w:val="left" w:pos="3543"/>
        <w:tab w:val="left" w:pos="4110"/>
      </w:tabs>
      <w:ind w:left="709"/>
    </w:pPr>
  </w:style>
  <w:style w:type="paragraph" w:customStyle="1" w:styleId="Body4OCAshurst">
    <w:name w:val="Body4OCAshurst"/>
    <w:basedOn w:val="NormalOCAshurst"/>
    <w:uiPriority w:val="79"/>
    <w:rsid w:val="00190F21"/>
    <w:pPr>
      <w:tabs>
        <w:tab w:val="left" w:pos="1276"/>
        <w:tab w:val="left" w:pos="1843"/>
        <w:tab w:val="left" w:pos="2409"/>
        <w:tab w:val="left" w:pos="2976"/>
        <w:tab w:val="left" w:pos="3543"/>
        <w:tab w:val="left" w:pos="4110"/>
      </w:tabs>
      <w:ind w:left="1276"/>
    </w:pPr>
  </w:style>
  <w:style w:type="paragraph" w:customStyle="1" w:styleId="Body5OCAshurst">
    <w:name w:val="Body5OCAshurst"/>
    <w:basedOn w:val="NormalOCAshurst"/>
    <w:uiPriority w:val="79"/>
    <w:rsid w:val="00190F21"/>
    <w:pPr>
      <w:tabs>
        <w:tab w:val="left" w:pos="1843"/>
        <w:tab w:val="left" w:pos="2409"/>
        <w:tab w:val="left" w:pos="2976"/>
        <w:tab w:val="left" w:pos="3543"/>
        <w:tab w:val="left" w:pos="4110"/>
      </w:tabs>
      <w:ind w:left="1843"/>
    </w:pPr>
  </w:style>
  <w:style w:type="paragraph" w:customStyle="1" w:styleId="Body6OCAshurst">
    <w:name w:val="Body6OCAshurst"/>
    <w:basedOn w:val="NormalOCAshurst"/>
    <w:uiPriority w:val="79"/>
    <w:rsid w:val="00190F21"/>
    <w:pPr>
      <w:tabs>
        <w:tab w:val="left" w:pos="2409"/>
        <w:tab w:val="left" w:pos="2976"/>
        <w:tab w:val="left" w:pos="3543"/>
        <w:tab w:val="left" w:pos="4110"/>
      </w:tabs>
      <w:ind w:left="2410"/>
    </w:pPr>
  </w:style>
  <w:style w:type="paragraph" w:customStyle="1" w:styleId="Body7OCAshurst">
    <w:name w:val="Body7OCAshurst"/>
    <w:basedOn w:val="NormalOCAshurst"/>
    <w:uiPriority w:val="79"/>
    <w:rsid w:val="00190F21"/>
    <w:pPr>
      <w:tabs>
        <w:tab w:val="left" w:pos="2976"/>
        <w:tab w:val="left" w:pos="3543"/>
        <w:tab w:val="left" w:pos="4110"/>
      </w:tabs>
      <w:ind w:left="2977"/>
    </w:pPr>
  </w:style>
  <w:style w:type="paragraph" w:customStyle="1" w:styleId="Body8OCAshurst">
    <w:name w:val="Body8OCAshurst"/>
    <w:basedOn w:val="NormalOCAshurst"/>
    <w:uiPriority w:val="79"/>
    <w:rsid w:val="00190F21"/>
    <w:pPr>
      <w:tabs>
        <w:tab w:val="left" w:pos="3543"/>
        <w:tab w:val="left" w:pos="4110"/>
      </w:tabs>
      <w:ind w:left="3544"/>
    </w:pPr>
  </w:style>
  <w:style w:type="paragraph" w:customStyle="1" w:styleId="BulletOCAshurst">
    <w:name w:val="BulletOCAshurst"/>
    <w:basedOn w:val="NormalOCAshurst"/>
    <w:uiPriority w:val="79"/>
    <w:rsid w:val="00190F21"/>
    <w:pPr>
      <w:numPr>
        <w:numId w:val="1"/>
      </w:numPr>
    </w:pPr>
  </w:style>
  <w:style w:type="paragraph" w:customStyle="1" w:styleId="CBoldCapsAshurst">
    <w:name w:val="CBoldCapsAshurst"/>
    <w:basedOn w:val="NormalOCAshurst"/>
    <w:next w:val="NormalOCAshurst"/>
    <w:link w:val="CBoldCapsAshurstChar"/>
    <w:uiPriority w:val="60"/>
    <w:rsid w:val="00190F21"/>
    <w:pPr>
      <w:keepNext/>
      <w:jc w:val="center"/>
    </w:pPr>
    <w:rPr>
      <w:b/>
      <w:caps/>
    </w:rPr>
  </w:style>
  <w:style w:type="character" w:customStyle="1" w:styleId="NormalOCAshurstChar">
    <w:name w:val="NormalOCAshurst Char"/>
    <w:basedOn w:val="DefaultParagraphFont"/>
    <w:link w:val="NormalOCAshurst"/>
    <w:rsid w:val="00A215B1"/>
    <w:rPr>
      <w:rFonts w:asciiTheme="minorHAnsi" w:eastAsiaTheme="minorEastAsia" w:hAnsiTheme="minorHAnsi"/>
      <w:lang w:eastAsia="en-GB"/>
    </w:rPr>
  </w:style>
  <w:style w:type="paragraph" w:customStyle="1" w:styleId="DefSubOCAshurst">
    <w:name w:val="DefSubOCAshurst"/>
    <w:basedOn w:val="NormalOCAshurst"/>
    <w:uiPriority w:val="79"/>
    <w:rsid w:val="00EC2B65"/>
    <w:pPr>
      <w:numPr>
        <w:ilvl w:val="1"/>
        <w:numId w:val="21"/>
      </w:numPr>
      <w:outlineLvl w:val="0"/>
    </w:pPr>
  </w:style>
  <w:style w:type="paragraph" w:customStyle="1" w:styleId="DefSubSubOCAshurst">
    <w:name w:val="DefSubSubOCAshurst"/>
    <w:basedOn w:val="NormalOCAshurst"/>
    <w:uiPriority w:val="79"/>
    <w:rsid w:val="00EC2B65"/>
    <w:pPr>
      <w:numPr>
        <w:ilvl w:val="2"/>
        <w:numId w:val="21"/>
      </w:numPr>
      <w:outlineLvl w:val="1"/>
    </w:pPr>
  </w:style>
  <w:style w:type="paragraph" w:customStyle="1" w:styleId="EndnoteMore">
    <w:name w:val="Endnote More"/>
    <w:basedOn w:val="Normal"/>
    <w:uiPriority w:val="79"/>
    <w:rsid w:val="00A215B1"/>
    <w:pPr>
      <w:tabs>
        <w:tab w:val="left" w:pos="709"/>
      </w:tabs>
      <w:suppressAutoHyphens/>
      <w:spacing w:after="100" w:line="200" w:lineRule="atLeast"/>
      <w:ind w:left="709"/>
      <w:jc w:val="both"/>
    </w:pPr>
    <w:rPr>
      <w:sz w:val="14"/>
      <w:szCs w:val="14"/>
      <w:lang w:eastAsia="en-GB"/>
    </w:rPr>
  </w:style>
  <w:style w:type="paragraph" w:customStyle="1" w:styleId="FootnoteMore">
    <w:name w:val="Footnote More"/>
    <w:basedOn w:val="Normal"/>
    <w:uiPriority w:val="79"/>
    <w:rsid w:val="00A215B1"/>
    <w:pPr>
      <w:tabs>
        <w:tab w:val="left" w:pos="709"/>
      </w:tabs>
      <w:suppressAutoHyphens/>
      <w:spacing w:after="100" w:line="200" w:lineRule="atLeast"/>
      <w:ind w:left="709"/>
      <w:jc w:val="both"/>
    </w:pPr>
    <w:rPr>
      <w:sz w:val="16"/>
      <w:szCs w:val="16"/>
      <w:lang w:eastAsia="en-GB"/>
    </w:rPr>
  </w:style>
  <w:style w:type="paragraph" w:customStyle="1" w:styleId="LBoldCapsAshurst">
    <w:name w:val="LBoldCapsAshurst"/>
    <w:basedOn w:val="CBoldCapsAshurst"/>
    <w:next w:val="NormalOCAshurst"/>
    <w:uiPriority w:val="60"/>
    <w:rsid w:val="005305D4"/>
    <w:pPr>
      <w:jc w:val="left"/>
    </w:pPr>
  </w:style>
  <w:style w:type="paragraph" w:customStyle="1" w:styleId="LeftBoldItalicsOCAshurst">
    <w:name w:val="LeftBoldItalicsOCAshurst"/>
    <w:basedOn w:val="NormalOCAshurst"/>
    <w:next w:val="Body1OCAshurst"/>
    <w:uiPriority w:val="79"/>
    <w:rsid w:val="00190F21"/>
    <w:pPr>
      <w:keepNext/>
      <w:ind w:left="709"/>
    </w:pPr>
    <w:rPr>
      <w:b/>
      <w:i/>
    </w:rPr>
  </w:style>
  <w:style w:type="paragraph" w:customStyle="1" w:styleId="MainHeadingOCAshurst">
    <w:name w:val="MainHeadingOCAshurst"/>
    <w:basedOn w:val="NormalOCAshurst"/>
    <w:next w:val="NormalOCAshurst"/>
    <w:uiPriority w:val="26"/>
    <w:rsid w:val="00190F21"/>
    <w:pPr>
      <w:keepNext/>
      <w:jc w:val="center"/>
    </w:pPr>
    <w:rPr>
      <w:b/>
      <w:caps/>
    </w:rPr>
  </w:style>
  <w:style w:type="paragraph" w:customStyle="1" w:styleId="RBoldCapsAshurst">
    <w:name w:val="RBoldCapsAshurst"/>
    <w:basedOn w:val="CBoldCapsAshurst"/>
    <w:link w:val="RBoldCapsAshurstChar"/>
    <w:uiPriority w:val="60"/>
    <w:rsid w:val="005305D4"/>
    <w:pPr>
      <w:jc w:val="right"/>
    </w:pPr>
  </w:style>
  <w:style w:type="paragraph" w:customStyle="1" w:styleId="StandardOCAshurst">
    <w:name w:val="StandardOCAshurst"/>
    <w:basedOn w:val="NormalOCAshurst"/>
    <w:qFormat/>
    <w:rsid w:val="00D64075"/>
    <w:pPr>
      <w:spacing w:after="0"/>
    </w:pPr>
  </w:style>
  <w:style w:type="paragraph" w:customStyle="1" w:styleId="TableOCAshurst">
    <w:name w:val="TableOCAshurst"/>
    <w:basedOn w:val="NormalOCAshurst"/>
    <w:uiPriority w:val="79"/>
    <w:rsid w:val="00190F21"/>
    <w:pPr>
      <w:spacing w:before="100" w:after="100"/>
    </w:pPr>
  </w:style>
  <w:style w:type="paragraph" w:customStyle="1" w:styleId="AltH5OCAshurst">
    <w:name w:val="AltH5OCAshurst"/>
    <w:basedOn w:val="NormalOCAshurst"/>
    <w:uiPriority w:val="40"/>
    <w:rsid w:val="00C67ED9"/>
    <w:pPr>
      <w:numPr>
        <w:ilvl w:val="4"/>
        <w:numId w:val="16"/>
      </w:numPr>
      <w:outlineLvl w:val="4"/>
    </w:pPr>
  </w:style>
  <w:style w:type="paragraph" w:customStyle="1" w:styleId="TramfrontOCAshurst">
    <w:name w:val="TramfrontOCAshurst"/>
    <w:basedOn w:val="MainHeadingOCAshurst"/>
    <w:uiPriority w:val="79"/>
    <w:rsid w:val="005305D4"/>
    <w:pPr>
      <w:tabs>
        <w:tab w:val="left" w:pos="709"/>
        <w:tab w:val="left" w:pos="1276"/>
        <w:tab w:val="left" w:pos="1843"/>
        <w:tab w:val="left" w:pos="2409"/>
        <w:tab w:val="left" w:pos="2976"/>
        <w:tab w:val="left" w:pos="3543"/>
        <w:tab w:val="left" w:pos="4110"/>
      </w:tabs>
      <w:spacing w:after="40"/>
    </w:pPr>
    <w:rPr>
      <w:sz w:val="12"/>
    </w:rPr>
  </w:style>
  <w:style w:type="paragraph" w:customStyle="1" w:styleId="TramMainOCAshurst">
    <w:name w:val="TramMainOCAshurst"/>
    <w:basedOn w:val="NormalOCAshurst"/>
    <w:uiPriority w:val="79"/>
    <w:rsid w:val="00190F21"/>
    <w:pPr>
      <w:spacing w:after="120"/>
      <w:jc w:val="center"/>
    </w:pPr>
    <w:rPr>
      <w:sz w:val="16"/>
    </w:rPr>
  </w:style>
  <w:style w:type="paragraph" w:customStyle="1" w:styleId="H1OCAshurst">
    <w:name w:val="H1OCAshurst"/>
    <w:basedOn w:val="NormalOCAshurst"/>
    <w:uiPriority w:val="1"/>
    <w:qFormat/>
    <w:rsid w:val="00754B49"/>
    <w:pPr>
      <w:numPr>
        <w:numId w:val="2"/>
      </w:numPr>
      <w:outlineLvl w:val="0"/>
    </w:pPr>
    <w:rPr>
      <w:b/>
    </w:rPr>
  </w:style>
  <w:style w:type="paragraph" w:customStyle="1" w:styleId="H2OCAshurst">
    <w:name w:val="H2OCAshurst"/>
    <w:basedOn w:val="NormalOCAshurst"/>
    <w:uiPriority w:val="1"/>
    <w:qFormat/>
    <w:rsid w:val="00754B49"/>
    <w:pPr>
      <w:numPr>
        <w:ilvl w:val="1"/>
        <w:numId w:val="2"/>
      </w:numPr>
      <w:outlineLvl w:val="1"/>
    </w:pPr>
    <w:rPr>
      <w:b/>
    </w:rPr>
  </w:style>
  <w:style w:type="paragraph" w:customStyle="1" w:styleId="H3OCAshurst">
    <w:name w:val="H3OCAshurst"/>
    <w:basedOn w:val="NormalOCAshurst"/>
    <w:uiPriority w:val="1"/>
    <w:qFormat/>
    <w:rsid w:val="00754B49"/>
    <w:pPr>
      <w:numPr>
        <w:ilvl w:val="2"/>
        <w:numId w:val="2"/>
      </w:numPr>
      <w:outlineLvl w:val="2"/>
    </w:pPr>
  </w:style>
  <w:style w:type="paragraph" w:customStyle="1" w:styleId="H4OCAshurst">
    <w:name w:val="H4OCAshurst"/>
    <w:basedOn w:val="NormalOCAshurst"/>
    <w:uiPriority w:val="1"/>
    <w:qFormat/>
    <w:rsid w:val="00754B49"/>
    <w:pPr>
      <w:numPr>
        <w:ilvl w:val="3"/>
        <w:numId w:val="2"/>
      </w:numPr>
      <w:outlineLvl w:val="3"/>
    </w:pPr>
  </w:style>
  <w:style w:type="paragraph" w:customStyle="1" w:styleId="H5OCAshurst">
    <w:name w:val="H5OCAshurst"/>
    <w:basedOn w:val="NormalOCAshurst"/>
    <w:uiPriority w:val="1"/>
    <w:qFormat/>
    <w:rsid w:val="00754B49"/>
    <w:pPr>
      <w:numPr>
        <w:ilvl w:val="4"/>
        <w:numId w:val="2"/>
      </w:numPr>
      <w:outlineLvl w:val="4"/>
    </w:pPr>
  </w:style>
  <w:style w:type="paragraph" w:customStyle="1" w:styleId="H6OCAshurst">
    <w:name w:val="H6OCAshurst"/>
    <w:basedOn w:val="NormalOCAshurst"/>
    <w:uiPriority w:val="38"/>
    <w:rsid w:val="00754B49"/>
    <w:pPr>
      <w:numPr>
        <w:ilvl w:val="5"/>
        <w:numId w:val="2"/>
      </w:numPr>
      <w:tabs>
        <w:tab w:val="clear" w:pos="2410"/>
        <w:tab w:val="num" w:pos="360"/>
      </w:tabs>
      <w:ind w:left="0" w:firstLine="0"/>
      <w:outlineLvl w:val="5"/>
    </w:pPr>
  </w:style>
  <w:style w:type="paragraph" w:customStyle="1" w:styleId="H7OCAshurst">
    <w:name w:val="H7OCAshurst"/>
    <w:basedOn w:val="NormalOCAshurst"/>
    <w:uiPriority w:val="38"/>
    <w:rsid w:val="00754B49"/>
    <w:pPr>
      <w:numPr>
        <w:ilvl w:val="6"/>
        <w:numId w:val="2"/>
      </w:numPr>
      <w:tabs>
        <w:tab w:val="clear" w:pos="2977"/>
        <w:tab w:val="num" w:pos="360"/>
      </w:tabs>
      <w:ind w:left="0" w:firstLine="0"/>
      <w:outlineLvl w:val="6"/>
    </w:pPr>
  </w:style>
  <w:style w:type="paragraph" w:customStyle="1" w:styleId="H8OCAshurst">
    <w:name w:val="H8OCAshurst"/>
    <w:basedOn w:val="NormalOCAshurst"/>
    <w:uiPriority w:val="38"/>
    <w:rsid w:val="00754B49"/>
    <w:pPr>
      <w:numPr>
        <w:ilvl w:val="7"/>
        <w:numId w:val="2"/>
      </w:numPr>
      <w:tabs>
        <w:tab w:val="clear" w:pos="3544"/>
        <w:tab w:val="num" w:pos="360"/>
      </w:tabs>
      <w:ind w:left="0" w:firstLine="0"/>
      <w:outlineLvl w:val="7"/>
    </w:pPr>
  </w:style>
  <w:style w:type="paragraph" w:customStyle="1" w:styleId="6ptOCAshurst">
    <w:name w:val="6ptOCAshurst"/>
    <w:basedOn w:val="NormalOCAshurst"/>
    <w:uiPriority w:val="60"/>
    <w:rsid w:val="00190F21"/>
    <w:pPr>
      <w:tabs>
        <w:tab w:val="left" w:pos="709"/>
        <w:tab w:val="left" w:pos="1276"/>
        <w:tab w:val="left" w:pos="1843"/>
        <w:tab w:val="left" w:pos="2409"/>
        <w:tab w:val="left" w:pos="2976"/>
        <w:tab w:val="left" w:pos="3543"/>
        <w:tab w:val="left" w:pos="4110"/>
      </w:tabs>
      <w:spacing w:after="40"/>
      <w:jc w:val="center"/>
    </w:pPr>
    <w:rPr>
      <w:b/>
      <w:i/>
      <w:sz w:val="12"/>
    </w:rPr>
  </w:style>
  <w:style w:type="paragraph" w:customStyle="1" w:styleId="AltH1OCAshurst">
    <w:name w:val="AltH1OCAshurst"/>
    <w:basedOn w:val="NormalOCAshurst"/>
    <w:uiPriority w:val="40"/>
    <w:rsid w:val="00C67ED9"/>
    <w:pPr>
      <w:numPr>
        <w:numId w:val="16"/>
      </w:numPr>
      <w:outlineLvl w:val="0"/>
    </w:pPr>
  </w:style>
  <w:style w:type="paragraph" w:customStyle="1" w:styleId="AltH2OCAshurst">
    <w:name w:val="AltH2OCAshurst"/>
    <w:basedOn w:val="NormalOCAshurst"/>
    <w:link w:val="AltH2OCAshurstChar"/>
    <w:uiPriority w:val="40"/>
    <w:rsid w:val="00C67ED9"/>
    <w:pPr>
      <w:numPr>
        <w:ilvl w:val="1"/>
        <w:numId w:val="16"/>
      </w:numPr>
      <w:outlineLvl w:val="1"/>
    </w:pPr>
  </w:style>
  <w:style w:type="paragraph" w:customStyle="1" w:styleId="AltH3OCAshurst">
    <w:name w:val="AltH3OCAshurst"/>
    <w:basedOn w:val="NormalOCAshurst"/>
    <w:uiPriority w:val="40"/>
    <w:rsid w:val="00C67ED9"/>
    <w:pPr>
      <w:numPr>
        <w:ilvl w:val="2"/>
        <w:numId w:val="16"/>
      </w:numPr>
      <w:outlineLvl w:val="2"/>
    </w:pPr>
  </w:style>
  <w:style w:type="paragraph" w:customStyle="1" w:styleId="AltH4OCAshurst">
    <w:name w:val="AltH4OCAshurst"/>
    <w:basedOn w:val="NormalOCAshurst"/>
    <w:uiPriority w:val="40"/>
    <w:rsid w:val="00C67ED9"/>
    <w:pPr>
      <w:outlineLvl w:val="3"/>
    </w:pPr>
  </w:style>
  <w:style w:type="paragraph" w:customStyle="1" w:styleId="AltH6OCAshurst">
    <w:name w:val="AltH6OCAshurst"/>
    <w:basedOn w:val="NormalOCAshurst"/>
    <w:uiPriority w:val="40"/>
    <w:rsid w:val="00C67ED9"/>
    <w:pPr>
      <w:numPr>
        <w:ilvl w:val="5"/>
        <w:numId w:val="16"/>
      </w:numPr>
      <w:outlineLvl w:val="5"/>
    </w:pPr>
  </w:style>
  <w:style w:type="paragraph" w:customStyle="1" w:styleId="AltH7OCAshurst">
    <w:name w:val="AltH7OCAshurst"/>
    <w:basedOn w:val="NormalOCAshurst"/>
    <w:uiPriority w:val="40"/>
    <w:rsid w:val="00C67ED9"/>
    <w:pPr>
      <w:numPr>
        <w:ilvl w:val="6"/>
        <w:numId w:val="16"/>
      </w:numPr>
      <w:outlineLvl w:val="6"/>
    </w:pPr>
  </w:style>
  <w:style w:type="paragraph" w:customStyle="1" w:styleId="AltH8OCAshurst">
    <w:name w:val="AltH8OCAshurst"/>
    <w:basedOn w:val="NormalOCAshurst"/>
    <w:uiPriority w:val="40"/>
    <w:rsid w:val="00C67ED9"/>
    <w:pPr>
      <w:numPr>
        <w:ilvl w:val="7"/>
        <w:numId w:val="16"/>
      </w:numPr>
      <w:outlineLvl w:val="7"/>
    </w:pPr>
  </w:style>
  <w:style w:type="paragraph" w:styleId="BodyText">
    <w:name w:val="Body Text"/>
    <w:basedOn w:val="Normal"/>
    <w:link w:val="BodyTextChar"/>
    <w:uiPriority w:val="98"/>
    <w:semiHidden/>
    <w:rsid w:val="00A215B1"/>
    <w:pPr>
      <w:spacing w:after="120"/>
    </w:pPr>
  </w:style>
  <w:style w:type="character" w:customStyle="1" w:styleId="BodyTextChar">
    <w:name w:val="Body Text Char"/>
    <w:basedOn w:val="DefaultParagraphFont"/>
    <w:link w:val="BodyText"/>
    <w:uiPriority w:val="98"/>
    <w:rsid w:val="00A215B1"/>
    <w:rPr>
      <w:rFonts w:asciiTheme="minorHAnsi" w:eastAsiaTheme="minorEastAsia" w:hAnsiTheme="minorHAnsi"/>
    </w:rPr>
  </w:style>
  <w:style w:type="paragraph" w:customStyle="1" w:styleId="AltBH1OCAshurst">
    <w:name w:val="AltBH1OCAshurst"/>
    <w:basedOn w:val="NormalOCAshurst"/>
    <w:uiPriority w:val="79"/>
    <w:rsid w:val="00754B49"/>
    <w:pPr>
      <w:numPr>
        <w:numId w:val="14"/>
      </w:numPr>
      <w:outlineLvl w:val="0"/>
    </w:pPr>
    <w:rPr>
      <w:b/>
    </w:rPr>
  </w:style>
  <w:style w:type="paragraph" w:customStyle="1" w:styleId="AltBH3OCAshurst">
    <w:name w:val="AltBH3OCAshurst"/>
    <w:basedOn w:val="NormalOCAshurst"/>
    <w:uiPriority w:val="79"/>
    <w:rsid w:val="00754B49"/>
    <w:pPr>
      <w:numPr>
        <w:ilvl w:val="2"/>
        <w:numId w:val="14"/>
      </w:numPr>
      <w:outlineLvl w:val="2"/>
    </w:pPr>
  </w:style>
  <w:style w:type="paragraph" w:customStyle="1" w:styleId="AltBH4OCAshurst">
    <w:name w:val="AltBH4OCAshurst"/>
    <w:basedOn w:val="NormalOCAshurst"/>
    <w:uiPriority w:val="79"/>
    <w:rsid w:val="00754B49"/>
    <w:pPr>
      <w:numPr>
        <w:ilvl w:val="3"/>
        <w:numId w:val="14"/>
      </w:numPr>
      <w:outlineLvl w:val="3"/>
    </w:pPr>
  </w:style>
  <w:style w:type="paragraph" w:customStyle="1" w:styleId="AltBH5OCAshurst">
    <w:name w:val="AltBH5OCAshurst"/>
    <w:basedOn w:val="NormalOCAshurst"/>
    <w:uiPriority w:val="79"/>
    <w:rsid w:val="00754B49"/>
    <w:pPr>
      <w:numPr>
        <w:ilvl w:val="4"/>
        <w:numId w:val="14"/>
      </w:numPr>
      <w:outlineLvl w:val="4"/>
    </w:pPr>
  </w:style>
  <w:style w:type="paragraph" w:customStyle="1" w:styleId="AltBH6OCAshurst">
    <w:name w:val="AltBH6OCAshurst"/>
    <w:basedOn w:val="NormalOCAshurst"/>
    <w:uiPriority w:val="79"/>
    <w:rsid w:val="00754B49"/>
    <w:pPr>
      <w:numPr>
        <w:ilvl w:val="5"/>
        <w:numId w:val="14"/>
      </w:numPr>
      <w:outlineLvl w:val="5"/>
    </w:pPr>
  </w:style>
  <w:style w:type="paragraph" w:customStyle="1" w:styleId="AltBH7OCAShurst">
    <w:name w:val="AltBH7OCAShurst"/>
    <w:basedOn w:val="NormalOCAshurst"/>
    <w:uiPriority w:val="79"/>
    <w:rsid w:val="00754B49"/>
    <w:pPr>
      <w:numPr>
        <w:ilvl w:val="6"/>
        <w:numId w:val="14"/>
      </w:numPr>
      <w:outlineLvl w:val="6"/>
    </w:pPr>
  </w:style>
  <w:style w:type="paragraph" w:customStyle="1" w:styleId="AltBH8OCAshurst">
    <w:name w:val="AltBH8OCAshurst"/>
    <w:basedOn w:val="NormalOCAshurst"/>
    <w:uiPriority w:val="79"/>
    <w:rsid w:val="00754B49"/>
    <w:pPr>
      <w:numPr>
        <w:ilvl w:val="7"/>
        <w:numId w:val="14"/>
      </w:numPr>
      <w:outlineLvl w:val="7"/>
    </w:pPr>
  </w:style>
  <w:style w:type="paragraph" w:customStyle="1" w:styleId="AltBH2OCAshurst">
    <w:name w:val="AltBH2OCAshurst"/>
    <w:basedOn w:val="NormalOCAshurst"/>
    <w:uiPriority w:val="79"/>
    <w:rsid w:val="00754B49"/>
    <w:pPr>
      <w:numPr>
        <w:ilvl w:val="1"/>
        <w:numId w:val="14"/>
      </w:numPr>
      <w:outlineLvl w:val="1"/>
    </w:pPr>
    <w:rPr>
      <w:b/>
    </w:rPr>
  </w:style>
  <w:style w:type="paragraph" w:customStyle="1" w:styleId="TableNum1OCAshurst">
    <w:name w:val="TableNum1OCAshurst"/>
    <w:basedOn w:val="NormalOCAshurst"/>
    <w:uiPriority w:val="79"/>
    <w:rsid w:val="00190F21"/>
    <w:pPr>
      <w:numPr>
        <w:numId w:val="15"/>
      </w:numPr>
      <w:outlineLvl w:val="0"/>
    </w:pPr>
    <w:rPr>
      <w:lang w:eastAsia="ja-JP"/>
    </w:rPr>
  </w:style>
  <w:style w:type="paragraph" w:customStyle="1" w:styleId="TableNum2OCAshurst">
    <w:name w:val="TableNum2OCAshurst"/>
    <w:basedOn w:val="NormalOCAshurst"/>
    <w:uiPriority w:val="79"/>
    <w:rsid w:val="00190F21"/>
    <w:pPr>
      <w:numPr>
        <w:ilvl w:val="1"/>
        <w:numId w:val="15"/>
      </w:numPr>
      <w:outlineLvl w:val="1"/>
    </w:pPr>
    <w:rPr>
      <w:lang w:eastAsia="ja-JP"/>
    </w:rPr>
  </w:style>
  <w:style w:type="paragraph" w:customStyle="1" w:styleId="TableNum3OCAshurst">
    <w:name w:val="TableNum3OCAshurst"/>
    <w:basedOn w:val="NormalOCAshurst"/>
    <w:uiPriority w:val="79"/>
    <w:rsid w:val="00190F21"/>
    <w:pPr>
      <w:numPr>
        <w:ilvl w:val="2"/>
        <w:numId w:val="15"/>
      </w:numPr>
    </w:pPr>
    <w:rPr>
      <w:lang w:eastAsia="ja-JP"/>
    </w:rPr>
  </w:style>
  <w:style w:type="paragraph" w:customStyle="1" w:styleId="TableNum4OCAshurst">
    <w:name w:val="TableNum4OCAshurst"/>
    <w:basedOn w:val="NormalOCAshurst"/>
    <w:uiPriority w:val="79"/>
    <w:rsid w:val="00190F21"/>
    <w:pPr>
      <w:numPr>
        <w:ilvl w:val="3"/>
        <w:numId w:val="15"/>
      </w:numPr>
    </w:pPr>
    <w:rPr>
      <w:lang w:eastAsia="ja-JP"/>
    </w:rPr>
  </w:style>
  <w:style w:type="paragraph" w:customStyle="1" w:styleId="TableNum5OCAshurst">
    <w:name w:val="TableNum5OCAshurst"/>
    <w:basedOn w:val="NormalOCAshurst"/>
    <w:uiPriority w:val="79"/>
    <w:rsid w:val="00190F21"/>
    <w:pPr>
      <w:numPr>
        <w:ilvl w:val="4"/>
        <w:numId w:val="15"/>
      </w:numPr>
    </w:pPr>
    <w:rPr>
      <w:lang w:eastAsia="ja-JP"/>
    </w:rPr>
  </w:style>
  <w:style w:type="paragraph" w:customStyle="1" w:styleId="TableNum6OCAshurst">
    <w:name w:val="TableNum6OCAshurst"/>
    <w:basedOn w:val="NormalOCAshurst"/>
    <w:uiPriority w:val="79"/>
    <w:rsid w:val="00190F21"/>
    <w:pPr>
      <w:numPr>
        <w:ilvl w:val="5"/>
        <w:numId w:val="15"/>
      </w:numPr>
    </w:pPr>
    <w:rPr>
      <w:lang w:eastAsia="ja-JP"/>
    </w:rPr>
  </w:style>
  <w:style w:type="character" w:styleId="FootnoteReference">
    <w:name w:val="footnote reference"/>
    <w:basedOn w:val="DefaultParagraphFont"/>
    <w:uiPriority w:val="98"/>
    <w:rsid w:val="00F53B77"/>
    <w:rPr>
      <w:rFonts w:asciiTheme="minorHAnsi" w:eastAsiaTheme="minorEastAsia" w:hAnsiTheme="minorHAnsi"/>
      <w:vertAlign w:val="superscript"/>
    </w:rPr>
  </w:style>
  <w:style w:type="paragraph" w:styleId="FootnoteText">
    <w:name w:val="footnote text"/>
    <w:basedOn w:val="NormalOCAshurst"/>
    <w:next w:val="FootnoteMore"/>
    <w:link w:val="FootnoteTextChar"/>
    <w:uiPriority w:val="98"/>
    <w:rsid w:val="00F53B77"/>
    <w:pPr>
      <w:tabs>
        <w:tab w:val="left" w:pos="709"/>
      </w:tabs>
      <w:spacing w:after="100" w:line="200" w:lineRule="atLeast"/>
    </w:pPr>
    <w:rPr>
      <w:sz w:val="14"/>
      <w:szCs w:val="14"/>
    </w:rPr>
  </w:style>
  <w:style w:type="character" w:customStyle="1" w:styleId="FootnoteTextChar">
    <w:name w:val="Footnote Text Char"/>
    <w:basedOn w:val="DefaultParagraphFont"/>
    <w:link w:val="FootnoteText"/>
    <w:uiPriority w:val="79"/>
    <w:rsid w:val="007C7142"/>
    <w:rPr>
      <w:rFonts w:asciiTheme="minorHAnsi" w:eastAsiaTheme="minorEastAsia" w:hAnsiTheme="minorHAnsi"/>
      <w:sz w:val="14"/>
      <w:szCs w:val="14"/>
      <w:lang w:eastAsia="en-GB"/>
    </w:rPr>
  </w:style>
  <w:style w:type="numbering" w:styleId="111111">
    <w:name w:val="Outline List 2"/>
    <w:basedOn w:val="NoList"/>
    <w:uiPriority w:val="98"/>
    <w:semiHidden/>
    <w:rsid w:val="007C7142"/>
    <w:pPr>
      <w:numPr>
        <w:numId w:val="17"/>
      </w:numPr>
    </w:pPr>
  </w:style>
  <w:style w:type="numbering" w:styleId="1ai">
    <w:name w:val="Outline List 1"/>
    <w:basedOn w:val="NoList"/>
    <w:uiPriority w:val="98"/>
    <w:semiHidden/>
    <w:rsid w:val="007C7142"/>
    <w:pPr>
      <w:numPr>
        <w:numId w:val="18"/>
      </w:numPr>
    </w:pPr>
  </w:style>
  <w:style w:type="numbering" w:styleId="ArticleSection">
    <w:name w:val="Outline List 3"/>
    <w:basedOn w:val="NoList"/>
    <w:uiPriority w:val="98"/>
    <w:semiHidden/>
    <w:rsid w:val="007C7142"/>
    <w:pPr>
      <w:numPr>
        <w:numId w:val="19"/>
      </w:numPr>
    </w:pPr>
  </w:style>
  <w:style w:type="paragraph" w:styleId="BalloonText">
    <w:name w:val="Balloon Text"/>
    <w:basedOn w:val="Normal"/>
    <w:link w:val="BalloonTextChar"/>
    <w:uiPriority w:val="98"/>
    <w:semiHidden/>
    <w:rsid w:val="007C7142"/>
    <w:rPr>
      <w:rFonts w:cs="Tahoma"/>
      <w:sz w:val="16"/>
      <w:szCs w:val="16"/>
    </w:rPr>
  </w:style>
  <w:style w:type="character" w:customStyle="1" w:styleId="BalloonTextChar">
    <w:name w:val="Balloon Text Char"/>
    <w:basedOn w:val="DefaultParagraphFont"/>
    <w:link w:val="BalloonText"/>
    <w:uiPriority w:val="98"/>
    <w:rsid w:val="007C7142"/>
    <w:rPr>
      <w:rFonts w:asciiTheme="minorHAnsi" w:eastAsiaTheme="minorEastAsia" w:hAnsiTheme="minorHAnsi" w:cs="Tahoma"/>
      <w:sz w:val="16"/>
      <w:szCs w:val="16"/>
    </w:rPr>
  </w:style>
  <w:style w:type="paragraph" w:styleId="Bibliography">
    <w:name w:val="Bibliography"/>
    <w:basedOn w:val="Normal"/>
    <w:next w:val="Normal"/>
    <w:uiPriority w:val="98"/>
    <w:semiHidden/>
    <w:rsid w:val="007C7142"/>
  </w:style>
  <w:style w:type="paragraph" w:styleId="BlockText">
    <w:name w:val="Block Text"/>
    <w:basedOn w:val="Normal"/>
    <w:uiPriority w:val="98"/>
    <w:semiHidden/>
    <w:rsid w:val="007C7142"/>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rFonts w:cstheme="minorBidi"/>
      <w:i/>
      <w:iCs/>
      <w:color w:val="DDDDDD" w:themeColor="accent1"/>
    </w:rPr>
  </w:style>
  <w:style w:type="paragraph" w:styleId="BodyText2">
    <w:name w:val="Body Text 2"/>
    <w:basedOn w:val="Normal"/>
    <w:link w:val="BodyText2Char"/>
    <w:uiPriority w:val="98"/>
    <w:semiHidden/>
    <w:rsid w:val="007C7142"/>
    <w:pPr>
      <w:spacing w:after="120" w:line="480" w:lineRule="auto"/>
    </w:pPr>
  </w:style>
  <w:style w:type="character" w:customStyle="1" w:styleId="BodyText2Char">
    <w:name w:val="Body Text 2 Char"/>
    <w:basedOn w:val="DefaultParagraphFont"/>
    <w:link w:val="BodyText2"/>
    <w:uiPriority w:val="98"/>
    <w:rsid w:val="007C7142"/>
    <w:rPr>
      <w:rFonts w:asciiTheme="minorHAnsi" w:eastAsiaTheme="minorEastAsia" w:hAnsiTheme="minorHAnsi"/>
    </w:rPr>
  </w:style>
  <w:style w:type="paragraph" w:styleId="BodyText3">
    <w:name w:val="Body Text 3"/>
    <w:basedOn w:val="Normal"/>
    <w:link w:val="BodyText3Char"/>
    <w:uiPriority w:val="98"/>
    <w:semiHidden/>
    <w:rsid w:val="007C7142"/>
    <w:pPr>
      <w:spacing w:after="120"/>
    </w:pPr>
    <w:rPr>
      <w:sz w:val="16"/>
      <w:szCs w:val="16"/>
    </w:rPr>
  </w:style>
  <w:style w:type="character" w:customStyle="1" w:styleId="BodyText3Char">
    <w:name w:val="Body Text 3 Char"/>
    <w:basedOn w:val="DefaultParagraphFont"/>
    <w:link w:val="BodyText3"/>
    <w:uiPriority w:val="98"/>
    <w:rsid w:val="007C7142"/>
    <w:rPr>
      <w:rFonts w:asciiTheme="minorHAnsi" w:eastAsiaTheme="minorEastAsia" w:hAnsiTheme="minorHAnsi"/>
      <w:sz w:val="16"/>
      <w:szCs w:val="16"/>
    </w:rPr>
  </w:style>
  <w:style w:type="paragraph" w:styleId="BodyTextFirstIndent">
    <w:name w:val="Body Text First Indent"/>
    <w:basedOn w:val="BodyText"/>
    <w:link w:val="BodyTextFirstIndentChar"/>
    <w:uiPriority w:val="98"/>
    <w:semiHidden/>
    <w:rsid w:val="007C7142"/>
    <w:pPr>
      <w:spacing w:after="0"/>
      <w:ind w:firstLine="360"/>
    </w:pPr>
  </w:style>
  <w:style w:type="character" w:customStyle="1" w:styleId="BodyTextFirstIndentChar">
    <w:name w:val="Body Text First Indent Char"/>
    <w:basedOn w:val="BodyTextChar"/>
    <w:link w:val="BodyTextFirstIndent"/>
    <w:uiPriority w:val="98"/>
    <w:rsid w:val="007C7142"/>
    <w:rPr>
      <w:rFonts w:asciiTheme="minorHAnsi" w:eastAsiaTheme="minorEastAsia" w:hAnsiTheme="minorHAnsi"/>
    </w:rPr>
  </w:style>
  <w:style w:type="paragraph" w:styleId="BodyTextIndent">
    <w:name w:val="Body Text Indent"/>
    <w:basedOn w:val="Normal"/>
    <w:link w:val="BodyTextIndentChar"/>
    <w:uiPriority w:val="98"/>
    <w:semiHidden/>
    <w:rsid w:val="007C7142"/>
    <w:pPr>
      <w:spacing w:after="120"/>
      <w:ind w:left="283"/>
    </w:pPr>
  </w:style>
  <w:style w:type="character" w:customStyle="1" w:styleId="BodyTextIndentChar">
    <w:name w:val="Body Text Indent Char"/>
    <w:basedOn w:val="DefaultParagraphFont"/>
    <w:link w:val="BodyTextIndent"/>
    <w:uiPriority w:val="98"/>
    <w:rsid w:val="007C7142"/>
    <w:rPr>
      <w:rFonts w:asciiTheme="minorHAnsi" w:eastAsiaTheme="minorEastAsia" w:hAnsiTheme="minorHAnsi"/>
    </w:rPr>
  </w:style>
  <w:style w:type="paragraph" w:styleId="BodyTextFirstIndent2">
    <w:name w:val="Body Text First Indent 2"/>
    <w:basedOn w:val="BodyTextIndent"/>
    <w:link w:val="BodyTextFirstIndent2Char"/>
    <w:uiPriority w:val="98"/>
    <w:semiHidden/>
    <w:rsid w:val="007C7142"/>
    <w:pPr>
      <w:spacing w:after="0"/>
      <w:ind w:left="360" w:firstLine="360"/>
    </w:pPr>
  </w:style>
  <w:style w:type="character" w:customStyle="1" w:styleId="BodyTextFirstIndent2Char">
    <w:name w:val="Body Text First Indent 2 Char"/>
    <w:basedOn w:val="BodyTextIndentChar"/>
    <w:link w:val="BodyTextFirstIndent2"/>
    <w:uiPriority w:val="98"/>
    <w:rsid w:val="007C7142"/>
    <w:rPr>
      <w:rFonts w:asciiTheme="minorHAnsi" w:eastAsiaTheme="minorEastAsia" w:hAnsiTheme="minorHAnsi"/>
    </w:rPr>
  </w:style>
  <w:style w:type="paragraph" w:styleId="BodyTextIndent2">
    <w:name w:val="Body Text Indent 2"/>
    <w:basedOn w:val="Normal"/>
    <w:link w:val="BodyTextIndent2Char"/>
    <w:uiPriority w:val="98"/>
    <w:semiHidden/>
    <w:rsid w:val="007C7142"/>
    <w:pPr>
      <w:spacing w:after="120" w:line="480" w:lineRule="auto"/>
      <w:ind w:left="283"/>
    </w:pPr>
  </w:style>
  <w:style w:type="character" w:customStyle="1" w:styleId="BodyTextIndent2Char">
    <w:name w:val="Body Text Indent 2 Char"/>
    <w:basedOn w:val="DefaultParagraphFont"/>
    <w:link w:val="BodyTextIndent2"/>
    <w:uiPriority w:val="98"/>
    <w:rsid w:val="007C7142"/>
    <w:rPr>
      <w:rFonts w:asciiTheme="minorHAnsi" w:eastAsiaTheme="minorEastAsia" w:hAnsiTheme="minorHAnsi"/>
    </w:rPr>
  </w:style>
  <w:style w:type="paragraph" w:styleId="BodyTextIndent3">
    <w:name w:val="Body Text Indent 3"/>
    <w:basedOn w:val="Normal"/>
    <w:link w:val="BodyTextIndent3Char"/>
    <w:uiPriority w:val="98"/>
    <w:semiHidden/>
    <w:rsid w:val="007C7142"/>
    <w:pPr>
      <w:spacing w:after="120"/>
      <w:ind w:left="283"/>
    </w:pPr>
    <w:rPr>
      <w:sz w:val="16"/>
      <w:szCs w:val="16"/>
    </w:rPr>
  </w:style>
  <w:style w:type="character" w:customStyle="1" w:styleId="BodyTextIndent3Char">
    <w:name w:val="Body Text Indent 3 Char"/>
    <w:basedOn w:val="DefaultParagraphFont"/>
    <w:link w:val="BodyTextIndent3"/>
    <w:uiPriority w:val="98"/>
    <w:rsid w:val="007C7142"/>
    <w:rPr>
      <w:rFonts w:asciiTheme="minorHAnsi" w:eastAsiaTheme="minorEastAsia" w:hAnsiTheme="minorHAnsi"/>
      <w:sz w:val="16"/>
      <w:szCs w:val="16"/>
    </w:rPr>
  </w:style>
  <w:style w:type="character" w:styleId="BookTitle">
    <w:name w:val="Book Title"/>
    <w:basedOn w:val="DefaultParagraphFont"/>
    <w:uiPriority w:val="98"/>
    <w:rsid w:val="007C7142"/>
    <w:rPr>
      <w:rFonts w:asciiTheme="minorHAnsi" w:eastAsiaTheme="minorEastAsia" w:hAnsiTheme="minorHAnsi"/>
      <w:b/>
      <w:bCs/>
      <w:smallCaps/>
      <w:spacing w:val="5"/>
    </w:rPr>
  </w:style>
  <w:style w:type="paragraph" w:styleId="Caption">
    <w:name w:val="caption"/>
    <w:basedOn w:val="Normal"/>
    <w:next w:val="Normal"/>
    <w:uiPriority w:val="98"/>
    <w:rsid w:val="007C7142"/>
    <w:pPr>
      <w:spacing w:after="200"/>
    </w:pPr>
    <w:rPr>
      <w:b/>
      <w:bCs/>
      <w:color w:val="DDDDDD" w:themeColor="accent1"/>
      <w:sz w:val="18"/>
      <w:szCs w:val="18"/>
    </w:rPr>
  </w:style>
  <w:style w:type="paragraph" w:styleId="Closing">
    <w:name w:val="Closing"/>
    <w:basedOn w:val="Normal"/>
    <w:link w:val="ClosingChar"/>
    <w:uiPriority w:val="98"/>
    <w:semiHidden/>
    <w:rsid w:val="007C7142"/>
    <w:pPr>
      <w:ind w:left="4252"/>
    </w:pPr>
  </w:style>
  <w:style w:type="character" w:customStyle="1" w:styleId="ClosingChar">
    <w:name w:val="Closing Char"/>
    <w:basedOn w:val="DefaultParagraphFont"/>
    <w:link w:val="Closing"/>
    <w:uiPriority w:val="98"/>
    <w:rsid w:val="007C7142"/>
    <w:rPr>
      <w:rFonts w:asciiTheme="minorHAnsi" w:eastAsiaTheme="minorEastAsia" w:hAnsiTheme="minorHAnsi"/>
    </w:rPr>
  </w:style>
  <w:style w:type="table" w:styleId="ColorfulGrid">
    <w:name w:val="Colorful Grid"/>
    <w:basedOn w:val="TableNormal"/>
    <w:uiPriority w:val="98"/>
    <w:rsid w:val="007C714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7C7142"/>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98"/>
    <w:rsid w:val="007C7142"/>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98"/>
    <w:rsid w:val="007C7142"/>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98"/>
    <w:rsid w:val="007C7142"/>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98"/>
    <w:rsid w:val="007C7142"/>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8"/>
    <w:rsid w:val="007C7142"/>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8"/>
    <w:rsid w:val="007C714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7C7142"/>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98"/>
    <w:rsid w:val="007C7142"/>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98"/>
    <w:rsid w:val="007C7142"/>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98"/>
    <w:rsid w:val="007C7142"/>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98"/>
    <w:rsid w:val="007C7142"/>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8"/>
    <w:rsid w:val="007C7142"/>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8"/>
    <w:rsid w:val="007C7142"/>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7C7142"/>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7C7142"/>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7C7142"/>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98"/>
    <w:rsid w:val="007C7142"/>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7C7142"/>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7C7142"/>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rsid w:val="007C7142"/>
    <w:rPr>
      <w:rFonts w:asciiTheme="minorHAnsi" w:eastAsiaTheme="minorEastAsia" w:hAnsiTheme="minorHAnsi"/>
      <w:sz w:val="16"/>
      <w:szCs w:val="16"/>
    </w:rPr>
  </w:style>
  <w:style w:type="paragraph" w:styleId="CommentText">
    <w:name w:val="annotation text"/>
    <w:basedOn w:val="Normal"/>
    <w:link w:val="CommentTextChar"/>
    <w:uiPriority w:val="98"/>
    <w:rsid w:val="007C7142"/>
  </w:style>
  <w:style w:type="character" w:customStyle="1" w:styleId="CommentTextChar">
    <w:name w:val="Comment Text Char"/>
    <w:basedOn w:val="DefaultParagraphFont"/>
    <w:link w:val="CommentText"/>
    <w:uiPriority w:val="98"/>
    <w:rsid w:val="007C7142"/>
    <w:rPr>
      <w:rFonts w:asciiTheme="minorHAnsi" w:eastAsiaTheme="minorEastAsia" w:hAnsiTheme="minorHAnsi"/>
    </w:rPr>
  </w:style>
  <w:style w:type="paragraph" w:styleId="CommentSubject">
    <w:name w:val="annotation subject"/>
    <w:basedOn w:val="CommentText"/>
    <w:next w:val="CommentText"/>
    <w:link w:val="CommentSubjectChar"/>
    <w:uiPriority w:val="98"/>
    <w:rsid w:val="007C7142"/>
    <w:rPr>
      <w:b/>
      <w:bCs/>
    </w:rPr>
  </w:style>
  <w:style w:type="character" w:customStyle="1" w:styleId="CommentSubjectChar">
    <w:name w:val="Comment Subject Char"/>
    <w:basedOn w:val="CommentTextChar"/>
    <w:link w:val="CommentSubject"/>
    <w:uiPriority w:val="98"/>
    <w:rsid w:val="007C7142"/>
    <w:rPr>
      <w:rFonts w:asciiTheme="minorHAnsi" w:eastAsiaTheme="minorEastAsia" w:hAnsiTheme="minorHAnsi"/>
      <w:b/>
      <w:bCs/>
    </w:rPr>
  </w:style>
  <w:style w:type="table" w:styleId="DarkList">
    <w:name w:val="Dark List"/>
    <w:basedOn w:val="TableNormal"/>
    <w:uiPriority w:val="98"/>
    <w:rsid w:val="007C714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7C7142"/>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98"/>
    <w:rsid w:val="007C7142"/>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98"/>
    <w:rsid w:val="007C7142"/>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98"/>
    <w:rsid w:val="007C7142"/>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98"/>
    <w:rsid w:val="007C7142"/>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8"/>
    <w:rsid w:val="007C7142"/>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7C7142"/>
  </w:style>
  <w:style w:type="character" w:customStyle="1" w:styleId="DateChar">
    <w:name w:val="Date Char"/>
    <w:basedOn w:val="DefaultParagraphFont"/>
    <w:link w:val="Date"/>
    <w:uiPriority w:val="98"/>
    <w:rsid w:val="007C7142"/>
    <w:rPr>
      <w:rFonts w:asciiTheme="minorHAnsi" w:eastAsiaTheme="minorEastAsia" w:hAnsiTheme="minorHAnsi"/>
    </w:rPr>
  </w:style>
  <w:style w:type="paragraph" w:styleId="DocumentMap">
    <w:name w:val="Document Map"/>
    <w:basedOn w:val="Normal"/>
    <w:link w:val="DocumentMapChar"/>
    <w:uiPriority w:val="98"/>
    <w:semiHidden/>
    <w:rsid w:val="007C7142"/>
    <w:rPr>
      <w:rFonts w:cs="Tahoma"/>
      <w:sz w:val="16"/>
      <w:szCs w:val="16"/>
    </w:rPr>
  </w:style>
  <w:style w:type="character" w:customStyle="1" w:styleId="DocumentMapChar">
    <w:name w:val="Document Map Char"/>
    <w:basedOn w:val="DefaultParagraphFont"/>
    <w:link w:val="DocumentMap"/>
    <w:uiPriority w:val="98"/>
    <w:rsid w:val="007C7142"/>
    <w:rPr>
      <w:rFonts w:asciiTheme="minorHAnsi" w:eastAsiaTheme="minorEastAsia" w:hAnsiTheme="minorHAnsi" w:cs="Tahoma"/>
      <w:sz w:val="16"/>
      <w:szCs w:val="16"/>
    </w:rPr>
  </w:style>
  <w:style w:type="paragraph" w:styleId="E-mailSignature">
    <w:name w:val="E-mail Signature"/>
    <w:basedOn w:val="Normal"/>
    <w:link w:val="E-mailSignatureChar"/>
    <w:uiPriority w:val="98"/>
    <w:semiHidden/>
    <w:rsid w:val="007C7142"/>
  </w:style>
  <w:style w:type="character" w:customStyle="1" w:styleId="E-mailSignatureChar">
    <w:name w:val="E-mail Signature Char"/>
    <w:basedOn w:val="DefaultParagraphFont"/>
    <w:link w:val="E-mailSignature"/>
    <w:uiPriority w:val="98"/>
    <w:rsid w:val="007C7142"/>
    <w:rPr>
      <w:rFonts w:asciiTheme="minorHAnsi" w:eastAsiaTheme="minorEastAsia" w:hAnsiTheme="minorHAnsi"/>
    </w:rPr>
  </w:style>
  <w:style w:type="character" w:styleId="Emphasis">
    <w:name w:val="Emphasis"/>
    <w:basedOn w:val="DefaultParagraphFont"/>
    <w:uiPriority w:val="98"/>
    <w:rsid w:val="007C7142"/>
    <w:rPr>
      <w:rFonts w:asciiTheme="minorHAnsi" w:eastAsiaTheme="minorEastAsia" w:hAnsiTheme="minorHAnsi"/>
      <w:i/>
      <w:iCs/>
    </w:rPr>
  </w:style>
  <w:style w:type="character" w:styleId="EndnoteReference">
    <w:name w:val="endnote reference"/>
    <w:basedOn w:val="DefaultParagraphFont"/>
    <w:uiPriority w:val="98"/>
    <w:rsid w:val="007C7142"/>
    <w:rPr>
      <w:rFonts w:asciiTheme="minorHAnsi" w:eastAsiaTheme="minorEastAsia" w:hAnsiTheme="minorHAnsi"/>
      <w:vertAlign w:val="superscript"/>
    </w:rPr>
  </w:style>
  <w:style w:type="paragraph" w:styleId="EndnoteText">
    <w:name w:val="endnote text"/>
    <w:basedOn w:val="Normal"/>
    <w:link w:val="EndnoteTextChar"/>
    <w:uiPriority w:val="98"/>
    <w:rsid w:val="007C7142"/>
  </w:style>
  <w:style w:type="character" w:customStyle="1" w:styleId="EndnoteTextChar">
    <w:name w:val="Endnote Text Char"/>
    <w:basedOn w:val="DefaultParagraphFont"/>
    <w:link w:val="EndnoteText"/>
    <w:uiPriority w:val="98"/>
    <w:rsid w:val="007C7142"/>
    <w:rPr>
      <w:rFonts w:asciiTheme="minorHAnsi" w:eastAsiaTheme="minorEastAsia" w:hAnsiTheme="minorHAnsi"/>
    </w:rPr>
  </w:style>
  <w:style w:type="paragraph" w:styleId="EnvelopeAddress">
    <w:name w:val="envelope address"/>
    <w:basedOn w:val="Normal"/>
    <w:uiPriority w:val="98"/>
    <w:semiHidden/>
    <w:rsid w:val="007C7142"/>
    <w:pPr>
      <w:framePr w:w="7920" w:h="1980" w:hRule="exact" w:hSpace="180" w:wrap="auto" w:hAnchor="page" w:xAlign="center" w:yAlign="bottom"/>
      <w:ind w:left="2880"/>
    </w:pPr>
    <w:rPr>
      <w:rFonts w:cstheme="majorBidi"/>
      <w:sz w:val="24"/>
      <w:szCs w:val="24"/>
    </w:rPr>
  </w:style>
  <w:style w:type="paragraph" w:styleId="EnvelopeReturn">
    <w:name w:val="envelope return"/>
    <w:basedOn w:val="Normal"/>
    <w:uiPriority w:val="98"/>
    <w:semiHidden/>
    <w:rsid w:val="007C7142"/>
    <w:rPr>
      <w:rFonts w:cstheme="majorBidi"/>
    </w:rPr>
  </w:style>
  <w:style w:type="character" w:styleId="FollowedHyperlink">
    <w:name w:val="FollowedHyperlink"/>
    <w:basedOn w:val="DefaultParagraphFont"/>
    <w:uiPriority w:val="98"/>
    <w:semiHidden/>
    <w:rsid w:val="007C7142"/>
    <w:rPr>
      <w:rFonts w:asciiTheme="minorHAnsi" w:eastAsiaTheme="minorEastAsia" w:hAnsiTheme="minorHAnsi"/>
      <w:color w:val="919191" w:themeColor="followedHyperlink"/>
      <w:u w:val="single"/>
    </w:rPr>
  </w:style>
  <w:style w:type="paragraph" w:styleId="Footer">
    <w:name w:val="footer"/>
    <w:basedOn w:val="Normal"/>
    <w:link w:val="FooterChar"/>
    <w:uiPriority w:val="98"/>
    <w:rsid w:val="007C7142"/>
    <w:pPr>
      <w:tabs>
        <w:tab w:val="center" w:pos="4513"/>
        <w:tab w:val="right" w:pos="9026"/>
      </w:tabs>
    </w:pPr>
  </w:style>
  <w:style w:type="character" w:customStyle="1" w:styleId="FooterChar">
    <w:name w:val="Footer Char"/>
    <w:basedOn w:val="DefaultParagraphFont"/>
    <w:link w:val="Footer"/>
    <w:uiPriority w:val="98"/>
    <w:rsid w:val="007C7142"/>
    <w:rPr>
      <w:rFonts w:asciiTheme="minorHAnsi" w:eastAsiaTheme="minorEastAsia" w:hAnsiTheme="minorHAnsi"/>
    </w:rPr>
  </w:style>
  <w:style w:type="paragraph" w:styleId="Header">
    <w:name w:val="header"/>
    <w:basedOn w:val="Normal"/>
    <w:link w:val="HeaderChar"/>
    <w:uiPriority w:val="98"/>
    <w:rsid w:val="007C7142"/>
    <w:pPr>
      <w:tabs>
        <w:tab w:val="center" w:pos="4513"/>
        <w:tab w:val="right" w:pos="9026"/>
      </w:tabs>
    </w:pPr>
  </w:style>
  <w:style w:type="character" w:customStyle="1" w:styleId="HeaderChar">
    <w:name w:val="Header Char"/>
    <w:basedOn w:val="DefaultParagraphFont"/>
    <w:link w:val="Header"/>
    <w:uiPriority w:val="98"/>
    <w:rsid w:val="007C7142"/>
    <w:rPr>
      <w:rFonts w:asciiTheme="minorHAnsi" w:eastAsiaTheme="minorEastAsia" w:hAnsiTheme="minorHAnsi"/>
    </w:rPr>
  </w:style>
  <w:style w:type="character" w:styleId="HTMLAcronym">
    <w:name w:val="HTML Acronym"/>
    <w:basedOn w:val="DefaultParagraphFont"/>
    <w:uiPriority w:val="98"/>
    <w:semiHidden/>
    <w:rsid w:val="007C7142"/>
    <w:rPr>
      <w:rFonts w:asciiTheme="minorHAnsi" w:eastAsiaTheme="minorEastAsia" w:hAnsiTheme="minorHAnsi"/>
    </w:rPr>
  </w:style>
  <w:style w:type="paragraph" w:styleId="HTMLAddress">
    <w:name w:val="HTML Address"/>
    <w:basedOn w:val="Normal"/>
    <w:link w:val="HTMLAddressChar"/>
    <w:uiPriority w:val="98"/>
    <w:semiHidden/>
    <w:rsid w:val="007C7142"/>
    <w:rPr>
      <w:i/>
      <w:iCs/>
    </w:rPr>
  </w:style>
  <w:style w:type="character" w:customStyle="1" w:styleId="HTMLAddressChar">
    <w:name w:val="HTML Address Char"/>
    <w:basedOn w:val="DefaultParagraphFont"/>
    <w:link w:val="HTMLAddress"/>
    <w:uiPriority w:val="98"/>
    <w:rsid w:val="007C7142"/>
    <w:rPr>
      <w:rFonts w:asciiTheme="minorHAnsi" w:eastAsiaTheme="minorEastAsia" w:hAnsiTheme="minorHAnsi"/>
      <w:i/>
      <w:iCs/>
    </w:rPr>
  </w:style>
  <w:style w:type="character" w:styleId="HTMLCite">
    <w:name w:val="HTML Cite"/>
    <w:basedOn w:val="DefaultParagraphFont"/>
    <w:uiPriority w:val="98"/>
    <w:semiHidden/>
    <w:rsid w:val="007C7142"/>
    <w:rPr>
      <w:rFonts w:asciiTheme="minorHAnsi" w:eastAsiaTheme="minorEastAsia" w:hAnsiTheme="minorHAnsi"/>
      <w:i/>
      <w:iCs/>
    </w:rPr>
  </w:style>
  <w:style w:type="character" w:styleId="HTMLCode">
    <w:name w:val="HTML Code"/>
    <w:basedOn w:val="DefaultParagraphFont"/>
    <w:uiPriority w:val="98"/>
    <w:semiHidden/>
    <w:rsid w:val="007C7142"/>
    <w:rPr>
      <w:rFonts w:asciiTheme="minorHAnsi" w:eastAsiaTheme="minorEastAsia" w:hAnsiTheme="minorHAnsi" w:cs="Consolas"/>
      <w:sz w:val="20"/>
      <w:szCs w:val="20"/>
    </w:rPr>
  </w:style>
  <w:style w:type="character" w:styleId="HTMLDefinition">
    <w:name w:val="HTML Definition"/>
    <w:basedOn w:val="DefaultParagraphFont"/>
    <w:uiPriority w:val="98"/>
    <w:semiHidden/>
    <w:rsid w:val="007C7142"/>
    <w:rPr>
      <w:rFonts w:asciiTheme="minorHAnsi" w:eastAsiaTheme="minorEastAsia" w:hAnsiTheme="minorHAnsi"/>
      <w:i/>
      <w:iCs/>
    </w:rPr>
  </w:style>
  <w:style w:type="character" w:styleId="HTMLKeyboard">
    <w:name w:val="HTML Keyboard"/>
    <w:basedOn w:val="DefaultParagraphFont"/>
    <w:uiPriority w:val="98"/>
    <w:semiHidden/>
    <w:rsid w:val="007C7142"/>
    <w:rPr>
      <w:rFonts w:asciiTheme="minorHAnsi" w:eastAsiaTheme="minorEastAsia" w:hAnsiTheme="minorHAnsi" w:cs="Consolas"/>
      <w:sz w:val="20"/>
      <w:szCs w:val="20"/>
    </w:rPr>
  </w:style>
  <w:style w:type="paragraph" w:styleId="HTMLPreformatted">
    <w:name w:val="HTML Preformatted"/>
    <w:basedOn w:val="Normal"/>
    <w:link w:val="HTMLPreformattedChar"/>
    <w:uiPriority w:val="98"/>
    <w:semiHidden/>
    <w:rsid w:val="007C7142"/>
    <w:rPr>
      <w:rFonts w:cs="Consolas"/>
    </w:rPr>
  </w:style>
  <w:style w:type="character" w:customStyle="1" w:styleId="HTMLPreformattedChar">
    <w:name w:val="HTML Preformatted Char"/>
    <w:basedOn w:val="DefaultParagraphFont"/>
    <w:link w:val="HTMLPreformatted"/>
    <w:uiPriority w:val="98"/>
    <w:rsid w:val="007C7142"/>
    <w:rPr>
      <w:rFonts w:asciiTheme="minorHAnsi" w:eastAsiaTheme="minorEastAsia" w:hAnsiTheme="minorHAnsi" w:cs="Consolas"/>
    </w:rPr>
  </w:style>
  <w:style w:type="character" w:styleId="HTMLSample">
    <w:name w:val="HTML Sample"/>
    <w:basedOn w:val="DefaultParagraphFont"/>
    <w:uiPriority w:val="98"/>
    <w:semiHidden/>
    <w:rsid w:val="007C7142"/>
    <w:rPr>
      <w:rFonts w:asciiTheme="minorHAnsi" w:eastAsiaTheme="minorEastAsia" w:hAnsiTheme="minorHAnsi" w:cs="Consolas"/>
      <w:sz w:val="24"/>
      <w:szCs w:val="24"/>
    </w:rPr>
  </w:style>
  <w:style w:type="character" w:styleId="HTMLTypewriter">
    <w:name w:val="HTML Typewriter"/>
    <w:basedOn w:val="DefaultParagraphFont"/>
    <w:uiPriority w:val="98"/>
    <w:semiHidden/>
    <w:rsid w:val="007C7142"/>
    <w:rPr>
      <w:rFonts w:asciiTheme="minorHAnsi" w:eastAsiaTheme="minorEastAsia" w:hAnsiTheme="minorHAnsi" w:cs="Consolas"/>
      <w:sz w:val="20"/>
      <w:szCs w:val="20"/>
    </w:rPr>
  </w:style>
  <w:style w:type="character" w:styleId="HTMLVariable">
    <w:name w:val="HTML Variable"/>
    <w:basedOn w:val="DefaultParagraphFont"/>
    <w:uiPriority w:val="98"/>
    <w:semiHidden/>
    <w:rsid w:val="007C7142"/>
    <w:rPr>
      <w:rFonts w:asciiTheme="minorHAnsi" w:eastAsiaTheme="minorEastAsia" w:hAnsiTheme="minorHAnsi"/>
      <w:i/>
      <w:iCs/>
    </w:rPr>
  </w:style>
  <w:style w:type="character" w:styleId="Hyperlink">
    <w:name w:val="Hyperlink"/>
    <w:basedOn w:val="DefaultParagraphFont"/>
    <w:uiPriority w:val="98"/>
    <w:semiHidden/>
    <w:rsid w:val="007C7142"/>
    <w:rPr>
      <w:rFonts w:asciiTheme="minorHAnsi" w:eastAsiaTheme="minorEastAsia" w:hAnsiTheme="minorHAnsi"/>
      <w:color w:val="0000FF" w:themeColor="hyperlink"/>
      <w:u w:val="single"/>
    </w:rPr>
  </w:style>
  <w:style w:type="paragraph" w:styleId="Index2">
    <w:name w:val="index 2"/>
    <w:basedOn w:val="Index1"/>
    <w:next w:val="Normal"/>
    <w:uiPriority w:val="98"/>
    <w:rsid w:val="00A1623F"/>
    <w:pPr>
      <w:ind w:left="400" w:hanging="200"/>
    </w:pPr>
  </w:style>
  <w:style w:type="paragraph" w:styleId="Index3">
    <w:name w:val="index 3"/>
    <w:basedOn w:val="Index1"/>
    <w:next w:val="Normal"/>
    <w:uiPriority w:val="98"/>
    <w:semiHidden/>
    <w:rsid w:val="00A1623F"/>
    <w:pPr>
      <w:ind w:left="600" w:hanging="200"/>
    </w:pPr>
  </w:style>
  <w:style w:type="paragraph" w:styleId="Index4">
    <w:name w:val="index 4"/>
    <w:basedOn w:val="Normal"/>
    <w:next w:val="Normal"/>
    <w:uiPriority w:val="98"/>
    <w:semiHidden/>
    <w:rsid w:val="007C7142"/>
    <w:pPr>
      <w:ind w:left="800" w:hanging="200"/>
    </w:pPr>
  </w:style>
  <w:style w:type="paragraph" w:styleId="Index5">
    <w:name w:val="index 5"/>
    <w:basedOn w:val="Normal"/>
    <w:next w:val="Normal"/>
    <w:uiPriority w:val="98"/>
    <w:semiHidden/>
    <w:rsid w:val="007C7142"/>
    <w:pPr>
      <w:ind w:left="1000" w:hanging="200"/>
    </w:pPr>
  </w:style>
  <w:style w:type="paragraph" w:styleId="Index6">
    <w:name w:val="index 6"/>
    <w:basedOn w:val="Normal"/>
    <w:next w:val="Normal"/>
    <w:uiPriority w:val="98"/>
    <w:semiHidden/>
    <w:rsid w:val="007C7142"/>
    <w:pPr>
      <w:ind w:left="1200" w:hanging="200"/>
    </w:pPr>
  </w:style>
  <w:style w:type="paragraph" w:styleId="Index7">
    <w:name w:val="index 7"/>
    <w:basedOn w:val="Normal"/>
    <w:next w:val="Normal"/>
    <w:uiPriority w:val="98"/>
    <w:semiHidden/>
    <w:rsid w:val="007C7142"/>
    <w:pPr>
      <w:ind w:left="1400" w:hanging="200"/>
    </w:pPr>
  </w:style>
  <w:style w:type="paragraph" w:styleId="Index8">
    <w:name w:val="index 8"/>
    <w:basedOn w:val="Normal"/>
    <w:next w:val="Normal"/>
    <w:uiPriority w:val="98"/>
    <w:semiHidden/>
    <w:rsid w:val="007C7142"/>
    <w:pPr>
      <w:ind w:left="1600" w:hanging="200"/>
    </w:pPr>
  </w:style>
  <w:style w:type="paragraph" w:styleId="Index9">
    <w:name w:val="index 9"/>
    <w:basedOn w:val="Normal"/>
    <w:next w:val="Normal"/>
    <w:uiPriority w:val="98"/>
    <w:semiHidden/>
    <w:rsid w:val="007C7142"/>
    <w:pPr>
      <w:ind w:left="1800" w:hanging="200"/>
    </w:pPr>
  </w:style>
  <w:style w:type="paragraph" w:styleId="IndexHeading">
    <w:name w:val="index heading"/>
    <w:basedOn w:val="Normal"/>
    <w:next w:val="Index1"/>
    <w:uiPriority w:val="30"/>
    <w:unhideWhenUsed/>
    <w:rsid w:val="007C7142"/>
    <w:rPr>
      <w:rFonts w:cstheme="majorBidi"/>
      <w:b/>
      <w:bCs/>
    </w:rPr>
  </w:style>
  <w:style w:type="character" w:styleId="IntenseEmphasis">
    <w:name w:val="Intense Emphasis"/>
    <w:basedOn w:val="DefaultParagraphFont"/>
    <w:uiPriority w:val="98"/>
    <w:rsid w:val="007C7142"/>
    <w:rPr>
      <w:rFonts w:asciiTheme="minorHAnsi" w:eastAsiaTheme="minorEastAsia" w:hAnsiTheme="minorHAnsi"/>
      <w:b/>
      <w:bCs/>
      <w:i/>
      <w:iCs/>
      <w:color w:val="DDDDDD" w:themeColor="accent1"/>
    </w:rPr>
  </w:style>
  <w:style w:type="paragraph" w:styleId="IntenseQuote">
    <w:name w:val="Intense Quote"/>
    <w:basedOn w:val="Normal"/>
    <w:next w:val="Normal"/>
    <w:link w:val="IntenseQuoteChar"/>
    <w:uiPriority w:val="98"/>
    <w:rsid w:val="007C7142"/>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98"/>
    <w:rsid w:val="007C7142"/>
    <w:rPr>
      <w:rFonts w:asciiTheme="minorHAnsi" w:eastAsiaTheme="minorEastAsia" w:hAnsiTheme="minorHAnsi"/>
      <w:b/>
      <w:bCs/>
      <w:i/>
      <w:iCs/>
      <w:color w:val="DDDDDD" w:themeColor="accent1"/>
    </w:rPr>
  </w:style>
  <w:style w:type="character" w:styleId="IntenseReference">
    <w:name w:val="Intense Reference"/>
    <w:basedOn w:val="DefaultParagraphFont"/>
    <w:uiPriority w:val="98"/>
    <w:rsid w:val="007C7142"/>
    <w:rPr>
      <w:rFonts w:asciiTheme="minorHAnsi" w:eastAsiaTheme="minorEastAsia" w:hAnsiTheme="minorHAnsi"/>
      <w:b/>
      <w:bCs/>
      <w:smallCaps/>
      <w:color w:val="B2B2B2" w:themeColor="accent2"/>
      <w:spacing w:val="5"/>
      <w:u w:val="single"/>
    </w:rPr>
  </w:style>
  <w:style w:type="table" w:styleId="LightGrid">
    <w:name w:val="Light Grid"/>
    <w:basedOn w:val="TableNormal"/>
    <w:uiPriority w:val="98"/>
    <w:rsid w:val="007C714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7C7142"/>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98"/>
    <w:rsid w:val="007C7142"/>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98"/>
    <w:rsid w:val="007C7142"/>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98"/>
    <w:rsid w:val="007C7142"/>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98"/>
    <w:rsid w:val="007C7142"/>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8"/>
    <w:rsid w:val="007C7142"/>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8"/>
    <w:rsid w:val="007C714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7C7142"/>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98"/>
    <w:rsid w:val="007C7142"/>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98"/>
    <w:rsid w:val="007C7142"/>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98"/>
    <w:rsid w:val="007C7142"/>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98"/>
    <w:rsid w:val="007C7142"/>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8"/>
    <w:rsid w:val="007C7142"/>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8"/>
    <w:rsid w:val="007C714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7C7142"/>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98"/>
    <w:rsid w:val="007C7142"/>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98"/>
    <w:rsid w:val="007C7142"/>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98"/>
    <w:rsid w:val="007C7142"/>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98"/>
    <w:rsid w:val="007C7142"/>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8"/>
    <w:rsid w:val="007C7142"/>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7C7142"/>
    <w:rPr>
      <w:rFonts w:asciiTheme="minorHAnsi" w:eastAsiaTheme="minorEastAsia" w:hAnsiTheme="minorHAnsi"/>
    </w:rPr>
  </w:style>
  <w:style w:type="paragraph" w:styleId="List">
    <w:name w:val="List"/>
    <w:basedOn w:val="Normal"/>
    <w:uiPriority w:val="98"/>
    <w:semiHidden/>
    <w:rsid w:val="007C7142"/>
    <w:pPr>
      <w:ind w:left="283" w:hanging="283"/>
      <w:contextualSpacing/>
    </w:pPr>
  </w:style>
  <w:style w:type="paragraph" w:styleId="List2">
    <w:name w:val="List 2"/>
    <w:basedOn w:val="Normal"/>
    <w:uiPriority w:val="98"/>
    <w:semiHidden/>
    <w:rsid w:val="007C7142"/>
    <w:pPr>
      <w:ind w:left="566" w:hanging="283"/>
      <w:contextualSpacing/>
    </w:pPr>
  </w:style>
  <w:style w:type="paragraph" w:styleId="List3">
    <w:name w:val="List 3"/>
    <w:basedOn w:val="Normal"/>
    <w:uiPriority w:val="98"/>
    <w:semiHidden/>
    <w:rsid w:val="007C7142"/>
    <w:pPr>
      <w:ind w:left="849" w:hanging="283"/>
      <w:contextualSpacing/>
    </w:pPr>
  </w:style>
  <w:style w:type="paragraph" w:styleId="List4">
    <w:name w:val="List 4"/>
    <w:basedOn w:val="Normal"/>
    <w:uiPriority w:val="98"/>
    <w:semiHidden/>
    <w:rsid w:val="007C7142"/>
    <w:pPr>
      <w:ind w:left="1132" w:hanging="283"/>
      <w:contextualSpacing/>
    </w:pPr>
  </w:style>
  <w:style w:type="paragraph" w:styleId="List5">
    <w:name w:val="List 5"/>
    <w:basedOn w:val="Normal"/>
    <w:uiPriority w:val="98"/>
    <w:semiHidden/>
    <w:rsid w:val="007C7142"/>
    <w:pPr>
      <w:ind w:left="1415" w:hanging="283"/>
      <w:contextualSpacing/>
    </w:pPr>
  </w:style>
  <w:style w:type="paragraph" w:styleId="ListBullet">
    <w:name w:val="List Bullet"/>
    <w:basedOn w:val="Normal"/>
    <w:uiPriority w:val="98"/>
    <w:semiHidden/>
    <w:rsid w:val="007C7142"/>
    <w:pPr>
      <w:numPr>
        <w:numId w:val="3"/>
      </w:numPr>
      <w:contextualSpacing/>
    </w:pPr>
  </w:style>
  <w:style w:type="paragraph" w:styleId="ListBullet2">
    <w:name w:val="List Bullet 2"/>
    <w:basedOn w:val="Normal"/>
    <w:uiPriority w:val="98"/>
    <w:semiHidden/>
    <w:rsid w:val="007C7142"/>
    <w:pPr>
      <w:numPr>
        <w:numId w:val="4"/>
      </w:numPr>
      <w:contextualSpacing/>
    </w:pPr>
  </w:style>
  <w:style w:type="paragraph" w:styleId="ListBullet3">
    <w:name w:val="List Bullet 3"/>
    <w:basedOn w:val="Normal"/>
    <w:uiPriority w:val="98"/>
    <w:semiHidden/>
    <w:rsid w:val="007C7142"/>
    <w:pPr>
      <w:numPr>
        <w:numId w:val="5"/>
      </w:numPr>
      <w:contextualSpacing/>
    </w:pPr>
  </w:style>
  <w:style w:type="paragraph" w:styleId="ListBullet4">
    <w:name w:val="List Bullet 4"/>
    <w:basedOn w:val="Normal"/>
    <w:uiPriority w:val="98"/>
    <w:semiHidden/>
    <w:rsid w:val="007C7142"/>
    <w:pPr>
      <w:numPr>
        <w:numId w:val="6"/>
      </w:numPr>
      <w:contextualSpacing/>
    </w:pPr>
  </w:style>
  <w:style w:type="paragraph" w:styleId="ListBullet5">
    <w:name w:val="List Bullet 5"/>
    <w:basedOn w:val="Normal"/>
    <w:uiPriority w:val="98"/>
    <w:semiHidden/>
    <w:rsid w:val="007C7142"/>
    <w:pPr>
      <w:numPr>
        <w:numId w:val="7"/>
      </w:numPr>
      <w:contextualSpacing/>
    </w:pPr>
  </w:style>
  <w:style w:type="paragraph" w:styleId="ListContinue">
    <w:name w:val="List Continue"/>
    <w:basedOn w:val="Normal"/>
    <w:uiPriority w:val="98"/>
    <w:semiHidden/>
    <w:rsid w:val="007C7142"/>
    <w:pPr>
      <w:spacing w:after="120"/>
      <w:ind w:left="283"/>
      <w:contextualSpacing/>
    </w:pPr>
  </w:style>
  <w:style w:type="paragraph" w:styleId="ListContinue2">
    <w:name w:val="List Continue 2"/>
    <w:basedOn w:val="Normal"/>
    <w:uiPriority w:val="98"/>
    <w:semiHidden/>
    <w:rsid w:val="007C7142"/>
    <w:pPr>
      <w:spacing w:after="120"/>
      <w:ind w:left="566"/>
      <w:contextualSpacing/>
    </w:pPr>
  </w:style>
  <w:style w:type="paragraph" w:styleId="ListContinue3">
    <w:name w:val="List Continue 3"/>
    <w:basedOn w:val="Normal"/>
    <w:uiPriority w:val="98"/>
    <w:semiHidden/>
    <w:rsid w:val="007C7142"/>
    <w:pPr>
      <w:spacing w:after="120"/>
      <w:ind w:left="849"/>
      <w:contextualSpacing/>
    </w:pPr>
  </w:style>
  <w:style w:type="paragraph" w:styleId="ListContinue4">
    <w:name w:val="List Continue 4"/>
    <w:basedOn w:val="Normal"/>
    <w:uiPriority w:val="98"/>
    <w:semiHidden/>
    <w:rsid w:val="007C7142"/>
    <w:pPr>
      <w:spacing w:after="120"/>
      <w:ind w:left="1132"/>
      <w:contextualSpacing/>
    </w:pPr>
  </w:style>
  <w:style w:type="paragraph" w:styleId="ListContinue5">
    <w:name w:val="List Continue 5"/>
    <w:basedOn w:val="Normal"/>
    <w:uiPriority w:val="98"/>
    <w:semiHidden/>
    <w:rsid w:val="007C7142"/>
    <w:pPr>
      <w:spacing w:after="120"/>
      <w:ind w:left="1415"/>
      <w:contextualSpacing/>
    </w:pPr>
  </w:style>
  <w:style w:type="paragraph" w:styleId="ListNumber">
    <w:name w:val="List Number"/>
    <w:basedOn w:val="Normal"/>
    <w:uiPriority w:val="98"/>
    <w:semiHidden/>
    <w:rsid w:val="007C7142"/>
    <w:pPr>
      <w:numPr>
        <w:numId w:val="8"/>
      </w:numPr>
      <w:contextualSpacing/>
    </w:pPr>
  </w:style>
  <w:style w:type="paragraph" w:styleId="ListNumber2">
    <w:name w:val="List Number 2"/>
    <w:basedOn w:val="Normal"/>
    <w:uiPriority w:val="98"/>
    <w:semiHidden/>
    <w:rsid w:val="007C7142"/>
    <w:pPr>
      <w:numPr>
        <w:numId w:val="9"/>
      </w:numPr>
      <w:contextualSpacing/>
    </w:pPr>
  </w:style>
  <w:style w:type="paragraph" w:styleId="ListNumber3">
    <w:name w:val="List Number 3"/>
    <w:basedOn w:val="Normal"/>
    <w:uiPriority w:val="98"/>
    <w:semiHidden/>
    <w:rsid w:val="007C7142"/>
    <w:pPr>
      <w:numPr>
        <w:numId w:val="10"/>
      </w:numPr>
      <w:contextualSpacing/>
    </w:pPr>
  </w:style>
  <w:style w:type="paragraph" w:styleId="ListNumber4">
    <w:name w:val="List Number 4"/>
    <w:basedOn w:val="Normal"/>
    <w:uiPriority w:val="98"/>
    <w:semiHidden/>
    <w:rsid w:val="007C7142"/>
    <w:pPr>
      <w:numPr>
        <w:numId w:val="11"/>
      </w:numPr>
      <w:contextualSpacing/>
    </w:pPr>
  </w:style>
  <w:style w:type="paragraph" w:styleId="ListNumber5">
    <w:name w:val="List Number 5"/>
    <w:basedOn w:val="Normal"/>
    <w:uiPriority w:val="98"/>
    <w:semiHidden/>
    <w:rsid w:val="007C7142"/>
    <w:pPr>
      <w:numPr>
        <w:numId w:val="12"/>
      </w:numPr>
      <w:contextualSpacing/>
    </w:pPr>
  </w:style>
  <w:style w:type="paragraph" w:styleId="ListParagraph">
    <w:name w:val="List Paragraph"/>
    <w:basedOn w:val="Normal"/>
    <w:uiPriority w:val="98"/>
    <w:qFormat/>
    <w:rsid w:val="007C7142"/>
    <w:pPr>
      <w:ind w:left="720"/>
      <w:contextualSpacing/>
    </w:pPr>
  </w:style>
  <w:style w:type="paragraph" w:styleId="MacroText">
    <w:name w:val="macro"/>
    <w:link w:val="MacroTextChar"/>
    <w:uiPriority w:val="98"/>
    <w:semiHidden/>
    <w:rsid w:val="007C7142"/>
    <w:pPr>
      <w:tabs>
        <w:tab w:val="left" w:pos="480"/>
        <w:tab w:val="left" w:pos="960"/>
        <w:tab w:val="left" w:pos="1440"/>
        <w:tab w:val="left" w:pos="1920"/>
        <w:tab w:val="left" w:pos="2400"/>
        <w:tab w:val="left" w:pos="2880"/>
        <w:tab w:val="left" w:pos="3360"/>
        <w:tab w:val="left" w:pos="3840"/>
        <w:tab w:val="left" w:pos="4320"/>
      </w:tabs>
    </w:pPr>
    <w:rPr>
      <w:rFonts w:asciiTheme="minorHAnsi" w:eastAsiaTheme="minorEastAsia" w:hAnsiTheme="minorHAnsi" w:cs="Consolas"/>
    </w:rPr>
  </w:style>
  <w:style w:type="character" w:customStyle="1" w:styleId="MacroTextChar">
    <w:name w:val="Macro Text Char"/>
    <w:basedOn w:val="DefaultParagraphFont"/>
    <w:link w:val="MacroText"/>
    <w:uiPriority w:val="98"/>
    <w:rsid w:val="007C7142"/>
    <w:rPr>
      <w:rFonts w:asciiTheme="minorHAnsi" w:eastAsiaTheme="minorEastAsia" w:hAnsiTheme="minorHAnsi" w:cs="Consolas"/>
    </w:rPr>
  </w:style>
  <w:style w:type="table" w:styleId="MediumGrid1">
    <w:name w:val="Medium Grid 1"/>
    <w:basedOn w:val="TableNormal"/>
    <w:uiPriority w:val="98"/>
    <w:rsid w:val="007C714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7C7142"/>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98"/>
    <w:rsid w:val="007C7142"/>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98"/>
    <w:rsid w:val="007C7142"/>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98"/>
    <w:rsid w:val="007C7142"/>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98"/>
    <w:rsid w:val="007C7142"/>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8"/>
    <w:rsid w:val="007C7142"/>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8"/>
    <w:rsid w:val="007C7142"/>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7C7142"/>
    <w:rPr>
      <w:rFonts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7C7142"/>
    <w:rPr>
      <w:rFonts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7C7142"/>
    <w:rPr>
      <w:rFonts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7C7142"/>
    <w:rPr>
      <w:rFonts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7C7142"/>
    <w:rPr>
      <w:rFonts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7C7142"/>
    <w:rPr>
      <w:rFonts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7C71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7C71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98"/>
    <w:rsid w:val="007C71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98"/>
    <w:rsid w:val="007C71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98"/>
    <w:rsid w:val="007C71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98"/>
    <w:rsid w:val="007C71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98"/>
    <w:rsid w:val="007C71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98"/>
    <w:rsid w:val="007C714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7C7142"/>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98"/>
    <w:rsid w:val="007C7142"/>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98"/>
    <w:rsid w:val="007C7142"/>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98"/>
    <w:rsid w:val="007C7142"/>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98"/>
    <w:rsid w:val="007C7142"/>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8"/>
    <w:rsid w:val="007C7142"/>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8"/>
    <w:rsid w:val="007C7142"/>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7C7142"/>
    <w:rPr>
      <w:rFonts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7C7142"/>
    <w:rPr>
      <w:rFonts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7C7142"/>
    <w:rPr>
      <w:rFonts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7C7142"/>
    <w:rPr>
      <w:rFonts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7C7142"/>
    <w:rPr>
      <w:rFonts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7C7142"/>
    <w:rPr>
      <w:rFonts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7C714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7C7142"/>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7C7142"/>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7C7142"/>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7C7142"/>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7C7142"/>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7C7142"/>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7C71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7C71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7C71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7C71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7C71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7C71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7C71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rsid w:val="007C7142"/>
    <w:pPr>
      <w:pBdr>
        <w:top w:val="single" w:sz="6" w:space="1" w:color="auto"/>
        <w:left w:val="single" w:sz="6" w:space="1" w:color="auto"/>
        <w:bottom w:val="single" w:sz="6" w:space="1" w:color="auto"/>
        <w:right w:val="single" w:sz="6" w:space="1" w:color="auto"/>
      </w:pBdr>
      <w:shd w:val="pct20" w:color="auto" w:fill="auto"/>
      <w:ind w:left="1134" w:hanging="1134"/>
    </w:pPr>
    <w:rPr>
      <w:rFonts w:cstheme="majorBidi"/>
      <w:sz w:val="24"/>
      <w:szCs w:val="24"/>
    </w:rPr>
  </w:style>
  <w:style w:type="character" w:customStyle="1" w:styleId="MessageHeaderChar">
    <w:name w:val="Message Header Char"/>
    <w:basedOn w:val="DefaultParagraphFont"/>
    <w:link w:val="MessageHeader"/>
    <w:uiPriority w:val="98"/>
    <w:rsid w:val="007C7142"/>
    <w:rPr>
      <w:rFonts w:asciiTheme="minorHAnsi" w:eastAsiaTheme="minorEastAsia" w:hAnsiTheme="minorHAnsi" w:cstheme="majorBidi"/>
      <w:sz w:val="24"/>
      <w:szCs w:val="24"/>
      <w:shd w:val="pct20" w:color="auto" w:fill="auto"/>
    </w:rPr>
  </w:style>
  <w:style w:type="paragraph" w:styleId="NoSpacing">
    <w:name w:val="No Spacing"/>
    <w:uiPriority w:val="98"/>
    <w:rsid w:val="007C7142"/>
    <w:rPr>
      <w:rFonts w:asciiTheme="minorHAnsi" w:eastAsiaTheme="minorEastAsia" w:hAnsiTheme="minorHAnsi"/>
    </w:rPr>
  </w:style>
  <w:style w:type="paragraph" w:styleId="NormalWeb">
    <w:name w:val="Normal (Web)"/>
    <w:basedOn w:val="Normal"/>
    <w:uiPriority w:val="99"/>
    <w:semiHidden/>
    <w:rsid w:val="007C7142"/>
    <w:rPr>
      <w:sz w:val="24"/>
      <w:szCs w:val="24"/>
    </w:rPr>
  </w:style>
  <w:style w:type="paragraph" w:styleId="NormalIndent">
    <w:name w:val="Normal Indent"/>
    <w:basedOn w:val="Normal"/>
    <w:uiPriority w:val="98"/>
    <w:semiHidden/>
    <w:rsid w:val="007C7142"/>
    <w:pPr>
      <w:ind w:left="720"/>
    </w:pPr>
  </w:style>
  <w:style w:type="paragraph" w:customStyle="1" w:styleId="NoteHeading1">
    <w:name w:val="Note Heading1"/>
    <w:basedOn w:val="Normal"/>
    <w:next w:val="Normal"/>
    <w:link w:val="NoteHeadingChar"/>
    <w:uiPriority w:val="98"/>
    <w:semiHidden/>
    <w:rsid w:val="007C7142"/>
  </w:style>
  <w:style w:type="character" w:customStyle="1" w:styleId="NoteHeadingChar">
    <w:name w:val="Note Heading Char"/>
    <w:basedOn w:val="DefaultParagraphFont"/>
    <w:link w:val="NoteHeading1"/>
    <w:uiPriority w:val="98"/>
    <w:rsid w:val="007C7142"/>
    <w:rPr>
      <w:rFonts w:asciiTheme="minorHAnsi" w:eastAsiaTheme="minorEastAsia" w:hAnsiTheme="minorHAnsi"/>
    </w:rPr>
  </w:style>
  <w:style w:type="character" w:styleId="PageNumber">
    <w:name w:val="page number"/>
    <w:basedOn w:val="DefaultParagraphFont"/>
    <w:uiPriority w:val="98"/>
    <w:rsid w:val="007C7142"/>
    <w:rPr>
      <w:rFonts w:asciiTheme="minorHAnsi" w:eastAsiaTheme="minorEastAsia" w:hAnsiTheme="minorHAnsi"/>
    </w:rPr>
  </w:style>
  <w:style w:type="character" w:styleId="PlaceholderText">
    <w:name w:val="Placeholder Text"/>
    <w:basedOn w:val="DefaultParagraphFont"/>
    <w:uiPriority w:val="98"/>
    <w:semiHidden/>
    <w:rsid w:val="007C7142"/>
    <w:rPr>
      <w:rFonts w:asciiTheme="minorHAnsi" w:eastAsiaTheme="minorEastAsia" w:hAnsiTheme="minorHAnsi"/>
      <w:color w:val="808080"/>
    </w:rPr>
  </w:style>
  <w:style w:type="paragraph" w:styleId="PlainText">
    <w:name w:val="Plain Text"/>
    <w:basedOn w:val="Normal"/>
    <w:link w:val="PlainTextChar"/>
    <w:uiPriority w:val="98"/>
    <w:semiHidden/>
    <w:rsid w:val="007C7142"/>
    <w:rPr>
      <w:rFonts w:cs="Consolas"/>
      <w:sz w:val="21"/>
      <w:szCs w:val="21"/>
    </w:rPr>
  </w:style>
  <w:style w:type="character" w:customStyle="1" w:styleId="PlainTextChar">
    <w:name w:val="Plain Text Char"/>
    <w:basedOn w:val="DefaultParagraphFont"/>
    <w:link w:val="PlainText"/>
    <w:uiPriority w:val="98"/>
    <w:rsid w:val="007C7142"/>
    <w:rPr>
      <w:rFonts w:asciiTheme="minorHAnsi" w:eastAsiaTheme="minorEastAsia" w:hAnsiTheme="minorHAnsi" w:cs="Consolas"/>
      <w:sz w:val="21"/>
      <w:szCs w:val="21"/>
    </w:rPr>
  </w:style>
  <w:style w:type="paragraph" w:styleId="Quote">
    <w:name w:val="Quote"/>
    <w:basedOn w:val="Normal"/>
    <w:next w:val="Normal"/>
    <w:link w:val="QuoteChar"/>
    <w:uiPriority w:val="98"/>
    <w:rsid w:val="007C7142"/>
    <w:rPr>
      <w:i/>
      <w:iCs/>
      <w:color w:val="000000" w:themeColor="text1"/>
    </w:rPr>
  </w:style>
  <w:style w:type="character" w:customStyle="1" w:styleId="QuoteChar">
    <w:name w:val="Quote Char"/>
    <w:basedOn w:val="DefaultParagraphFont"/>
    <w:link w:val="Quote"/>
    <w:uiPriority w:val="98"/>
    <w:rsid w:val="007C7142"/>
    <w:rPr>
      <w:rFonts w:asciiTheme="minorHAnsi" w:eastAsiaTheme="minorEastAsia" w:hAnsiTheme="minorHAnsi"/>
      <w:i/>
      <w:iCs/>
      <w:color w:val="000000" w:themeColor="text1"/>
    </w:rPr>
  </w:style>
  <w:style w:type="paragraph" w:styleId="Salutation">
    <w:name w:val="Salutation"/>
    <w:basedOn w:val="Normal"/>
    <w:next w:val="Normal"/>
    <w:link w:val="SalutationChar"/>
    <w:uiPriority w:val="98"/>
    <w:semiHidden/>
    <w:rsid w:val="007C7142"/>
  </w:style>
  <w:style w:type="character" w:customStyle="1" w:styleId="SalutationChar">
    <w:name w:val="Salutation Char"/>
    <w:basedOn w:val="DefaultParagraphFont"/>
    <w:link w:val="Salutation"/>
    <w:uiPriority w:val="98"/>
    <w:rsid w:val="007C7142"/>
    <w:rPr>
      <w:rFonts w:asciiTheme="minorHAnsi" w:eastAsiaTheme="minorEastAsia" w:hAnsiTheme="minorHAnsi"/>
    </w:rPr>
  </w:style>
  <w:style w:type="paragraph" w:styleId="Signature">
    <w:name w:val="Signature"/>
    <w:basedOn w:val="Normal"/>
    <w:link w:val="SignatureChar"/>
    <w:uiPriority w:val="98"/>
    <w:semiHidden/>
    <w:rsid w:val="007C7142"/>
    <w:pPr>
      <w:ind w:left="4252"/>
    </w:pPr>
  </w:style>
  <w:style w:type="character" w:customStyle="1" w:styleId="SignatureChar">
    <w:name w:val="Signature Char"/>
    <w:basedOn w:val="DefaultParagraphFont"/>
    <w:link w:val="Signature"/>
    <w:uiPriority w:val="98"/>
    <w:rsid w:val="007C7142"/>
    <w:rPr>
      <w:rFonts w:asciiTheme="minorHAnsi" w:eastAsiaTheme="minorEastAsia" w:hAnsiTheme="minorHAnsi"/>
    </w:rPr>
  </w:style>
  <w:style w:type="character" w:styleId="Strong">
    <w:name w:val="Strong"/>
    <w:basedOn w:val="DefaultParagraphFont"/>
    <w:uiPriority w:val="98"/>
    <w:rsid w:val="007C7142"/>
    <w:rPr>
      <w:rFonts w:asciiTheme="minorHAnsi" w:eastAsiaTheme="minorEastAsia" w:hAnsiTheme="minorHAnsi"/>
      <w:b/>
      <w:bCs/>
    </w:rPr>
  </w:style>
  <w:style w:type="paragraph" w:styleId="Subtitle">
    <w:name w:val="Subtitle"/>
    <w:basedOn w:val="Normal"/>
    <w:next w:val="Normal"/>
    <w:link w:val="SubtitleChar"/>
    <w:uiPriority w:val="98"/>
    <w:rsid w:val="007C7142"/>
    <w:pPr>
      <w:numPr>
        <w:ilvl w:val="1"/>
      </w:numPr>
    </w:pPr>
    <w:rPr>
      <w:rFonts w:cstheme="majorBidi"/>
      <w:i/>
      <w:iCs/>
      <w:color w:val="DDDDDD" w:themeColor="accent1"/>
      <w:spacing w:val="15"/>
      <w:sz w:val="24"/>
      <w:szCs w:val="24"/>
    </w:rPr>
  </w:style>
  <w:style w:type="character" w:customStyle="1" w:styleId="SubtitleChar">
    <w:name w:val="Subtitle Char"/>
    <w:basedOn w:val="DefaultParagraphFont"/>
    <w:link w:val="Subtitle"/>
    <w:uiPriority w:val="98"/>
    <w:rsid w:val="007C7142"/>
    <w:rPr>
      <w:rFonts w:asciiTheme="minorHAnsi" w:eastAsiaTheme="minorEastAsia" w:hAnsiTheme="minorHAnsi" w:cstheme="majorBidi"/>
      <w:i/>
      <w:iCs/>
      <w:color w:val="DDDDDD" w:themeColor="accent1"/>
      <w:spacing w:val="15"/>
      <w:sz w:val="24"/>
      <w:szCs w:val="24"/>
    </w:rPr>
  </w:style>
  <w:style w:type="character" w:styleId="SubtleEmphasis">
    <w:name w:val="Subtle Emphasis"/>
    <w:basedOn w:val="DefaultParagraphFont"/>
    <w:uiPriority w:val="98"/>
    <w:rsid w:val="007C7142"/>
    <w:rPr>
      <w:rFonts w:asciiTheme="minorHAnsi" w:eastAsiaTheme="minorEastAsia" w:hAnsiTheme="minorHAnsi"/>
      <w:i/>
      <w:iCs/>
      <w:color w:val="808080" w:themeColor="text1" w:themeTint="7F"/>
    </w:rPr>
  </w:style>
  <w:style w:type="character" w:styleId="SubtleReference">
    <w:name w:val="Subtle Reference"/>
    <w:basedOn w:val="DefaultParagraphFont"/>
    <w:uiPriority w:val="98"/>
    <w:rsid w:val="007C7142"/>
    <w:rPr>
      <w:rFonts w:asciiTheme="minorHAnsi" w:eastAsiaTheme="minorEastAsia" w:hAnsiTheme="minorHAnsi"/>
      <w:smallCaps/>
      <w:color w:val="B2B2B2" w:themeColor="accent2"/>
      <w:u w:val="single"/>
    </w:rPr>
  </w:style>
  <w:style w:type="table" w:styleId="Table3Deffects1">
    <w:name w:val="Table 3D effects 1"/>
    <w:basedOn w:val="TableNormal"/>
    <w:uiPriority w:val="98"/>
    <w:semiHidden/>
    <w:rsid w:val="007C71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rsid w:val="007C71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rsid w:val="007C714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rsid w:val="007C71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rsid w:val="007C714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rsid w:val="007C714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rsid w:val="007C714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semiHidden/>
    <w:rsid w:val="007C714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semiHidden/>
    <w:rsid w:val="007C714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semiHidden/>
    <w:rsid w:val="007C714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rsid w:val="007C714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rsid w:val="007C714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rsid w:val="007C714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rsid w:val="007C714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7C714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7C714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rsid w:val="007C714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8"/>
    <w:rsid w:val="007C7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8"/>
    <w:semiHidden/>
    <w:rsid w:val="007C71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rsid w:val="007C714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rsid w:val="007C714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rsid w:val="007C714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rsid w:val="007C714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rsid w:val="007C714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rsid w:val="007C714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rsid w:val="007C714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semiHidden/>
    <w:rsid w:val="007C714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rsid w:val="007C714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rsid w:val="007C714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rsid w:val="007C714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rsid w:val="007C714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rsid w:val="007C714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rsid w:val="007C714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rsid w:val="007C714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7C7142"/>
    <w:pPr>
      <w:ind w:left="200" w:hanging="200"/>
    </w:pPr>
  </w:style>
  <w:style w:type="paragraph" w:styleId="TableofFigures">
    <w:name w:val="table of figures"/>
    <w:basedOn w:val="Normal"/>
    <w:next w:val="Normal"/>
    <w:uiPriority w:val="98"/>
    <w:semiHidden/>
    <w:rsid w:val="007C7142"/>
  </w:style>
  <w:style w:type="table" w:styleId="TableProfessional">
    <w:name w:val="Table Professional"/>
    <w:basedOn w:val="TableNormal"/>
    <w:uiPriority w:val="98"/>
    <w:semiHidden/>
    <w:rsid w:val="007C71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rsid w:val="007C714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rsid w:val="007C714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rsid w:val="007C714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rsid w:val="007C714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rsid w:val="007C714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rsid w:val="007C7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rsid w:val="007C714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rsid w:val="007C714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rsid w:val="007C714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rsid w:val="007C7142"/>
    <w:pPr>
      <w:pBdr>
        <w:bottom w:val="single" w:sz="8" w:space="4" w:color="DDDDDD" w:themeColor="accent1"/>
      </w:pBdr>
      <w:spacing w:after="300"/>
      <w:contextualSpacing/>
    </w:pPr>
    <w:rPr>
      <w:rFonts w:cstheme="majorBidi"/>
      <w:color w:val="000000" w:themeColor="text2" w:themeShade="BF"/>
      <w:spacing w:val="5"/>
      <w:kern w:val="28"/>
      <w:sz w:val="52"/>
      <w:szCs w:val="52"/>
    </w:rPr>
  </w:style>
  <w:style w:type="character" w:customStyle="1" w:styleId="TitleChar">
    <w:name w:val="Title Char"/>
    <w:basedOn w:val="DefaultParagraphFont"/>
    <w:link w:val="Title"/>
    <w:uiPriority w:val="98"/>
    <w:rsid w:val="007C7142"/>
    <w:rPr>
      <w:rFonts w:asciiTheme="minorHAnsi" w:eastAsiaTheme="minorEastAsia" w:hAnsiTheme="minorHAnsi" w:cstheme="majorBidi"/>
      <w:color w:val="000000" w:themeColor="text2" w:themeShade="BF"/>
      <w:spacing w:val="5"/>
      <w:kern w:val="28"/>
      <w:sz w:val="52"/>
      <w:szCs w:val="52"/>
    </w:rPr>
  </w:style>
  <w:style w:type="paragraph" w:styleId="TOAHeading">
    <w:name w:val="toa heading"/>
    <w:basedOn w:val="Normal"/>
    <w:next w:val="Normal"/>
    <w:uiPriority w:val="98"/>
    <w:semiHidden/>
    <w:rsid w:val="007C7142"/>
    <w:pPr>
      <w:spacing w:before="120"/>
    </w:pPr>
    <w:rPr>
      <w:rFonts w:cstheme="majorBidi"/>
      <w:b/>
      <w:bCs/>
      <w:sz w:val="24"/>
      <w:szCs w:val="24"/>
    </w:rPr>
  </w:style>
  <w:style w:type="paragraph" w:styleId="TOC1">
    <w:name w:val="toc 1"/>
    <w:basedOn w:val="NormalOCAshurst"/>
    <w:next w:val="NormalOCAshurst"/>
    <w:uiPriority w:val="39"/>
    <w:rsid w:val="00BB20F4"/>
    <w:pPr>
      <w:tabs>
        <w:tab w:val="right" w:leader="dot" w:pos="8364"/>
      </w:tabs>
      <w:spacing w:after="0"/>
      <w:ind w:right="227"/>
    </w:pPr>
    <w:rPr>
      <w:rFonts w:eastAsia="Times New Roman"/>
      <w:caps/>
    </w:rPr>
  </w:style>
  <w:style w:type="paragraph" w:styleId="TOC2">
    <w:name w:val="toc 2"/>
    <w:basedOn w:val="TOC1"/>
    <w:next w:val="NormalOCAshurst"/>
    <w:uiPriority w:val="98"/>
    <w:rsid w:val="003266B1"/>
    <w:pPr>
      <w:tabs>
        <w:tab w:val="left" w:pos="709"/>
      </w:tabs>
      <w:ind w:left="709" w:hanging="709"/>
    </w:pPr>
    <w:rPr>
      <w:caps w:val="0"/>
    </w:rPr>
  </w:style>
  <w:style w:type="paragraph" w:styleId="TOC3">
    <w:name w:val="toc 3"/>
    <w:basedOn w:val="TOC1"/>
    <w:next w:val="NormalOCAshurst"/>
    <w:uiPriority w:val="98"/>
    <w:rsid w:val="00EC7543"/>
    <w:rPr>
      <w:caps w:val="0"/>
    </w:rPr>
  </w:style>
  <w:style w:type="paragraph" w:styleId="TOC4">
    <w:name w:val="toc 4"/>
    <w:basedOn w:val="TOC1"/>
    <w:next w:val="NormalOCAshurst"/>
    <w:uiPriority w:val="98"/>
    <w:rsid w:val="008B68F0"/>
    <w:rPr>
      <w:caps w:val="0"/>
    </w:rPr>
  </w:style>
  <w:style w:type="paragraph" w:styleId="TOC5">
    <w:name w:val="toc 5"/>
    <w:basedOn w:val="Normal"/>
    <w:next w:val="Normal"/>
    <w:uiPriority w:val="98"/>
    <w:rsid w:val="0053207F"/>
    <w:pPr>
      <w:ind w:left="800"/>
    </w:pPr>
    <w:rPr>
      <w:rFonts w:eastAsia="Times New Roman"/>
      <w:lang w:eastAsia="en-GB"/>
    </w:rPr>
  </w:style>
  <w:style w:type="paragraph" w:styleId="TOC6">
    <w:name w:val="toc 6"/>
    <w:basedOn w:val="Normal"/>
    <w:next w:val="Normal"/>
    <w:uiPriority w:val="98"/>
    <w:rsid w:val="00626B67"/>
    <w:pPr>
      <w:ind w:left="1000"/>
    </w:pPr>
    <w:rPr>
      <w:rFonts w:eastAsia="Times New Roman"/>
      <w:lang w:eastAsia="en-GB"/>
    </w:rPr>
  </w:style>
  <w:style w:type="paragraph" w:styleId="TOC7">
    <w:name w:val="toc 7"/>
    <w:basedOn w:val="Normal"/>
    <w:next w:val="Normal"/>
    <w:uiPriority w:val="98"/>
    <w:rsid w:val="00EE3D0D"/>
    <w:pPr>
      <w:ind w:left="1200"/>
    </w:pPr>
    <w:rPr>
      <w:rFonts w:eastAsia="Times New Roman"/>
      <w:lang w:eastAsia="en-GB"/>
    </w:rPr>
  </w:style>
  <w:style w:type="paragraph" w:styleId="TOC8">
    <w:name w:val="toc 8"/>
    <w:basedOn w:val="Normal"/>
    <w:next w:val="Normal"/>
    <w:uiPriority w:val="98"/>
    <w:rsid w:val="004B4B81"/>
    <w:pPr>
      <w:ind w:left="1400"/>
    </w:pPr>
    <w:rPr>
      <w:rFonts w:eastAsia="Times New Roman"/>
      <w:lang w:eastAsia="en-GB"/>
    </w:rPr>
  </w:style>
  <w:style w:type="paragraph" w:styleId="TOC9">
    <w:name w:val="toc 9"/>
    <w:basedOn w:val="Normal"/>
    <w:next w:val="Normal"/>
    <w:uiPriority w:val="98"/>
    <w:rsid w:val="00A20994"/>
    <w:pPr>
      <w:ind w:left="1600"/>
    </w:pPr>
    <w:rPr>
      <w:rFonts w:eastAsia="Times New Roman"/>
      <w:lang w:eastAsia="en-GB"/>
    </w:rPr>
  </w:style>
  <w:style w:type="paragraph" w:styleId="TOCHeading">
    <w:name w:val="TOC Heading"/>
    <w:basedOn w:val="Heading1"/>
    <w:next w:val="Normal"/>
    <w:uiPriority w:val="98"/>
    <w:rsid w:val="007C7142"/>
    <w:pPr>
      <w:keepLines/>
      <w:numPr>
        <w:numId w:val="0"/>
      </w:numPr>
      <w:spacing w:before="480" w:after="0"/>
      <w:outlineLvl w:val="9"/>
    </w:pPr>
    <w:rPr>
      <w:rFonts w:cstheme="majorBidi"/>
      <w:color w:val="A5A5A5" w:themeColor="accent1" w:themeShade="BF"/>
      <w:kern w:val="0"/>
      <w:sz w:val="28"/>
      <w:szCs w:val="28"/>
    </w:rPr>
  </w:style>
  <w:style w:type="paragraph" w:customStyle="1" w:styleId="OCTable1Ashurst">
    <w:name w:val="OCTable1_Ashurst"/>
    <w:basedOn w:val="NormalOCAshurst"/>
    <w:next w:val="OCTable1BodyAshurst"/>
    <w:uiPriority w:val="79"/>
    <w:rsid w:val="00783CAC"/>
    <w:pPr>
      <w:numPr>
        <w:numId w:val="20"/>
      </w:numPr>
    </w:pPr>
  </w:style>
  <w:style w:type="paragraph" w:customStyle="1" w:styleId="OCTable2Ashurst">
    <w:name w:val="OCTable2_Ashurst"/>
    <w:basedOn w:val="NormalOCAshurst"/>
    <w:next w:val="OCTable2BodyAshurst"/>
    <w:uiPriority w:val="79"/>
    <w:rsid w:val="00783CAC"/>
    <w:pPr>
      <w:numPr>
        <w:ilvl w:val="1"/>
        <w:numId w:val="20"/>
      </w:numPr>
    </w:pPr>
  </w:style>
  <w:style w:type="paragraph" w:customStyle="1" w:styleId="OCTable3Ashurst">
    <w:name w:val="OCTable3_Ashurst"/>
    <w:basedOn w:val="NormalOCAshurst"/>
    <w:next w:val="OCTable3BodyAshurst"/>
    <w:uiPriority w:val="79"/>
    <w:rsid w:val="00783CAC"/>
    <w:pPr>
      <w:numPr>
        <w:ilvl w:val="2"/>
        <w:numId w:val="20"/>
      </w:numPr>
    </w:pPr>
  </w:style>
  <w:style w:type="paragraph" w:customStyle="1" w:styleId="OCTable4Ashurst">
    <w:name w:val="OCTable4_Ashurst"/>
    <w:basedOn w:val="NormalOCAshurst"/>
    <w:next w:val="OCTable4BodyAshurst"/>
    <w:uiPriority w:val="79"/>
    <w:rsid w:val="00783CAC"/>
    <w:pPr>
      <w:numPr>
        <w:ilvl w:val="3"/>
        <w:numId w:val="20"/>
      </w:numPr>
    </w:pPr>
  </w:style>
  <w:style w:type="paragraph" w:customStyle="1" w:styleId="OCTable1BodyAshurst">
    <w:name w:val="OCTable1_BodyAshurst"/>
    <w:basedOn w:val="NormalOCAshurst"/>
    <w:uiPriority w:val="79"/>
    <w:rsid w:val="00783CAC"/>
    <w:pPr>
      <w:ind w:left="709"/>
    </w:pPr>
    <w:rPr>
      <w:rFonts w:eastAsia="MS Mincho"/>
      <w:lang w:eastAsia="ja-JP"/>
    </w:rPr>
  </w:style>
  <w:style w:type="paragraph" w:customStyle="1" w:styleId="OCTable2BodyAshurst">
    <w:name w:val="OCTable2_BodyAshurst"/>
    <w:basedOn w:val="NormalOCAshurst"/>
    <w:uiPriority w:val="79"/>
    <w:rsid w:val="00783CAC"/>
    <w:pPr>
      <w:ind w:left="1276"/>
    </w:pPr>
  </w:style>
  <w:style w:type="paragraph" w:customStyle="1" w:styleId="OCTable3BodyAshurst">
    <w:name w:val="OCTable3_BodyAshurst"/>
    <w:basedOn w:val="NormalOCAshurst"/>
    <w:uiPriority w:val="79"/>
    <w:rsid w:val="00783CAC"/>
    <w:pPr>
      <w:ind w:left="1843"/>
    </w:pPr>
    <w:rPr>
      <w:rFonts w:eastAsia="MS Mincho"/>
      <w:lang w:eastAsia="ja-JP"/>
    </w:rPr>
  </w:style>
  <w:style w:type="paragraph" w:customStyle="1" w:styleId="OCTable4BodyAshurst">
    <w:name w:val="OCTable4_BodyAshurst"/>
    <w:basedOn w:val="NormalOCAshurst"/>
    <w:uiPriority w:val="79"/>
    <w:rsid w:val="00783CAC"/>
    <w:pPr>
      <w:ind w:left="2410"/>
    </w:pPr>
  </w:style>
  <w:style w:type="paragraph" w:customStyle="1" w:styleId="DefClauseOCAshurst">
    <w:name w:val="DefClauseOCAshurst"/>
    <w:basedOn w:val="NormalOCAshurst"/>
    <w:next w:val="DefSubOCAshurst"/>
    <w:uiPriority w:val="98"/>
    <w:rsid w:val="000B347A"/>
    <w:pPr>
      <w:numPr>
        <w:numId w:val="21"/>
      </w:numPr>
    </w:pPr>
  </w:style>
  <w:style w:type="paragraph" w:customStyle="1" w:styleId="StandardAshurst">
    <w:name w:val="StandardAshurst"/>
    <w:basedOn w:val="Normal"/>
    <w:link w:val="StandardAshurstChar"/>
    <w:qFormat/>
    <w:rsid w:val="00E85EAB"/>
    <w:pPr>
      <w:tabs>
        <w:tab w:val="left" w:pos="720"/>
        <w:tab w:val="left" w:pos="1440"/>
        <w:tab w:val="left" w:pos="2160"/>
        <w:tab w:val="left" w:pos="2880"/>
        <w:tab w:val="left" w:pos="3600"/>
        <w:tab w:val="left" w:pos="4321"/>
        <w:tab w:val="left" w:pos="5041"/>
        <w:tab w:val="left" w:pos="5761"/>
      </w:tabs>
      <w:suppressAutoHyphens/>
      <w:jc w:val="both"/>
    </w:pPr>
    <w:rPr>
      <w:sz w:val="24"/>
      <w:szCs w:val="24"/>
    </w:rPr>
  </w:style>
  <w:style w:type="character" w:customStyle="1" w:styleId="StandardAshurstChar">
    <w:name w:val="StandardAshurst Char"/>
    <w:basedOn w:val="DefaultParagraphFont"/>
    <w:link w:val="StandardAshurst"/>
    <w:rsid w:val="00E85EAB"/>
    <w:rPr>
      <w:rFonts w:asciiTheme="minorHAnsi" w:eastAsiaTheme="minorEastAsia" w:hAnsiTheme="minorHAnsi"/>
      <w:sz w:val="24"/>
      <w:szCs w:val="24"/>
    </w:rPr>
  </w:style>
  <w:style w:type="character" w:customStyle="1" w:styleId="Heading1Char">
    <w:name w:val="Heading 1 Char"/>
    <w:basedOn w:val="DefaultParagraphFont"/>
    <w:link w:val="Heading1"/>
    <w:uiPriority w:val="98"/>
    <w:rsid w:val="008676A8"/>
    <w:rPr>
      <w:rFonts w:asciiTheme="minorHAnsi" w:eastAsiaTheme="minorEastAsia" w:hAnsiTheme="minorHAnsi" w:cs="Arial"/>
      <w:b/>
      <w:bCs/>
      <w:kern w:val="32"/>
      <w:sz w:val="32"/>
      <w:szCs w:val="32"/>
    </w:rPr>
  </w:style>
  <w:style w:type="character" w:customStyle="1" w:styleId="Heading2Char">
    <w:name w:val="Heading 2 Char"/>
    <w:basedOn w:val="DefaultParagraphFont"/>
    <w:link w:val="Heading2"/>
    <w:uiPriority w:val="98"/>
    <w:rsid w:val="008676A8"/>
    <w:rPr>
      <w:rFonts w:asciiTheme="minorHAnsi" w:eastAsiaTheme="minorEastAsia" w:hAnsiTheme="minorHAnsi" w:cs="Arial"/>
      <w:b/>
      <w:bCs/>
      <w:i/>
      <w:iCs/>
      <w:sz w:val="28"/>
      <w:szCs w:val="28"/>
    </w:rPr>
  </w:style>
  <w:style w:type="character" w:customStyle="1" w:styleId="Heading3Char">
    <w:name w:val="Heading 3 Char"/>
    <w:basedOn w:val="DefaultParagraphFont"/>
    <w:link w:val="Heading3"/>
    <w:uiPriority w:val="98"/>
    <w:rsid w:val="008676A8"/>
    <w:rPr>
      <w:rFonts w:asciiTheme="minorHAnsi" w:eastAsiaTheme="minorEastAsia" w:hAnsiTheme="minorHAnsi" w:cs="Arial"/>
      <w:b/>
      <w:bCs/>
      <w:sz w:val="26"/>
      <w:szCs w:val="26"/>
    </w:rPr>
  </w:style>
  <w:style w:type="character" w:customStyle="1" w:styleId="Heading4Char">
    <w:name w:val="Heading 4 Char"/>
    <w:basedOn w:val="DefaultParagraphFont"/>
    <w:link w:val="Heading4"/>
    <w:uiPriority w:val="98"/>
    <w:rsid w:val="008676A8"/>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8"/>
    <w:rsid w:val="008676A8"/>
    <w:rPr>
      <w:rFonts w:asciiTheme="minorHAnsi" w:eastAsiaTheme="minorEastAsia" w:hAnsiTheme="minorHAnsi"/>
      <w:b/>
      <w:bCs/>
      <w:i/>
      <w:iCs/>
      <w:sz w:val="26"/>
      <w:szCs w:val="26"/>
    </w:rPr>
  </w:style>
  <w:style w:type="character" w:customStyle="1" w:styleId="Heading6Char">
    <w:name w:val="Heading 6 Char"/>
    <w:basedOn w:val="DefaultParagraphFont"/>
    <w:link w:val="Heading6"/>
    <w:uiPriority w:val="98"/>
    <w:rsid w:val="008676A8"/>
    <w:rPr>
      <w:rFonts w:asciiTheme="minorHAnsi" w:eastAsiaTheme="minorEastAsia" w:hAnsiTheme="minorHAnsi"/>
      <w:b/>
      <w:bCs/>
      <w:sz w:val="22"/>
      <w:szCs w:val="22"/>
    </w:rPr>
  </w:style>
  <w:style w:type="character" w:customStyle="1" w:styleId="Heading7Char">
    <w:name w:val="Heading 7 Char"/>
    <w:basedOn w:val="DefaultParagraphFont"/>
    <w:link w:val="Heading7"/>
    <w:uiPriority w:val="98"/>
    <w:rsid w:val="008676A8"/>
    <w:rPr>
      <w:rFonts w:asciiTheme="minorHAnsi" w:eastAsiaTheme="minorEastAsia" w:hAnsiTheme="minorHAnsi"/>
      <w:sz w:val="24"/>
      <w:szCs w:val="24"/>
    </w:rPr>
  </w:style>
  <w:style w:type="character" w:customStyle="1" w:styleId="Heading8Char">
    <w:name w:val="Heading 8 Char"/>
    <w:basedOn w:val="DefaultParagraphFont"/>
    <w:link w:val="Heading8"/>
    <w:uiPriority w:val="98"/>
    <w:rsid w:val="008676A8"/>
    <w:rPr>
      <w:rFonts w:asciiTheme="minorHAnsi" w:eastAsiaTheme="minorEastAsia" w:hAnsiTheme="minorHAnsi"/>
      <w:i/>
      <w:iCs/>
      <w:sz w:val="24"/>
      <w:szCs w:val="24"/>
    </w:rPr>
  </w:style>
  <w:style w:type="character" w:customStyle="1" w:styleId="Heading9Char">
    <w:name w:val="Heading 9 Char"/>
    <w:basedOn w:val="DefaultParagraphFont"/>
    <w:link w:val="Heading9"/>
    <w:uiPriority w:val="98"/>
    <w:rsid w:val="008676A8"/>
    <w:rPr>
      <w:rFonts w:asciiTheme="minorHAnsi" w:eastAsiaTheme="minorEastAsia" w:hAnsiTheme="minorHAnsi" w:cs="Arial"/>
      <w:sz w:val="22"/>
      <w:szCs w:val="22"/>
    </w:rPr>
  </w:style>
  <w:style w:type="paragraph" w:customStyle="1" w:styleId="atAshurstArabicScript">
    <w:name w:val="atAshurstArabicScript"/>
    <w:rsid w:val="008676A8"/>
    <w:pPr>
      <w:tabs>
        <w:tab w:val="left" w:pos="1021"/>
        <w:tab w:val="left" w:pos="1418"/>
      </w:tabs>
      <w:suppressAutoHyphens/>
      <w:spacing w:line="200" w:lineRule="exact"/>
    </w:pPr>
    <w:rPr>
      <w:rFonts w:eastAsia="Times New Roman"/>
      <w:noProof/>
      <w:sz w:val="14"/>
      <w:szCs w:val="18"/>
      <w:lang w:eastAsia="en-GB"/>
    </w:rPr>
  </w:style>
  <w:style w:type="paragraph" w:customStyle="1" w:styleId="NormalAshurst">
    <w:name w:val="NormalAshurst"/>
    <w:link w:val="NormalAshurstChar"/>
    <w:qFormat/>
    <w:rsid w:val="008676A8"/>
    <w:pPr>
      <w:suppressAutoHyphens/>
      <w:spacing w:after="220" w:line="264" w:lineRule="auto"/>
      <w:jc w:val="both"/>
    </w:pPr>
    <w:rPr>
      <w:rFonts w:ascii="Verdana" w:eastAsia="Microsoft JhengHei" w:hAnsi="Verdana"/>
      <w:sz w:val="18"/>
    </w:rPr>
  </w:style>
  <w:style w:type="paragraph" w:customStyle="1" w:styleId="BAshurst">
    <w:name w:val="BAshurst"/>
    <w:basedOn w:val="NormalAshurst"/>
    <w:uiPriority w:val="79"/>
    <w:rsid w:val="008676A8"/>
    <w:pPr>
      <w:tabs>
        <w:tab w:val="left" w:pos="782"/>
        <w:tab w:val="left" w:pos="1406"/>
        <w:tab w:val="left" w:pos="2030"/>
        <w:tab w:val="left" w:pos="2654"/>
        <w:tab w:val="left" w:pos="3277"/>
        <w:tab w:val="left" w:pos="3901"/>
      </w:tabs>
    </w:pPr>
  </w:style>
  <w:style w:type="paragraph" w:customStyle="1" w:styleId="CBOLDCAPSAshurst0">
    <w:name w:val="CBOLDCAPSAshurst"/>
    <w:basedOn w:val="NormalAshurst"/>
    <w:uiPriority w:val="60"/>
    <w:qFormat/>
    <w:rsid w:val="008676A8"/>
    <w:pPr>
      <w:keepNext/>
      <w:jc w:val="center"/>
    </w:pPr>
    <w:rPr>
      <w:b/>
      <w:caps/>
    </w:rPr>
  </w:style>
  <w:style w:type="paragraph" w:customStyle="1" w:styleId="AltH1Ashurst">
    <w:name w:val="AltH1Ashurst"/>
    <w:basedOn w:val="NormalAshurst"/>
    <w:uiPriority w:val="40"/>
    <w:rsid w:val="008676A8"/>
    <w:pPr>
      <w:numPr>
        <w:numId w:val="22"/>
      </w:numPr>
      <w:tabs>
        <w:tab w:val="clear" w:pos="782"/>
        <w:tab w:val="num" w:pos="643"/>
      </w:tabs>
      <w:ind w:left="643" w:hanging="360"/>
      <w:outlineLvl w:val="0"/>
    </w:pPr>
  </w:style>
  <w:style w:type="paragraph" w:customStyle="1" w:styleId="AltH2Ashurst">
    <w:name w:val="AltH2Ashurst"/>
    <w:basedOn w:val="NormalAshurst"/>
    <w:uiPriority w:val="40"/>
    <w:rsid w:val="008676A8"/>
    <w:pPr>
      <w:numPr>
        <w:ilvl w:val="1"/>
        <w:numId w:val="22"/>
      </w:numPr>
      <w:tabs>
        <w:tab w:val="clear" w:pos="782"/>
        <w:tab w:val="num" w:pos="643"/>
      </w:tabs>
      <w:ind w:left="643" w:hanging="360"/>
      <w:outlineLvl w:val="1"/>
    </w:pPr>
  </w:style>
  <w:style w:type="paragraph" w:customStyle="1" w:styleId="AltH3Ashurst">
    <w:name w:val="AltH3Ashurst"/>
    <w:basedOn w:val="NormalAshurst"/>
    <w:uiPriority w:val="40"/>
    <w:rsid w:val="008676A8"/>
    <w:pPr>
      <w:numPr>
        <w:ilvl w:val="2"/>
        <w:numId w:val="22"/>
      </w:numPr>
      <w:tabs>
        <w:tab w:val="clear" w:pos="1406"/>
        <w:tab w:val="num" w:pos="643"/>
      </w:tabs>
      <w:ind w:left="643" w:hanging="360"/>
      <w:outlineLvl w:val="2"/>
    </w:pPr>
  </w:style>
  <w:style w:type="paragraph" w:customStyle="1" w:styleId="AltH4Ashurst">
    <w:name w:val="AltH4Ashurst"/>
    <w:basedOn w:val="NormalAshurst"/>
    <w:uiPriority w:val="40"/>
    <w:rsid w:val="008676A8"/>
    <w:pPr>
      <w:numPr>
        <w:ilvl w:val="3"/>
        <w:numId w:val="22"/>
      </w:numPr>
      <w:tabs>
        <w:tab w:val="clear" w:pos="2030"/>
        <w:tab w:val="num" w:pos="643"/>
      </w:tabs>
      <w:ind w:left="643" w:hanging="360"/>
      <w:outlineLvl w:val="3"/>
    </w:pPr>
  </w:style>
  <w:style w:type="paragraph" w:customStyle="1" w:styleId="AltH5Ashurst">
    <w:name w:val="AltH5Ashurst"/>
    <w:basedOn w:val="NormalAshurst"/>
    <w:uiPriority w:val="40"/>
    <w:rsid w:val="008676A8"/>
    <w:pPr>
      <w:numPr>
        <w:ilvl w:val="4"/>
        <w:numId w:val="22"/>
      </w:numPr>
      <w:tabs>
        <w:tab w:val="clear" w:pos="2653"/>
        <w:tab w:val="num" w:pos="643"/>
      </w:tabs>
      <w:ind w:left="643" w:hanging="360"/>
      <w:outlineLvl w:val="4"/>
    </w:pPr>
  </w:style>
  <w:style w:type="paragraph" w:customStyle="1" w:styleId="AltH6Ashurst">
    <w:name w:val="AltH6Ashurst"/>
    <w:basedOn w:val="NormalAshurst"/>
    <w:uiPriority w:val="40"/>
    <w:rsid w:val="008676A8"/>
    <w:pPr>
      <w:numPr>
        <w:ilvl w:val="5"/>
        <w:numId w:val="22"/>
      </w:numPr>
      <w:tabs>
        <w:tab w:val="clear" w:pos="3277"/>
        <w:tab w:val="num" w:pos="643"/>
      </w:tabs>
      <w:ind w:left="643" w:hanging="360"/>
      <w:outlineLvl w:val="5"/>
    </w:pPr>
  </w:style>
  <w:style w:type="paragraph" w:customStyle="1" w:styleId="B12Ashurst">
    <w:name w:val="B1&amp;2Ashurst"/>
    <w:basedOn w:val="NormalAshurst"/>
    <w:uiPriority w:val="2"/>
    <w:qFormat/>
    <w:rsid w:val="008676A8"/>
    <w:pPr>
      <w:tabs>
        <w:tab w:val="left" w:pos="1406"/>
        <w:tab w:val="left" w:pos="2030"/>
        <w:tab w:val="left" w:pos="2654"/>
        <w:tab w:val="left" w:pos="3277"/>
        <w:tab w:val="left" w:pos="3901"/>
      </w:tabs>
      <w:ind w:left="782"/>
    </w:pPr>
  </w:style>
  <w:style w:type="paragraph" w:customStyle="1" w:styleId="BulletAshurst">
    <w:name w:val="BulletAshurst"/>
    <w:basedOn w:val="NormalAshurst"/>
    <w:uiPriority w:val="57"/>
    <w:rsid w:val="008676A8"/>
    <w:pPr>
      <w:numPr>
        <w:numId w:val="23"/>
      </w:numPr>
      <w:tabs>
        <w:tab w:val="clear" w:pos="782"/>
        <w:tab w:val="num" w:pos="926"/>
      </w:tabs>
      <w:ind w:left="926" w:hanging="360"/>
    </w:pPr>
    <w:rPr>
      <w:szCs w:val="18"/>
    </w:rPr>
  </w:style>
  <w:style w:type="paragraph" w:customStyle="1" w:styleId="StandardBoldAshurst">
    <w:name w:val="StandardBoldAshurst"/>
    <w:basedOn w:val="StandardAshurst"/>
    <w:next w:val="NormalAshurst"/>
    <w:uiPriority w:val="60"/>
    <w:rsid w:val="008676A8"/>
    <w:pPr>
      <w:tabs>
        <w:tab w:val="clear" w:pos="720"/>
        <w:tab w:val="clear" w:pos="1440"/>
        <w:tab w:val="clear" w:pos="2160"/>
        <w:tab w:val="clear" w:pos="2880"/>
        <w:tab w:val="clear" w:pos="3600"/>
        <w:tab w:val="clear" w:pos="4321"/>
        <w:tab w:val="clear" w:pos="5041"/>
        <w:tab w:val="clear" w:pos="5761"/>
      </w:tabs>
      <w:spacing w:line="264" w:lineRule="auto"/>
    </w:pPr>
    <w:rPr>
      <w:rFonts w:ascii="Verdana" w:eastAsia="Microsoft JhengHei" w:hAnsi="Verdana"/>
      <w:b/>
      <w:sz w:val="18"/>
      <w:szCs w:val="18"/>
    </w:rPr>
  </w:style>
  <w:style w:type="paragraph" w:customStyle="1" w:styleId="Heading2Bold">
    <w:name w:val="Heading 2 Bold"/>
    <w:basedOn w:val="Heading1Bold"/>
    <w:next w:val="Normal"/>
    <w:rsid w:val="008676A8"/>
    <w:pPr>
      <w:tabs>
        <w:tab w:val="clear" w:pos="720"/>
        <w:tab w:val="num" w:pos="1440"/>
      </w:tabs>
      <w:ind w:left="1440"/>
    </w:pPr>
    <w:rPr>
      <w:sz w:val="22"/>
    </w:rPr>
  </w:style>
  <w:style w:type="paragraph" w:customStyle="1" w:styleId="Heading1Bold">
    <w:name w:val="Heading 1 Bold"/>
    <w:next w:val="Normal"/>
    <w:rsid w:val="008676A8"/>
    <w:pPr>
      <w:keepNext/>
      <w:tabs>
        <w:tab w:val="num" w:pos="720"/>
      </w:tabs>
      <w:spacing w:after="180"/>
      <w:ind w:left="720" w:hanging="360"/>
    </w:pPr>
    <w:rPr>
      <w:rFonts w:ascii="Arial" w:eastAsia="Times New Roman" w:hAnsi="Arial"/>
      <w:b/>
      <w:sz w:val="24"/>
      <w:szCs w:val="22"/>
      <w:lang w:eastAsia="en-US"/>
    </w:rPr>
  </w:style>
  <w:style w:type="character" w:customStyle="1" w:styleId="CBoldCapsAshurstChar">
    <w:name w:val="CBoldCapsAshurst Char"/>
    <w:link w:val="CBoldCapsAshurst"/>
    <w:uiPriority w:val="60"/>
    <w:rsid w:val="008676A8"/>
    <w:rPr>
      <w:rFonts w:asciiTheme="minorHAnsi" w:eastAsiaTheme="minorEastAsia" w:hAnsiTheme="minorHAnsi"/>
      <w:b/>
      <w:caps/>
      <w:lang w:eastAsia="en-GB"/>
    </w:rPr>
  </w:style>
  <w:style w:type="character" w:customStyle="1" w:styleId="RBoldCapsAshurstChar">
    <w:name w:val="RBoldCapsAshurst Char"/>
    <w:basedOn w:val="CBoldCapsAshurstChar"/>
    <w:link w:val="RBoldCapsAshurst"/>
    <w:uiPriority w:val="60"/>
    <w:rsid w:val="008676A8"/>
    <w:rPr>
      <w:rFonts w:asciiTheme="minorHAnsi" w:eastAsiaTheme="minorEastAsia" w:hAnsiTheme="minorHAnsi"/>
      <w:b/>
      <w:caps/>
      <w:lang w:eastAsia="en-GB"/>
    </w:rPr>
  </w:style>
  <w:style w:type="paragraph" w:customStyle="1" w:styleId="H1Ashurst">
    <w:name w:val="H1Ashurst"/>
    <w:basedOn w:val="NormalAshurst"/>
    <w:next w:val="H2Ashurst"/>
    <w:uiPriority w:val="1"/>
    <w:qFormat/>
    <w:rsid w:val="008676A8"/>
    <w:pPr>
      <w:keepNext/>
      <w:numPr>
        <w:numId w:val="24"/>
      </w:numPr>
      <w:tabs>
        <w:tab w:val="clear" w:pos="782"/>
        <w:tab w:val="num" w:pos="1209"/>
      </w:tabs>
      <w:ind w:left="1209" w:hanging="360"/>
      <w:outlineLvl w:val="0"/>
    </w:pPr>
    <w:rPr>
      <w:b/>
      <w:caps/>
    </w:rPr>
  </w:style>
  <w:style w:type="paragraph" w:customStyle="1" w:styleId="H2Ashurst">
    <w:name w:val="H2Ashurst"/>
    <w:basedOn w:val="NormalAshurst"/>
    <w:uiPriority w:val="1"/>
    <w:qFormat/>
    <w:rsid w:val="008676A8"/>
    <w:pPr>
      <w:numPr>
        <w:ilvl w:val="1"/>
        <w:numId w:val="24"/>
      </w:numPr>
      <w:tabs>
        <w:tab w:val="clear" w:pos="782"/>
        <w:tab w:val="num" w:pos="1209"/>
      </w:tabs>
      <w:ind w:left="1209" w:hanging="360"/>
      <w:outlineLvl w:val="1"/>
    </w:pPr>
  </w:style>
  <w:style w:type="paragraph" w:customStyle="1" w:styleId="H3Ashurst">
    <w:name w:val="H3Ashurst"/>
    <w:basedOn w:val="NormalAshurst"/>
    <w:uiPriority w:val="1"/>
    <w:qFormat/>
    <w:rsid w:val="008676A8"/>
    <w:pPr>
      <w:numPr>
        <w:ilvl w:val="2"/>
        <w:numId w:val="24"/>
      </w:numPr>
      <w:tabs>
        <w:tab w:val="clear" w:pos="1406"/>
        <w:tab w:val="num" w:pos="1209"/>
      </w:tabs>
      <w:ind w:left="1209" w:hanging="360"/>
      <w:outlineLvl w:val="2"/>
    </w:pPr>
  </w:style>
  <w:style w:type="paragraph" w:customStyle="1" w:styleId="H4Ashurst">
    <w:name w:val="H4Ashurst"/>
    <w:basedOn w:val="NormalAshurst"/>
    <w:uiPriority w:val="1"/>
    <w:qFormat/>
    <w:rsid w:val="008676A8"/>
    <w:pPr>
      <w:numPr>
        <w:ilvl w:val="3"/>
        <w:numId w:val="24"/>
      </w:numPr>
      <w:tabs>
        <w:tab w:val="clear" w:pos="2030"/>
        <w:tab w:val="num" w:pos="1209"/>
      </w:tabs>
      <w:ind w:left="1209" w:hanging="360"/>
      <w:outlineLvl w:val="3"/>
    </w:pPr>
  </w:style>
  <w:style w:type="paragraph" w:customStyle="1" w:styleId="H5Ashurst">
    <w:name w:val="H5Ashurst"/>
    <w:basedOn w:val="NormalAshurst"/>
    <w:uiPriority w:val="1"/>
    <w:qFormat/>
    <w:rsid w:val="008676A8"/>
    <w:pPr>
      <w:numPr>
        <w:ilvl w:val="4"/>
        <w:numId w:val="24"/>
      </w:numPr>
      <w:tabs>
        <w:tab w:val="clear" w:pos="2653"/>
        <w:tab w:val="num" w:pos="1209"/>
      </w:tabs>
      <w:ind w:left="1209" w:hanging="360"/>
      <w:outlineLvl w:val="4"/>
    </w:pPr>
  </w:style>
  <w:style w:type="paragraph" w:customStyle="1" w:styleId="H6Ashurst">
    <w:name w:val="H6Ashurst"/>
    <w:basedOn w:val="NormalAshurst"/>
    <w:uiPriority w:val="38"/>
    <w:rsid w:val="008676A8"/>
    <w:pPr>
      <w:numPr>
        <w:ilvl w:val="5"/>
        <w:numId w:val="24"/>
      </w:numPr>
      <w:tabs>
        <w:tab w:val="clear" w:pos="3277"/>
        <w:tab w:val="num" w:pos="1209"/>
      </w:tabs>
      <w:ind w:left="1209" w:hanging="360"/>
      <w:outlineLvl w:val="5"/>
    </w:pPr>
  </w:style>
  <w:style w:type="paragraph" w:customStyle="1" w:styleId="H7Ashurst">
    <w:name w:val="H7Ashurst"/>
    <w:basedOn w:val="NormalAshurst"/>
    <w:uiPriority w:val="38"/>
    <w:rsid w:val="008676A8"/>
    <w:pPr>
      <w:numPr>
        <w:ilvl w:val="6"/>
        <w:numId w:val="24"/>
      </w:numPr>
      <w:tabs>
        <w:tab w:val="clear" w:pos="3901"/>
        <w:tab w:val="num" w:pos="1209"/>
      </w:tabs>
      <w:ind w:left="1209" w:hanging="360"/>
      <w:outlineLvl w:val="6"/>
    </w:pPr>
  </w:style>
  <w:style w:type="paragraph" w:customStyle="1" w:styleId="H8Ashurst">
    <w:name w:val="H8Ashurst"/>
    <w:basedOn w:val="NormalAshurst"/>
    <w:uiPriority w:val="38"/>
    <w:rsid w:val="008676A8"/>
    <w:pPr>
      <w:numPr>
        <w:ilvl w:val="7"/>
        <w:numId w:val="24"/>
      </w:numPr>
      <w:tabs>
        <w:tab w:val="clear" w:pos="4525"/>
        <w:tab w:val="num" w:pos="1209"/>
      </w:tabs>
      <w:ind w:left="1209" w:hanging="360"/>
      <w:outlineLvl w:val="7"/>
    </w:pPr>
  </w:style>
  <w:style w:type="character" w:customStyle="1" w:styleId="NormalAshurstChar">
    <w:name w:val="NormalAshurst Char"/>
    <w:link w:val="NormalAshurst"/>
    <w:rsid w:val="008676A8"/>
    <w:rPr>
      <w:rFonts w:ascii="Verdana" w:eastAsia="Microsoft JhengHei" w:hAnsi="Verdana"/>
      <w:sz w:val="18"/>
    </w:rPr>
  </w:style>
  <w:style w:type="paragraph" w:customStyle="1" w:styleId="B3Ashurst">
    <w:name w:val="B3Ashurst"/>
    <w:basedOn w:val="NormalAshurst"/>
    <w:uiPriority w:val="2"/>
    <w:qFormat/>
    <w:rsid w:val="008676A8"/>
    <w:pPr>
      <w:tabs>
        <w:tab w:val="left" w:pos="2030"/>
        <w:tab w:val="left" w:pos="2654"/>
        <w:tab w:val="left" w:pos="3277"/>
        <w:tab w:val="left" w:pos="3901"/>
      </w:tabs>
      <w:ind w:left="1406"/>
    </w:pPr>
  </w:style>
  <w:style w:type="paragraph" w:customStyle="1" w:styleId="B4Ashurst">
    <w:name w:val="B4Ashurst"/>
    <w:basedOn w:val="NormalAshurst"/>
    <w:uiPriority w:val="56"/>
    <w:rsid w:val="008676A8"/>
    <w:pPr>
      <w:tabs>
        <w:tab w:val="left" w:pos="2654"/>
        <w:tab w:val="left" w:pos="3277"/>
        <w:tab w:val="left" w:pos="3901"/>
      </w:tabs>
      <w:ind w:left="2030"/>
    </w:pPr>
  </w:style>
  <w:style w:type="paragraph" w:customStyle="1" w:styleId="B5Ashurst">
    <w:name w:val="B5Ashurst"/>
    <w:basedOn w:val="NormalAshurst"/>
    <w:uiPriority w:val="56"/>
    <w:rsid w:val="008676A8"/>
    <w:pPr>
      <w:tabs>
        <w:tab w:val="left" w:pos="3277"/>
        <w:tab w:val="left" w:pos="3901"/>
      </w:tabs>
      <w:ind w:left="2654"/>
    </w:pPr>
  </w:style>
  <w:style w:type="paragraph" w:customStyle="1" w:styleId="B6Ashurst">
    <w:name w:val="B6Ashurst"/>
    <w:basedOn w:val="NormalAshurst"/>
    <w:uiPriority w:val="56"/>
    <w:rsid w:val="008676A8"/>
    <w:pPr>
      <w:tabs>
        <w:tab w:val="left" w:pos="3901"/>
      </w:tabs>
      <w:ind w:left="3277"/>
    </w:pPr>
  </w:style>
  <w:style w:type="paragraph" w:customStyle="1" w:styleId="LBOLDCAPSAshurst0">
    <w:name w:val="LBOLDCAPSAshurst"/>
    <w:basedOn w:val="NormalAshurst"/>
    <w:uiPriority w:val="60"/>
    <w:rsid w:val="008676A8"/>
    <w:pPr>
      <w:keepNext/>
      <w:jc w:val="left"/>
    </w:pPr>
    <w:rPr>
      <w:b/>
      <w:caps/>
    </w:rPr>
  </w:style>
  <w:style w:type="paragraph" w:customStyle="1" w:styleId="RBOLDCAPSAshurst0">
    <w:name w:val="RBOLDCAPSAshurst"/>
    <w:basedOn w:val="NormalAshurst"/>
    <w:uiPriority w:val="60"/>
    <w:rsid w:val="008676A8"/>
    <w:pPr>
      <w:keepNext/>
      <w:jc w:val="right"/>
    </w:pPr>
    <w:rPr>
      <w:b/>
      <w:caps/>
      <w:szCs w:val="18"/>
    </w:rPr>
  </w:style>
  <w:style w:type="paragraph" w:customStyle="1" w:styleId="SCHEDULEAshurst">
    <w:name w:val="SCHEDULEAshurst"/>
    <w:basedOn w:val="NormalAshurst"/>
    <w:next w:val="SchSubAshurst"/>
    <w:uiPriority w:val="79"/>
    <w:rsid w:val="008676A8"/>
    <w:pPr>
      <w:keepNext/>
      <w:numPr>
        <w:numId w:val="36"/>
      </w:numPr>
      <w:ind w:left="3828"/>
      <w:jc w:val="center"/>
      <w:outlineLvl w:val="0"/>
    </w:pPr>
    <w:rPr>
      <w:b/>
      <w:caps/>
      <w:szCs w:val="18"/>
    </w:rPr>
  </w:style>
  <w:style w:type="paragraph" w:customStyle="1" w:styleId="SchSubAshurst">
    <w:name w:val="SchSubAshurst"/>
    <w:basedOn w:val="NormalAshurst"/>
    <w:next w:val="NormalAshurst"/>
    <w:uiPriority w:val="42"/>
    <w:rsid w:val="008676A8"/>
    <w:pPr>
      <w:keepNext/>
      <w:jc w:val="center"/>
      <w:outlineLvl w:val="1"/>
    </w:pPr>
    <w:rPr>
      <w:b/>
    </w:rPr>
  </w:style>
  <w:style w:type="paragraph" w:customStyle="1" w:styleId="SH1Ashurst">
    <w:name w:val="SH1Ashurst"/>
    <w:basedOn w:val="NormalAshurst"/>
    <w:next w:val="SH2Ashurst"/>
    <w:uiPriority w:val="15"/>
    <w:rsid w:val="008676A8"/>
    <w:pPr>
      <w:keepNext/>
      <w:numPr>
        <w:numId w:val="27"/>
      </w:numPr>
      <w:tabs>
        <w:tab w:val="clear" w:pos="782"/>
        <w:tab w:val="num" w:pos="360"/>
      </w:tabs>
      <w:ind w:left="360" w:hanging="360"/>
      <w:outlineLvl w:val="0"/>
    </w:pPr>
    <w:rPr>
      <w:b/>
      <w:caps/>
      <w:szCs w:val="18"/>
    </w:rPr>
  </w:style>
  <w:style w:type="paragraph" w:customStyle="1" w:styleId="SH2Ashurst">
    <w:name w:val="SH2Ashurst"/>
    <w:basedOn w:val="NormalAshurst"/>
    <w:uiPriority w:val="15"/>
    <w:rsid w:val="008676A8"/>
    <w:pPr>
      <w:numPr>
        <w:ilvl w:val="1"/>
        <w:numId w:val="27"/>
      </w:numPr>
      <w:tabs>
        <w:tab w:val="clear" w:pos="782"/>
        <w:tab w:val="num" w:pos="720"/>
      </w:tabs>
      <w:ind w:left="720" w:hanging="360"/>
      <w:outlineLvl w:val="1"/>
    </w:pPr>
  </w:style>
  <w:style w:type="paragraph" w:customStyle="1" w:styleId="SH3Ashurst">
    <w:name w:val="SH3Ashurst"/>
    <w:basedOn w:val="NormalAshurst"/>
    <w:uiPriority w:val="15"/>
    <w:rsid w:val="008676A8"/>
    <w:pPr>
      <w:numPr>
        <w:ilvl w:val="2"/>
        <w:numId w:val="27"/>
      </w:numPr>
      <w:tabs>
        <w:tab w:val="clear" w:pos="1406"/>
        <w:tab w:val="num" w:pos="1080"/>
      </w:tabs>
      <w:ind w:left="1080" w:hanging="360"/>
      <w:outlineLvl w:val="2"/>
    </w:pPr>
  </w:style>
  <w:style w:type="paragraph" w:customStyle="1" w:styleId="SH4Ashurst">
    <w:name w:val="SH4Ashurst"/>
    <w:basedOn w:val="NormalAshurst"/>
    <w:uiPriority w:val="15"/>
    <w:rsid w:val="008676A8"/>
    <w:pPr>
      <w:numPr>
        <w:ilvl w:val="3"/>
        <w:numId w:val="27"/>
      </w:numPr>
      <w:tabs>
        <w:tab w:val="clear" w:pos="2030"/>
        <w:tab w:val="num" w:pos="1440"/>
      </w:tabs>
      <w:ind w:left="1440" w:hanging="360"/>
      <w:outlineLvl w:val="3"/>
    </w:pPr>
  </w:style>
  <w:style w:type="paragraph" w:customStyle="1" w:styleId="SH5Ashurst">
    <w:name w:val="SH5Ashurst"/>
    <w:basedOn w:val="NormalAshurst"/>
    <w:uiPriority w:val="44"/>
    <w:rsid w:val="008676A8"/>
    <w:pPr>
      <w:numPr>
        <w:ilvl w:val="4"/>
        <w:numId w:val="27"/>
      </w:numPr>
      <w:tabs>
        <w:tab w:val="clear" w:pos="2653"/>
        <w:tab w:val="num" w:pos="1800"/>
      </w:tabs>
      <w:ind w:left="1800" w:hanging="360"/>
      <w:outlineLvl w:val="4"/>
    </w:pPr>
  </w:style>
  <w:style w:type="paragraph" w:customStyle="1" w:styleId="AltSH1Ashurst">
    <w:name w:val="AltSH1Ashurst"/>
    <w:basedOn w:val="NormalAshurst"/>
    <w:uiPriority w:val="45"/>
    <w:rsid w:val="008676A8"/>
    <w:pPr>
      <w:numPr>
        <w:numId w:val="28"/>
      </w:numPr>
      <w:tabs>
        <w:tab w:val="clear" w:pos="782"/>
        <w:tab w:val="num" w:pos="1440"/>
      </w:tabs>
      <w:ind w:left="0" w:firstLine="0"/>
      <w:outlineLvl w:val="0"/>
    </w:pPr>
  </w:style>
  <w:style w:type="paragraph" w:customStyle="1" w:styleId="AltSH2Ashurst">
    <w:name w:val="AltSH2Ashurst"/>
    <w:basedOn w:val="NormalAshurst"/>
    <w:uiPriority w:val="45"/>
    <w:rsid w:val="008676A8"/>
    <w:pPr>
      <w:numPr>
        <w:ilvl w:val="1"/>
        <w:numId w:val="28"/>
      </w:numPr>
      <w:tabs>
        <w:tab w:val="clear" w:pos="782"/>
        <w:tab w:val="num" w:pos="1080"/>
      </w:tabs>
      <w:ind w:left="0" w:firstLine="0"/>
      <w:outlineLvl w:val="1"/>
    </w:pPr>
  </w:style>
  <w:style w:type="paragraph" w:customStyle="1" w:styleId="AltSH3Ashurst">
    <w:name w:val="AltSH3Ashurst"/>
    <w:basedOn w:val="NormalAshurst"/>
    <w:uiPriority w:val="45"/>
    <w:rsid w:val="008676A8"/>
    <w:pPr>
      <w:numPr>
        <w:ilvl w:val="2"/>
        <w:numId w:val="28"/>
      </w:numPr>
      <w:tabs>
        <w:tab w:val="clear" w:pos="1406"/>
        <w:tab w:val="num" w:pos="720"/>
      </w:tabs>
      <w:ind w:left="720" w:hanging="432"/>
      <w:outlineLvl w:val="2"/>
    </w:pPr>
  </w:style>
  <w:style w:type="paragraph" w:customStyle="1" w:styleId="AltSH4Ashurst">
    <w:name w:val="AltSH4Ashurst"/>
    <w:basedOn w:val="NormalAshurst"/>
    <w:uiPriority w:val="45"/>
    <w:rsid w:val="008676A8"/>
    <w:pPr>
      <w:numPr>
        <w:ilvl w:val="3"/>
        <w:numId w:val="28"/>
      </w:numPr>
      <w:tabs>
        <w:tab w:val="clear" w:pos="2030"/>
        <w:tab w:val="num" w:pos="864"/>
      </w:tabs>
      <w:ind w:left="864" w:hanging="144"/>
      <w:outlineLvl w:val="3"/>
    </w:pPr>
  </w:style>
  <w:style w:type="paragraph" w:customStyle="1" w:styleId="AltSH5Ashurst">
    <w:name w:val="AltSH5Ashurst"/>
    <w:basedOn w:val="NormalAshurst"/>
    <w:uiPriority w:val="45"/>
    <w:rsid w:val="008676A8"/>
    <w:pPr>
      <w:numPr>
        <w:ilvl w:val="4"/>
        <w:numId w:val="28"/>
      </w:numPr>
      <w:tabs>
        <w:tab w:val="clear" w:pos="2653"/>
        <w:tab w:val="num" w:pos="1008"/>
      </w:tabs>
      <w:ind w:left="1008" w:hanging="432"/>
      <w:outlineLvl w:val="4"/>
    </w:pPr>
  </w:style>
  <w:style w:type="paragraph" w:customStyle="1" w:styleId="PartiesAshurst">
    <w:name w:val="PartiesAshurst"/>
    <w:basedOn w:val="NormalAshurst"/>
    <w:uiPriority w:val="26"/>
    <w:rsid w:val="008676A8"/>
    <w:pPr>
      <w:numPr>
        <w:numId w:val="25"/>
      </w:numPr>
      <w:tabs>
        <w:tab w:val="clear" w:pos="782"/>
        <w:tab w:val="num" w:pos="1492"/>
      </w:tabs>
      <w:ind w:left="1492" w:hanging="360"/>
      <w:outlineLvl w:val="0"/>
    </w:pPr>
  </w:style>
  <w:style w:type="paragraph" w:customStyle="1" w:styleId="RecitalsAshurst">
    <w:name w:val="RecitalsAshurst"/>
    <w:basedOn w:val="NormalAshurst"/>
    <w:uiPriority w:val="26"/>
    <w:rsid w:val="008676A8"/>
    <w:pPr>
      <w:numPr>
        <w:numId w:val="38"/>
      </w:numPr>
      <w:tabs>
        <w:tab w:val="clear" w:pos="782"/>
        <w:tab w:val="num" w:pos="360"/>
      </w:tabs>
      <w:ind w:left="0" w:firstLine="0"/>
      <w:outlineLvl w:val="0"/>
    </w:pPr>
  </w:style>
  <w:style w:type="paragraph" w:customStyle="1" w:styleId="DefinitionsAshurst">
    <w:name w:val="DefinitionsAshurst"/>
    <w:basedOn w:val="NormalAshurst"/>
    <w:uiPriority w:val="26"/>
    <w:rsid w:val="008676A8"/>
    <w:pPr>
      <w:numPr>
        <w:ilvl w:val="1"/>
        <w:numId w:val="39"/>
      </w:numPr>
      <w:tabs>
        <w:tab w:val="clear" w:pos="1406"/>
        <w:tab w:val="num" w:pos="720"/>
      </w:tabs>
      <w:ind w:left="720" w:hanging="360"/>
      <w:outlineLvl w:val="1"/>
    </w:pPr>
  </w:style>
  <w:style w:type="paragraph" w:customStyle="1" w:styleId="DefSubAshurst">
    <w:name w:val="DefSubAshurst"/>
    <w:basedOn w:val="NormalAshurst"/>
    <w:uiPriority w:val="26"/>
    <w:rsid w:val="008676A8"/>
    <w:pPr>
      <w:numPr>
        <w:ilvl w:val="2"/>
        <w:numId w:val="39"/>
      </w:numPr>
      <w:tabs>
        <w:tab w:val="clear" w:pos="2030"/>
        <w:tab w:val="num" w:pos="1080"/>
      </w:tabs>
      <w:ind w:left="1080" w:hanging="360"/>
      <w:outlineLvl w:val="2"/>
    </w:pPr>
  </w:style>
  <w:style w:type="paragraph" w:customStyle="1" w:styleId="Bullet1Ashurst">
    <w:name w:val="Bullet1Ashurst"/>
    <w:basedOn w:val="NormalAshurst"/>
    <w:uiPriority w:val="15"/>
    <w:rsid w:val="008676A8"/>
    <w:pPr>
      <w:numPr>
        <w:numId w:val="29"/>
      </w:numPr>
      <w:tabs>
        <w:tab w:val="clear" w:pos="1406"/>
        <w:tab w:val="num" w:pos="709"/>
      </w:tabs>
      <w:ind w:left="709" w:hanging="709"/>
    </w:pPr>
  </w:style>
  <w:style w:type="paragraph" w:customStyle="1" w:styleId="Bullet2Ashurst">
    <w:name w:val="Bullet2Ashurst"/>
    <w:basedOn w:val="NormalAshurst"/>
    <w:uiPriority w:val="48"/>
    <w:rsid w:val="008676A8"/>
    <w:pPr>
      <w:numPr>
        <w:numId w:val="30"/>
      </w:numPr>
      <w:tabs>
        <w:tab w:val="clear" w:pos="1406"/>
        <w:tab w:val="num" w:pos="709"/>
      </w:tabs>
      <w:ind w:left="709" w:hanging="709"/>
    </w:pPr>
  </w:style>
  <w:style w:type="paragraph" w:customStyle="1" w:styleId="Bullet3Ashurst">
    <w:name w:val="Bullet3Ashurst"/>
    <w:basedOn w:val="NormalAshurst"/>
    <w:uiPriority w:val="57"/>
    <w:rsid w:val="008676A8"/>
    <w:pPr>
      <w:numPr>
        <w:numId w:val="31"/>
      </w:numPr>
      <w:tabs>
        <w:tab w:val="clear" w:pos="2030"/>
        <w:tab w:val="num" w:pos="360"/>
      </w:tabs>
      <w:ind w:left="360" w:hanging="360"/>
    </w:pPr>
  </w:style>
  <w:style w:type="paragraph" w:customStyle="1" w:styleId="Bullet4Ashurst">
    <w:name w:val="Bullet4Ashurst"/>
    <w:basedOn w:val="NormalAshurst"/>
    <w:uiPriority w:val="57"/>
    <w:rsid w:val="008676A8"/>
    <w:pPr>
      <w:numPr>
        <w:numId w:val="32"/>
      </w:numPr>
      <w:tabs>
        <w:tab w:val="clear" w:pos="2654"/>
      </w:tabs>
      <w:ind w:left="0" w:firstLine="0"/>
    </w:pPr>
  </w:style>
  <w:style w:type="paragraph" w:customStyle="1" w:styleId="Bullet5Ashurst">
    <w:name w:val="Bullet5Ashurst"/>
    <w:basedOn w:val="NormalAshurst"/>
    <w:uiPriority w:val="57"/>
    <w:rsid w:val="008676A8"/>
    <w:pPr>
      <w:numPr>
        <w:numId w:val="33"/>
      </w:numPr>
      <w:tabs>
        <w:tab w:val="clear" w:pos="3277"/>
        <w:tab w:val="num" w:pos="360"/>
      </w:tabs>
      <w:ind w:left="360" w:hanging="360"/>
    </w:pPr>
  </w:style>
  <w:style w:type="paragraph" w:customStyle="1" w:styleId="Bullet6Ashurst">
    <w:name w:val="Bullet6Ashurst"/>
    <w:basedOn w:val="NormalAshurst"/>
    <w:uiPriority w:val="57"/>
    <w:rsid w:val="008676A8"/>
    <w:pPr>
      <w:numPr>
        <w:numId w:val="34"/>
      </w:numPr>
      <w:tabs>
        <w:tab w:val="clear" w:pos="3901"/>
        <w:tab w:val="num" w:pos="360"/>
      </w:tabs>
      <w:ind w:left="360" w:hanging="360"/>
    </w:pPr>
  </w:style>
  <w:style w:type="paragraph" w:customStyle="1" w:styleId="TableAshurst">
    <w:name w:val="TableAshurst"/>
    <w:basedOn w:val="NormalAshurst"/>
    <w:uiPriority w:val="60"/>
    <w:rsid w:val="008676A8"/>
    <w:pPr>
      <w:spacing w:before="110" w:after="110"/>
    </w:pPr>
  </w:style>
  <w:style w:type="paragraph" w:customStyle="1" w:styleId="APPENDIXAshurst">
    <w:name w:val="APPENDIXAshurst"/>
    <w:basedOn w:val="NormalAshurst"/>
    <w:next w:val="AppendixSubAshurst"/>
    <w:uiPriority w:val="79"/>
    <w:rsid w:val="008676A8"/>
    <w:pPr>
      <w:keepNext/>
      <w:numPr>
        <w:numId w:val="35"/>
      </w:numPr>
      <w:tabs>
        <w:tab w:val="num" w:pos="709"/>
      </w:tabs>
      <w:ind w:left="709" w:hanging="709"/>
      <w:jc w:val="center"/>
      <w:outlineLvl w:val="0"/>
    </w:pPr>
    <w:rPr>
      <w:b/>
      <w:caps/>
      <w:szCs w:val="18"/>
    </w:rPr>
  </w:style>
  <w:style w:type="paragraph" w:customStyle="1" w:styleId="AppendixSubAshurst">
    <w:name w:val="AppendixSubAshurst"/>
    <w:basedOn w:val="NormalAshurst"/>
    <w:next w:val="NormalAshurst"/>
    <w:uiPriority w:val="43"/>
    <w:rsid w:val="008676A8"/>
    <w:pPr>
      <w:keepNext/>
      <w:jc w:val="center"/>
      <w:outlineLvl w:val="1"/>
    </w:pPr>
    <w:rPr>
      <w:b/>
    </w:rPr>
  </w:style>
  <w:style w:type="paragraph" w:customStyle="1" w:styleId="TOCSubHeadingAshurst">
    <w:name w:val="TOCSubHeadingAshurst"/>
    <w:basedOn w:val="CBOLDCAPSAshurst0"/>
    <w:next w:val="NormalAshurst"/>
    <w:uiPriority w:val="79"/>
    <w:rsid w:val="008676A8"/>
    <w:pPr>
      <w:tabs>
        <w:tab w:val="right" w:pos="9072"/>
      </w:tabs>
      <w:jc w:val="left"/>
      <w:outlineLvl w:val="0"/>
    </w:pPr>
  </w:style>
  <w:style w:type="character" w:customStyle="1" w:styleId="HiddenAshurst">
    <w:name w:val="HiddenAshurst"/>
    <w:uiPriority w:val="37"/>
    <w:rsid w:val="008676A8"/>
    <w:rPr>
      <w:rFonts w:ascii="Verdana" w:eastAsia="Microsoft JhengHei" w:hAnsi="Verdana"/>
      <w:vanish/>
      <w:color w:val="FF0000"/>
    </w:rPr>
  </w:style>
  <w:style w:type="paragraph" w:customStyle="1" w:styleId="BN36ptBeforeAshurst">
    <w:name w:val="BN36ptBeforeAshurst"/>
    <w:basedOn w:val="NormalAshurst"/>
    <w:uiPriority w:val="61"/>
    <w:rsid w:val="008676A8"/>
    <w:pPr>
      <w:spacing w:before="720" w:after="0"/>
    </w:pPr>
    <w:rPr>
      <w:szCs w:val="18"/>
    </w:rPr>
  </w:style>
  <w:style w:type="paragraph" w:customStyle="1" w:styleId="BN45ptBeforeAshurst">
    <w:name w:val="BN45ptBeforeAshurst"/>
    <w:basedOn w:val="NormalAshurst"/>
    <w:next w:val="NormalAshurst"/>
    <w:uiPriority w:val="61"/>
    <w:rsid w:val="008676A8"/>
    <w:pPr>
      <w:spacing w:before="900" w:after="0"/>
    </w:pPr>
  </w:style>
  <w:style w:type="paragraph" w:customStyle="1" w:styleId="BNDocTypeAshurst">
    <w:name w:val="BNDocTypeAshurst"/>
    <w:basedOn w:val="Normal"/>
    <w:next w:val="StandardAshurst"/>
    <w:uiPriority w:val="61"/>
    <w:rsid w:val="008676A8"/>
    <w:pPr>
      <w:suppressAutoHyphens/>
      <w:spacing w:before="1120" w:after="860" w:line="264" w:lineRule="auto"/>
    </w:pPr>
    <w:rPr>
      <w:rFonts w:ascii="Verdana" w:eastAsia="Microsoft JhengHei" w:hAnsi="Verdana"/>
      <w:b/>
      <w:sz w:val="24"/>
      <w:szCs w:val="24"/>
    </w:rPr>
  </w:style>
  <w:style w:type="paragraph" w:customStyle="1" w:styleId="BNHealthWarningAshurst">
    <w:name w:val="BNHealthWarningAshurst"/>
    <w:basedOn w:val="NormalAshurst"/>
    <w:next w:val="StandardAshurst"/>
    <w:uiPriority w:val="61"/>
    <w:rsid w:val="008676A8"/>
    <w:pPr>
      <w:spacing w:after="200"/>
    </w:pPr>
    <w:rPr>
      <w:b/>
      <w:sz w:val="16"/>
      <w:szCs w:val="16"/>
    </w:rPr>
  </w:style>
  <w:style w:type="paragraph" w:customStyle="1" w:styleId="BNTable1Ashurst">
    <w:name w:val="BNTable1Ashurst"/>
    <w:basedOn w:val="TableAshurst"/>
    <w:uiPriority w:val="61"/>
    <w:rsid w:val="008676A8"/>
    <w:pPr>
      <w:spacing w:before="120" w:after="120"/>
    </w:pPr>
    <w:rPr>
      <w:sz w:val="14"/>
      <w:szCs w:val="14"/>
    </w:rPr>
  </w:style>
  <w:style w:type="paragraph" w:customStyle="1" w:styleId="BNTable2Ashurst">
    <w:name w:val="BNTable2Ashurst"/>
    <w:basedOn w:val="BNTable1Ashurst"/>
    <w:uiPriority w:val="61"/>
    <w:rsid w:val="008676A8"/>
    <w:pPr>
      <w:ind w:left="108"/>
      <w:jc w:val="left"/>
    </w:pPr>
  </w:style>
  <w:style w:type="paragraph" w:customStyle="1" w:styleId="BNTitle22Ashurst">
    <w:name w:val="BNTitle22Ashurst"/>
    <w:basedOn w:val="NormalAshurst"/>
    <w:uiPriority w:val="61"/>
    <w:rsid w:val="008676A8"/>
    <w:pPr>
      <w:spacing w:after="0"/>
      <w:jc w:val="left"/>
    </w:pPr>
    <w:rPr>
      <w:sz w:val="44"/>
      <w:szCs w:val="44"/>
    </w:rPr>
  </w:style>
  <w:style w:type="paragraph" w:customStyle="1" w:styleId="CSSubTitleAshurst">
    <w:name w:val="CSSubTitleAshurst"/>
    <w:basedOn w:val="NormalAshurst"/>
    <w:next w:val="NormalAshurst"/>
    <w:uiPriority w:val="61"/>
    <w:rsid w:val="008676A8"/>
    <w:pPr>
      <w:keepNext/>
      <w:jc w:val="left"/>
    </w:pPr>
    <w:rPr>
      <w:sz w:val="32"/>
    </w:rPr>
  </w:style>
  <w:style w:type="paragraph" w:customStyle="1" w:styleId="CSTitleAshurst">
    <w:name w:val="CSTitleAshurst"/>
    <w:basedOn w:val="NormalAshurst"/>
    <w:next w:val="NormalAshurst"/>
    <w:uiPriority w:val="61"/>
    <w:rsid w:val="008676A8"/>
    <w:pPr>
      <w:spacing w:before="1240" w:after="840"/>
      <w:jc w:val="left"/>
    </w:pPr>
    <w:rPr>
      <w:sz w:val="42"/>
    </w:rPr>
  </w:style>
  <w:style w:type="paragraph" w:customStyle="1" w:styleId="CSTxtAshurst">
    <w:name w:val="CSTxtAshurst"/>
    <w:basedOn w:val="NormalAshurst"/>
    <w:next w:val="NormalAshurst"/>
    <w:uiPriority w:val="61"/>
    <w:rsid w:val="008676A8"/>
    <w:pPr>
      <w:jc w:val="left"/>
    </w:pPr>
    <w:rPr>
      <w:sz w:val="24"/>
      <w:szCs w:val="24"/>
    </w:rPr>
  </w:style>
  <w:style w:type="paragraph" w:customStyle="1" w:styleId="MACompaniesAshurst">
    <w:name w:val="M&amp;ACompaniesAshurst"/>
    <w:basedOn w:val="CSTxtAshurst"/>
    <w:uiPriority w:val="61"/>
    <w:rsid w:val="008676A8"/>
    <w:pPr>
      <w:spacing w:before="1320" w:after="0"/>
    </w:pPr>
  </w:style>
  <w:style w:type="paragraph" w:customStyle="1" w:styleId="MATitle22Ashurst">
    <w:name w:val="M&amp;ATitle22Ashurst"/>
    <w:basedOn w:val="BNTitle22Ashurst"/>
    <w:uiPriority w:val="61"/>
    <w:rsid w:val="008676A8"/>
    <w:pPr>
      <w:spacing w:before="480" w:after="400"/>
    </w:pPr>
  </w:style>
  <w:style w:type="paragraph" w:customStyle="1" w:styleId="ParticularsTableAshurst">
    <w:name w:val="ParticularsTableAshurst"/>
    <w:basedOn w:val="TableAshurst"/>
    <w:uiPriority w:val="61"/>
    <w:rsid w:val="008676A8"/>
    <w:pPr>
      <w:jc w:val="left"/>
    </w:pPr>
  </w:style>
  <w:style w:type="paragraph" w:customStyle="1" w:styleId="SDBoldItalicsAshurst">
    <w:name w:val="SDBoldItalicsAshurst"/>
    <w:basedOn w:val="B12Ashurst"/>
    <w:uiPriority w:val="61"/>
    <w:rsid w:val="008676A8"/>
    <w:rPr>
      <w:b/>
      <w:i/>
    </w:rPr>
  </w:style>
  <w:style w:type="paragraph" w:customStyle="1" w:styleId="SDDocTypeAshurst">
    <w:name w:val="SDDocTypeAshurst"/>
    <w:basedOn w:val="BNDocTypeAshurst"/>
    <w:next w:val="StandardAshurst"/>
    <w:uiPriority w:val="61"/>
    <w:rsid w:val="008676A8"/>
  </w:style>
  <w:style w:type="paragraph" w:customStyle="1" w:styleId="SDTitle22Ashurst">
    <w:name w:val="SDTitle22Ashurst"/>
    <w:basedOn w:val="BNTitle22Ashurst"/>
    <w:next w:val="StandardAshurst"/>
    <w:uiPriority w:val="61"/>
    <w:rsid w:val="008676A8"/>
    <w:rPr>
      <w:b/>
    </w:rPr>
  </w:style>
  <w:style w:type="paragraph" w:customStyle="1" w:styleId="BN20ptBeforeAshurst">
    <w:name w:val="BN20ptBeforeAshurst"/>
    <w:basedOn w:val="NormalAshurst"/>
    <w:next w:val="NormalAshurst"/>
    <w:uiPriority w:val="61"/>
    <w:rsid w:val="008676A8"/>
    <w:pPr>
      <w:spacing w:before="400" w:after="0"/>
    </w:pPr>
  </w:style>
  <w:style w:type="paragraph" w:customStyle="1" w:styleId="NormalBoldAshurst">
    <w:name w:val="NormalBoldAshurst"/>
    <w:basedOn w:val="NormalAshurst"/>
    <w:next w:val="NormalAshurst"/>
    <w:uiPriority w:val="79"/>
    <w:rsid w:val="008676A8"/>
    <w:rPr>
      <w:b/>
      <w:szCs w:val="18"/>
    </w:rPr>
  </w:style>
  <w:style w:type="paragraph" w:customStyle="1" w:styleId="TableNum1Ashurst">
    <w:name w:val="TableNum1Ashurst"/>
    <w:basedOn w:val="TableAshurst"/>
    <w:uiPriority w:val="58"/>
    <w:rsid w:val="008676A8"/>
    <w:pPr>
      <w:numPr>
        <w:numId w:val="37"/>
      </w:numPr>
      <w:tabs>
        <w:tab w:val="num" w:pos="360"/>
      </w:tabs>
      <w:ind w:left="360" w:hanging="360"/>
      <w:outlineLvl w:val="0"/>
    </w:pPr>
  </w:style>
  <w:style w:type="paragraph" w:customStyle="1" w:styleId="AltRecitalsAshurst">
    <w:name w:val="AltRecitalsAshurst"/>
    <w:basedOn w:val="RecitalsAshurst"/>
    <w:uiPriority w:val="26"/>
    <w:rsid w:val="008676A8"/>
    <w:pPr>
      <w:numPr>
        <w:numId w:val="26"/>
      </w:numPr>
      <w:tabs>
        <w:tab w:val="clear" w:pos="782"/>
        <w:tab w:val="num" w:pos="360"/>
      </w:tabs>
      <w:ind w:left="360" w:hanging="360"/>
    </w:pPr>
  </w:style>
  <w:style w:type="paragraph" w:customStyle="1" w:styleId="LBItalicsAshurst">
    <w:name w:val="LBItalicsAshurst"/>
    <w:basedOn w:val="NormalAshurst"/>
    <w:next w:val="NormalAshurst"/>
    <w:uiPriority w:val="60"/>
    <w:rsid w:val="008676A8"/>
    <w:pPr>
      <w:keepNext/>
    </w:pPr>
    <w:rPr>
      <w:b/>
      <w:i/>
    </w:rPr>
  </w:style>
  <w:style w:type="paragraph" w:customStyle="1" w:styleId="TableNum2Ashurst">
    <w:name w:val="TableNum2Ashurst"/>
    <w:basedOn w:val="TableAshurst"/>
    <w:uiPriority w:val="58"/>
    <w:rsid w:val="008676A8"/>
    <w:pPr>
      <w:numPr>
        <w:ilvl w:val="1"/>
        <w:numId w:val="37"/>
      </w:numPr>
      <w:tabs>
        <w:tab w:val="num" w:pos="720"/>
      </w:tabs>
      <w:ind w:left="720" w:hanging="360"/>
      <w:outlineLvl w:val="1"/>
    </w:pPr>
  </w:style>
  <w:style w:type="paragraph" w:customStyle="1" w:styleId="TableNum3Ashurst">
    <w:name w:val="TableNum3Ashurst"/>
    <w:basedOn w:val="TableAshurst"/>
    <w:uiPriority w:val="58"/>
    <w:rsid w:val="008676A8"/>
    <w:pPr>
      <w:numPr>
        <w:ilvl w:val="2"/>
        <w:numId w:val="37"/>
      </w:numPr>
      <w:tabs>
        <w:tab w:val="num" w:pos="1080"/>
      </w:tabs>
      <w:ind w:left="1080" w:hanging="360"/>
    </w:pPr>
  </w:style>
  <w:style w:type="paragraph" w:customStyle="1" w:styleId="TableNum4Ashurst">
    <w:name w:val="TableNum4Ashurst"/>
    <w:basedOn w:val="TableAshurst"/>
    <w:uiPriority w:val="58"/>
    <w:rsid w:val="008676A8"/>
    <w:pPr>
      <w:numPr>
        <w:ilvl w:val="3"/>
        <w:numId w:val="37"/>
      </w:numPr>
      <w:tabs>
        <w:tab w:val="num" w:pos="1440"/>
      </w:tabs>
      <w:ind w:left="1440" w:hanging="360"/>
    </w:pPr>
  </w:style>
  <w:style w:type="paragraph" w:customStyle="1" w:styleId="TableNum5Ashurst">
    <w:name w:val="TableNum5Ashurst"/>
    <w:basedOn w:val="TableAshurst"/>
    <w:uiPriority w:val="58"/>
    <w:rsid w:val="008676A8"/>
    <w:pPr>
      <w:numPr>
        <w:ilvl w:val="4"/>
        <w:numId w:val="37"/>
      </w:numPr>
      <w:tabs>
        <w:tab w:val="num" w:pos="1800"/>
      </w:tabs>
      <w:ind w:left="1800" w:hanging="360"/>
    </w:pPr>
  </w:style>
  <w:style w:type="paragraph" w:customStyle="1" w:styleId="TableNum6Ashurst">
    <w:name w:val="TableNum6Ashurst"/>
    <w:basedOn w:val="TableAshurst"/>
    <w:uiPriority w:val="58"/>
    <w:rsid w:val="008676A8"/>
    <w:pPr>
      <w:numPr>
        <w:ilvl w:val="5"/>
        <w:numId w:val="37"/>
      </w:numPr>
      <w:tabs>
        <w:tab w:val="num" w:pos="2160"/>
      </w:tabs>
      <w:ind w:left="2160" w:hanging="360"/>
    </w:pPr>
  </w:style>
  <w:style w:type="paragraph" w:customStyle="1" w:styleId="DefinitionsClauseAshurst">
    <w:name w:val="DefinitionsClauseAshurst"/>
    <w:basedOn w:val="NormalAshurst"/>
    <w:uiPriority w:val="26"/>
    <w:rsid w:val="008676A8"/>
    <w:pPr>
      <w:numPr>
        <w:numId w:val="39"/>
      </w:numPr>
      <w:tabs>
        <w:tab w:val="num" w:pos="360"/>
      </w:tabs>
      <w:ind w:left="360" w:hanging="360"/>
      <w:outlineLvl w:val="0"/>
    </w:pPr>
    <w:rPr>
      <w:lang w:eastAsia="en-GB"/>
    </w:rPr>
  </w:style>
  <w:style w:type="paragraph" w:customStyle="1" w:styleId="AltH7Ashurst">
    <w:name w:val="AltH7Ashurst"/>
    <w:basedOn w:val="NormalAshurst"/>
    <w:uiPriority w:val="40"/>
    <w:rsid w:val="008676A8"/>
    <w:pPr>
      <w:numPr>
        <w:ilvl w:val="6"/>
        <w:numId w:val="22"/>
      </w:numPr>
      <w:tabs>
        <w:tab w:val="clear" w:pos="3901"/>
        <w:tab w:val="num" w:pos="643"/>
      </w:tabs>
      <w:ind w:left="643" w:hanging="360"/>
      <w:outlineLvl w:val="6"/>
    </w:pPr>
  </w:style>
  <w:style w:type="paragraph" w:customStyle="1" w:styleId="AltH8Ashurst">
    <w:name w:val="AltH8Ashurst"/>
    <w:basedOn w:val="NormalAshurst"/>
    <w:uiPriority w:val="40"/>
    <w:rsid w:val="008676A8"/>
    <w:pPr>
      <w:numPr>
        <w:ilvl w:val="7"/>
        <w:numId w:val="22"/>
      </w:numPr>
      <w:tabs>
        <w:tab w:val="clear" w:pos="4525"/>
        <w:tab w:val="num" w:pos="643"/>
      </w:tabs>
      <w:ind w:left="643" w:hanging="360"/>
      <w:outlineLvl w:val="7"/>
    </w:pPr>
  </w:style>
  <w:style w:type="paragraph" w:customStyle="1" w:styleId="B7Ashurst">
    <w:name w:val="B7Ashurst"/>
    <w:basedOn w:val="NormalAshurst"/>
    <w:uiPriority w:val="56"/>
    <w:rsid w:val="008676A8"/>
    <w:pPr>
      <w:tabs>
        <w:tab w:val="left" w:pos="4525"/>
      </w:tabs>
      <w:ind w:left="3901"/>
    </w:pPr>
  </w:style>
  <w:style w:type="paragraph" w:customStyle="1" w:styleId="B8Ashurst">
    <w:name w:val="B8Ashurst"/>
    <w:basedOn w:val="NormalAshurst"/>
    <w:uiPriority w:val="56"/>
    <w:rsid w:val="008676A8"/>
    <w:pPr>
      <w:tabs>
        <w:tab w:val="left" w:pos="5148"/>
      </w:tabs>
      <w:ind w:left="4525"/>
    </w:pPr>
  </w:style>
  <w:style w:type="paragraph" w:customStyle="1" w:styleId="Alt2RecitalsAshurst">
    <w:name w:val="Alt2_RecitalsAshurst"/>
    <w:basedOn w:val="NormalAshurst"/>
    <w:rsid w:val="008676A8"/>
    <w:pPr>
      <w:numPr>
        <w:numId w:val="40"/>
      </w:numPr>
      <w:tabs>
        <w:tab w:val="clear" w:pos="782"/>
      </w:tabs>
      <w:ind w:left="360" w:hanging="360"/>
      <w:outlineLvl w:val="0"/>
    </w:pPr>
    <w:rPr>
      <w:rFonts w:eastAsia="MS Mincho"/>
      <w:lang w:eastAsia="zh-CN"/>
    </w:rPr>
  </w:style>
  <w:style w:type="paragraph" w:customStyle="1" w:styleId="AltPartiesAshurst">
    <w:name w:val="AltPartiesAshurst"/>
    <w:basedOn w:val="NormalAshurst"/>
    <w:rsid w:val="008676A8"/>
    <w:pPr>
      <w:numPr>
        <w:numId w:val="41"/>
      </w:numPr>
      <w:tabs>
        <w:tab w:val="clear" w:pos="782"/>
      </w:tabs>
      <w:ind w:left="360" w:hanging="360"/>
      <w:outlineLvl w:val="0"/>
    </w:pPr>
    <w:rPr>
      <w:rFonts w:eastAsia="MS Mincho"/>
      <w:lang w:eastAsia="zh-CN"/>
    </w:rPr>
  </w:style>
  <w:style w:type="paragraph" w:customStyle="1" w:styleId="AltScheduleAshurst">
    <w:name w:val="AltScheduleAshurst"/>
    <w:basedOn w:val="NormalAshurst"/>
    <w:next w:val="SchSubAshurst"/>
    <w:rsid w:val="008676A8"/>
    <w:pPr>
      <w:numPr>
        <w:numId w:val="42"/>
      </w:numPr>
      <w:jc w:val="center"/>
      <w:outlineLvl w:val="0"/>
    </w:pPr>
    <w:rPr>
      <w:rFonts w:eastAsia="MS Mincho"/>
      <w:b/>
      <w:caps/>
      <w:lang w:eastAsia="zh-CN"/>
    </w:rPr>
  </w:style>
  <w:style w:type="character" w:customStyle="1" w:styleId="AltH2OCAshurstChar">
    <w:name w:val="AltH2OCAshurst Char"/>
    <w:basedOn w:val="NormalOCAshurstChar"/>
    <w:link w:val="AltH2OCAshurst"/>
    <w:uiPriority w:val="40"/>
    <w:rsid w:val="008676A8"/>
    <w:rPr>
      <w:rFonts w:asciiTheme="minorHAnsi" w:eastAsiaTheme="minorEastAsia" w:hAnsiTheme="minorHAnsi"/>
      <w:lang w:eastAsia="en-GB"/>
    </w:rPr>
  </w:style>
  <w:style w:type="character" w:customStyle="1" w:styleId="Body2OCAshurstChar">
    <w:name w:val="Body2OCAshurst Char"/>
    <w:basedOn w:val="NormalOCAshurstChar"/>
    <w:link w:val="Body2OCAshurst"/>
    <w:uiPriority w:val="2"/>
    <w:rsid w:val="008676A8"/>
    <w:rPr>
      <w:rFonts w:asciiTheme="minorHAnsi" w:eastAsiaTheme="minorEastAsia" w:hAnsiTheme="minorHAnsi"/>
      <w:lang w:eastAsia="en-GB"/>
    </w:rPr>
  </w:style>
  <w:style w:type="paragraph" w:customStyle="1" w:styleId="normalocashurst0">
    <w:name w:val="normalocashurst"/>
    <w:basedOn w:val="Normal"/>
    <w:rsid w:val="008676A8"/>
    <w:pPr>
      <w:spacing w:before="100" w:beforeAutospacing="1" w:after="100" w:afterAutospacing="1" w:line="264" w:lineRule="auto"/>
      <w:jc w:val="both"/>
    </w:pPr>
    <w:rPr>
      <w:rFonts w:ascii="Verdana" w:eastAsia="Microsoft JhengHei" w:hAnsi="Verdana"/>
      <w:sz w:val="24"/>
      <w:szCs w:val="24"/>
      <w:lang w:eastAsia="en-GB"/>
    </w:rPr>
  </w:style>
  <w:style w:type="character" w:customStyle="1" w:styleId="apple-style-span">
    <w:name w:val="apple-style-span"/>
    <w:basedOn w:val="DefaultParagraphFont"/>
    <w:rsid w:val="008676A8"/>
  </w:style>
  <w:style w:type="paragraph" w:customStyle="1" w:styleId="MarginNoteRight">
    <w:name w:val="Margin Note Right"/>
    <w:basedOn w:val="Normal"/>
    <w:rsid w:val="008676A8"/>
    <w:pPr>
      <w:framePr w:w="1134" w:hSpace="181" w:vSpace="181" w:wrap="around" w:vAnchor="text" w:hAnchor="page" w:xAlign="right" w:y="1"/>
      <w:spacing w:after="80"/>
      <w:jc w:val="both"/>
    </w:pPr>
    <w:rPr>
      <w:rFonts w:ascii="Times New Roman" w:eastAsia="Times New Roman" w:hAnsi="Times New Roman"/>
      <w:sz w:val="16"/>
      <w:lang w:eastAsia="en-US"/>
    </w:rPr>
  </w:style>
  <w:style w:type="paragraph" w:customStyle="1" w:styleId="BodyText1">
    <w:name w:val="Body Text 1"/>
    <w:basedOn w:val="Normal"/>
    <w:qFormat/>
    <w:rsid w:val="008676A8"/>
    <w:pPr>
      <w:spacing w:after="200"/>
      <w:ind w:left="680"/>
      <w:jc w:val="both"/>
    </w:pPr>
    <w:rPr>
      <w:rFonts w:ascii="Times New Roman" w:eastAsia="Times New Roman" w:hAnsi="Times New Roman" w:cs="Times"/>
      <w:szCs w:val="24"/>
      <w:lang w:eastAsia="en-US"/>
    </w:rPr>
  </w:style>
  <w:style w:type="paragraph" w:customStyle="1" w:styleId="Tableheaderrow">
    <w:name w:val="Table header row"/>
    <w:basedOn w:val="Normal"/>
    <w:rsid w:val="008676A8"/>
    <w:pPr>
      <w:keepNext/>
      <w:tabs>
        <w:tab w:val="right" w:leader="dot" w:pos="4140"/>
      </w:tabs>
      <w:spacing w:after="80"/>
      <w:jc w:val="center"/>
    </w:pPr>
    <w:rPr>
      <w:rFonts w:ascii="Times New Roman Bold" w:eastAsia="Times New Roman" w:hAnsi="Times New Roman Bold" w:cs="Times"/>
      <w:b/>
      <w:bCs/>
      <w:sz w:val="16"/>
      <w:szCs w:val="24"/>
      <w:lang w:eastAsia="en-US"/>
    </w:rPr>
  </w:style>
  <w:style w:type="paragraph" w:customStyle="1" w:styleId="Tablerow">
    <w:name w:val="Table row"/>
    <w:basedOn w:val="Tableheaderrow"/>
    <w:rsid w:val="008676A8"/>
    <w:pPr>
      <w:tabs>
        <w:tab w:val="clear" w:pos="4140"/>
        <w:tab w:val="right" w:leader="dot" w:pos="6300"/>
      </w:tabs>
      <w:jc w:val="left"/>
    </w:pPr>
    <w:rPr>
      <w:rFonts w:ascii="Times New Roman" w:hAnsi="Times New Roman"/>
      <w:b w:val="0"/>
    </w:rPr>
  </w:style>
  <w:style w:type="character" w:customStyle="1" w:styleId="FontStyle22">
    <w:name w:val="Font Style22"/>
    <w:uiPriority w:val="99"/>
    <w:rsid w:val="008676A8"/>
    <w:rPr>
      <w:rFonts w:ascii="Times New Roman" w:hAnsi="Times New Roman" w:cs="Times New Roman"/>
      <w:sz w:val="18"/>
      <w:szCs w:val="18"/>
    </w:rPr>
  </w:style>
  <w:style w:type="paragraph" w:customStyle="1" w:styleId="TableMiddleRows">
    <w:name w:val="Table Middle Rows"/>
    <w:basedOn w:val="Normal"/>
    <w:rsid w:val="008676A8"/>
    <w:pPr>
      <w:tabs>
        <w:tab w:val="right" w:leader="dot" w:pos="4140"/>
      </w:tabs>
      <w:jc w:val="both"/>
    </w:pPr>
    <w:rPr>
      <w:rFonts w:ascii="Times New Roman" w:eastAsia="Times New Roman" w:hAnsi="Times New Roman" w:cs="Times"/>
      <w:iCs/>
      <w:sz w:val="16"/>
      <w:szCs w:val="24"/>
      <w:lang w:eastAsia="en-US"/>
    </w:rPr>
  </w:style>
  <w:style w:type="paragraph" w:customStyle="1" w:styleId="Tableheaderrowitalic">
    <w:name w:val="Table header row italic"/>
    <w:basedOn w:val="Tableheaderrow"/>
    <w:rsid w:val="008676A8"/>
    <w:pPr>
      <w:tabs>
        <w:tab w:val="clear" w:pos="4140"/>
        <w:tab w:val="right" w:leader="dot" w:pos="5291"/>
      </w:tabs>
    </w:pPr>
    <w:rPr>
      <w:rFonts w:ascii="Times New Roman" w:hAnsi="Times New Roman"/>
      <w:b w:val="0"/>
      <w:i/>
      <w:iCs/>
    </w:rPr>
  </w:style>
  <w:style w:type="paragraph" w:customStyle="1" w:styleId="Style14">
    <w:name w:val="Style14"/>
    <w:basedOn w:val="Normal"/>
    <w:uiPriority w:val="99"/>
    <w:rsid w:val="008676A8"/>
    <w:pPr>
      <w:widowControl w:val="0"/>
      <w:autoSpaceDE w:val="0"/>
      <w:autoSpaceDN w:val="0"/>
      <w:adjustRightInd w:val="0"/>
    </w:pPr>
    <w:rPr>
      <w:rFonts w:ascii="Times New Roman" w:eastAsia="Microsoft JhengHei" w:hAnsi="Times New Roman"/>
      <w:sz w:val="24"/>
      <w:szCs w:val="24"/>
      <w:lang w:eastAsia="en-GB"/>
    </w:rPr>
  </w:style>
  <w:style w:type="character" w:customStyle="1" w:styleId="FontStyle19">
    <w:name w:val="Font Style19"/>
    <w:uiPriority w:val="99"/>
    <w:rsid w:val="008676A8"/>
    <w:rPr>
      <w:rFonts w:ascii="Times New Roman" w:hAnsi="Times New Roman" w:cs="Times New Roman"/>
      <w:b/>
      <w:bCs/>
      <w:sz w:val="16"/>
      <w:szCs w:val="16"/>
    </w:rPr>
  </w:style>
  <w:style w:type="character" w:customStyle="1" w:styleId="FontStyle21">
    <w:name w:val="Font Style21"/>
    <w:uiPriority w:val="99"/>
    <w:rsid w:val="008676A8"/>
    <w:rPr>
      <w:rFonts w:ascii="Times New Roman" w:hAnsi="Times New Roman" w:cs="Times New Roman"/>
      <w:b/>
      <w:bCs/>
      <w:sz w:val="18"/>
      <w:szCs w:val="18"/>
    </w:rPr>
  </w:style>
  <w:style w:type="paragraph" w:customStyle="1" w:styleId="BodyDbl">
    <w:name w:val="Body Dbl"/>
    <w:basedOn w:val="Normal"/>
    <w:rsid w:val="008676A8"/>
    <w:pPr>
      <w:spacing w:after="240" w:line="480" w:lineRule="auto"/>
    </w:pPr>
    <w:rPr>
      <w:rFonts w:ascii="Times New Roman" w:eastAsia="Times New Roman" w:hAnsi="Times New Roman"/>
      <w:sz w:val="24"/>
      <w:lang w:val="en-US" w:eastAsia="en-GB"/>
    </w:rPr>
  </w:style>
  <w:style w:type="paragraph" w:styleId="Revision">
    <w:name w:val="Revision"/>
    <w:hidden/>
    <w:rsid w:val="0060470E"/>
    <w:rPr>
      <w:rFonts w:asciiTheme="minorHAnsi" w:eastAsiaTheme="minorEastAsia" w:hAnsiTheme="minorHAnsi"/>
    </w:rPr>
  </w:style>
  <w:style w:type="table" w:customStyle="1" w:styleId="TableGrid10">
    <w:name w:val="Table Grid1"/>
    <w:basedOn w:val="TableNormal"/>
    <w:next w:val="TableGrid"/>
    <w:uiPriority w:val="98"/>
    <w:rsid w:val="00527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ED21A8"/>
    <w:rPr>
      <w:color w:val="0000FF"/>
      <w:u w:val="double"/>
    </w:rPr>
  </w:style>
  <w:style w:type="table" w:customStyle="1" w:styleId="TableGrid20">
    <w:name w:val="Table Grid2"/>
    <w:basedOn w:val="TableNormal"/>
    <w:next w:val="TableGrid"/>
    <w:uiPriority w:val="39"/>
    <w:rsid w:val="00B86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5DE3"/>
    <w:rPr>
      <w:color w:val="605E5C"/>
      <w:shd w:val="clear" w:color="auto" w:fill="E1DFDD"/>
    </w:rPr>
  </w:style>
  <w:style w:type="numbering" w:customStyle="1" w:styleId="NoList1">
    <w:name w:val="No List1"/>
    <w:next w:val="NoList"/>
    <w:uiPriority w:val="99"/>
    <w:semiHidden/>
    <w:unhideWhenUsed/>
    <w:rsid w:val="00693925"/>
  </w:style>
  <w:style w:type="numbering" w:customStyle="1" w:styleId="1111111">
    <w:name w:val="1 / 1.1 / 1.1.11"/>
    <w:basedOn w:val="NoList"/>
    <w:next w:val="111111"/>
    <w:uiPriority w:val="98"/>
    <w:semiHidden/>
    <w:rsid w:val="00693925"/>
  </w:style>
  <w:style w:type="numbering" w:customStyle="1" w:styleId="1ai1">
    <w:name w:val="1 / a / i1"/>
    <w:basedOn w:val="NoList"/>
    <w:next w:val="1ai"/>
    <w:uiPriority w:val="98"/>
    <w:semiHidden/>
    <w:rsid w:val="00693925"/>
  </w:style>
  <w:style w:type="numbering" w:customStyle="1" w:styleId="ArticleSection1">
    <w:name w:val="Article / Section1"/>
    <w:basedOn w:val="NoList"/>
    <w:next w:val="ArticleSection"/>
    <w:uiPriority w:val="98"/>
    <w:semiHidden/>
    <w:rsid w:val="00693925"/>
  </w:style>
  <w:style w:type="paragraph" w:customStyle="1" w:styleId="NoteHeading2">
    <w:name w:val="Note Heading2"/>
    <w:basedOn w:val="Normal"/>
    <w:next w:val="Normal"/>
    <w:uiPriority w:val="98"/>
    <w:semiHidden/>
    <w:rsid w:val="00693925"/>
    <w:pPr>
      <w:suppressAutoHyphens/>
      <w:spacing w:after="220" w:line="264" w:lineRule="auto"/>
      <w:jc w:val="both"/>
    </w:pPr>
    <w:rPr>
      <w:rFonts w:cstheme="minorBidi"/>
      <w:sz w:val="18"/>
      <w:szCs w:val="24"/>
    </w:rPr>
  </w:style>
  <w:style w:type="character" w:customStyle="1" w:styleId="NoteHeadingChar1">
    <w:name w:val="Note Heading Char1"/>
    <w:basedOn w:val="DefaultParagraphFont"/>
    <w:uiPriority w:val="98"/>
    <w:semiHidden/>
    <w:rsid w:val="00693925"/>
    <w:rPr>
      <w:rFonts w:asciiTheme="minorHAnsi" w:eastAsiaTheme="minorEastAsia" w:hAnsiTheme="minorHAnsi"/>
    </w:rPr>
  </w:style>
  <w:style w:type="paragraph" w:customStyle="1" w:styleId="DefSubSubSubOCAshurst">
    <w:name w:val="DefSubSubSubOCAshurst"/>
    <w:basedOn w:val="NormalOCAshurst"/>
    <w:uiPriority w:val="98"/>
    <w:rsid w:val="00693925"/>
    <w:pPr>
      <w:tabs>
        <w:tab w:val="num" w:pos="1843"/>
      </w:tabs>
      <w:ind w:left="1843" w:hanging="567"/>
    </w:pPr>
  </w:style>
  <w:style w:type="table" w:customStyle="1" w:styleId="MPTTable1">
    <w:name w:val="MPT Table 1"/>
    <w:basedOn w:val="TableNormal"/>
    <w:rsid w:val="00693925"/>
    <w:rPr>
      <w:rFonts w:asciiTheme="minorHAnsi" w:eastAsiaTheme="minorHAnsi" w:hAnsiTheme="minorHAnsi" w:cstheme="minorBidi"/>
      <w:sz w:val="18"/>
      <w:szCs w:val="24"/>
      <w:lang w:eastAsia="zh-CN"/>
    </w:rPr>
    <w:tblPr>
      <w:tblBorders>
        <w:bottom w:val="single" w:sz="8" w:space="0" w:color="FFFFFF" w:themeColor="background1"/>
        <w:insideH w:val="single" w:sz="8" w:space="0" w:color="FFFFFF" w:themeColor="background1"/>
        <w:insideV w:val="single" w:sz="8" w:space="0" w:color="FFFFFF" w:themeColor="background1"/>
      </w:tblBorders>
      <w:tblCellMar>
        <w:top w:w="85" w:type="dxa"/>
        <w:bottom w:w="85" w:type="dxa"/>
      </w:tblCellMar>
    </w:tblPr>
    <w:tcPr>
      <w:shd w:val="clear" w:color="auto" w:fill="F8F8F8" w:themeFill="accent1" w:themeFillTint="33"/>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F8F8F8" w:themeFill="accent1" w:themeFillTint="33"/>
      </w:tcPr>
    </w:tblStylePr>
  </w:style>
  <w:style w:type="table" w:customStyle="1" w:styleId="MPTTable2">
    <w:name w:val="MPT Table 2"/>
    <w:basedOn w:val="MPTTable1"/>
    <w:rsid w:val="00693925"/>
    <w:tblPr>
      <w:tblBorders>
        <w:bottom w:val="single" w:sz="8" w:space="0" w:color="DDDDDD" w:themeColor="accent1"/>
        <w:insideH w:val="single" w:sz="8" w:space="0" w:color="DDDDDD" w:themeColor="accent1"/>
        <w:insideV w:val="none" w:sz="0" w:space="0" w:color="auto"/>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F8F8F8" w:themeFill="accent1" w:themeFillTint="33"/>
      </w:tcPr>
    </w:tblStylePr>
  </w:style>
  <w:style w:type="table" w:customStyle="1" w:styleId="MPTTable3">
    <w:name w:val="MPT Table 3"/>
    <w:basedOn w:val="MPTTable1"/>
    <w:rsid w:val="00693925"/>
    <w:tblPr>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F8F8F8" w:themeFill="accent1" w:themeFillTint="33"/>
      </w:tcPr>
    </w:tblStylePr>
  </w:style>
  <w:style w:type="table" w:customStyle="1" w:styleId="MPTTable4">
    <w:name w:val="MPT Table 4"/>
    <w:basedOn w:val="MPTTable1"/>
    <w:rsid w:val="00693925"/>
    <w:tblPr>
      <w:tblStyleRowBandSize w:val="1"/>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nil"/>
          <w:left w:val="nil"/>
          <w:bottom w:val="nil"/>
          <w:right w:val="nil"/>
          <w:insideH w:val="nil"/>
          <w:insideV w:val="nil"/>
          <w:tl2br w:val="nil"/>
          <w:tr2bl w:val="nil"/>
        </w:tcBorders>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bottom w:val="single" w:sz="8" w:space="0" w:color="DDDDDD" w:themeColor="accent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F8F8F8" w:themeFill="accent1" w:themeFillTint="33"/>
      </w:tcPr>
    </w:tblStylePr>
  </w:style>
  <w:style w:type="table" w:customStyle="1" w:styleId="MPTTable5">
    <w:name w:val="MPT Table 5"/>
    <w:basedOn w:val="MPTTable1"/>
    <w:rsid w:val="00693925"/>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8F8F8" w:themeFill="accent1" w:themeFillTint="33"/>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nil"/>
          <w:insideV w:val="nil"/>
          <w:tl2br w:val="nil"/>
          <w:tr2bl w:val="nil"/>
        </w:tcBorders>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firstCol">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F8F8F8" w:themeFill="accent1" w:themeFillTint="33"/>
      </w:tcPr>
    </w:tblStylePr>
    <w:tblStylePr w:type="lastCol">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band2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band1Horz">
      <w:tblPr/>
      <w:tcPr>
        <w:tcBorders>
          <w:top w:val="nil"/>
          <w:left w:val="nil"/>
          <w:bottom w:val="single" w:sz="8" w:space="0" w:color="DDDDDD" w:themeColor="accent1"/>
          <w:right w:val="single" w:sz="8" w:space="0" w:color="DDDDDD" w:themeColor="accent1"/>
          <w:insideH w:val="nil"/>
          <w:insideV w:val="nil"/>
          <w:tl2br w:val="nil"/>
          <w:tr2bl w:val="nil"/>
        </w:tcBorders>
        <w:shd w:val="clear" w:color="auto" w:fill="auto"/>
      </w:tcPr>
    </w:tblStylePr>
    <w:tblStylePr w:type="band2Horz">
      <w:tblPr/>
      <w:tcPr>
        <w:tcBorders>
          <w:top w:val="nil"/>
          <w:left w:val="nil"/>
          <w:bottom w:val="single" w:sz="8" w:space="0" w:color="DDDDDD" w:themeColor="accent1"/>
          <w:right w:val="single" w:sz="8" w:space="0" w:color="DDDDDD" w:themeColor="accent1"/>
          <w:insideH w:val="nil"/>
          <w:insideV w:val="nil"/>
          <w:tl2br w:val="nil"/>
          <w:tr2bl w:val="nil"/>
        </w:tcBorders>
        <w:shd w:val="clear" w:color="auto" w:fill="auto"/>
      </w:tcPr>
    </w:tblStylePr>
  </w:style>
  <w:style w:type="table" w:customStyle="1" w:styleId="MPTTableSlate1">
    <w:name w:val="MPT Table Slate 1"/>
    <w:basedOn w:val="MPTTable1"/>
    <w:rsid w:val="00693925"/>
    <w:tblPr>
      <w:tblStyleRowBandSize w:val="1"/>
    </w:tblPr>
    <w:tcPr>
      <w:shd w:val="clear" w:color="auto" w:fill="CCCCCC" w:themeFill="text1" w:themeFillTint="33"/>
    </w:tcPr>
    <w:tblStylePr w:type="firstRow">
      <w:pPr>
        <w:wordWrap/>
        <w:spacing w:beforeLines="0" w:before="0" w:beforeAutospacing="0" w:afterLines="0" w:after="0" w:afterAutospacing="0" w:line="240" w:lineRule="auto"/>
        <w:jc w:val="left"/>
      </w:pPr>
      <w:rPr>
        <w:rFonts w:asciiTheme="minorHAnsi" w:hAnsiTheme="minorHAnsi"/>
        <w:b/>
        <w:caps/>
        <w:smallCaps w:val="0"/>
        <w:color w:val="FFFFFF" w:themeColor="background1"/>
        <w:sz w:val="18"/>
      </w:rPr>
      <w:tblPr/>
      <w:tcPr>
        <w:tcBorders>
          <w:top w:val="nil"/>
          <w:bottom w:val="single" w:sz="8" w:space="0" w:color="FFFFFF" w:themeColor="background1"/>
          <w:insideH w:val="single" w:sz="8" w:space="0" w:color="FFFFFF" w:themeColor="background1"/>
          <w:insideV w:val="single" w:sz="8" w:space="0" w:color="FFFFFF" w:themeColor="background1"/>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CCCCCC" w:themeFill="text1" w:themeFillTint="33"/>
      </w:tcPr>
    </w:tblStylePr>
    <w:tblStylePr w:type="band1Horz">
      <w:tblPr/>
      <w:tcPr>
        <w:shd w:val="clear" w:color="auto" w:fill="CCCCCC" w:themeFill="text1" w:themeFillTint="33"/>
      </w:tcPr>
    </w:tblStylePr>
  </w:style>
  <w:style w:type="table" w:customStyle="1" w:styleId="MPTTableSlate2">
    <w:name w:val="MPT Table Slate 2"/>
    <w:basedOn w:val="MPTTable2"/>
    <w:rsid w:val="00693925"/>
    <w:tblPr>
      <w:tblBorders>
        <w:bottom w:val="single" w:sz="8" w:space="0" w:color="000000" w:themeColor="text1"/>
        <w:insideH w:val="single" w:sz="8" w:space="0" w:color="000000" w:themeColor="tex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nil"/>
          <w:left w:val="nil"/>
          <w:bottom w:val="nil"/>
          <w:right w:val="nil"/>
          <w:insideH w:val="single" w:sz="4" w:space="0" w:color="000000" w:themeColor="text1"/>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bottom w:val="single" w:sz="8" w:space="0" w:color="000000" w:themeColor="text1"/>
        </w:tcBorders>
        <w:shd w:val="clear" w:color="auto" w:fill="CCCCCC" w:themeFill="text1" w:themeFillTint="33"/>
      </w:tcPr>
    </w:tblStylePr>
  </w:style>
  <w:style w:type="table" w:customStyle="1" w:styleId="MPTTableSlate3">
    <w:name w:val="MPT Table Slate 3"/>
    <w:basedOn w:val="MPTTable3"/>
    <w:rsid w:val="00693925"/>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bottom w:val="single" w:sz="8" w:space="0" w:color="000000" w:themeColor="text1"/>
        </w:tcBorders>
        <w:shd w:val="clear" w:color="auto" w:fill="CCCCCC" w:themeFill="text1" w:themeFillTint="33"/>
      </w:tcPr>
    </w:tblStylePr>
  </w:style>
  <w:style w:type="table" w:customStyle="1" w:styleId="MPTTableSlate4">
    <w:name w:val="MPT Table Slate 4"/>
    <w:basedOn w:val="MPTTable4"/>
    <w:rsid w:val="00693925"/>
    <w:tblPr>
      <w:tblBorders>
        <w:bottom w:val="single" w:sz="4" w:space="0" w:color="000000" w:themeColor="text1"/>
        <w:insideH w:val="none" w:sz="0" w:space="0" w:color="auto"/>
        <w:insideV w:val="none" w:sz="0" w:space="0" w:color="auto"/>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nil"/>
          <w:left w:val="nil"/>
          <w:bottom w:val="nil"/>
          <w:right w:val="nil"/>
          <w:insideH w:val="nil"/>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top w:val="nil"/>
          <w:left w:val="nil"/>
          <w:bottom w:val="single" w:sz="8" w:space="0" w:color="000000" w:themeColor="text1"/>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CCCCCC" w:themeFill="text1" w:themeFillTint="33"/>
      </w:tcPr>
    </w:tblStylePr>
  </w:style>
  <w:style w:type="table" w:customStyle="1" w:styleId="MPTTableSlate5">
    <w:name w:val="MPT Table Slate 5"/>
    <w:basedOn w:val="MPTTable5"/>
    <w:rsid w:val="00693925"/>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firstCol">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CCCCCC" w:themeFill="text1" w:themeFillTint="33"/>
      </w:tcPr>
    </w:tblStylePr>
    <w:tblStylePr w:type="lastCol">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band2Vert">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band1Horz">
      <w:tblPr/>
      <w:tcPr>
        <w:tcBorders>
          <w:top w:val="nil"/>
          <w:left w:val="nil"/>
          <w:bottom w:val="single" w:sz="8" w:space="0" w:color="000000" w:themeColor="text1"/>
          <w:right w:val="nil"/>
          <w:insideH w:val="nil"/>
          <w:insideV w:val="nil"/>
          <w:tl2br w:val="nil"/>
          <w:tr2bl w:val="nil"/>
        </w:tcBorders>
        <w:shd w:val="clear" w:color="auto" w:fill="auto"/>
      </w:tcPr>
    </w:tblStylePr>
    <w:tblStylePr w:type="band2Horz">
      <w:tblPr/>
      <w:tcPr>
        <w:tcBorders>
          <w:top w:val="nil"/>
          <w:left w:val="nil"/>
          <w:bottom w:val="single" w:sz="8" w:space="0" w:color="000000" w:themeColor="text1"/>
          <w:right w:val="nil"/>
          <w:insideH w:val="nil"/>
          <w:insideV w:val="nil"/>
          <w:tl2br w:val="nil"/>
          <w:tr2bl w:val="nil"/>
        </w:tcBorders>
        <w:shd w:val="clear" w:color="auto" w:fill="auto"/>
      </w:tcPr>
    </w:tblStylePr>
  </w:style>
  <w:style w:type="paragraph" w:customStyle="1" w:styleId="DefSubSubAshurst">
    <w:name w:val="DefSubSubAshurst"/>
    <w:basedOn w:val="NormalAshurst"/>
    <w:uiPriority w:val="26"/>
    <w:rsid w:val="00693925"/>
    <w:pPr>
      <w:tabs>
        <w:tab w:val="num" w:pos="1440"/>
      </w:tabs>
      <w:ind w:left="1440" w:hanging="360"/>
    </w:pPr>
    <w:rPr>
      <w:rFonts w:asciiTheme="minorHAnsi" w:eastAsiaTheme="minorEastAsia" w:hAnsiTheme="minorHAnsi" w:cstheme="minorBidi"/>
      <w:szCs w:val="24"/>
    </w:rPr>
  </w:style>
  <w:style w:type="table" w:customStyle="1" w:styleId="ExecutionClause">
    <w:name w:val="Execution Clause"/>
    <w:basedOn w:val="TableNormal"/>
    <w:uiPriority w:val="99"/>
    <w:rsid w:val="00693925"/>
    <w:pPr>
      <w:spacing w:line="264" w:lineRule="auto"/>
    </w:pPr>
    <w:rPr>
      <w:rFonts w:ascii="Verdana" w:eastAsiaTheme="minorHAnsi" w:hAnsi="Verdana" w:cstheme="minorBidi"/>
      <w:sz w:val="18"/>
      <w:szCs w:val="18"/>
      <w:lang w:val="en-AU" w:eastAsia="en-US"/>
    </w:rPr>
    <w:tblPr>
      <w:tblCellMar>
        <w:left w:w="0" w:type="dxa"/>
        <w:right w:w="0" w:type="dxa"/>
      </w:tblCellMar>
    </w:tblPr>
    <w:trPr>
      <w:cantSplit/>
    </w:trPr>
  </w:style>
  <w:style w:type="paragraph" w:customStyle="1" w:styleId="Execution24B4">
    <w:name w:val="Execution24B4"/>
    <w:basedOn w:val="Normal"/>
    <w:uiPriority w:val="89"/>
    <w:qFormat/>
    <w:rsid w:val="00693925"/>
    <w:pPr>
      <w:spacing w:before="480" w:line="264" w:lineRule="auto"/>
    </w:pPr>
    <w:rPr>
      <w:rFonts w:ascii="Verdana" w:eastAsiaTheme="minorHAnsi" w:hAnsi="Verdana" w:cstheme="minorBidi"/>
      <w:sz w:val="18"/>
      <w:lang w:val="en-AU" w:eastAsia="en-US"/>
    </w:rPr>
  </w:style>
  <w:style w:type="paragraph" w:customStyle="1" w:styleId="Execution7pt">
    <w:name w:val="Execution7pt"/>
    <w:basedOn w:val="Normal"/>
    <w:uiPriority w:val="89"/>
    <w:qFormat/>
    <w:rsid w:val="00693925"/>
    <w:pPr>
      <w:spacing w:before="20" w:line="264" w:lineRule="auto"/>
    </w:pPr>
    <w:rPr>
      <w:rFonts w:ascii="Verdana" w:eastAsiaTheme="minorHAnsi" w:hAnsi="Verdana" w:cstheme="minorBidi"/>
      <w:sz w:val="14"/>
      <w:lang w:val="en-AU" w:eastAsia="en-US"/>
    </w:rPr>
  </w:style>
  <w:style w:type="character" w:customStyle="1" w:styleId="ExecutionBold">
    <w:name w:val="ExecutionBold"/>
    <w:basedOn w:val="DefaultParagraphFont"/>
    <w:uiPriority w:val="89"/>
    <w:qFormat/>
    <w:rsid w:val="00693925"/>
    <w:rPr>
      <w:b/>
      <w:caps/>
      <w:smallCaps w:val="0"/>
    </w:rPr>
  </w:style>
  <w:style w:type="paragraph" w:customStyle="1" w:styleId="Execution48B424">
    <w:name w:val="Execution48B424"/>
    <w:basedOn w:val="Normal"/>
    <w:uiPriority w:val="89"/>
    <w:qFormat/>
    <w:rsid w:val="00693925"/>
    <w:pPr>
      <w:spacing w:before="960" w:after="480" w:line="264" w:lineRule="auto"/>
    </w:pPr>
    <w:rPr>
      <w:rFonts w:ascii="Verdana" w:eastAsiaTheme="minorHAnsi" w:hAnsi="Verdana" w:cstheme="minorBidi"/>
      <w:sz w:val="18"/>
      <w:lang w:val="en-AU" w:eastAsia="en-US"/>
    </w:rPr>
  </w:style>
  <w:style w:type="paragraph" w:customStyle="1" w:styleId="NoteParagraph">
    <w:name w:val="NoteParagraph"/>
    <w:aliases w:val="np"/>
    <w:basedOn w:val="Normal"/>
    <w:link w:val="NoteParagraphChar"/>
    <w:qFormat/>
    <w:rsid w:val="00693925"/>
    <w:pPr>
      <w:keepNext/>
      <w:shd w:val="pct10" w:color="auto" w:fill="auto"/>
      <w:spacing w:after="220" w:line="264" w:lineRule="auto"/>
      <w:jc w:val="both"/>
    </w:pPr>
    <w:rPr>
      <w:rFonts w:ascii="Verdana" w:eastAsiaTheme="minorHAnsi" w:hAnsi="Verdana" w:cstheme="minorBidi"/>
      <w:sz w:val="18"/>
      <w:szCs w:val="18"/>
      <w:lang w:val="en-AU" w:eastAsia="en-US"/>
    </w:rPr>
  </w:style>
  <w:style w:type="character" w:customStyle="1" w:styleId="NoteParagraphChar">
    <w:name w:val="NoteParagraph Char"/>
    <w:aliases w:val="np Char"/>
    <w:link w:val="NoteParagraph"/>
    <w:rsid w:val="00693925"/>
    <w:rPr>
      <w:rFonts w:ascii="Verdana" w:eastAsiaTheme="minorHAnsi" w:hAnsi="Verdana" w:cstheme="minorBidi"/>
      <w:sz w:val="18"/>
      <w:szCs w:val="18"/>
      <w:shd w:val="pct10" w:color="auto" w:fill="auto"/>
      <w:lang w:val="en-AU" w:eastAsia="en-US"/>
    </w:rPr>
  </w:style>
  <w:style w:type="character" w:styleId="UnresolvedMention">
    <w:name w:val="Unresolved Mention"/>
    <w:basedOn w:val="DefaultParagraphFont"/>
    <w:uiPriority w:val="98"/>
    <w:rsid w:val="00CC0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42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OfferingCircular.dotx" TargetMode="External"/></Relationships>
</file>

<file path=word/theme/theme1.xml><?xml version="1.0" encoding="utf-8"?>
<a:theme xmlns:a="http://schemas.openxmlformats.org/drawingml/2006/main" name="Office Theme">
  <a:themeElements>
    <a:clrScheme name="Ashurst Document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OCs">
      <a:majorFont>
        <a:latin typeface="Times New Roman"/>
        <a:ea typeface=""/>
        <a:cs typeface=""/>
        <a:font script="Jpan" typeface="MS Mincho"/>
        <a:font script="Hang" typeface="Batang"/>
        <a:font script="Hans" typeface="STXihei"/>
        <a:font script="Hant" typeface="Microsoft Jhenghei"/>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Imes New Roman"/>
        <a:ea typeface=""/>
        <a:cs typeface=""/>
        <a:font script="Jpan" typeface="MS Mincho"/>
        <a:font script="Hang" typeface="Batang"/>
        <a:font script="Hans" typeface="STXihei"/>
        <a:font script="Hant" typeface="Microsoft Jhenghei"/>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D5B82-BEC9-4C15-858E-417C6AAF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ashWordOfferingCircular.dotx</Template>
  <TotalTime>0</TotalTime>
  <Pages>20</Pages>
  <Words>8357</Words>
  <Characters>47637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Koh, Aaron 13354</cp:lastModifiedBy>
  <cp:revision>32</cp:revision>
  <dcterms:created xsi:type="dcterms:W3CDTF">2021-09-21T12:40:00Z</dcterms:created>
  <dcterms:modified xsi:type="dcterms:W3CDTF">2021-10-04T19:31:00Z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AuthorID">
    <vt:lpwstr>AKOH</vt:lpwstr>
  </property>
  <property fmtid="{D5CDD505-2E9C-101B-9397-08002B2CF9AE}" pid="3" name="AshurstAuthorName">
    <vt:lpwstr>Koh, Aaron 13354</vt:lpwstr>
  </property>
  <property fmtid="{D5CDD505-2E9C-101B-9397-08002B2CF9AE}" pid="4" name="AshurstClientDescription">
    <vt:lpwstr>Enquest plc</vt:lpwstr>
  </property>
  <property fmtid="{D5CDD505-2E9C-101B-9397-08002B2CF9AE}" pid="5" name="AshurstClientID">
    <vt:lpwstr>AshurstClientID</vt:lpwstr>
  </property>
  <property fmtid="{D5CDD505-2E9C-101B-9397-08002B2CF9AE}" pid="6" name="AshurstClientNumber">
    <vt:lpwstr>ENQ01</vt:lpwstr>
  </property>
  <property fmtid="{D5CDD505-2E9C-101B-9397-08002B2CF9AE}" pid="7" name="AshurstDocNumber">
    <vt:lpwstr>393904335</vt:lpwstr>
  </property>
  <property fmtid="{D5CDD505-2E9C-101B-9397-08002B2CF9AE}" pid="8" name="AshurstDocRef">
    <vt:lpwstr>EUS\393904335.09</vt:lpwstr>
  </property>
  <property fmtid="{D5CDD505-2E9C-101B-9397-08002B2CF9AE}" pid="9" name="AshurstDocRefCoverPage">
    <vt:lpwstr>AshurstDocRefCoverPage</vt:lpwstr>
  </property>
  <property fmtid="{D5CDD505-2E9C-101B-9397-08002B2CF9AE}" pid="10" name="AshurstDocType">
    <vt:lpwstr/>
  </property>
  <property fmtid="{D5CDD505-2E9C-101B-9397-08002B2CF9AE}" pid="11" name="AshurstFeeEarnerInitials">
    <vt:lpwstr>FE Initials</vt:lpwstr>
  </property>
  <property fmtid="{D5CDD505-2E9C-101B-9397-08002B2CF9AE}" pid="12" name="AshurstFileNumber">
    <vt:lpwstr>ENQ01.1000-093-937</vt:lpwstr>
  </property>
  <property fmtid="{D5CDD505-2E9C-101B-9397-08002B2CF9AE}" pid="13" name="AshurstLibraryName">
    <vt:lpwstr>EUS</vt:lpwstr>
  </property>
  <property fmtid="{D5CDD505-2E9C-101B-9397-08002B2CF9AE}" pid="14" name="AshurstMatterDescription">
    <vt:lpwstr>Project Antelope - Equity</vt:lpwstr>
  </property>
  <property fmtid="{D5CDD505-2E9C-101B-9397-08002B2CF9AE}" pid="15" name="AshurstMatterID">
    <vt:lpwstr>AshurstMatterID</vt:lpwstr>
  </property>
  <property fmtid="{D5CDD505-2E9C-101B-9397-08002B2CF9AE}" pid="16" name="AshurstMatterNumber">
    <vt:lpwstr>1000-093-937</vt:lpwstr>
  </property>
  <property fmtid="{D5CDD505-2E9C-101B-9397-08002B2CF9AE}" pid="17" name="AshurstNoAuthorName">
    <vt:lpwstr>-1</vt:lpwstr>
  </property>
  <property fmtid="{D5CDD505-2E9C-101B-9397-08002B2CF9AE}" pid="18" name="AshurstOurRef">
    <vt:lpwstr>AKOH\ENQ01.1000-093-937</vt:lpwstr>
  </property>
  <property fmtid="{D5CDD505-2E9C-101B-9397-08002B2CF9AE}" pid="19" name="AshurstPartnerInitials">
    <vt:lpwstr>Partner Initials</vt:lpwstr>
  </property>
  <property fmtid="{D5CDD505-2E9C-101B-9397-08002B2CF9AE}" pid="20" name="AshurstTypistID">
    <vt:lpwstr/>
  </property>
  <property fmtid="{D5CDD505-2E9C-101B-9397-08002B2CF9AE}" pid="21" name="AshurstTypistName">
    <vt:lpwstr/>
  </property>
  <property fmtid="{D5CDD505-2E9C-101B-9397-08002B2CF9AE}" pid="22" name="AshurstVersionNumber">
    <vt:lpwstr/>
  </property>
  <property fmtid="{D5CDD505-2E9C-101B-9397-08002B2CF9AE}" pid="23" name="document number">
    <vt:lpwstr>\</vt:lpwstr>
  </property>
</Properties>
</file>