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B9D6C7" w14:textId="77777777" w:rsidR="007F6B1B" w:rsidRDefault="00101BE2" w:rsidP="00101BE2">
      <w:pPr>
        <w:ind w:left="2880"/>
        <w:rPr>
          <w:rFonts w:ascii="Arial" w:hAnsi="Arial" w:cs="Arial"/>
          <w:sz w:val="20"/>
        </w:rPr>
      </w:pPr>
      <w:r>
        <w:rPr>
          <w:rFonts w:ascii="Arial" w:hAnsi="Arial" w:cs="Arial"/>
          <w:sz w:val="20"/>
        </w:rPr>
        <w:t xml:space="preserve">    </w:t>
      </w:r>
      <w:r>
        <w:rPr>
          <w:rFonts w:ascii="Arial" w:hAnsi="Arial" w:cs="Arial"/>
          <w:noProof/>
          <w:sz w:val="20"/>
          <w:lang w:eastAsia="en-GB"/>
        </w:rPr>
        <w:drawing>
          <wp:inline distT="0" distB="0" distL="0" distR="0" wp14:anchorId="77C96BD8" wp14:editId="053B36EE">
            <wp:extent cx="1485900" cy="10287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85900" cy="1028700"/>
                    </a:xfrm>
                    <a:prstGeom prst="rect">
                      <a:avLst/>
                    </a:prstGeom>
                    <a:noFill/>
                  </pic:spPr>
                </pic:pic>
              </a:graphicData>
            </a:graphic>
          </wp:inline>
        </w:drawing>
      </w:r>
    </w:p>
    <w:p w14:paraId="7E715D3E" w14:textId="77777777" w:rsidR="007F6B1B" w:rsidRDefault="007F6B1B">
      <w:pPr>
        <w:rPr>
          <w:rFonts w:ascii="Arial" w:hAnsi="Arial" w:cs="Arial"/>
          <w:sz w:val="20"/>
        </w:rPr>
      </w:pPr>
    </w:p>
    <w:p w14:paraId="5E130244" w14:textId="09652541" w:rsidR="007F6B1B" w:rsidRPr="00101BE2" w:rsidRDefault="00101BE2">
      <w:pPr>
        <w:rPr>
          <w:rFonts w:ascii="Arial" w:hAnsi="Arial" w:cs="Arial"/>
          <w:b/>
          <w:sz w:val="20"/>
        </w:rPr>
      </w:pP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sidR="007F6B1B" w:rsidRPr="00101BE2">
        <w:rPr>
          <w:rFonts w:ascii="Arial" w:hAnsi="Arial" w:cs="Arial"/>
          <w:b/>
          <w:sz w:val="20"/>
        </w:rPr>
        <w:t>ENQUEST PLC</w:t>
      </w:r>
      <w:r w:rsidRPr="003C6326">
        <w:rPr>
          <w:rFonts w:ascii="Arial" w:hAnsi="Arial" w:cs="Arial"/>
          <w:b/>
          <w:sz w:val="20"/>
        </w:rPr>
        <w:t xml:space="preserve">, </w:t>
      </w:r>
      <w:r w:rsidR="001F406B">
        <w:rPr>
          <w:rFonts w:ascii="Arial" w:hAnsi="Arial" w:cs="Arial"/>
          <w:b/>
          <w:sz w:val="20"/>
        </w:rPr>
        <w:t>22</w:t>
      </w:r>
      <w:r w:rsidRPr="003C6326">
        <w:rPr>
          <w:rFonts w:ascii="Arial" w:hAnsi="Arial" w:cs="Arial"/>
          <w:b/>
          <w:sz w:val="20"/>
        </w:rPr>
        <w:t xml:space="preserve"> </w:t>
      </w:r>
      <w:r w:rsidR="00AF2462">
        <w:rPr>
          <w:rFonts w:ascii="Arial" w:hAnsi="Arial" w:cs="Arial"/>
          <w:b/>
          <w:sz w:val="20"/>
        </w:rPr>
        <w:t>June</w:t>
      </w:r>
      <w:r w:rsidRPr="003C6326">
        <w:rPr>
          <w:rFonts w:ascii="Arial" w:hAnsi="Arial" w:cs="Arial"/>
          <w:b/>
          <w:sz w:val="20"/>
        </w:rPr>
        <w:t xml:space="preserve"> </w:t>
      </w:r>
      <w:r w:rsidR="00EB5236" w:rsidRPr="003C6326">
        <w:rPr>
          <w:rFonts w:ascii="Arial" w:hAnsi="Arial" w:cs="Arial"/>
          <w:b/>
          <w:sz w:val="20"/>
        </w:rPr>
        <w:t>20</w:t>
      </w:r>
      <w:r w:rsidR="000E6D9C" w:rsidRPr="003C6326">
        <w:rPr>
          <w:rFonts w:ascii="Arial" w:hAnsi="Arial" w:cs="Arial"/>
          <w:b/>
          <w:sz w:val="20"/>
        </w:rPr>
        <w:t>2</w:t>
      </w:r>
      <w:r w:rsidR="004273E4">
        <w:rPr>
          <w:rFonts w:ascii="Arial" w:hAnsi="Arial" w:cs="Arial"/>
          <w:b/>
          <w:sz w:val="20"/>
        </w:rPr>
        <w:t>3</w:t>
      </w:r>
    </w:p>
    <w:p w14:paraId="1A4AD687" w14:textId="77777777" w:rsidR="007F6B1B" w:rsidRPr="00101BE2" w:rsidRDefault="007F6B1B">
      <w:pPr>
        <w:rPr>
          <w:rFonts w:ascii="Arial" w:hAnsi="Arial" w:cs="Arial"/>
          <w:b/>
          <w:sz w:val="20"/>
        </w:rPr>
      </w:pPr>
    </w:p>
    <w:p w14:paraId="4414BB21" w14:textId="7781D600" w:rsidR="007F6B1B" w:rsidRPr="00E542A0" w:rsidRDefault="007F6B1B" w:rsidP="00E542A0">
      <w:pPr>
        <w:ind w:left="-280"/>
        <w:rPr>
          <w:rFonts w:ascii="Arial" w:hAnsi="Arial" w:cs="Arial"/>
          <w:b/>
          <w:sz w:val="20"/>
        </w:rPr>
      </w:pPr>
      <w:r w:rsidRPr="00E542A0">
        <w:rPr>
          <w:rFonts w:ascii="Arial" w:hAnsi="Arial" w:cs="Arial"/>
          <w:b/>
          <w:sz w:val="20"/>
        </w:rPr>
        <w:tab/>
      </w:r>
      <w:r w:rsidRPr="00E542A0">
        <w:rPr>
          <w:rFonts w:ascii="Arial" w:hAnsi="Arial" w:cs="Arial"/>
          <w:b/>
          <w:sz w:val="20"/>
        </w:rPr>
        <w:tab/>
        <w:t>Reports on Payments to Governments fo</w:t>
      </w:r>
      <w:r w:rsidR="009C247B">
        <w:rPr>
          <w:rFonts w:ascii="Arial" w:hAnsi="Arial" w:cs="Arial"/>
          <w:b/>
          <w:sz w:val="20"/>
        </w:rPr>
        <w:t>r the Year ended 31 December 202</w:t>
      </w:r>
      <w:r w:rsidR="004273E4">
        <w:rPr>
          <w:rFonts w:ascii="Arial" w:hAnsi="Arial" w:cs="Arial"/>
          <w:b/>
          <w:sz w:val="20"/>
        </w:rPr>
        <w:t>2</w:t>
      </w:r>
    </w:p>
    <w:p w14:paraId="6A5BC2C4" w14:textId="77777777" w:rsidR="00E542A0" w:rsidRDefault="00E542A0" w:rsidP="00E542A0">
      <w:pPr>
        <w:ind w:left="-284"/>
        <w:rPr>
          <w:rFonts w:ascii="Arial" w:hAnsi="Arial" w:cs="Arial"/>
          <w:sz w:val="20"/>
        </w:rPr>
      </w:pPr>
    </w:p>
    <w:p w14:paraId="5D4BDAFA" w14:textId="3AE2C32E" w:rsidR="007F6B1B" w:rsidRDefault="007F6B1B" w:rsidP="008C4DF7">
      <w:pPr>
        <w:ind w:left="-284"/>
        <w:rPr>
          <w:rFonts w:ascii="Arial" w:hAnsi="Arial" w:cs="Arial"/>
          <w:sz w:val="20"/>
        </w:rPr>
      </w:pPr>
      <w:r>
        <w:rPr>
          <w:rFonts w:ascii="Arial" w:hAnsi="Arial" w:cs="Arial"/>
          <w:sz w:val="20"/>
        </w:rPr>
        <w:t xml:space="preserve">This report provides information in accordance with DTR 4.3A in respect of payments made by the Company to </w:t>
      </w:r>
      <w:r w:rsidR="006720F6">
        <w:rPr>
          <w:rFonts w:ascii="Arial" w:hAnsi="Arial" w:cs="Arial"/>
          <w:sz w:val="20"/>
        </w:rPr>
        <w:t>G</w:t>
      </w:r>
      <w:r>
        <w:rPr>
          <w:rFonts w:ascii="Arial" w:hAnsi="Arial" w:cs="Arial"/>
          <w:sz w:val="20"/>
        </w:rPr>
        <w:t xml:space="preserve">overnments for the year ended 31 December </w:t>
      </w:r>
      <w:r w:rsidR="00A2148B">
        <w:rPr>
          <w:rFonts w:ascii="Arial" w:hAnsi="Arial" w:cs="Arial"/>
          <w:sz w:val="20"/>
        </w:rPr>
        <w:t>20</w:t>
      </w:r>
      <w:r w:rsidR="009C247B">
        <w:rPr>
          <w:rFonts w:ascii="Arial" w:hAnsi="Arial" w:cs="Arial"/>
          <w:sz w:val="20"/>
        </w:rPr>
        <w:t>2</w:t>
      </w:r>
      <w:r w:rsidR="00592A34">
        <w:rPr>
          <w:rFonts w:ascii="Arial" w:hAnsi="Arial" w:cs="Arial"/>
          <w:sz w:val="20"/>
        </w:rPr>
        <w:t>2</w:t>
      </w:r>
      <w:r w:rsidR="00A2148B">
        <w:rPr>
          <w:rFonts w:ascii="Arial" w:hAnsi="Arial" w:cs="Arial"/>
          <w:sz w:val="20"/>
        </w:rPr>
        <w:t xml:space="preserve"> </w:t>
      </w:r>
      <w:r>
        <w:rPr>
          <w:rFonts w:ascii="Arial" w:hAnsi="Arial" w:cs="Arial"/>
          <w:sz w:val="20"/>
        </w:rPr>
        <w:t>and in compliance with the Reports on Payments to Governments Regulations 2014 (SI 2014/3209)</w:t>
      </w:r>
      <w:r w:rsidR="006B3B63">
        <w:rPr>
          <w:rFonts w:ascii="Arial" w:hAnsi="Arial" w:cs="Arial"/>
          <w:sz w:val="20"/>
        </w:rPr>
        <w:t xml:space="preserve"> </w:t>
      </w:r>
      <w:r w:rsidR="006B3B63">
        <w:rPr>
          <w:rFonts w:ascii="Arial" w:hAnsi="Arial" w:cs="Arial"/>
          <w:sz w:val="20"/>
          <w:szCs w:val="20"/>
        </w:rPr>
        <w:t xml:space="preserve">as well as the Act on Reporting of Payments to </w:t>
      </w:r>
      <w:r w:rsidR="006B3B63" w:rsidRPr="00592A34">
        <w:rPr>
          <w:rFonts w:ascii="Arial" w:hAnsi="Arial" w:cs="Arial"/>
          <w:sz w:val="20"/>
          <w:szCs w:val="20"/>
        </w:rPr>
        <w:t xml:space="preserve">Governments </w:t>
      </w:r>
      <w:r w:rsidR="006B3B63" w:rsidRPr="00592A34">
        <w:rPr>
          <w:rFonts w:ascii="Arial" w:hAnsi="Arial" w:cs="Arial"/>
          <w:sz w:val="20"/>
          <w:szCs w:val="20"/>
          <w:lang w:val="en-US"/>
        </w:rPr>
        <w:t xml:space="preserve">(Sw. </w:t>
      </w:r>
      <w:r w:rsidR="006B3B63" w:rsidRPr="00592A34">
        <w:rPr>
          <w:rFonts w:ascii="Arial" w:hAnsi="Arial" w:cs="Arial"/>
          <w:i/>
          <w:iCs/>
          <w:sz w:val="20"/>
          <w:szCs w:val="20"/>
          <w:lang w:val="en-US"/>
        </w:rPr>
        <w:t>lagen om rapportering av betalningar till myndigheter</w:t>
      </w:r>
      <w:r w:rsidR="006B3B63" w:rsidRPr="00592A34">
        <w:rPr>
          <w:rFonts w:ascii="Arial" w:hAnsi="Arial" w:cs="Arial"/>
          <w:sz w:val="20"/>
          <w:szCs w:val="20"/>
          <w:lang w:val="en-US"/>
        </w:rPr>
        <w:t>)</w:t>
      </w:r>
      <w:r w:rsidR="006B3B63" w:rsidRPr="00592A34">
        <w:rPr>
          <w:rFonts w:ascii="Arial" w:hAnsi="Arial" w:cs="Arial"/>
          <w:sz w:val="20"/>
          <w:szCs w:val="20"/>
        </w:rPr>
        <w:t>.</w:t>
      </w:r>
    </w:p>
    <w:p w14:paraId="421C99BD" w14:textId="77777777" w:rsidR="007F6B1B" w:rsidRDefault="007F6B1B" w:rsidP="008C4DF7">
      <w:pPr>
        <w:ind w:left="-284"/>
        <w:rPr>
          <w:rFonts w:ascii="Arial" w:hAnsi="Arial" w:cs="Arial"/>
          <w:sz w:val="20"/>
        </w:rPr>
      </w:pPr>
    </w:p>
    <w:p w14:paraId="5E42B73C" w14:textId="721670FC" w:rsidR="007F6B1B" w:rsidRDefault="007F6B1B" w:rsidP="008C4DF7">
      <w:pPr>
        <w:ind w:left="-284"/>
        <w:rPr>
          <w:rFonts w:ascii="Arial" w:hAnsi="Arial" w:cs="Arial"/>
          <w:i/>
          <w:sz w:val="20"/>
        </w:rPr>
      </w:pPr>
      <w:r>
        <w:rPr>
          <w:rFonts w:ascii="Arial" w:hAnsi="Arial" w:cs="Arial"/>
          <w:sz w:val="20"/>
        </w:rPr>
        <w:t>This report is available to download from:</w:t>
      </w:r>
      <w:r w:rsidR="00377B5D">
        <w:rPr>
          <w:rFonts w:ascii="Arial" w:hAnsi="Arial" w:cs="Arial"/>
          <w:sz w:val="20"/>
        </w:rPr>
        <w:t xml:space="preserve"> </w:t>
      </w:r>
      <w:hyperlink r:id="rId7" w:history="1">
        <w:r w:rsidR="00D75663" w:rsidRPr="00DA61BF">
          <w:rPr>
            <w:rStyle w:val="Hyperlink"/>
            <w:rFonts w:ascii="Arial" w:hAnsi="Arial" w:cs="Arial"/>
            <w:i/>
            <w:sz w:val="20"/>
          </w:rPr>
          <w:t>https://www.enquest.com/environmental-social-and-governance/governance/business-conduct</w:t>
        </w:r>
      </w:hyperlink>
    </w:p>
    <w:p w14:paraId="32873789" w14:textId="0852D7E7" w:rsidR="00D75663" w:rsidRPr="000A5339" w:rsidRDefault="00D75663" w:rsidP="008C4DF7">
      <w:pPr>
        <w:ind w:left="-284"/>
        <w:rPr>
          <w:rFonts w:ascii="Arial" w:hAnsi="Arial" w:cs="Arial"/>
          <w:iCs/>
          <w:sz w:val="20"/>
        </w:rPr>
      </w:pPr>
      <w:r>
        <w:rPr>
          <w:rFonts w:ascii="Arial" w:hAnsi="Arial" w:cs="Arial"/>
          <w:iCs/>
          <w:sz w:val="20"/>
        </w:rPr>
        <w:t xml:space="preserve">This report will also be made available on the National Storage Mechanism and </w:t>
      </w:r>
      <w:r w:rsidR="002D3AD8">
        <w:rPr>
          <w:rFonts w:ascii="Arial" w:hAnsi="Arial" w:cs="Arial"/>
          <w:iCs/>
          <w:sz w:val="20"/>
        </w:rPr>
        <w:t xml:space="preserve">filed with </w:t>
      </w:r>
      <w:r>
        <w:rPr>
          <w:rFonts w:ascii="Arial" w:hAnsi="Arial" w:cs="Arial"/>
          <w:iCs/>
          <w:sz w:val="20"/>
        </w:rPr>
        <w:t xml:space="preserve">the </w:t>
      </w:r>
      <w:r w:rsidR="00071CBC">
        <w:rPr>
          <w:rFonts w:ascii="Arial" w:hAnsi="Arial" w:cs="Arial"/>
          <w:iCs/>
          <w:sz w:val="20"/>
        </w:rPr>
        <w:t xml:space="preserve">Swedish Companies Registration Office and the </w:t>
      </w:r>
      <w:r>
        <w:rPr>
          <w:rFonts w:ascii="Arial" w:hAnsi="Arial" w:cs="Arial"/>
          <w:iCs/>
          <w:sz w:val="20"/>
        </w:rPr>
        <w:t>Swedish F</w:t>
      </w:r>
      <w:r w:rsidR="00071CBC">
        <w:rPr>
          <w:rFonts w:ascii="Arial" w:hAnsi="Arial" w:cs="Arial"/>
          <w:iCs/>
          <w:sz w:val="20"/>
        </w:rPr>
        <w:t>inancial Supervisory Authority</w:t>
      </w:r>
      <w:r>
        <w:rPr>
          <w:rFonts w:ascii="Arial" w:hAnsi="Arial" w:cs="Arial"/>
          <w:iCs/>
          <w:sz w:val="20"/>
        </w:rPr>
        <w:t>.</w:t>
      </w:r>
    </w:p>
    <w:p w14:paraId="407C4EE4" w14:textId="77777777" w:rsidR="007F6B1B" w:rsidRDefault="007F6B1B" w:rsidP="008C4DF7">
      <w:pPr>
        <w:ind w:left="-284"/>
        <w:rPr>
          <w:rFonts w:ascii="Arial" w:hAnsi="Arial" w:cs="Arial"/>
          <w:sz w:val="20"/>
        </w:rPr>
      </w:pPr>
    </w:p>
    <w:p w14:paraId="7BEB4F5A" w14:textId="77777777" w:rsidR="007F6B1B" w:rsidRPr="000D47EC" w:rsidRDefault="007F6B1B" w:rsidP="008C4DF7">
      <w:pPr>
        <w:ind w:left="-284"/>
        <w:rPr>
          <w:rFonts w:ascii="Arial" w:hAnsi="Arial" w:cs="Arial"/>
          <w:b/>
          <w:sz w:val="20"/>
          <w:szCs w:val="20"/>
        </w:rPr>
      </w:pPr>
      <w:r w:rsidRPr="000D47EC">
        <w:rPr>
          <w:rFonts w:ascii="Arial" w:hAnsi="Arial" w:cs="Arial"/>
          <w:b/>
          <w:sz w:val="20"/>
          <w:szCs w:val="20"/>
        </w:rPr>
        <w:t>Basis of preparation</w:t>
      </w:r>
    </w:p>
    <w:p w14:paraId="1E94E489" w14:textId="24767FA2" w:rsidR="00232CF8" w:rsidRPr="00592A34" w:rsidRDefault="007F6B1B" w:rsidP="00232CF8">
      <w:pPr>
        <w:spacing w:after="120"/>
        <w:ind w:left="-284"/>
        <w:rPr>
          <w:rFonts w:ascii="Arial" w:hAnsi="Arial" w:cs="Arial"/>
          <w:sz w:val="20"/>
          <w:szCs w:val="20"/>
        </w:rPr>
      </w:pPr>
      <w:r w:rsidRPr="000D47EC">
        <w:rPr>
          <w:rFonts w:ascii="Arial" w:hAnsi="Arial" w:cs="Arial"/>
          <w:sz w:val="20"/>
          <w:szCs w:val="20"/>
        </w:rPr>
        <w:t>The payments disclosed, which are on a cash basis, are based on where the obligation for the payment arose (</w:t>
      </w:r>
      <w:r w:rsidR="00CA43D1" w:rsidRPr="000D47EC">
        <w:rPr>
          <w:rFonts w:ascii="Arial" w:hAnsi="Arial" w:cs="Arial"/>
          <w:sz w:val="20"/>
          <w:szCs w:val="20"/>
        </w:rPr>
        <w:t>i.e.</w:t>
      </w:r>
      <w:r w:rsidRPr="000D47EC">
        <w:rPr>
          <w:rFonts w:ascii="Arial" w:hAnsi="Arial" w:cs="Arial"/>
          <w:sz w:val="20"/>
          <w:szCs w:val="20"/>
        </w:rPr>
        <w:t xml:space="preserve"> at a project or corporate level).</w:t>
      </w:r>
      <w:r w:rsidR="00232CF8">
        <w:rPr>
          <w:rFonts w:ascii="Arial" w:hAnsi="Arial" w:cs="Arial"/>
          <w:sz w:val="20"/>
          <w:szCs w:val="20"/>
        </w:rPr>
        <w:t xml:space="preserve"> W</w:t>
      </w:r>
      <w:r w:rsidRPr="000D47EC">
        <w:rPr>
          <w:rFonts w:ascii="Arial" w:hAnsi="Arial" w:cs="Arial"/>
          <w:sz w:val="20"/>
          <w:szCs w:val="20"/>
        </w:rPr>
        <w:t xml:space="preserve">here a payment or a series of related payments do not exceed £86,000, </w:t>
      </w:r>
      <w:r w:rsidR="00232CF8" w:rsidRPr="00232CF8">
        <w:rPr>
          <w:rFonts w:ascii="Arial" w:hAnsi="Arial" w:cs="Arial"/>
          <w:sz w:val="20"/>
          <w:szCs w:val="20"/>
        </w:rPr>
        <w:t>they are not required to be disclosed under the UK Regulations, however this has been disclosed</w:t>
      </w:r>
      <w:r w:rsidR="006B49BA">
        <w:rPr>
          <w:rFonts w:ascii="Arial" w:hAnsi="Arial" w:cs="Arial"/>
          <w:sz w:val="20"/>
          <w:szCs w:val="20"/>
        </w:rPr>
        <w:t xml:space="preserve"> in aggregate</w:t>
      </w:r>
      <w:r w:rsidR="00232CF8" w:rsidRPr="00232CF8">
        <w:rPr>
          <w:rFonts w:ascii="Arial" w:hAnsi="Arial" w:cs="Arial"/>
          <w:sz w:val="20"/>
          <w:szCs w:val="20"/>
        </w:rPr>
        <w:t xml:space="preserve"> at </w:t>
      </w:r>
      <w:r w:rsidR="00232CF8">
        <w:rPr>
          <w:rFonts w:ascii="Arial" w:hAnsi="Arial" w:cs="Arial"/>
          <w:sz w:val="20"/>
          <w:szCs w:val="20"/>
        </w:rPr>
        <w:t>a corporate level for clarity over</w:t>
      </w:r>
      <w:r w:rsidR="00232CF8" w:rsidRPr="00232CF8">
        <w:rPr>
          <w:rFonts w:ascii="Arial" w:hAnsi="Arial" w:cs="Arial"/>
          <w:sz w:val="20"/>
          <w:szCs w:val="20"/>
        </w:rPr>
        <w:t xml:space="preserve"> obligations</w:t>
      </w:r>
    </w:p>
    <w:p w14:paraId="549B86B8" w14:textId="741B0387" w:rsidR="007F6B1B" w:rsidRPr="000D47EC" w:rsidRDefault="007F6B1B" w:rsidP="008C4DF7">
      <w:pPr>
        <w:ind w:left="-284"/>
        <w:rPr>
          <w:rFonts w:ascii="Arial" w:hAnsi="Arial" w:cs="Arial"/>
          <w:sz w:val="20"/>
          <w:szCs w:val="20"/>
        </w:rPr>
      </w:pPr>
      <w:r w:rsidRPr="000D47EC">
        <w:rPr>
          <w:rFonts w:ascii="Arial" w:hAnsi="Arial" w:cs="Arial"/>
          <w:sz w:val="20"/>
          <w:szCs w:val="20"/>
        </w:rPr>
        <w:t xml:space="preserve">All of the payments disclosed in accordance with the Directive have been made to national </w:t>
      </w:r>
      <w:r w:rsidR="006720F6">
        <w:rPr>
          <w:rFonts w:ascii="Arial" w:hAnsi="Arial" w:cs="Arial"/>
          <w:sz w:val="20"/>
          <w:szCs w:val="20"/>
        </w:rPr>
        <w:t>G</w:t>
      </w:r>
      <w:r w:rsidRPr="000D47EC">
        <w:rPr>
          <w:rFonts w:ascii="Arial" w:hAnsi="Arial" w:cs="Arial"/>
          <w:sz w:val="20"/>
          <w:szCs w:val="20"/>
        </w:rPr>
        <w:t xml:space="preserve">overnments, either directly or through a Ministry or Department of the national </w:t>
      </w:r>
      <w:r w:rsidR="006720F6">
        <w:rPr>
          <w:rFonts w:ascii="Arial" w:hAnsi="Arial" w:cs="Arial"/>
          <w:sz w:val="20"/>
          <w:szCs w:val="20"/>
        </w:rPr>
        <w:t>G</w:t>
      </w:r>
      <w:r w:rsidRPr="000D47EC">
        <w:rPr>
          <w:rFonts w:ascii="Arial" w:hAnsi="Arial" w:cs="Arial"/>
          <w:sz w:val="20"/>
          <w:szCs w:val="20"/>
        </w:rPr>
        <w:t>overnment, with the exception of the Malaysian payments in respect of production entitlements, supplementary</w:t>
      </w:r>
      <w:r w:rsidR="000D47EC">
        <w:rPr>
          <w:rFonts w:ascii="Arial" w:hAnsi="Arial" w:cs="Arial"/>
          <w:sz w:val="20"/>
          <w:szCs w:val="20"/>
        </w:rPr>
        <w:t xml:space="preserve"> </w:t>
      </w:r>
      <w:r w:rsidRPr="000D47EC">
        <w:rPr>
          <w:rFonts w:ascii="Arial" w:hAnsi="Arial" w:cs="Arial"/>
          <w:sz w:val="20"/>
          <w:szCs w:val="20"/>
        </w:rPr>
        <w:t>payments, royalties</w:t>
      </w:r>
      <w:r w:rsidR="00CA43D1">
        <w:rPr>
          <w:rFonts w:ascii="Arial" w:hAnsi="Arial" w:cs="Arial"/>
          <w:sz w:val="20"/>
          <w:szCs w:val="20"/>
        </w:rPr>
        <w:t>, research CESS</w:t>
      </w:r>
      <w:r w:rsidRPr="000D47EC">
        <w:rPr>
          <w:rFonts w:ascii="Arial" w:hAnsi="Arial" w:cs="Arial"/>
          <w:sz w:val="20"/>
          <w:szCs w:val="20"/>
        </w:rPr>
        <w:t xml:space="preserve"> and </w:t>
      </w:r>
      <w:r w:rsidR="000D30F9">
        <w:rPr>
          <w:rFonts w:ascii="Arial" w:hAnsi="Arial" w:cs="Arial"/>
          <w:sz w:val="20"/>
          <w:szCs w:val="20"/>
        </w:rPr>
        <w:t>e</w:t>
      </w:r>
      <w:r w:rsidRPr="000D47EC">
        <w:rPr>
          <w:rFonts w:ascii="Arial" w:hAnsi="Arial" w:cs="Arial"/>
          <w:sz w:val="20"/>
          <w:szCs w:val="20"/>
        </w:rPr>
        <w:t>ducation commitment pay</w:t>
      </w:r>
      <w:r w:rsidR="00BF7EB0">
        <w:rPr>
          <w:rFonts w:ascii="Arial" w:hAnsi="Arial" w:cs="Arial"/>
          <w:sz w:val="20"/>
          <w:szCs w:val="20"/>
        </w:rPr>
        <w:t xml:space="preserve">ments which are paid to </w:t>
      </w:r>
      <w:r w:rsidR="00D87F9B" w:rsidRPr="00D87F9B">
        <w:rPr>
          <w:rFonts w:ascii="Arial" w:hAnsi="Arial" w:cs="Arial"/>
          <w:sz w:val="20"/>
          <w:szCs w:val="20"/>
        </w:rPr>
        <w:t>PETRONAS (</w:t>
      </w:r>
      <w:r w:rsidR="00D87F9B" w:rsidRPr="00D87F9B">
        <w:rPr>
          <w:rFonts w:ascii="Arial" w:hAnsi="Arial" w:cs="Arial"/>
          <w:sz w:val="20"/>
          <w:szCs w:val="20"/>
          <w:lang w:val="en-US"/>
        </w:rPr>
        <w:t xml:space="preserve">Petroliam Nasional Berhad, the </w:t>
      </w:r>
      <w:r w:rsidR="00D87F9B" w:rsidRPr="00D87F9B">
        <w:rPr>
          <w:rFonts w:ascii="Arial" w:hAnsi="Arial" w:cs="Arial"/>
          <w:sz w:val="20"/>
          <w:szCs w:val="20"/>
          <w:lang w:val="en"/>
        </w:rPr>
        <w:t>National Oil Company of Malaysia)</w:t>
      </w:r>
      <w:r w:rsidRPr="000D47EC">
        <w:rPr>
          <w:rFonts w:ascii="Arial" w:hAnsi="Arial" w:cs="Arial"/>
          <w:sz w:val="20"/>
          <w:szCs w:val="20"/>
        </w:rPr>
        <w:t>.</w:t>
      </w:r>
    </w:p>
    <w:tbl>
      <w:tblPr>
        <w:tblpPr w:leftFromText="180" w:rightFromText="180" w:vertAnchor="text" w:horzAnchor="margin" w:tblpXSpec="center" w:tblpY="162"/>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81"/>
        <w:gridCol w:w="866"/>
        <w:gridCol w:w="709"/>
        <w:gridCol w:w="708"/>
        <w:gridCol w:w="851"/>
        <w:gridCol w:w="992"/>
        <w:gridCol w:w="851"/>
        <w:gridCol w:w="993"/>
        <w:gridCol w:w="1558"/>
        <w:gridCol w:w="851"/>
      </w:tblGrid>
      <w:tr w:rsidR="00D86AD8" w14:paraId="69E14787" w14:textId="77777777" w:rsidTr="00A37566">
        <w:trPr>
          <w:trHeight w:val="525"/>
        </w:trPr>
        <w:tc>
          <w:tcPr>
            <w:tcW w:w="1681" w:type="dxa"/>
            <w:shd w:val="clear" w:color="auto" w:fill="auto"/>
            <w:noWrap/>
            <w:vAlign w:val="bottom"/>
            <w:hideMark/>
          </w:tcPr>
          <w:p w14:paraId="63F02E2B" w14:textId="77777777" w:rsidR="00D86AD8" w:rsidRPr="008F658C" w:rsidRDefault="00D86AD8" w:rsidP="00B71C23">
            <w:pPr>
              <w:rPr>
                <w:rFonts w:ascii="Arial" w:hAnsi="Arial" w:cs="Arial"/>
                <w:b/>
                <w:bCs/>
                <w:color w:val="000000"/>
                <w:sz w:val="16"/>
                <w:szCs w:val="16"/>
              </w:rPr>
            </w:pPr>
            <w:r w:rsidRPr="008F658C">
              <w:rPr>
                <w:rFonts w:ascii="Arial" w:hAnsi="Arial" w:cs="Arial"/>
                <w:b/>
                <w:bCs/>
                <w:color w:val="000000"/>
                <w:sz w:val="16"/>
                <w:szCs w:val="16"/>
              </w:rPr>
              <w:t>Project/entity name</w:t>
            </w:r>
          </w:p>
        </w:tc>
        <w:tc>
          <w:tcPr>
            <w:tcW w:w="866" w:type="dxa"/>
            <w:shd w:val="clear" w:color="auto" w:fill="auto"/>
            <w:noWrap/>
            <w:vAlign w:val="bottom"/>
            <w:hideMark/>
          </w:tcPr>
          <w:p w14:paraId="102820C9" w14:textId="77777777" w:rsidR="00D86AD8" w:rsidRPr="008F658C" w:rsidRDefault="00D86AD8" w:rsidP="00B71C23">
            <w:pPr>
              <w:rPr>
                <w:rFonts w:ascii="Arial" w:hAnsi="Arial" w:cs="Arial"/>
                <w:b/>
                <w:bCs/>
                <w:color w:val="000000"/>
                <w:sz w:val="16"/>
                <w:szCs w:val="16"/>
              </w:rPr>
            </w:pPr>
            <w:r w:rsidRPr="008F658C">
              <w:rPr>
                <w:rFonts w:ascii="Arial" w:hAnsi="Arial" w:cs="Arial"/>
                <w:b/>
                <w:bCs/>
                <w:color w:val="000000"/>
                <w:sz w:val="16"/>
                <w:szCs w:val="16"/>
              </w:rPr>
              <w:t>Licence</w:t>
            </w:r>
          </w:p>
        </w:tc>
        <w:tc>
          <w:tcPr>
            <w:tcW w:w="1417" w:type="dxa"/>
            <w:gridSpan w:val="2"/>
            <w:shd w:val="clear" w:color="auto" w:fill="auto"/>
            <w:vAlign w:val="bottom"/>
          </w:tcPr>
          <w:p w14:paraId="6E7E677A" w14:textId="77777777" w:rsidR="00D86AD8" w:rsidRPr="008F658C" w:rsidRDefault="00D86AD8" w:rsidP="00B71C23">
            <w:pPr>
              <w:jc w:val="center"/>
              <w:rPr>
                <w:rFonts w:ascii="Arial" w:hAnsi="Arial" w:cs="Arial"/>
                <w:b/>
                <w:bCs/>
                <w:color w:val="000000"/>
                <w:sz w:val="16"/>
                <w:szCs w:val="16"/>
              </w:rPr>
            </w:pPr>
            <w:r w:rsidRPr="008F658C">
              <w:rPr>
                <w:rFonts w:ascii="Arial" w:hAnsi="Arial" w:cs="Arial"/>
                <w:b/>
                <w:bCs/>
                <w:color w:val="000000"/>
                <w:sz w:val="16"/>
                <w:szCs w:val="16"/>
              </w:rPr>
              <w:t>Production entitlements</w:t>
            </w:r>
          </w:p>
        </w:tc>
        <w:tc>
          <w:tcPr>
            <w:tcW w:w="851" w:type="dxa"/>
            <w:shd w:val="clear" w:color="auto" w:fill="auto"/>
            <w:vAlign w:val="bottom"/>
            <w:hideMark/>
          </w:tcPr>
          <w:p w14:paraId="0254B6D3" w14:textId="77777777" w:rsidR="00D86AD8" w:rsidRPr="008F658C" w:rsidRDefault="00D86AD8" w:rsidP="00B71C23">
            <w:pPr>
              <w:jc w:val="center"/>
              <w:rPr>
                <w:rFonts w:ascii="Arial" w:hAnsi="Arial" w:cs="Arial"/>
                <w:b/>
                <w:bCs/>
                <w:color w:val="000000"/>
                <w:sz w:val="16"/>
                <w:szCs w:val="16"/>
              </w:rPr>
            </w:pPr>
            <w:r w:rsidRPr="008F658C">
              <w:rPr>
                <w:rFonts w:ascii="Arial" w:hAnsi="Arial" w:cs="Arial"/>
                <w:b/>
                <w:bCs/>
                <w:color w:val="000000"/>
                <w:sz w:val="16"/>
                <w:szCs w:val="16"/>
              </w:rPr>
              <w:t>Taxes</w:t>
            </w:r>
          </w:p>
        </w:tc>
        <w:tc>
          <w:tcPr>
            <w:tcW w:w="992" w:type="dxa"/>
            <w:shd w:val="clear" w:color="auto" w:fill="auto"/>
            <w:vAlign w:val="bottom"/>
            <w:hideMark/>
          </w:tcPr>
          <w:p w14:paraId="06F667BD" w14:textId="77777777" w:rsidR="00D86AD8" w:rsidRPr="008F658C" w:rsidRDefault="00D86AD8" w:rsidP="00B71C23">
            <w:pPr>
              <w:jc w:val="center"/>
              <w:rPr>
                <w:rFonts w:ascii="Arial" w:hAnsi="Arial" w:cs="Arial"/>
                <w:b/>
                <w:bCs/>
                <w:color w:val="000000"/>
                <w:sz w:val="16"/>
                <w:szCs w:val="16"/>
              </w:rPr>
            </w:pPr>
            <w:r w:rsidRPr="008F658C">
              <w:rPr>
                <w:rFonts w:ascii="Arial" w:hAnsi="Arial" w:cs="Arial"/>
                <w:b/>
                <w:bCs/>
                <w:color w:val="000000"/>
                <w:sz w:val="16"/>
                <w:szCs w:val="16"/>
              </w:rPr>
              <w:t>Royalties</w:t>
            </w:r>
          </w:p>
        </w:tc>
        <w:tc>
          <w:tcPr>
            <w:tcW w:w="851" w:type="dxa"/>
            <w:shd w:val="clear" w:color="auto" w:fill="auto"/>
            <w:vAlign w:val="bottom"/>
            <w:hideMark/>
          </w:tcPr>
          <w:p w14:paraId="35F68226" w14:textId="77777777" w:rsidR="00D86AD8" w:rsidRPr="008F658C" w:rsidRDefault="00D86AD8" w:rsidP="00B71C23">
            <w:pPr>
              <w:jc w:val="center"/>
              <w:rPr>
                <w:rFonts w:ascii="Arial" w:hAnsi="Arial" w:cs="Arial"/>
                <w:b/>
                <w:bCs/>
                <w:color w:val="000000"/>
                <w:sz w:val="16"/>
                <w:szCs w:val="16"/>
              </w:rPr>
            </w:pPr>
            <w:r w:rsidRPr="008F658C">
              <w:rPr>
                <w:rFonts w:ascii="Arial" w:hAnsi="Arial" w:cs="Arial"/>
                <w:b/>
                <w:bCs/>
                <w:color w:val="000000"/>
                <w:sz w:val="16"/>
                <w:szCs w:val="16"/>
              </w:rPr>
              <w:t>Licence fees</w:t>
            </w:r>
          </w:p>
        </w:tc>
        <w:tc>
          <w:tcPr>
            <w:tcW w:w="993" w:type="dxa"/>
            <w:shd w:val="clear" w:color="auto" w:fill="auto"/>
            <w:vAlign w:val="bottom"/>
            <w:hideMark/>
          </w:tcPr>
          <w:p w14:paraId="09D939D3" w14:textId="77777777" w:rsidR="00D86AD8" w:rsidRPr="008F658C" w:rsidRDefault="00D86AD8" w:rsidP="00B71C23">
            <w:pPr>
              <w:jc w:val="center"/>
              <w:rPr>
                <w:rFonts w:ascii="Arial" w:hAnsi="Arial" w:cs="Arial"/>
                <w:b/>
                <w:bCs/>
                <w:color w:val="000000"/>
                <w:sz w:val="16"/>
                <w:szCs w:val="16"/>
              </w:rPr>
            </w:pPr>
            <w:r w:rsidRPr="008F658C">
              <w:rPr>
                <w:rFonts w:ascii="Arial" w:hAnsi="Arial" w:cs="Arial"/>
                <w:b/>
                <w:bCs/>
                <w:color w:val="000000"/>
                <w:sz w:val="16"/>
                <w:szCs w:val="16"/>
              </w:rPr>
              <w:t>Research CESS</w:t>
            </w:r>
          </w:p>
        </w:tc>
        <w:tc>
          <w:tcPr>
            <w:tcW w:w="1558" w:type="dxa"/>
            <w:shd w:val="clear" w:color="auto" w:fill="auto"/>
            <w:vAlign w:val="bottom"/>
            <w:hideMark/>
          </w:tcPr>
          <w:p w14:paraId="6D8C028E" w14:textId="2C326A55" w:rsidR="00D86AD8" w:rsidRPr="008F658C" w:rsidRDefault="00D86AD8" w:rsidP="001A31C8">
            <w:pPr>
              <w:jc w:val="center"/>
              <w:rPr>
                <w:rFonts w:ascii="Arial" w:hAnsi="Arial" w:cs="Arial"/>
                <w:b/>
                <w:bCs/>
                <w:color w:val="000000"/>
                <w:sz w:val="16"/>
                <w:szCs w:val="16"/>
              </w:rPr>
            </w:pPr>
            <w:r w:rsidRPr="008F658C">
              <w:rPr>
                <w:rFonts w:ascii="Arial" w:hAnsi="Arial" w:cs="Arial"/>
                <w:b/>
                <w:bCs/>
                <w:color w:val="000000"/>
                <w:sz w:val="16"/>
                <w:szCs w:val="16"/>
              </w:rPr>
              <w:t>Supplementary payments</w:t>
            </w:r>
          </w:p>
        </w:tc>
        <w:tc>
          <w:tcPr>
            <w:tcW w:w="851" w:type="dxa"/>
            <w:shd w:val="clear" w:color="auto" w:fill="auto"/>
            <w:vAlign w:val="bottom"/>
            <w:hideMark/>
          </w:tcPr>
          <w:p w14:paraId="2F4AF68D" w14:textId="77777777" w:rsidR="00D86AD8" w:rsidRPr="008F658C" w:rsidRDefault="00D86AD8" w:rsidP="00B71C23">
            <w:pPr>
              <w:jc w:val="center"/>
              <w:rPr>
                <w:rFonts w:ascii="Arial" w:hAnsi="Arial" w:cs="Arial"/>
                <w:b/>
                <w:bCs/>
                <w:color w:val="000000"/>
                <w:sz w:val="16"/>
                <w:szCs w:val="16"/>
              </w:rPr>
            </w:pPr>
            <w:r w:rsidRPr="008F658C">
              <w:rPr>
                <w:rFonts w:ascii="Arial" w:hAnsi="Arial" w:cs="Arial"/>
                <w:b/>
                <w:bCs/>
                <w:color w:val="000000"/>
                <w:sz w:val="16"/>
                <w:szCs w:val="16"/>
              </w:rPr>
              <w:t>TOTAL</w:t>
            </w:r>
          </w:p>
        </w:tc>
      </w:tr>
      <w:tr w:rsidR="00D86AD8" w14:paraId="5F7D6DD0" w14:textId="77777777" w:rsidTr="00A37566">
        <w:trPr>
          <w:trHeight w:val="195"/>
        </w:trPr>
        <w:tc>
          <w:tcPr>
            <w:tcW w:w="2547" w:type="dxa"/>
            <w:gridSpan w:val="2"/>
            <w:shd w:val="clear" w:color="auto" w:fill="auto"/>
            <w:noWrap/>
            <w:vAlign w:val="bottom"/>
            <w:hideMark/>
          </w:tcPr>
          <w:p w14:paraId="0281EAC0" w14:textId="77777777" w:rsidR="00D86AD8" w:rsidRPr="008F658C" w:rsidRDefault="00D86AD8" w:rsidP="00B71C23">
            <w:pPr>
              <w:rPr>
                <w:rFonts w:ascii="Arial" w:hAnsi="Arial" w:cs="Arial"/>
                <w:color w:val="000000"/>
                <w:sz w:val="16"/>
                <w:szCs w:val="16"/>
              </w:rPr>
            </w:pPr>
            <w:r w:rsidRPr="008F658C">
              <w:rPr>
                <w:rFonts w:ascii="Arial" w:hAnsi="Arial" w:cs="Arial"/>
                <w:color w:val="000000"/>
                <w:sz w:val="16"/>
                <w:szCs w:val="16"/>
              </w:rPr>
              <w:t> </w:t>
            </w:r>
          </w:p>
        </w:tc>
        <w:tc>
          <w:tcPr>
            <w:tcW w:w="709" w:type="dxa"/>
            <w:shd w:val="clear" w:color="auto" w:fill="auto"/>
            <w:noWrap/>
            <w:vAlign w:val="bottom"/>
            <w:hideMark/>
          </w:tcPr>
          <w:p w14:paraId="4D178005" w14:textId="77777777" w:rsidR="00D86AD8" w:rsidRPr="008F658C" w:rsidRDefault="00D86AD8" w:rsidP="00B71C23">
            <w:pPr>
              <w:jc w:val="center"/>
              <w:rPr>
                <w:rFonts w:ascii="Arial" w:hAnsi="Arial" w:cs="Arial"/>
                <w:b/>
                <w:bCs/>
                <w:color w:val="000000"/>
                <w:sz w:val="16"/>
                <w:szCs w:val="16"/>
              </w:rPr>
            </w:pPr>
            <w:r w:rsidRPr="008F658C">
              <w:rPr>
                <w:rFonts w:ascii="Arial" w:hAnsi="Arial" w:cs="Arial"/>
                <w:b/>
                <w:bCs/>
                <w:color w:val="000000"/>
                <w:sz w:val="16"/>
                <w:szCs w:val="16"/>
              </w:rPr>
              <w:t>mboe</w:t>
            </w:r>
          </w:p>
        </w:tc>
        <w:tc>
          <w:tcPr>
            <w:tcW w:w="708" w:type="dxa"/>
            <w:shd w:val="clear" w:color="auto" w:fill="auto"/>
            <w:noWrap/>
            <w:vAlign w:val="bottom"/>
            <w:hideMark/>
          </w:tcPr>
          <w:p w14:paraId="19972978" w14:textId="77777777" w:rsidR="00D86AD8" w:rsidRPr="008F658C" w:rsidRDefault="00D86AD8" w:rsidP="00B71C23">
            <w:pPr>
              <w:jc w:val="center"/>
              <w:rPr>
                <w:rFonts w:ascii="Arial" w:hAnsi="Arial" w:cs="Arial"/>
                <w:b/>
                <w:bCs/>
                <w:color w:val="000000"/>
                <w:sz w:val="16"/>
                <w:szCs w:val="16"/>
              </w:rPr>
            </w:pPr>
            <w:r w:rsidRPr="008F658C">
              <w:rPr>
                <w:rFonts w:ascii="Arial" w:hAnsi="Arial" w:cs="Arial"/>
                <w:b/>
                <w:bCs/>
                <w:color w:val="000000"/>
                <w:sz w:val="16"/>
                <w:szCs w:val="16"/>
              </w:rPr>
              <w:t>$'000</w:t>
            </w:r>
          </w:p>
        </w:tc>
        <w:tc>
          <w:tcPr>
            <w:tcW w:w="851" w:type="dxa"/>
            <w:shd w:val="clear" w:color="auto" w:fill="auto"/>
            <w:noWrap/>
            <w:vAlign w:val="bottom"/>
            <w:hideMark/>
          </w:tcPr>
          <w:p w14:paraId="571EAF6B" w14:textId="77777777" w:rsidR="00D86AD8" w:rsidRPr="008F658C" w:rsidRDefault="00D86AD8" w:rsidP="00B71C23">
            <w:pPr>
              <w:jc w:val="center"/>
              <w:rPr>
                <w:rFonts w:ascii="Arial" w:hAnsi="Arial" w:cs="Arial"/>
                <w:b/>
                <w:bCs/>
                <w:color w:val="000000"/>
                <w:sz w:val="16"/>
                <w:szCs w:val="16"/>
              </w:rPr>
            </w:pPr>
            <w:r w:rsidRPr="008F658C">
              <w:rPr>
                <w:rFonts w:ascii="Arial" w:hAnsi="Arial" w:cs="Arial"/>
                <w:b/>
                <w:bCs/>
                <w:color w:val="000000"/>
                <w:sz w:val="16"/>
                <w:szCs w:val="16"/>
              </w:rPr>
              <w:t>$'000</w:t>
            </w:r>
          </w:p>
        </w:tc>
        <w:tc>
          <w:tcPr>
            <w:tcW w:w="992" w:type="dxa"/>
            <w:shd w:val="clear" w:color="auto" w:fill="auto"/>
            <w:noWrap/>
            <w:vAlign w:val="bottom"/>
            <w:hideMark/>
          </w:tcPr>
          <w:p w14:paraId="4F3C7902" w14:textId="77777777" w:rsidR="00D86AD8" w:rsidRPr="008F658C" w:rsidRDefault="00D86AD8" w:rsidP="00B71C23">
            <w:pPr>
              <w:jc w:val="center"/>
              <w:rPr>
                <w:rFonts w:ascii="Arial" w:hAnsi="Arial" w:cs="Arial"/>
                <w:b/>
                <w:bCs/>
                <w:color w:val="000000"/>
                <w:sz w:val="16"/>
                <w:szCs w:val="16"/>
              </w:rPr>
            </w:pPr>
            <w:r w:rsidRPr="008F658C">
              <w:rPr>
                <w:rFonts w:ascii="Arial" w:hAnsi="Arial" w:cs="Arial"/>
                <w:b/>
                <w:bCs/>
                <w:color w:val="000000"/>
                <w:sz w:val="16"/>
                <w:szCs w:val="16"/>
              </w:rPr>
              <w:t>$'000</w:t>
            </w:r>
          </w:p>
        </w:tc>
        <w:tc>
          <w:tcPr>
            <w:tcW w:w="851" w:type="dxa"/>
            <w:shd w:val="clear" w:color="auto" w:fill="auto"/>
            <w:noWrap/>
            <w:vAlign w:val="bottom"/>
            <w:hideMark/>
          </w:tcPr>
          <w:p w14:paraId="5DFB1319" w14:textId="77777777" w:rsidR="00D86AD8" w:rsidRPr="008F658C" w:rsidRDefault="00D86AD8" w:rsidP="00B71C23">
            <w:pPr>
              <w:jc w:val="center"/>
              <w:rPr>
                <w:rFonts w:ascii="Arial" w:hAnsi="Arial" w:cs="Arial"/>
                <w:b/>
                <w:bCs/>
                <w:color w:val="000000"/>
                <w:sz w:val="16"/>
                <w:szCs w:val="16"/>
              </w:rPr>
            </w:pPr>
            <w:r w:rsidRPr="008F658C">
              <w:rPr>
                <w:rFonts w:ascii="Arial" w:hAnsi="Arial" w:cs="Arial"/>
                <w:b/>
                <w:bCs/>
                <w:color w:val="000000"/>
                <w:sz w:val="16"/>
                <w:szCs w:val="16"/>
              </w:rPr>
              <w:t>$'000</w:t>
            </w:r>
          </w:p>
        </w:tc>
        <w:tc>
          <w:tcPr>
            <w:tcW w:w="993" w:type="dxa"/>
            <w:shd w:val="clear" w:color="auto" w:fill="auto"/>
            <w:noWrap/>
            <w:vAlign w:val="bottom"/>
            <w:hideMark/>
          </w:tcPr>
          <w:p w14:paraId="3C718114" w14:textId="77777777" w:rsidR="00D86AD8" w:rsidRPr="008F658C" w:rsidRDefault="00D86AD8" w:rsidP="00B71C23">
            <w:pPr>
              <w:jc w:val="center"/>
              <w:rPr>
                <w:rFonts w:ascii="Arial" w:hAnsi="Arial" w:cs="Arial"/>
                <w:b/>
                <w:bCs/>
                <w:color w:val="000000"/>
                <w:sz w:val="16"/>
                <w:szCs w:val="16"/>
              </w:rPr>
            </w:pPr>
            <w:r w:rsidRPr="008F658C">
              <w:rPr>
                <w:rFonts w:ascii="Arial" w:hAnsi="Arial" w:cs="Arial"/>
                <w:b/>
                <w:bCs/>
                <w:color w:val="000000"/>
                <w:sz w:val="16"/>
                <w:szCs w:val="16"/>
              </w:rPr>
              <w:t>$'000</w:t>
            </w:r>
          </w:p>
        </w:tc>
        <w:tc>
          <w:tcPr>
            <w:tcW w:w="1558" w:type="dxa"/>
            <w:shd w:val="clear" w:color="auto" w:fill="auto"/>
            <w:noWrap/>
            <w:vAlign w:val="bottom"/>
            <w:hideMark/>
          </w:tcPr>
          <w:p w14:paraId="6971A684" w14:textId="77777777" w:rsidR="00D86AD8" w:rsidRPr="008F658C" w:rsidRDefault="00D86AD8" w:rsidP="00B71C23">
            <w:pPr>
              <w:jc w:val="center"/>
              <w:rPr>
                <w:rFonts w:ascii="Arial" w:hAnsi="Arial" w:cs="Arial"/>
                <w:b/>
                <w:bCs/>
                <w:color w:val="000000"/>
                <w:sz w:val="16"/>
                <w:szCs w:val="16"/>
              </w:rPr>
            </w:pPr>
            <w:r w:rsidRPr="008F658C">
              <w:rPr>
                <w:rFonts w:ascii="Arial" w:hAnsi="Arial" w:cs="Arial"/>
                <w:b/>
                <w:bCs/>
                <w:color w:val="000000"/>
                <w:sz w:val="16"/>
                <w:szCs w:val="16"/>
              </w:rPr>
              <w:t>$'000</w:t>
            </w:r>
          </w:p>
        </w:tc>
        <w:tc>
          <w:tcPr>
            <w:tcW w:w="851" w:type="dxa"/>
            <w:shd w:val="clear" w:color="auto" w:fill="auto"/>
            <w:noWrap/>
            <w:vAlign w:val="bottom"/>
            <w:hideMark/>
          </w:tcPr>
          <w:p w14:paraId="480E1661" w14:textId="77777777" w:rsidR="00D86AD8" w:rsidRPr="008F658C" w:rsidRDefault="00D86AD8" w:rsidP="00B71C23">
            <w:pPr>
              <w:jc w:val="center"/>
              <w:rPr>
                <w:rFonts w:ascii="Arial" w:hAnsi="Arial" w:cs="Arial"/>
                <w:b/>
                <w:bCs/>
                <w:color w:val="000000"/>
                <w:sz w:val="16"/>
                <w:szCs w:val="16"/>
              </w:rPr>
            </w:pPr>
            <w:r w:rsidRPr="008F658C">
              <w:rPr>
                <w:rFonts w:ascii="Arial" w:hAnsi="Arial" w:cs="Arial"/>
                <w:b/>
                <w:bCs/>
                <w:color w:val="000000"/>
                <w:sz w:val="16"/>
                <w:szCs w:val="16"/>
              </w:rPr>
              <w:t>$'000</w:t>
            </w:r>
          </w:p>
        </w:tc>
      </w:tr>
      <w:tr w:rsidR="00D86AD8" w14:paraId="64E1ADA4" w14:textId="77777777" w:rsidTr="00A37566">
        <w:trPr>
          <w:trHeight w:val="414"/>
        </w:trPr>
        <w:tc>
          <w:tcPr>
            <w:tcW w:w="1681" w:type="dxa"/>
            <w:shd w:val="clear" w:color="auto" w:fill="auto"/>
            <w:noWrap/>
            <w:vAlign w:val="center"/>
            <w:hideMark/>
          </w:tcPr>
          <w:p w14:paraId="69EAB7F3" w14:textId="3C8DCA27" w:rsidR="00D86AD8" w:rsidRPr="008F658C" w:rsidRDefault="00D86AD8" w:rsidP="009C247B">
            <w:pPr>
              <w:rPr>
                <w:rFonts w:ascii="Arial" w:hAnsi="Arial" w:cs="Arial"/>
                <w:color w:val="000000"/>
                <w:sz w:val="16"/>
                <w:szCs w:val="16"/>
              </w:rPr>
            </w:pPr>
            <w:r w:rsidRPr="008F658C">
              <w:rPr>
                <w:rFonts w:ascii="Arial" w:hAnsi="Arial" w:cs="Arial"/>
                <w:color w:val="000000"/>
                <w:sz w:val="16"/>
                <w:szCs w:val="16"/>
              </w:rPr>
              <w:t>Kraken</w:t>
            </w:r>
            <w:r>
              <w:rPr>
                <w:rFonts w:ascii="Arial" w:hAnsi="Arial" w:cs="Arial"/>
                <w:color w:val="000000"/>
                <w:sz w:val="16"/>
                <w:szCs w:val="16"/>
              </w:rPr>
              <w:t xml:space="preserve"> &amp; Kraken North</w:t>
            </w:r>
          </w:p>
        </w:tc>
        <w:tc>
          <w:tcPr>
            <w:tcW w:w="866" w:type="dxa"/>
            <w:shd w:val="clear" w:color="auto" w:fill="auto"/>
            <w:noWrap/>
            <w:vAlign w:val="center"/>
            <w:hideMark/>
          </w:tcPr>
          <w:p w14:paraId="6C9FDAFD" w14:textId="602BBA61" w:rsidR="00D86AD8" w:rsidRPr="008F658C" w:rsidRDefault="00D86AD8" w:rsidP="009C247B">
            <w:pPr>
              <w:rPr>
                <w:rFonts w:ascii="Arial" w:hAnsi="Arial" w:cs="Arial"/>
                <w:color w:val="000000"/>
                <w:sz w:val="16"/>
                <w:szCs w:val="16"/>
              </w:rPr>
            </w:pPr>
            <w:r w:rsidRPr="008F658C">
              <w:rPr>
                <w:rFonts w:ascii="Arial" w:hAnsi="Arial" w:cs="Arial"/>
                <w:color w:val="000000"/>
                <w:sz w:val="16"/>
                <w:szCs w:val="16"/>
              </w:rPr>
              <w:t>P1077</w:t>
            </w:r>
          </w:p>
        </w:tc>
        <w:tc>
          <w:tcPr>
            <w:tcW w:w="709" w:type="dxa"/>
            <w:shd w:val="clear" w:color="auto" w:fill="auto"/>
            <w:noWrap/>
            <w:vAlign w:val="center"/>
            <w:hideMark/>
          </w:tcPr>
          <w:p w14:paraId="4BA10376" w14:textId="48CCEFF8" w:rsidR="00D86AD8" w:rsidRPr="00127CA8" w:rsidRDefault="00D86AD8" w:rsidP="009C247B">
            <w:pPr>
              <w:jc w:val="center"/>
              <w:rPr>
                <w:rFonts w:ascii="Arial" w:hAnsi="Arial" w:cs="Arial"/>
                <w:color w:val="000000"/>
                <w:sz w:val="16"/>
                <w:szCs w:val="16"/>
              </w:rPr>
            </w:pPr>
            <w:r w:rsidRPr="00127CA8">
              <w:rPr>
                <w:rFonts w:ascii="Arial" w:hAnsi="Arial" w:cs="Arial"/>
                <w:color w:val="000000"/>
                <w:sz w:val="16"/>
                <w:szCs w:val="16"/>
              </w:rPr>
              <w:t>-</w:t>
            </w:r>
          </w:p>
        </w:tc>
        <w:tc>
          <w:tcPr>
            <w:tcW w:w="708" w:type="dxa"/>
            <w:shd w:val="clear" w:color="auto" w:fill="auto"/>
            <w:noWrap/>
            <w:vAlign w:val="center"/>
            <w:hideMark/>
          </w:tcPr>
          <w:p w14:paraId="7B0EA0E7" w14:textId="0E26003D" w:rsidR="00D86AD8" w:rsidRPr="00127CA8" w:rsidRDefault="00D86AD8" w:rsidP="009C247B">
            <w:pPr>
              <w:jc w:val="center"/>
              <w:rPr>
                <w:rFonts w:ascii="Arial" w:hAnsi="Arial" w:cs="Arial"/>
                <w:color w:val="000000"/>
                <w:sz w:val="16"/>
                <w:szCs w:val="16"/>
              </w:rPr>
            </w:pPr>
            <w:r w:rsidRPr="00127CA8">
              <w:rPr>
                <w:rFonts w:ascii="Arial" w:hAnsi="Arial" w:cs="Arial"/>
                <w:color w:val="000000"/>
                <w:sz w:val="16"/>
                <w:szCs w:val="16"/>
              </w:rPr>
              <w:t>-</w:t>
            </w:r>
          </w:p>
        </w:tc>
        <w:tc>
          <w:tcPr>
            <w:tcW w:w="851" w:type="dxa"/>
            <w:shd w:val="clear" w:color="auto" w:fill="auto"/>
            <w:noWrap/>
            <w:vAlign w:val="center"/>
          </w:tcPr>
          <w:p w14:paraId="7B3FB25A" w14:textId="46F1B91B" w:rsidR="00D86AD8" w:rsidRPr="00127CA8" w:rsidRDefault="00D86AD8" w:rsidP="009C247B">
            <w:pPr>
              <w:jc w:val="center"/>
              <w:rPr>
                <w:rFonts w:ascii="Arial" w:hAnsi="Arial" w:cs="Arial"/>
                <w:color w:val="000000"/>
                <w:sz w:val="16"/>
                <w:szCs w:val="16"/>
              </w:rPr>
            </w:pPr>
            <w:r w:rsidRPr="00127CA8">
              <w:rPr>
                <w:rFonts w:ascii="Arial" w:hAnsi="Arial" w:cs="Arial"/>
                <w:color w:val="000000"/>
                <w:sz w:val="16"/>
                <w:szCs w:val="16"/>
              </w:rPr>
              <w:t>-</w:t>
            </w:r>
          </w:p>
        </w:tc>
        <w:tc>
          <w:tcPr>
            <w:tcW w:w="992" w:type="dxa"/>
            <w:shd w:val="clear" w:color="auto" w:fill="auto"/>
            <w:noWrap/>
            <w:vAlign w:val="center"/>
          </w:tcPr>
          <w:p w14:paraId="55AA3163" w14:textId="54A9DA4A" w:rsidR="00D86AD8" w:rsidRPr="00127CA8" w:rsidRDefault="00D86AD8" w:rsidP="009C247B">
            <w:pPr>
              <w:jc w:val="center"/>
              <w:rPr>
                <w:rFonts w:ascii="Arial" w:hAnsi="Arial" w:cs="Arial"/>
                <w:color w:val="000000"/>
                <w:sz w:val="16"/>
                <w:szCs w:val="16"/>
              </w:rPr>
            </w:pPr>
            <w:r w:rsidRPr="00127CA8">
              <w:rPr>
                <w:rFonts w:ascii="Arial" w:hAnsi="Arial" w:cs="Arial"/>
                <w:color w:val="000000"/>
                <w:sz w:val="16"/>
                <w:szCs w:val="16"/>
              </w:rPr>
              <w:t>-</w:t>
            </w:r>
          </w:p>
        </w:tc>
        <w:tc>
          <w:tcPr>
            <w:tcW w:w="851" w:type="dxa"/>
            <w:shd w:val="clear" w:color="auto" w:fill="auto"/>
            <w:noWrap/>
          </w:tcPr>
          <w:p w14:paraId="7D358531" w14:textId="4208C352" w:rsidR="00D86AD8" w:rsidRPr="00127CA8" w:rsidRDefault="00D86AD8" w:rsidP="009C247B">
            <w:pPr>
              <w:jc w:val="center"/>
              <w:rPr>
                <w:rFonts w:ascii="Arial" w:hAnsi="Arial" w:cs="Arial"/>
                <w:color w:val="000000"/>
                <w:sz w:val="16"/>
                <w:szCs w:val="16"/>
              </w:rPr>
            </w:pPr>
            <w:r w:rsidRPr="00127CA8">
              <w:rPr>
                <w:rFonts w:ascii="Arial" w:hAnsi="Arial" w:cs="Arial"/>
                <w:color w:val="000000"/>
                <w:sz w:val="16"/>
                <w:szCs w:val="16"/>
              </w:rPr>
              <w:t xml:space="preserve">              </w:t>
            </w:r>
            <w:r w:rsidR="00127CA8" w:rsidRPr="00127CA8">
              <w:rPr>
                <w:rFonts w:ascii="Arial" w:hAnsi="Arial" w:cs="Arial"/>
                <w:color w:val="000000"/>
                <w:sz w:val="16"/>
                <w:szCs w:val="16"/>
              </w:rPr>
              <w:t>528</w:t>
            </w:r>
            <w:r w:rsidRPr="00127CA8">
              <w:rPr>
                <w:rFonts w:ascii="Arial" w:hAnsi="Arial" w:cs="Arial"/>
                <w:color w:val="000000"/>
                <w:sz w:val="16"/>
                <w:szCs w:val="16"/>
              </w:rPr>
              <w:t xml:space="preserve"> </w:t>
            </w:r>
          </w:p>
        </w:tc>
        <w:tc>
          <w:tcPr>
            <w:tcW w:w="993" w:type="dxa"/>
            <w:shd w:val="clear" w:color="auto" w:fill="auto"/>
            <w:noWrap/>
            <w:vAlign w:val="center"/>
          </w:tcPr>
          <w:p w14:paraId="0477F486" w14:textId="79AB7587" w:rsidR="00D86AD8" w:rsidRPr="00127CA8" w:rsidRDefault="00D86AD8" w:rsidP="009C247B">
            <w:pPr>
              <w:jc w:val="center"/>
              <w:rPr>
                <w:rFonts w:ascii="Arial" w:hAnsi="Arial" w:cs="Arial"/>
                <w:color w:val="000000"/>
                <w:sz w:val="16"/>
                <w:szCs w:val="16"/>
              </w:rPr>
            </w:pPr>
            <w:r w:rsidRPr="00127CA8">
              <w:rPr>
                <w:rFonts w:ascii="Arial" w:hAnsi="Arial" w:cs="Arial"/>
                <w:color w:val="000000"/>
                <w:sz w:val="16"/>
                <w:szCs w:val="16"/>
              </w:rPr>
              <w:t>-</w:t>
            </w:r>
          </w:p>
        </w:tc>
        <w:tc>
          <w:tcPr>
            <w:tcW w:w="1558" w:type="dxa"/>
            <w:shd w:val="clear" w:color="auto" w:fill="auto"/>
            <w:noWrap/>
            <w:vAlign w:val="center"/>
          </w:tcPr>
          <w:p w14:paraId="08EC7214" w14:textId="5C68FF17" w:rsidR="00D86AD8" w:rsidRPr="00127CA8" w:rsidRDefault="00D86AD8" w:rsidP="009C247B">
            <w:pPr>
              <w:jc w:val="center"/>
              <w:rPr>
                <w:rFonts w:ascii="Arial" w:hAnsi="Arial" w:cs="Arial"/>
                <w:color w:val="000000"/>
                <w:sz w:val="16"/>
                <w:szCs w:val="16"/>
              </w:rPr>
            </w:pPr>
            <w:r w:rsidRPr="00127CA8">
              <w:rPr>
                <w:rFonts w:ascii="Arial" w:hAnsi="Arial" w:cs="Arial"/>
                <w:color w:val="000000"/>
                <w:sz w:val="16"/>
                <w:szCs w:val="16"/>
              </w:rPr>
              <w:t>-</w:t>
            </w:r>
          </w:p>
        </w:tc>
        <w:tc>
          <w:tcPr>
            <w:tcW w:w="851" w:type="dxa"/>
            <w:shd w:val="clear" w:color="auto" w:fill="auto"/>
            <w:noWrap/>
          </w:tcPr>
          <w:p w14:paraId="71E121FC" w14:textId="374C28FD" w:rsidR="00D86AD8" w:rsidRPr="00127CA8" w:rsidRDefault="00D86AD8" w:rsidP="009C247B">
            <w:pPr>
              <w:jc w:val="center"/>
              <w:rPr>
                <w:rFonts w:ascii="Arial" w:hAnsi="Arial" w:cs="Arial"/>
                <w:color w:val="000000"/>
                <w:sz w:val="16"/>
                <w:szCs w:val="16"/>
              </w:rPr>
            </w:pPr>
            <w:r w:rsidRPr="00127CA8">
              <w:rPr>
                <w:rFonts w:ascii="Arial" w:hAnsi="Arial" w:cs="Arial"/>
                <w:color w:val="000000"/>
                <w:sz w:val="16"/>
                <w:szCs w:val="16"/>
              </w:rPr>
              <w:t xml:space="preserve">              </w:t>
            </w:r>
            <w:r w:rsidR="00127CA8" w:rsidRPr="00127CA8">
              <w:rPr>
                <w:rFonts w:ascii="Arial" w:hAnsi="Arial" w:cs="Arial"/>
                <w:color w:val="000000"/>
                <w:sz w:val="16"/>
                <w:szCs w:val="16"/>
              </w:rPr>
              <w:t>52</w:t>
            </w:r>
            <w:r w:rsidRPr="00127CA8">
              <w:rPr>
                <w:rFonts w:ascii="Arial" w:hAnsi="Arial" w:cs="Arial"/>
                <w:color w:val="000000"/>
                <w:sz w:val="16"/>
                <w:szCs w:val="16"/>
              </w:rPr>
              <w:t xml:space="preserve">8 </w:t>
            </w:r>
          </w:p>
        </w:tc>
      </w:tr>
      <w:tr w:rsidR="00D86AD8" w14:paraId="2AFE55D1" w14:textId="77777777" w:rsidTr="00A37566">
        <w:trPr>
          <w:trHeight w:val="178"/>
        </w:trPr>
        <w:tc>
          <w:tcPr>
            <w:tcW w:w="1681" w:type="dxa"/>
            <w:shd w:val="clear" w:color="auto" w:fill="auto"/>
            <w:noWrap/>
            <w:vAlign w:val="center"/>
            <w:hideMark/>
          </w:tcPr>
          <w:p w14:paraId="7DF21BE9" w14:textId="77777777" w:rsidR="00D86AD8" w:rsidRPr="008F658C" w:rsidRDefault="00D86AD8" w:rsidP="009C247B">
            <w:pPr>
              <w:rPr>
                <w:rFonts w:ascii="Arial" w:hAnsi="Arial" w:cs="Arial"/>
                <w:color w:val="000000"/>
                <w:sz w:val="16"/>
                <w:szCs w:val="16"/>
              </w:rPr>
            </w:pPr>
            <w:r w:rsidRPr="008F658C">
              <w:rPr>
                <w:rFonts w:ascii="Arial" w:hAnsi="Arial" w:cs="Arial"/>
                <w:color w:val="000000"/>
                <w:sz w:val="16"/>
                <w:szCs w:val="16"/>
              </w:rPr>
              <w:t>Greater Kittiwake Area</w:t>
            </w:r>
          </w:p>
        </w:tc>
        <w:tc>
          <w:tcPr>
            <w:tcW w:w="866" w:type="dxa"/>
            <w:shd w:val="clear" w:color="auto" w:fill="auto"/>
            <w:noWrap/>
            <w:vAlign w:val="center"/>
            <w:hideMark/>
          </w:tcPr>
          <w:p w14:paraId="4C25BD11" w14:textId="089A0AA9" w:rsidR="00D86AD8" w:rsidRPr="008F658C" w:rsidRDefault="00D86AD8" w:rsidP="009C247B">
            <w:pPr>
              <w:rPr>
                <w:rFonts w:ascii="Arial" w:hAnsi="Arial" w:cs="Arial"/>
                <w:color w:val="000000"/>
                <w:sz w:val="16"/>
                <w:szCs w:val="16"/>
              </w:rPr>
            </w:pPr>
            <w:r w:rsidRPr="008F658C">
              <w:rPr>
                <w:rFonts w:ascii="Arial" w:hAnsi="Arial" w:cs="Arial"/>
                <w:color w:val="000000"/>
                <w:sz w:val="16"/>
                <w:szCs w:val="16"/>
              </w:rPr>
              <w:t>P73 &amp; P238</w:t>
            </w:r>
          </w:p>
        </w:tc>
        <w:tc>
          <w:tcPr>
            <w:tcW w:w="709" w:type="dxa"/>
            <w:shd w:val="clear" w:color="auto" w:fill="auto"/>
            <w:noWrap/>
            <w:vAlign w:val="center"/>
            <w:hideMark/>
          </w:tcPr>
          <w:p w14:paraId="5ED32617" w14:textId="35A70EC7" w:rsidR="00D86AD8" w:rsidRPr="00127CA8" w:rsidRDefault="00D86AD8" w:rsidP="009C247B">
            <w:pPr>
              <w:jc w:val="center"/>
              <w:rPr>
                <w:rFonts w:ascii="Arial" w:hAnsi="Arial" w:cs="Arial"/>
                <w:color w:val="000000"/>
                <w:sz w:val="16"/>
                <w:szCs w:val="16"/>
              </w:rPr>
            </w:pPr>
            <w:r w:rsidRPr="00127CA8">
              <w:rPr>
                <w:rFonts w:ascii="Arial" w:hAnsi="Arial" w:cs="Arial"/>
                <w:color w:val="000000"/>
                <w:sz w:val="16"/>
                <w:szCs w:val="16"/>
              </w:rPr>
              <w:t>-</w:t>
            </w:r>
          </w:p>
        </w:tc>
        <w:tc>
          <w:tcPr>
            <w:tcW w:w="708" w:type="dxa"/>
            <w:shd w:val="clear" w:color="auto" w:fill="auto"/>
            <w:noWrap/>
            <w:vAlign w:val="center"/>
            <w:hideMark/>
          </w:tcPr>
          <w:p w14:paraId="6569364A" w14:textId="6E2F5E2B" w:rsidR="00D86AD8" w:rsidRPr="00127CA8" w:rsidRDefault="00D86AD8" w:rsidP="009C247B">
            <w:pPr>
              <w:jc w:val="center"/>
              <w:rPr>
                <w:rFonts w:ascii="Arial" w:hAnsi="Arial" w:cs="Arial"/>
                <w:color w:val="000000"/>
                <w:sz w:val="16"/>
                <w:szCs w:val="16"/>
              </w:rPr>
            </w:pPr>
            <w:r w:rsidRPr="00127CA8">
              <w:rPr>
                <w:rFonts w:ascii="Arial" w:hAnsi="Arial" w:cs="Arial"/>
                <w:color w:val="000000"/>
                <w:sz w:val="16"/>
                <w:szCs w:val="16"/>
              </w:rPr>
              <w:t>-</w:t>
            </w:r>
          </w:p>
        </w:tc>
        <w:tc>
          <w:tcPr>
            <w:tcW w:w="851" w:type="dxa"/>
            <w:shd w:val="clear" w:color="auto" w:fill="auto"/>
            <w:noWrap/>
            <w:vAlign w:val="center"/>
          </w:tcPr>
          <w:p w14:paraId="1054B158" w14:textId="5D225FB3" w:rsidR="00D86AD8" w:rsidRPr="00127CA8" w:rsidRDefault="00D86AD8" w:rsidP="009C247B">
            <w:pPr>
              <w:jc w:val="center"/>
              <w:rPr>
                <w:rFonts w:ascii="Arial" w:hAnsi="Arial" w:cs="Arial"/>
                <w:color w:val="000000"/>
                <w:sz w:val="16"/>
                <w:szCs w:val="16"/>
              </w:rPr>
            </w:pPr>
            <w:r w:rsidRPr="00127CA8">
              <w:rPr>
                <w:rFonts w:ascii="Arial" w:hAnsi="Arial" w:cs="Arial"/>
                <w:color w:val="000000"/>
                <w:sz w:val="16"/>
                <w:szCs w:val="16"/>
              </w:rPr>
              <w:t>-</w:t>
            </w:r>
          </w:p>
        </w:tc>
        <w:tc>
          <w:tcPr>
            <w:tcW w:w="992" w:type="dxa"/>
            <w:shd w:val="clear" w:color="auto" w:fill="auto"/>
            <w:noWrap/>
            <w:vAlign w:val="center"/>
          </w:tcPr>
          <w:p w14:paraId="1C242522" w14:textId="2DC5E50C" w:rsidR="00D86AD8" w:rsidRPr="00127CA8" w:rsidRDefault="00D86AD8" w:rsidP="009C247B">
            <w:pPr>
              <w:jc w:val="center"/>
              <w:rPr>
                <w:rFonts w:ascii="Arial" w:hAnsi="Arial" w:cs="Arial"/>
                <w:color w:val="000000"/>
                <w:sz w:val="16"/>
                <w:szCs w:val="16"/>
              </w:rPr>
            </w:pPr>
            <w:r w:rsidRPr="00127CA8">
              <w:rPr>
                <w:rFonts w:ascii="Arial" w:hAnsi="Arial" w:cs="Arial"/>
                <w:color w:val="000000"/>
                <w:sz w:val="16"/>
                <w:szCs w:val="16"/>
              </w:rPr>
              <w:t>-</w:t>
            </w:r>
          </w:p>
        </w:tc>
        <w:tc>
          <w:tcPr>
            <w:tcW w:w="851" w:type="dxa"/>
            <w:shd w:val="clear" w:color="auto" w:fill="auto"/>
            <w:noWrap/>
          </w:tcPr>
          <w:p w14:paraId="31B14A9E" w14:textId="15C9E43F" w:rsidR="00D86AD8" w:rsidRPr="00127CA8" w:rsidRDefault="00D86AD8" w:rsidP="009C247B">
            <w:pPr>
              <w:jc w:val="center"/>
              <w:rPr>
                <w:rFonts w:ascii="Arial" w:hAnsi="Arial" w:cs="Arial"/>
                <w:color w:val="000000"/>
                <w:sz w:val="16"/>
                <w:szCs w:val="16"/>
              </w:rPr>
            </w:pPr>
            <w:r w:rsidRPr="00127CA8">
              <w:rPr>
                <w:rFonts w:ascii="Arial" w:hAnsi="Arial" w:cs="Arial"/>
                <w:color w:val="000000"/>
                <w:sz w:val="16"/>
                <w:szCs w:val="16"/>
              </w:rPr>
              <w:t xml:space="preserve">              2</w:t>
            </w:r>
            <w:r w:rsidR="00127CA8" w:rsidRPr="00127CA8">
              <w:rPr>
                <w:rFonts w:ascii="Arial" w:hAnsi="Arial" w:cs="Arial"/>
                <w:color w:val="000000"/>
                <w:sz w:val="16"/>
                <w:szCs w:val="16"/>
              </w:rPr>
              <w:t>0</w:t>
            </w:r>
            <w:r w:rsidRPr="00127CA8">
              <w:rPr>
                <w:rFonts w:ascii="Arial" w:hAnsi="Arial" w:cs="Arial"/>
                <w:color w:val="000000"/>
                <w:sz w:val="16"/>
                <w:szCs w:val="16"/>
              </w:rPr>
              <w:t xml:space="preserve">0 </w:t>
            </w:r>
          </w:p>
        </w:tc>
        <w:tc>
          <w:tcPr>
            <w:tcW w:w="993" w:type="dxa"/>
            <w:shd w:val="clear" w:color="auto" w:fill="auto"/>
            <w:noWrap/>
            <w:vAlign w:val="center"/>
          </w:tcPr>
          <w:p w14:paraId="7CADEF35" w14:textId="4992E8B1" w:rsidR="00D86AD8" w:rsidRPr="00127CA8" w:rsidRDefault="00D86AD8" w:rsidP="009C247B">
            <w:pPr>
              <w:jc w:val="center"/>
              <w:rPr>
                <w:rFonts w:ascii="Arial" w:hAnsi="Arial" w:cs="Arial"/>
                <w:color w:val="000000"/>
                <w:sz w:val="16"/>
                <w:szCs w:val="16"/>
              </w:rPr>
            </w:pPr>
            <w:r w:rsidRPr="00127CA8">
              <w:rPr>
                <w:rFonts w:ascii="Arial" w:hAnsi="Arial" w:cs="Arial"/>
                <w:color w:val="000000"/>
                <w:sz w:val="16"/>
                <w:szCs w:val="16"/>
              </w:rPr>
              <w:t>-</w:t>
            </w:r>
          </w:p>
        </w:tc>
        <w:tc>
          <w:tcPr>
            <w:tcW w:w="1558" w:type="dxa"/>
            <w:shd w:val="clear" w:color="auto" w:fill="auto"/>
            <w:noWrap/>
            <w:vAlign w:val="center"/>
          </w:tcPr>
          <w:p w14:paraId="37BEB120" w14:textId="12DB6F03" w:rsidR="00D86AD8" w:rsidRPr="00127CA8" w:rsidRDefault="00D86AD8" w:rsidP="009C247B">
            <w:pPr>
              <w:jc w:val="center"/>
              <w:rPr>
                <w:rFonts w:ascii="Arial" w:hAnsi="Arial" w:cs="Arial"/>
                <w:color w:val="000000"/>
                <w:sz w:val="16"/>
                <w:szCs w:val="16"/>
              </w:rPr>
            </w:pPr>
            <w:r w:rsidRPr="00127CA8">
              <w:rPr>
                <w:rFonts w:ascii="Arial" w:hAnsi="Arial" w:cs="Arial"/>
                <w:color w:val="000000"/>
                <w:sz w:val="16"/>
                <w:szCs w:val="16"/>
              </w:rPr>
              <w:t>-</w:t>
            </w:r>
          </w:p>
        </w:tc>
        <w:tc>
          <w:tcPr>
            <w:tcW w:w="851" w:type="dxa"/>
            <w:shd w:val="clear" w:color="auto" w:fill="auto"/>
            <w:noWrap/>
          </w:tcPr>
          <w:p w14:paraId="299DEF9E" w14:textId="531ED313" w:rsidR="00D86AD8" w:rsidRPr="00127CA8" w:rsidRDefault="00D86AD8" w:rsidP="009C247B">
            <w:pPr>
              <w:jc w:val="center"/>
              <w:rPr>
                <w:rFonts w:ascii="Arial" w:hAnsi="Arial" w:cs="Arial"/>
                <w:color w:val="000000"/>
                <w:sz w:val="16"/>
                <w:szCs w:val="16"/>
              </w:rPr>
            </w:pPr>
            <w:r w:rsidRPr="00127CA8">
              <w:rPr>
                <w:rFonts w:ascii="Arial" w:hAnsi="Arial" w:cs="Arial"/>
                <w:color w:val="000000"/>
                <w:sz w:val="16"/>
                <w:szCs w:val="16"/>
              </w:rPr>
              <w:t xml:space="preserve">              2</w:t>
            </w:r>
            <w:r w:rsidR="00127CA8" w:rsidRPr="00127CA8">
              <w:rPr>
                <w:rFonts w:ascii="Arial" w:hAnsi="Arial" w:cs="Arial"/>
                <w:color w:val="000000"/>
                <w:sz w:val="16"/>
                <w:szCs w:val="16"/>
              </w:rPr>
              <w:t>0</w:t>
            </w:r>
            <w:r w:rsidRPr="00127CA8">
              <w:rPr>
                <w:rFonts w:ascii="Arial" w:hAnsi="Arial" w:cs="Arial"/>
                <w:color w:val="000000"/>
                <w:sz w:val="16"/>
                <w:szCs w:val="16"/>
              </w:rPr>
              <w:t>0</w:t>
            </w:r>
          </w:p>
        </w:tc>
      </w:tr>
      <w:tr w:rsidR="00D86AD8" w14:paraId="4736EC0D" w14:textId="77777777" w:rsidTr="00A37566">
        <w:trPr>
          <w:trHeight w:val="178"/>
        </w:trPr>
        <w:tc>
          <w:tcPr>
            <w:tcW w:w="1681" w:type="dxa"/>
            <w:shd w:val="clear" w:color="auto" w:fill="auto"/>
            <w:noWrap/>
            <w:vAlign w:val="center"/>
            <w:hideMark/>
          </w:tcPr>
          <w:p w14:paraId="185192EB" w14:textId="77777777" w:rsidR="00D86AD8" w:rsidRPr="008F658C" w:rsidRDefault="00D86AD8" w:rsidP="009C247B">
            <w:pPr>
              <w:rPr>
                <w:rFonts w:ascii="Arial" w:hAnsi="Arial" w:cs="Arial"/>
                <w:color w:val="000000"/>
                <w:sz w:val="16"/>
                <w:szCs w:val="16"/>
              </w:rPr>
            </w:pPr>
            <w:r w:rsidRPr="008F658C">
              <w:rPr>
                <w:rFonts w:ascii="Arial" w:hAnsi="Arial" w:cs="Arial"/>
                <w:color w:val="000000"/>
                <w:sz w:val="16"/>
                <w:szCs w:val="16"/>
              </w:rPr>
              <w:t>Scolty &amp; Crathes</w:t>
            </w:r>
          </w:p>
        </w:tc>
        <w:tc>
          <w:tcPr>
            <w:tcW w:w="866" w:type="dxa"/>
            <w:shd w:val="clear" w:color="auto" w:fill="auto"/>
            <w:noWrap/>
            <w:vAlign w:val="center"/>
            <w:hideMark/>
          </w:tcPr>
          <w:p w14:paraId="0C7DF839" w14:textId="77777777" w:rsidR="00D86AD8" w:rsidRPr="008F658C" w:rsidRDefault="00D86AD8" w:rsidP="009C247B">
            <w:pPr>
              <w:rPr>
                <w:rFonts w:ascii="Arial" w:hAnsi="Arial" w:cs="Arial"/>
                <w:color w:val="000000"/>
                <w:sz w:val="16"/>
                <w:szCs w:val="16"/>
              </w:rPr>
            </w:pPr>
            <w:r w:rsidRPr="008F658C">
              <w:rPr>
                <w:rFonts w:ascii="Arial" w:hAnsi="Arial" w:cs="Arial"/>
                <w:color w:val="000000"/>
                <w:sz w:val="16"/>
                <w:szCs w:val="16"/>
              </w:rPr>
              <w:t>P1107 &amp; P1617</w:t>
            </w:r>
          </w:p>
        </w:tc>
        <w:tc>
          <w:tcPr>
            <w:tcW w:w="709" w:type="dxa"/>
            <w:shd w:val="clear" w:color="auto" w:fill="auto"/>
            <w:noWrap/>
            <w:vAlign w:val="center"/>
          </w:tcPr>
          <w:p w14:paraId="57A854AF" w14:textId="3C9F0A1E" w:rsidR="00D86AD8" w:rsidRPr="00127CA8" w:rsidRDefault="00D86AD8" w:rsidP="009C247B">
            <w:pPr>
              <w:jc w:val="center"/>
              <w:rPr>
                <w:rFonts w:ascii="Arial" w:hAnsi="Arial" w:cs="Arial"/>
                <w:color w:val="000000"/>
                <w:sz w:val="16"/>
                <w:szCs w:val="16"/>
              </w:rPr>
            </w:pPr>
            <w:r w:rsidRPr="00127CA8">
              <w:rPr>
                <w:rFonts w:ascii="Arial" w:hAnsi="Arial" w:cs="Arial"/>
                <w:color w:val="000000"/>
                <w:sz w:val="16"/>
                <w:szCs w:val="16"/>
              </w:rPr>
              <w:t>-</w:t>
            </w:r>
          </w:p>
        </w:tc>
        <w:tc>
          <w:tcPr>
            <w:tcW w:w="708" w:type="dxa"/>
            <w:shd w:val="clear" w:color="auto" w:fill="auto"/>
            <w:noWrap/>
            <w:vAlign w:val="center"/>
            <w:hideMark/>
          </w:tcPr>
          <w:p w14:paraId="6FC59D54" w14:textId="549B5593" w:rsidR="00D86AD8" w:rsidRPr="00127CA8" w:rsidRDefault="00D86AD8" w:rsidP="009C247B">
            <w:pPr>
              <w:jc w:val="center"/>
              <w:rPr>
                <w:rFonts w:ascii="Arial" w:hAnsi="Arial" w:cs="Arial"/>
                <w:color w:val="000000"/>
                <w:sz w:val="16"/>
                <w:szCs w:val="16"/>
              </w:rPr>
            </w:pPr>
            <w:r w:rsidRPr="00127CA8">
              <w:rPr>
                <w:rFonts w:ascii="Arial" w:hAnsi="Arial" w:cs="Arial"/>
                <w:color w:val="000000"/>
                <w:sz w:val="16"/>
                <w:szCs w:val="16"/>
              </w:rPr>
              <w:t>-</w:t>
            </w:r>
          </w:p>
        </w:tc>
        <w:tc>
          <w:tcPr>
            <w:tcW w:w="851" w:type="dxa"/>
            <w:shd w:val="clear" w:color="auto" w:fill="auto"/>
            <w:noWrap/>
            <w:vAlign w:val="center"/>
          </w:tcPr>
          <w:p w14:paraId="0B31A4F7" w14:textId="28EAFDA5" w:rsidR="00D86AD8" w:rsidRPr="00127CA8" w:rsidRDefault="00D86AD8" w:rsidP="009C247B">
            <w:pPr>
              <w:jc w:val="center"/>
              <w:rPr>
                <w:rFonts w:ascii="Arial" w:hAnsi="Arial" w:cs="Arial"/>
                <w:color w:val="000000"/>
                <w:sz w:val="16"/>
                <w:szCs w:val="16"/>
              </w:rPr>
            </w:pPr>
            <w:r w:rsidRPr="00127CA8">
              <w:rPr>
                <w:rFonts w:ascii="Arial" w:hAnsi="Arial" w:cs="Arial"/>
                <w:color w:val="000000"/>
                <w:sz w:val="16"/>
                <w:szCs w:val="16"/>
              </w:rPr>
              <w:t>-</w:t>
            </w:r>
          </w:p>
        </w:tc>
        <w:tc>
          <w:tcPr>
            <w:tcW w:w="992" w:type="dxa"/>
            <w:shd w:val="clear" w:color="auto" w:fill="auto"/>
            <w:noWrap/>
            <w:vAlign w:val="center"/>
          </w:tcPr>
          <w:p w14:paraId="0A925E8B" w14:textId="79943565" w:rsidR="00D86AD8" w:rsidRPr="00127CA8" w:rsidRDefault="00D86AD8" w:rsidP="009C247B">
            <w:pPr>
              <w:jc w:val="center"/>
              <w:rPr>
                <w:rFonts w:ascii="Arial" w:hAnsi="Arial" w:cs="Arial"/>
                <w:color w:val="000000"/>
                <w:sz w:val="16"/>
                <w:szCs w:val="16"/>
              </w:rPr>
            </w:pPr>
            <w:r w:rsidRPr="00127CA8">
              <w:rPr>
                <w:rFonts w:ascii="Arial" w:hAnsi="Arial" w:cs="Arial"/>
                <w:color w:val="000000"/>
                <w:sz w:val="16"/>
                <w:szCs w:val="16"/>
              </w:rPr>
              <w:t>-</w:t>
            </w:r>
          </w:p>
        </w:tc>
        <w:tc>
          <w:tcPr>
            <w:tcW w:w="851" w:type="dxa"/>
            <w:shd w:val="clear" w:color="auto" w:fill="auto"/>
            <w:noWrap/>
          </w:tcPr>
          <w:p w14:paraId="2C41A090" w14:textId="4A3D0786" w:rsidR="00D86AD8" w:rsidRPr="00127CA8" w:rsidRDefault="00D86AD8" w:rsidP="009C247B">
            <w:pPr>
              <w:jc w:val="center"/>
              <w:rPr>
                <w:rFonts w:ascii="Arial" w:hAnsi="Arial" w:cs="Arial"/>
                <w:color w:val="000000"/>
                <w:sz w:val="16"/>
                <w:szCs w:val="16"/>
              </w:rPr>
            </w:pPr>
            <w:r w:rsidRPr="00127CA8">
              <w:rPr>
                <w:rFonts w:ascii="Arial" w:hAnsi="Arial" w:cs="Arial"/>
                <w:color w:val="000000"/>
                <w:sz w:val="16"/>
                <w:szCs w:val="16"/>
              </w:rPr>
              <w:t xml:space="preserve">              5</w:t>
            </w:r>
            <w:r w:rsidR="00127CA8" w:rsidRPr="00127CA8">
              <w:rPr>
                <w:rFonts w:ascii="Arial" w:hAnsi="Arial" w:cs="Arial"/>
                <w:color w:val="000000"/>
                <w:sz w:val="16"/>
                <w:szCs w:val="16"/>
              </w:rPr>
              <w:t>00</w:t>
            </w:r>
            <w:r w:rsidRPr="00127CA8">
              <w:rPr>
                <w:rFonts w:ascii="Arial" w:hAnsi="Arial" w:cs="Arial"/>
                <w:color w:val="000000"/>
                <w:sz w:val="16"/>
                <w:szCs w:val="16"/>
              </w:rPr>
              <w:t xml:space="preserve"> </w:t>
            </w:r>
          </w:p>
        </w:tc>
        <w:tc>
          <w:tcPr>
            <w:tcW w:w="993" w:type="dxa"/>
            <w:shd w:val="clear" w:color="auto" w:fill="auto"/>
            <w:noWrap/>
            <w:vAlign w:val="center"/>
          </w:tcPr>
          <w:p w14:paraId="2161EFF4" w14:textId="0B77022F" w:rsidR="00D86AD8" w:rsidRPr="00127CA8" w:rsidRDefault="00D86AD8" w:rsidP="009C247B">
            <w:pPr>
              <w:jc w:val="center"/>
              <w:rPr>
                <w:rFonts w:ascii="Arial" w:hAnsi="Arial" w:cs="Arial"/>
                <w:color w:val="000000"/>
                <w:sz w:val="16"/>
                <w:szCs w:val="16"/>
              </w:rPr>
            </w:pPr>
            <w:r w:rsidRPr="00127CA8">
              <w:rPr>
                <w:rFonts w:ascii="Arial" w:hAnsi="Arial" w:cs="Arial"/>
                <w:color w:val="000000"/>
                <w:sz w:val="16"/>
                <w:szCs w:val="16"/>
              </w:rPr>
              <w:t>-</w:t>
            </w:r>
          </w:p>
        </w:tc>
        <w:tc>
          <w:tcPr>
            <w:tcW w:w="1558" w:type="dxa"/>
            <w:shd w:val="clear" w:color="auto" w:fill="auto"/>
            <w:noWrap/>
            <w:vAlign w:val="center"/>
          </w:tcPr>
          <w:p w14:paraId="453F1551" w14:textId="0632C10F" w:rsidR="00D86AD8" w:rsidRPr="00127CA8" w:rsidRDefault="00D86AD8" w:rsidP="009C247B">
            <w:pPr>
              <w:jc w:val="center"/>
              <w:rPr>
                <w:rFonts w:ascii="Arial" w:hAnsi="Arial" w:cs="Arial"/>
                <w:color w:val="000000"/>
                <w:sz w:val="16"/>
                <w:szCs w:val="16"/>
              </w:rPr>
            </w:pPr>
            <w:r w:rsidRPr="00127CA8">
              <w:rPr>
                <w:rFonts w:ascii="Arial" w:hAnsi="Arial" w:cs="Arial"/>
                <w:color w:val="000000"/>
                <w:sz w:val="16"/>
                <w:szCs w:val="16"/>
              </w:rPr>
              <w:t>-</w:t>
            </w:r>
          </w:p>
        </w:tc>
        <w:tc>
          <w:tcPr>
            <w:tcW w:w="851" w:type="dxa"/>
            <w:shd w:val="clear" w:color="auto" w:fill="auto"/>
            <w:noWrap/>
          </w:tcPr>
          <w:p w14:paraId="2021AEAD" w14:textId="0BB1D331" w:rsidR="00D86AD8" w:rsidRPr="00127CA8" w:rsidRDefault="00D86AD8" w:rsidP="009C247B">
            <w:pPr>
              <w:jc w:val="center"/>
              <w:rPr>
                <w:rFonts w:ascii="Arial" w:hAnsi="Arial" w:cs="Arial"/>
                <w:color w:val="000000"/>
                <w:sz w:val="16"/>
                <w:szCs w:val="16"/>
              </w:rPr>
            </w:pPr>
            <w:r w:rsidRPr="00127CA8">
              <w:rPr>
                <w:rFonts w:ascii="Arial" w:hAnsi="Arial" w:cs="Arial"/>
                <w:color w:val="000000"/>
                <w:sz w:val="16"/>
                <w:szCs w:val="16"/>
              </w:rPr>
              <w:t xml:space="preserve">              5</w:t>
            </w:r>
            <w:r w:rsidR="00127CA8" w:rsidRPr="00127CA8">
              <w:rPr>
                <w:rFonts w:ascii="Arial" w:hAnsi="Arial" w:cs="Arial"/>
                <w:color w:val="000000"/>
                <w:sz w:val="16"/>
                <w:szCs w:val="16"/>
              </w:rPr>
              <w:t>00</w:t>
            </w:r>
            <w:r w:rsidRPr="00127CA8">
              <w:rPr>
                <w:rFonts w:ascii="Arial" w:hAnsi="Arial" w:cs="Arial"/>
                <w:color w:val="000000"/>
                <w:sz w:val="16"/>
                <w:szCs w:val="16"/>
              </w:rPr>
              <w:t xml:space="preserve"> </w:t>
            </w:r>
          </w:p>
        </w:tc>
      </w:tr>
      <w:tr w:rsidR="00D86AD8" w14:paraId="2E038DAE" w14:textId="77777777" w:rsidTr="00A37566">
        <w:trPr>
          <w:trHeight w:val="178"/>
        </w:trPr>
        <w:tc>
          <w:tcPr>
            <w:tcW w:w="1681" w:type="dxa"/>
            <w:tcBorders>
              <w:bottom w:val="single" w:sz="4" w:space="0" w:color="auto"/>
            </w:tcBorders>
            <w:shd w:val="clear" w:color="auto" w:fill="auto"/>
            <w:noWrap/>
            <w:vAlign w:val="center"/>
          </w:tcPr>
          <w:p w14:paraId="67E827F8" w14:textId="77777777" w:rsidR="00D86AD8" w:rsidRPr="008F658C" w:rsidRDefault="00D86AD8" w:rsidP="009C247B">
            <w:pPr>
              <w:rPr>
                <w:rFonts w:ascii="Arial" w:hAnsi="Arial" w:cs="Arial"/>
                <w:color w:val="000000"/>
                <w:sz w:val="16"/>
                <w:szCs w:val="16"/>
              </w:rPr>
            </w:pPr>
            <w:r w:rsidRPr="008F658C">
              <w:rPr>
                <w:rFonts w:ascii="Arial" w:hAnsi="Arial" w:cs="Arial"/>
                <w:color w:val="000000"/>
                <w:sz w:val="16"/>
                <w:szCs w:val="16"/>
              </w:rPr>
              <w:t>Magnus</w:t>
            </w:r>
          </w:p>
        </w:tc>
        <w:tc>
          <w:tcPr>
            <w:tcW w:w="866" w:type="dxa"/>
            <w:tcBorders>
              <w:bottom w:val="single" w:sz="4" w:space="0" w:color="auto"/>
            </w:tcBorders>
            <w:shd w:val="clear" w:color="auto" w:fill="auto"/>
            <w:noWrap/>
            <w:vAlign w:val="center"/>
          </w:tcPr>
          <w:p w14:paraId="505237EC" w14:textId="79E9A94C" w:rsidR="00D86AD8" w:rsidRPr="008F658C" w:rsidRDefault="00D86AD8" w:rsidP="009C247B">
            <w:pPr>
              <w:rPr>
                <w:rFonts w:ascii="Arial" w:hAnsi="Arial" w:cs="Arial"/>
                <w:color w:val="000000"/>
                <w:sz w:val="16"/>
                <w:szCs w:val="16"/>
              </w:rPr>
            </w:pPr>
            <w:r w:rsidRPr="008F658C">
              <w:rPr>
                <w:rFonts w:ascii="Arial" w:hAnsi="Arial" w:cs="Arial"/>
                <w:color w:val="000000"/>
                <w:sz w:val="16"/>
                <w:szCs w:val="16"/>
              </w:rPr>
              <w:t>P193</w:t>
            </w:r>
            <w:r w:rsidR="00F66AF5">
              <w:rPr>
                <w:rFonts w:ascii="Arial" w:hAnsi="Arial" w:cs="Arial"/>
                <w:color w:val="000000"/>
                <w:sz w:val="16"/>
                <w:szCs w:val="16"/>
              </w:rPr>
              <w:t xml:space="preserve"> &amp; P2599</w:t>
            </w:r>
          </w:p>
        </w:tc>
        <w:tc>
          <w:tcPr>
            <w:tcW w:w="709" w:type="dxa"/>
            <w:tcBorders>
              <w:bottom w:val="single" w:sz="4" w:space="0" w:color="auto"/>
            </w:tcBorders>
            <w:shd w:val="clear" w:color="auto" w:fill="auto"/>
            <w:noWrap/>
            <w:vAlign w:val="center"/>
          </w:tcPr>
          <w:p w14:paraId="7D3848F9" w14:textId="5BAC7517" w:rsidR="00D86AD8" w:rsidRPr="00127CA8" w:rsidRDefault="00D86AD8" w:rsidP="009C247B">
            <w:pPr>
              <w:jc w:val="center"/>
              <w:rPr>
                <w:rFonts w:ascii="Arial" w:hAnsi="Arial" w:cs="Arial"/>
                <w:color w:val="000000"/>
                <w:sz w:val="16"/>
                <w:szCs w:val="16"/>
              </w:rPr>
            </w:pPr>
            <w:r w:rsidRPr="00127CA8">
              <w:rPr>
                <w:rFonts w:ascii="Arial" w:hAnsi="Arial" w:cs="Arial"/>
                <w:color w:val="000000"/>
                <w:sz w:val="16"/>
                <w:szCs w:val="16"/>
              </w:rPr>
              <w:t>-</w:t>
            </w:r>
          </w:p>
        </w:tc>
        <w:tc>
          <w:tcPr>
            <w:tcW w:w="708" w:type="dxa"/>
            <w:tcBorders>
              <w:bottom w:val="single" w:sz="4" w:space="0" w:color="auto"/>
            </w:tcBorders>
            <w:shd w:val="clear" w:color="auto" w:fill="auto"/>
            <w:noWrap/>
            <w:vAlign w:val="center"/>
          </w:tcPr>
          <w:p w14:paraId="73547C67" w14:textId="128B4165" w:rsidR="00D86AD8" w:rsidRPr="00127CA8" w:rsidRDefault="00D86AD8" w:rsidP="009C247B">
            <w:pPr>
              <w:jc w:val="center"/>
              <w:rPr>
                <w:rFonts w:ascii="Arial" w:hAnsi="Arial" w:cs="Arial"/>
                <w:color w:val="000000"/>
                <w:sz w:val="16"/>
                <w:szCs w:val="16"/>
              </w:rPr>
            </w:pPr>
            <w:r w:rsidRPr="00127CA8">
              <w:rPr>
                <w:rFonts w:ascii="Arial" w:hAnsi="Arial" w:cs="Arial"/>
                <w:color w:val="000000"/>
                <w:sz w:val="16"/>
                <w:szCs w:val="16"/>
              </w:rPr>
              <w:t>-</w:t>
            </w:r>
          </w:p>
        </w:tc>
        <w:tc>
          <w:tcPr>
            <w:tcW w:w="851" w:type="dxa"/>
            <w:tcBorders>
              <w:bottom w:val="single" w:sz="4" w:space="0" w:color="auto"/>
            </w:tcBorders>
            <w:shd w:val="clear" w:color="auto" w:fill="auto"/>
            <w:noWrap/>
            <w:vAlign w:val="center"/>
          </w:tcPr>
          <w:p w14:paraId="0B3576AE" w14:textId="630517B7" w:rsidR="00D86AD8" w:rsidRPr="00127CA8" w:rsidRDefault="00D86AD8" w:rsidP="009C247B">
            <w:pPr>
              <w:jc w:val="center"/>
              <w:rPr>
                <w:rFonts w:ascii="Arial" w:hAnsi="Arial" w:cs="Arial"/>
                <w:color w:val="000000"/>
                <w:sz w:val="16"/>
                <w:szCs w:val="16"/>
              </w:rPr>
            </w:pPr>
            <w:r w:rsidRPr="00127CA8">
              <w:rPr>
                <w:rFonts w:ascii="Arial" w:hAnsi="Arial" w:cs="Arial"/>
                <w:color w:val="000000"/>
                <w:sz w:val="16"/>
                <w:szCs w:val="16"/>
              </w:rPr>
              <w:t>-</w:t>
            </w:r>
          </w:p>
        </w:tc>
        <w:tc>
          <w:tcPr>
            <w:tcW w:w="992" w:type="dxa"/>
            <w:tcBorders>
              <w:bottom w:val="single" w:sz="4" w:space="0" w:color="auto"/>
            </w:tcBorders>
            <w:shd w:val="clear" w:color="auto" w:fill="auto"/>
            <w:noWrap/>
            <w:vAlign w:val="center"/>
          </w:tcPr>
          <w:p w14:paraId="1D169D0C" w14:textId="0EA711D3" w:rsidR="00D86AD8" w:rsidRPr="00127CA8" w:rsidRDefault="00D86AD8" w:rsidP="009C247B">
            <w:pPr>
              <w:jc w:val="center"/>
              <w:rPr>
                <w:rFonts w:ascii="Arial" w:hAnsi="Arial" w:cs="Arial"/>
                <w:color w:val="000000"/>
                <w:sz w:val="16"/>
                <w:szCs w:val="16"/>
              </w:rPr>
            </w:pPr>
            <w:r w:rsidRPr="00127CA8">
              <w:rPr>
                <w:rFonts w:ascii="Arial" w:hAnsi="Arial" w:cs="Arial"/>
                <w:color w:val="000000"/>
                <w:sz w:val="16"/>
                <w:szCs w:val="16"/>
              </w:rPr>
              <w:t>-</w:t>
            </w:r>
          </w:p>
        </w:tc>
        <w:tc>
          <w:tcPr>
            <w:tcW w:w="851" w:type="dxa"/>
            <w:tcBorders>
              <w:bottom w:val="single" w:sz="4" w:space="0" w:color="auto"/>
            </w:tcBorders>
            <w:shd w:val="clear" w:color="auto" w:fill="auto"/>
            <w:noWrap/>
            <w:vAlign w:val="center"/>
          </w:tcPr>
          <w:p w14:paraId="079392CE" w14:textId="1B949D3B" w:rsidR="00D86AD8" w:rsidRPr="00127CA8" w:rsidRDefault="00D86AD8" w:rsidP="009C247B">
            <w:pPr>
              <w:jc w:val="center"/>
              <w:rPr>
                <w:rFonts w:ascii="Arial" w:hAnsi="Arial" w:cs="Arial"/>
                <w:color w:val="000000"/>
                <w:sz w:val="16"/>
                <w:szCs w:val="16"/>
              </w:rPr>
            </w:pPr>
            <w:r w:rsidRPr="00127CA8">
              <w:rPr>
                <w:rFonts w:ascii="Arial" w:hAnsi="Arial" w:cs="Arial"/>
                <w:color w:val="000000"/>
                <w:sz w:val="16"/>
                <w:szCs w:val="16"/>
              </w:rPr>
              <w:t>4</w:t>
            </w:r>
            <w:r w:rsidR="00127CA8" w:rsidRPr="00127CA8">
              <w:rPr>
                <w:rFonts w:ascii="Arial" w:hAnsi="Arial" w:cs="Arial"/>
                <w:color w:val="000000"/>
                <w:sz w:val="16"/>
                <w:szCs w:val="16"/>
              </w:rPr>
              <w:t>22</w:t>
            </w:r>
          </w:p>
        </w:tc>
        <w:tc>
          <w:tcPr>
            <w:tcW w:w="993" w:type="dxa"/>
            <w:tcBorders>
              <w:bottom w:val="single" w:sz="4" w:space="0" w:color="auto"/>
            </w:tcBorders>
            <w:shd w:val="clear" w:color="auto" w:fill="auto"/>
            <w:noWrap/>
            <w:vAlign w:val="center"/>
          </w:tcPr>
          <w:p w14:paraId="44EFFE5B" w14:textId="38F9BB94" w:rsidR="00D86AD8" w:rsidRPr="00127CA8" w:rsidRDefault="00D86AD8" w:rsidP="009C247B">
            <w:pPr>
              <w:jc w:val="center"/>
              <w:rPr>
                <w:rFonts w:ascii="Arial" w:hAnsi="Arial" w:cs="Arial"/>
                <w:color w:val="000000"/>
                <w:sz w:val="16"/>
                <w:szCs w:val="16"/>
              </w:rPr>
            </w:pPr>
            <w:r w:rsidRPr="00127CA8">
              <w:rPr>
                <w:rFonts w:ascii="Arial" w:hAnsi="Arial" w:cs="Arial"/>
                <w:color w:val="000000"/>
                <w:sz w:val="16"/>
                <w:szCs w:val="16"/>
              </w:rPr>
              <w:t>-</w:t>
            </w:r>
          </w:p>
        </w:tc>
        <w:tc>
          <w:tcPr>
            <w:tcW w:w="1558" w:type="dxa"/>
            <w:tcBorders>
              <w:bottom w:val="single" w:sz="4" w:space="0" w:color="auto"/>
            </w:tcBorders>
            <w:shd w:val="clear" w:color="auto" w:fill="auto"/>
            <w:noWrap/>
            <w:vAlign w:val="center"/>
          </w:tcPr>
          <w:p w14:paraId="45FDC2BF" w14:textId="7C680E33" w:rsidR="00D86AD8" w:rsidRPr="00127CA8" w:rsidRDefault="00D86AD8" w:rsidP="009C247B">
            <w:pPr>
              <w:jc w:val="center"/>
              <w:rPr>
                <w:rFonts w:ascii="Arial" w:hAnsi="Arial" w:cs="Arial"/>
                <w:color w:val="000000"/>
                <w:sz w:val="16"/>
                <w:szCs w:val="16"/>
              </w:rPr>
            </w:pPr>
            <w:r w:rsidRPr="00127CA8">
              <w:rPr>
                <w:rFonts w:ascii="Arial" w:hAnsi="Arial" w:cs="Arial"/>
                <w:color w:val="000000"/>
                <w:sz w:val="16"/>
                <w:szCs w:val="16"/>
              </w:rPr>
              <w:t>-</w:t>
            </w:r>
          </w:p>
        </w:tc>
        <w:tc>
          <w:tcPr>
            <w:tcW w:w="851" w:type="dxa"/>
            <w:tcBorders>
              <w:bottom w:val="single" w:sz="4" w:space="0" w:color="auto"/>
            </w:tcBorders>
            <w:shd w:val="clear" w:color="auto" w:fill="auto"/>
            <w:noWrap/>
            <w:vAlign w:val="center"/>
          </w:tcPr>
          <w:p w14:paraId="3325037C" w14:textId="7040CB64" w:rsidR="00D86AD8" w:rsidRPr="00127CA8" w:rsidRDefault="00D86AD8" w:rsidP="009C247B">
            <w:pPr>
              <w:jc w:val="center"/>
              <w:rPr>
                <w:rFonts w:ascii="Arial" w:hAnsi="Arial" w:cs="Arial"/>
                <w:color w:val="000000"/>
                <w:sz w:val="16"/>
                <w:szCs w:val="16"/>
              </w:rPr>
            </w:pPr>
            <w:r w:rsidRPr="00127CA8">
              <w:rPr>
                <w:rFonts w:ascii="Arial" w:hAnsi="Arial" w:cs="Arial"/>
                <w:color w:val="000000"/>
                <w:sz w:val="16"/>
                <w:szCs w:val="16"/>
              </w:rPr>
              <w:t>4</w:t>
            </w:r>
            <w:r w:rsidR="00127CA8" w:rsidRPr="00127CA8">
              <w:rPr>
                <w:rFonts w:ascii="Arial" w:hAnsi="Arial" w:cs="Arial"/>
                <w:color w:val="000000"/>
                <w:sz w:val="16"/>
                <w:szCs w:val="16"/>
              </w:rPr>
              <w:t>22</w:t>
            </w:r>
          </w:p>
        </w:tc>
      </w:tr>
      <w:tr w:rsidR="00F66AF5" w14:paraId="2532DECF" w14:textId="77777777" w:rsidTr="00A37566">
        <w:trPr>
          <w:trHeight w:val="178"/>
        </w:trPr>
        <w:tc>
          <w:tcPr>
            <w:tcW w:w="1681" w:type="dxa"/>
            <w:tcBorders>
              <w:bottom w:val="single" w:sz="4" w:space="0" w:color="auto"/>
            </w:tcBorders>
            <w:shd w:val="clear" w:color="auto" w:fill="auto"/>
            <w:noWrap/>
            <w:vAlign w:val="center"/>
          </w:tcPr>
          <w:p w14:paraId="142D3AC5" w14:textId="1C70403D" w:rsidR="00F66AF5" w:rsidRPr="008F658C" w:rsidRDefault="00F66AF5" w:rsidP="00F66AF5">
            <w:pPr>
              <w:rPr>
                <w:rFonts w:ascii="Arial" w:hAnsi="Arial" w:cs="Arial"/>
                <w:color w:val="000000"/>
                <w:sz w:val="16"/>
                <w:szCs w:val="16"/>
              </w:rPr>
            </w:pPr>
            <w:r>
              <w:rPr>
                <w:rFonts w:ascii="Arial" w:hAnsi="Arial" w:cs="Arial"/>
                <w:color w:val="000000"/>
                <w:sz w:val="16"/>
                <w:szCs w:val="16"/>
              </w:rPr>
              <w:t>Bressay</w:t>
            </w:r>
          </w:p>
        </w:tc>
        <w:tc>
          <w:tcPr>
            <w:tcW w:w="866" w:type="dxa"/>
            <w:tcBorders>
              <w:bottom w:val="single" w:sz="4" w:space="0" w:color="auto"/>
            </w:tcBorders>
            <w:shd w:val="clear" w:color="auto" w:fill="auto"/>
            <w:noWrap/>
            <w:vAlign w:val="center"/>
          </w:tcPr>
          <w:p w14:paraId="26345695" w14:textId="6B5BCEDB" w:rsidR="00F66AF5" w:rsidRPr="008F658C" w:rsidRDefault="00F66AF5" w:rsidP="00F66AF5">
            <w:pPr>
              <w:rPr>
                <w:rFonts w:ascii="Arial" w:hAnsi="Arial" w:cs="Arial"/>
                <w:color w:val="000000"/>
                <w:sz w:val="16"/>
                <w:szCs w:val="16"/>
              </w:rPr>
            </w:pPr>
            <w:r>
              <w:rPr>
                <w:rFonts w:ascii="Arial" w:hAnsi="Arial" w:cs="Arial"/>
                <w:color w:val="000000"/>
                <w:sz w:val="16"/>
                <w:szCs w:val="16"/>
              </w:rPr>
              <w:t>P234, P493, P920 &amp; P977</w:t>
            </w:r>
          </w:p>
        </w:tc>
        <w:tc>
          <w:tcPr>
            <w:tcW w:w="709" w:type="dxa"/>
            <w:tcBorders>
              <w:bottom w:val="single" w:sz="4" w:space="0" w:color="auto"/>
            </w:tcBorders>
            <w:shd w:val="clear" w:color="auto" w:fill="auto"/>
            <w:noWrap/>
            <w:vAlign w:val="center"/>
          </w:tcPr>
          <w:p w14:paraId="40EA62C1" w14:textId="3F7CBC81" w:rsidR="00F66AF5" w:rsidRPr="00127CA8" w:rsidRDefault="00F66AF5" w:rsidP="00F66AF5">
            <w:pPr>
              <w:jc w:val="center"/>
              <w:rPr>
                <w:rFonts w:ascii="Arial" w:hAnsi="Arial" w:cs="Arial"/>
                <w:color w:val="000000"/>
                <w:sz w:val="16"/>
                <w:szCs w:val="16"/>
              </w:rPr>
            </w:pPr>
            <w:r w:rsidRPr="00127CA8">
              <w:rPr>
                <w:rFonts w:ascii="Arial" w:hAnsi="Arial" w:cs="Arial"/>
                <w:color w:val="000000"/>
                <w:sz w:val="16"/>
                <w:szCs w:val="16"/>
              </w:rPr>
              <w:t>-</w:t>
            </w:r>
          </w:p>
        </w:tc>
        <w:tc>
          <w:tcPr>
            <w:tcW w:w="708" w:type="dxa"/>
            <w:tcBorders>
              <w:bottom w:val="single" w:sz="4" w:space="0" w:color="auto"/>
            </w:tcBorders>
            <w:shd w:val="clear" w:color="auto" w:fill="auto"/>
            <w:noWrap/>
            <w:vAlign w:val="center"/>
          </w:tcPr>
          <w:p w14:paraId="7ADB4AAB" w14:textId="2F5873CF" w:rsidR="00F66AF5" w:rsidRPr="00127CA8" w:rsidRDefault="00F66AF5" w:rsidP="00F66AF5">
            <w:pPr>
              <w:jc w:val="center"/>
              <w:rPr>
                <w:rFonts w:ascii="Arial" w:hAnsi="Arial" w:cs="Arial"/>
                <w:color w:val="000000"/>
                <w:sz w:val="16"/>
                <w:szCs w:val="16"/>
              </w:rPr>
            </w:pPr>
            <w:r w:rsidRPr="00127CA8">
              <w:rPr>
                <w:rFonts w:ascii="Arial" w:hAnsi="Arial" w:cs="Arial"/>
                <w:color w:val="000000"/>
                <w:sz w:val="16"/>
                <w:szCs w:val="16"/>
              </w:rPr>
              <w:t>-</w:t>
            </w:r>
          </w:p>
        </w:tc>
        <w:tc>
          <w:tcPr>
            <w:tcW w:w="851" w:type="dxa"/>
            <w:tcBorders>
              <w:bottom w:val="single" w:sz="4" w:space="0" w:color="auto"/>
            </w:tcBorders>
            <w:shd w:val="clear" w:color="auto" w:fill="auto"/>
            <w:noWrap/>
            <w:vAlign w:val="center"/>
          </w:tcPr>
          <w:p w14:paraId="49CC8A0A" w14:textId="6F5FA8F5" w:rsidR="00F66AF5" w:rsidRPr="00127CA8" w:rsidRDefault="00F66AF5" w:rsidP="00F66AF5">
            <w:pPr>
              <w:jc w:val="center"/>
              <w:rPr>
                <w:rFonts w:ascii="Arial" w:hAnsi="Arial" w:cs="Arial"/>
                <w:color w:val="000000"/>
                <w:sz w:val="16"/>
                <w:szCs w:val="16"/>
              </w:rPr>
            </w:pPr>
            <w:r w:rsidRPr="00127CA8">
              <w:rPr>
                <w:rFonts w:ascii="Arial" w:hAnsi="Arial" w:cs="Arial"/>
                <w:color w:val="000000"/>
                <w:sz w:val="16"/>
                <w:szCs w:val="16"/>
              </w:rPr>
              <w:t>-</w:t>
            </w:r>
          </w:p>
        </w:tc>
        <w:tc>
          <w:tcPr>
            <w:tcW w:w="992" w:type="dxa"/>
            <w:tcBorders>
              <w:bottom w:val="single" w:sz="4" w:space="0" w:color="auto"/>
            </w:tcBorders>
            <w:shd w:val="clear" w:color="auto" w:fill="auto"/>
            <w:noWrap/>
            <w:vAlign w:val="center"/>
          </w:tcPr>
          <w:p w14:paraId="46D88EA7" w14:textId="43E1BA43" w:rsidR="00F66AF5" w:rsidRPr="00127CA8" w:rsidRDefault="00F66AF5" w:rsidP="00F66AF5">
            <w:pPr>
              <w:jc w:val="center"/>
              <w:rPr>
                <w:rFonts w:ascii="Arial" w:hAnsi="Arial" w:cs="Arial"/>
                <w:color w:val="000000"/>
                <w:sz w:val="16"/>
                <w:szCs w:val="16"/>
              </w:rPr>
            </w:pPr>
            <w:r w:rsidRPr="00127CA8">
              <w:rPr>
                <w:rFonts w:ascii="Arial" w:hAnsi="Arial" w:cs="Arial"/>
                <w:color w:val="000000"/>
                <w:sz w:val="16"/>
                <w:szCs w:val="16"/>
              </w:rPr>
              <w:t>-</w:t>
            </w:r>
          </w:p>
        </w:tc>
        <w:tc>
          <w:tcPr>
            <w:tcW w:w="851" w:type="dxa"/>
            <w:tcBorders>
              <w:bottom w:val="single" w:sz="4" w:space="0" w:color="auto"/>
            </w:tcBorders>
            <w:shd w:val="clear" w:color="auto" w:fill="auto"/>
            <w:noWrap/>
            <w:vAlign w:val="center"/>
          </w:tcPr>
          <w:p w14:paraId="7CE58185" w14:textId="2CF37F92" w:rsidR="00F66AF5" w:rsidRPr="00127CA8" w:rsidRDefault="00127CA8" w:rsidP="00F66AF5">
            <w:pPr>
              <w:jc w:val="center"/>
              <w:rPr>
                <w:rFonts w:ascii="Arial" w:hAnsi="Arial" w:cs="Arial"/>
                <w:color w:val="000000"/>
                <w:sz w:val="16"/>
                <w:szCs w:val="16"/>
              </w:rPr>
            </w:pPr>
            <w:r w:rsidRPr="00127CA8">
              <w:rPr>
                <w:rFonts w:ascii="Arial" w:hAnsi="Arial" w:cs="Arial"/>
                <w:color w:val="000000"/>
                <w:sz w:val="16"/>
                <w:szCs w:val="16"/>
              </w:rPr>
              <w:t>393</w:t>
            </w:r>
          </w:p>
        </w:tc>
        <w:tc>
          <w:tcPr>
            <w:tcW w:w="993" w:type="dxa"/>
            <w:tcBorders>
              <w:bottom w:val="single" w:sz="4" w:space="0" w:color="auto"/>
            </w:tcBorders>
            <w:shd w:val="clear" w:color="auto" w:fill="auto"/>
            <w:noWrap/>
            <w:vAlign w:val="center"/>
          </w:tcPr>
          <w:p w14:paraId="15E960F3" w14:textId="2CCC3A1C" w:rsidR="00F66AF5" w:rsidRPr="00127CA8" w:rsidRDefault="00F66AF5" w:rsidP="00F66AF5">
            <w:pPr>
              <w:jc w:val="center"/>
              <w:rPr>
                <w:rFonts w:ascii="Arial" w:hAnsi="Arial" w:cs="Arial"/>
                <w:color w:val="000000"/>
                <w:sz w:val="16"/>
                <w:szCs w:val="16"/>
              </w:rPr>
            </w:pPr>
            <w:r w:rsidRPr="00127CA8">
              <w:rPr>
                <w:rFonts w:ascii="Arial" w:hAnsi="Arial" w:cs="Arial"/>
                <w:color w:val="000000"/>
                <w:sz w:val="16"/>
                <w:szCs w:val="16"/>
              </w:rPr>
              <w:t>-</w:t>
            </w:r>
          </w:p>
        </w:tc>
        <w:tc>
          <w:tcPr>
            <w:tcW w:w="1558" w:type="dxa"/>
            <w:tcBorders>
              <w:bottom w:val="single" w:sz="4" w:space="0" w:color="auto"/>
            </w:tcBorders>
            <w:shd w:val="clear" w:color="auto" w:fill="auto"/>
            <w:noWrap/>
            <w:vAlign w:val="center"/>
          </w:tcPr>
          <w:p w14:paraId="353909D1" w14:textId="31DE1E63" w:rsidR="00F66AF5" w:rsidRPr="00127CA8" w:rsidRDefault="00F66AF5" w:rsidP="00F66AF5">
            <w:pPr>
              <w:jc w:val="center"/>
              <w:rPr>
                <w:rFonts w:ascii="Arial" w:hAnsi="Arial" w:cs="Arial"/>
                <w:color w:val="000000"/>
                <w:sz w:val="16"/>
                <w:szCs w:val="16"/>
              </w:rPr>
            </w:pPr>
            <w:r w:rsidRPr="00127CA8">
              <w:rPr>
                <w:rFonts w:ascii="Arial" w:hAnsi="Arial" w:cs="Arial"/>
                <w:color w:val="000000"/>
                <w:sz w:val="16"/>
                <w:szCs w:val="16"/>
              </w:rPr>
              <w:t>-</w:t>
            </w:r>
          </w:p>
        </w:tc>
        <w:tc>
          <w:tcPr>
            <w:tcW w:w="851" w:type="dxa"/>
            <w:tcBorders>
              <w:bottom w:val="single" w:sz="4" w:space="0" w:color="auto"/>
            </w:tcBorders>
            <w:shd w:val="clear" w:color="auto" w:fill="auto"/>
            <w:noWrap/>
            <w:vAlign w:val="center"/>
          </w:tcPr>
          <w:p w14:paraId="683A71F6" w14:textId="176383AD" w:rsidR="00F66AF5" w:rsidRPr="00127CA8" w:rsidRDefault="00127CA8" w:rsidP="00F66AF5">
            <w:pPr>
              <w:jc w:val="center"/>
              <w:rPr>
                <w:rFonts w:ascii="Arial" w:hAnsi="Arial" w:cs="Arial"/>
                <w:color w:val="000000"/>
                <w:sz w:val="16"/>
                <w:szCs w:val="16"/>
              </w:rPr>
            </w:pPr>
            <w:r w:rsidRPr="00127CA8">
              <w:rPr>
                <w:rFonts w:ascii="Arial" w:hAnsi="Arial" w:cs="Arial"/>
                <w:color w:val="000000"/>
                <w:sz w:val="16"/>
                <w:szCs w:val="16"/>
              </w:rPr>
              <w:t>39</w:t>
            </w:r>
            <w:r w:rsidR="00F66AF5" w:rsidRPr="00127CA8">
              <w:rPr>
                <w:rFonts w:ascii="Arial" w:hAnsi="Arial" w:cs="Arial"/>
                <w:color w:val="000000"/>
                <w:sz w:val="16"/>
                <w:szCs w:val="16"/>
              </w:rPr>
              <w:t>3</w:t>
            </w:r>
          </w:p>
        </w:tc>
      </w:tr>
      <w:tr w:rsidR="00127CA8" w14:paraId="4183CBC7" w14:textId="77777777" w:rsidTr="00A37566">
        <w:trPr>
          <w:trHeight w:val="178"/>
        </w:trPr>
        <w:tc>
          <w:tcPr>
            <w:tcW w:w="1681" w:type="dxa"/>
            <w:tcBorders>
              <w:bottom w:val="single" w:sz="4" w:space="0" w:color="auto"/>
            </w:tcBorders>
            <w:shd w:val="clear" w:color="auto" w:fill="auto"/>
            <w:noWrap/>
            <w:vAlign w:val="center"/>
          </w:tcPr>
          <w:p w14:paraId="1FF71EAA" w14:textId="5B415952" w:rsidR="00127CA8" w:rsidRDefault="00127CA8" w:rsidP="00127CA8">
            <w:pPr>
              <w:rPr>
                <w:rFonts w:ascii="Arial" w:hAnsi="Arial" w:cs="Arial"/>
                <w:color w:val="000000"/>
                <w:sz w:val="16"/>
                <w:szCs w:val="16"/>
              </w:rPr>
            </w:pPr>
            <w:r>
              <w:rPr>
                <w:rFonts w:ascii="Arial" w:hAnsi="Arial" w:cs="Arial"/>
                <w:color w:val="000000"/>
                <w:sz w:val="16"/>
                <w:szCs w:val="16"/>
              </w:rPr>
              <w:t>Bentley</w:t>
            </w:r>
          </w:p>
        </w:tc>
        <w:tc>
          <w:tcPr>
            <w:tcW w:w="866" w:type="dxa"/>
            <w:tcBorders>
              <w:bottom w:val="single" w:sz="4" w:space="0" w:color="auto"/>
            </w:tcBorders>
            <w:shd w:val="clear" w:color="auto" w:fill="auto"/>
            <w:noWrap/>
            <w:vAlign w:val="center"/>
          </w:tcPr>
          <w:p w14:paraId="666033D3" w14:textId="1247EC96" w:rsidR="00127CA8" w:rsidRDefault="00127CA8" w:rsidP="00127CA8">
            <w:pPr>
              <w:rPr>
                <w:rFonts w:ascii="Arial" w:hAnsi="Arial" w:cs="Arial"/>
                <w:color w:val="000000"/>
                <w:sz w:val="16"/>
                <w:szCs w:val="16"/>
              </w:rPr>
            </w:pPr>
            <w:r>
              <w:rPr>
                <w:rFonts w:ascii="Arial" w:hAnsi="Arial" w:cs="Arial"/>
                <w:color w:val="000000"/>
                <w:sz w:val="16"/>
                <w:szCs w:val="16"/>
              </w:rPr>
              <w:t>P1078</w:t>
            </w:r>
          </w:p>
        </w:tc>
        <w:tc>
          <w:tcPr>
            <w:tcW w:w="709" w:type="dxa"/>
            <w:tcBorders>
              <w:bottom w:val="single" w:sz="4" w:space="0" w:color="auto"/>
            </w:tcBorders>
            <w:shd w:val="clear" w:color="auto" w:fill="auto"/>
            <w:noWrap/>
            <w:vAlign w:val="center"/>
          </w:tcPr>
          <w:p w14:paraId="13B11E37" w14:textId="19190C23" w:rsidR="00127CA8" w:rsidRPr="00127CA8" w:rsidRDefault="00127CA8" w:rsidP="00127CA8">
            <w:pPr>
              <w:jc w:val="center"/>
              <w:rPr>
                <w:rFonts w:ascii="Arial" w:hAnsi="Arial" w:cs="Arial"/>
                <w:color w:val="000000"/>
                <w:sz w:val="16"/>
                <w:szCs w:val="16"/>
              </w:rPr>
            </w:pPr>
            <w:r w:rsidRPr="00127CA8">
              <w:rPr>
                <w:rFonts w:ascii="Arial" w:hAnsi="Arial" w:cs="Arial"/>
                <w:color w:val="000000"/>
                <w:sz w:val="16"/>
                <w:szCs w:val="16"/>
              </w:rPr>
              <w:t>-</w:t>
            </w:r>
          </w:p>
        </w:tc>
        <w:tc>
          <w:tcPr>
            <w:tcW w:w="708" w:type="dxa"/>
            <w:tcBorders>
              <w:bottom w:val="single" w:sz="4" w:space="0" w:color="auto"/>
            </w:tcBorders>
            <w:shd w:val="clear" w:color="auto" w:fill="auto"/>
            <w:noWrap/>
            <w:vAlign w:val="center"/>
          </w:tcPr>
          <w:p w14:paraId="0CE0E16D" w14:textId="70F36B1C" w:rsidR="00127CA8" w:rsidRPr="00127CA8" w:rsidRDefault="00127CA8" w:rsidP="00127CA8">
            <w:pPr>
              <w:jc w:val="center"/>
              <w:rPr>
                <w:rFonts w:ascii="Arial" w:hAnsi="Arial" w:cs="Arial"/>
                <w:color w:val="000000"/>
                <w:sz w:val="16"/>
                <w:szCs w:val="16"/>
              </w:rPr>
            </w:pPr>
            <w:r w:rsidRPr="00127CA8">
              <w:rPr>
                <w:rFonts w:ascii="Arial" w:hAnsi="Arial" w:cs="Arial"/>
                <w:color w:val="000000"/>
                <w:sz w:val="16"/>
                <w:szCs w:val="16"/>
              </w:rPr>
              <w:t>-</w:t>
            </w:r>
          </w:p>
        </w:tc>
        <w:tc>
          <w:tcPr>
            <w:tcW w:w="851" w:type="dxa"/>
            <w:tcBorders>
              <w:bottom w:val="single" w:sz="4" w:space="0" w:color="auto"/>
            </w:tcBorders>
            <w:shd w:val="clear" w:color="auto" w:fill="auto"/>
            <w:noWrap/>
            <w:vAlign w:val="center"/>
          </w:tcPr>
          <w:p w14:paraId="2A34C3FA" w14:textId="45610D8E" w:rsidR="00127CA8" w:rsidRPr="00127CA8" w:rsidRDefault="00127CA8" w:rsidP="00127CA8">
            <w:pPr>
              <w:jc w:val="center"/>
              <w:rPr>
                <w:rFonts w:ascii="Arial" w:hAnsi="Arial" w:cs="Arial"/>
                <w:color w:val="000000"/>
                <w:sz w:val="16"/>
                <w:szCs w:val="16"/>
              </w:rPr>
            </w:pPr>
            <w:r w:rsidRPr="00127CA8">
              <w:rPr>
                <w:rFonts w:ascii="Arial" w:hAnsi="Arial" w:cs="Arial"/>
                <w:color w:val="000000"/>
                <w:sz w:val="16"/>
                <w:szCs w:val="16"/>
              </w:rPr>
              <w:t>-</w:t>
            </w:r>
          </w:p>
        </w:tc>
        <w:tc>
          <w:tcPr>
            <w:tcW w:w="992" w:type="dxa"/>
            <w:tcBorders>
              <w:bottom w:val="single" w:sz="4" w:space="0" w:color="auto"/>
            </w:tcBorders>
            <w:shd w:val="clear" w:color="auto" w:fill="auto"/>
            <w:noWrap/>
            <w:vAlign w:val="center"/>
          </w:tcPr>
          <w:p w14:paraId="454F1C32" w14:textId="3751C825" w:rsidR="00127CA8" w:rsidRPr="00127CA8" w:rsidRDefault="00127CA8" w:rsidP="00127CA8">
            <w:pPr>
              <w:jc w:val="center"/>
              <w:rPr>
                <w:rFonts w:ascii="Arial" w:hAnsi="Arial" w:cs="Arial"/>
                <w:color w:val="000000"/>
                <w:sz w:val="16"/>
                <w:szCs w:val="16"/>
              </w:rPr>
            </w:pPr>
            <w:r w:rsidRPr="00127CA8">
              <w:rPr>
                <w:rFonts w:ascii="Arial" w:hAnsi="Arial" w:cs="Arial"/>
                <w:color w:val="000000"/>
                <w:sz w:val="16"/>
                <w:szCs w:val="16"/>
              </w:rPr>
              <w:t>-</w:t>
            </w:r>
          </w:p>
        </w:tc>
        <w:tc>
          <w:tcPr>
            <w:tcW w:w="851" w:type="dxa"/>
            <w:tcBorders>
              <w:bottom w:val="single" w:sz="4" w:space="0" w:color="auto"/>
            </w:tcBorders>
            <w:shd w:val="clear" w:color="auto" w:fill="auto"/>
            <w:noWrap/>
            <w:vAlign w:val="center"/>
          </w:tcPr>
          <w:p w14:paraId="06F983DB" w14:textId="522972BE" w:rsidR="00127CA8" w:rsidRPr="00127CA8" w:rsidRDefault="00127CA8" w:rsidP="00127CA8">
            <w:pPr>
              <w:jc w:val="center"/>
              <w:rPr>
                <w:rFonts w:ascii="Arial" w:hAnsi="Arial" w:cs="Arial"/>
                <w:color w:val="000000"/>
                <w:sz w:val="16"/>
                <w:szCs w:val="16"/>
              </w:rPr>
            </w:pPr>
            <w:r>
              <w:rPr>
                <w:rFonts w:ascii="Arial" w:hAnsi="Arial" w:cs="Arial"/>
                <w:color w:val="000000"/>
                <w:sz w:val="16"/>
                <w:szCs w:val="16"/>
              </w:rPr>
              <w:t>1,614</w:t>
            </w:r>
          </w:p>
        </w:tc>
        <w:tc>
          <w:tcPr>
            <w:tcW w:w="993" w:type="dxa"/>
            <w:tcBorders>
              <w:bottom w:val="single" w:sz="4" w:space="0" w:color="auto"/>
            </w:tcBorders>
            <w:shd w:val="clear" w:color="auto" w:fill="auto"/>
            <w:noWrap/>
            <w:vAlign w:val="center"/>
          </w:tcPr>
          <w:p w14:paraId="2D442C4C" w14:textId="3E7A2AB1" w:rsidR="00127CA8" w:rsidRPr="00127CA8" w:rsidRDefault="00127CA8" w:rsidP="00127CA8">
            <w:pPr>
              <w:jc w:val="center"/>
              <w:rPr>
                <w:rFonts w:ascii="Arial" w:hAnsi="Arial" w:cs="Arial"/>
                <w:color w:val="000000"/>
                <w:sz w:val="16"/>
                <w:szCs w:val="16"/>
              </w:rPr>
            </w:pPr>
            <w:r>
              <w:rPr>
                <w:rFonts w:ascii="Arial" w:hAnsi="Arial" w:cs="Arial"/>
                <w:color w:val="000000"/>
                <w:sz w:val="16"/>
                <w:szCs w:val="16"/>
              </w:rPr>
              <w:t>-</w:t>
            </w:r>
          </w:p>
        </w:tc>
        <w:tc>
          <w:tcPr>
            <w:tcW w:w="1558" w:type="dxa"/>
            <w:tcBorders>
              <w:bottom w:val="single" w:sz="4" w:space="0" w:color="auto"/>
            </w:tcBorders>
            <w:shd w:val="clear" w:color="auto" w:fill="auto"/>
            <w:noWrap/>
            <w:vAlign w:val="center"/>
          </w:tcPr>
          <w:p w14:paraId="2B641AE1" w14:textId="6FC49F24" w:rsidR="00127CA8" w:rsidRPr="00127CA8" w:rsidRDefault="00127CA8" w:rsidP="00127CA8">
            <w:pPr>
              <w:jc w:val="center"/>
              <w:rPr>
                <w:rFonts w:ascii="Arial" w:hAnsi="Arial" w:cs="Arial"/>
                <w:color w:val="000000"/>
                <w:sz w:val="16"/>
                <w:szCs w:val="16"/>
              </w:rPr>
            </w:pPr>
            <w:r>
              <w:rPr>
                <w:rFonts w:ascii="Arial" w:hAnsi="Arial" w:cs="Arial"/>
                <w:color w:val="000000"/>
                <w:sz w:val="16"/>
                <w:szCs w:val="16"/>
              </w:rPr>
              <w:t>-</w:t>
            </w:r>
          </w:p>
        </w:tc>
        <w:tc>
          <w:tcPr>
            <w:tcW w:w="851" w:type="dxa"/>
            <w:tcBorders>
              <w:bottom w:val="single" w:sz="4" w:space="0" w:color="auto"/>
            </w:tcBorders>
            <w:shd w:val="clear" w:color="auto" w:fill="auto"/>
            <w:noWrap/>
            <w:vAlign w:val="center"/>
          </w:tcPr>
          <w:p w14:paraId="3A67F737" w14:textId="2A04F4A6" w:rsidR="00127CA8" w:rsidRPr="00127CA8" w:rsidRDefault="005A34AB" w:rsidP="00127CA8">
            <w:pPr>
              <w:jc w:val="center"/>
              <w:rPr>
                <w:rFonts w:ascii="Arial" w:hAnsi="Arial" w:cs="Arial"/>
                <w:color w:val="000000"/>
                <w:sz w:val="16"/>
                <w:szCs w:val="16"/>
              </w:rPr>
            </w:pPr>
            <w:r>
              <w:rPr>
                <w:rFonts w:ascii="Arial" w:hAnsi="Arial" w:cs="Arial"/>
                <w:color w:val="000000"/>
                <w:sz w:val="16"/>
                <w:szCs w:val="16"/>
              </w:rPr>
              <w:t xml:space="preserve"> </w:t>
            </w:r>
            <w:r w:rsidR="00127CA8">
              <w:rPr>
                <w:rFonts w:ascii="Arial" w:hAnsi="Arial" w:cs="Arial"/>
                <w:color w:val="000000"/>
                <w:sz w:val="16"/>
                <w:szCs w:val="16"/>
              </w:rPr>
              <w:t>1,614</w:t>
            </w:r>
          </w:p>
        </w:tc>
      </w:tr>
      <w:tr w:rsidR="00127CA8" w14:paraId="37FE1A27" w14:textId="77777777" w:rsidTr="00A37566">
        <w:trPr>
          <w:trHeight w:val="178"/>
        </w:trPr>
        <w:tc>
          <w:tcPr>
            <w:tcW w:w="1681" w:type="dxa"/>
            <w:tcBorders>
              <w:bottom w:val="single" w:sz="4" w:space="0" w:color="auto"/>
            </w:tcBorders>
            <w:shd w:val="clear" w:color="auto" w:fill="auto"/>
            <w:noWrap/>
            <w:vAlign w:val="center"/>
            <w:hideMark/>
          </w:tcPr>
          <w:p w14:paraId="595F19B0" w14:textId="77777777" w:rsidR="00127CA8" w:rsidRPr="008F658C" w:rsidRDefault="00127CA8" w:rsidP="00127CA8">
            <w:pPr>
              <w:rPr>
                <w:rFonts w:ascii="Arial" w:hAnsi="Arial" w:cs="Arial"/>
                <w:color w:val="000000"/>
                <w:sz w:val="16"/>
                <w:szCs w:val="16"/>
              </w:rPr>
            </w:pPr>
            <w:r w:rsidRPr="008F658C">
              <w:rPr>
                <w:rFonts w:ascii="Arial" w:hAnsi="Arial" w:cs="Arial"/>
                <w:color w:val="000000"/>
                <w:sz w:val="16"/>
                <w:szCs w:val="16"/>
              </w:rPr>
              <w:t>Corporate</w:t>
            </w:r>
          </w:p>
        </w:tc>
        <w:tc>
          <w:tcPr>
            <w:tcW w:w="866" w:type="dxa"/>
            <w:tcBorders>
              <w:bottom w:val="single" w:sz="4" w:space="0" w:color="auto"/>
            </w:tcBorders>
            <w:shd w:val="clear" w:color="auto" w:fill="auto"/>
            <w:noWrap/>
            <w:vAlign w:val="center"/>
            <w:hideMark/>
          </w:tcPr>
          <w:p w14:paraId="306947BC" w14:textId="77777777" w:rsidR="00127CA8" w:rsidRPr="008F658C" w:rsidRDefault="00127CA8" w:rsidP="00127CA8">
            <w:pPr>
              <w:rPr>
                <w:rFonts w:ascii="Arial" w:hAnsi="Arial" w:cs="Arial"/>
                <w:color w:val="000000"/>
                <w:sz w:val="16"/>
                <w:szCs w:val="16"/>
              </w:rPr>
            </w:pPr>
          </w:p>
        </w:tc>
        <w:tc>
          <w:tcPr>
            <w:tcW w:w="709" w:type="dxa"/>
            <w:tcBorders>
              <w:bottom w:val="single" w:sz="4" w:space="0" w:color="auto"/>
            </w:tcBorders>
            <w:shd w:val="clear" w:color="auto" w:fill="auto"/>
            <w:noWrap/>
            <w:vAlign w:val="center"/>
          </w:tcPr>
          <w:p w14:paraId="51F1C61F" w14:textId="73082939" w:rsidR="00127CA8" w:rsidRPr="00127CA8" w:rsidRDefault="00127CA8" w:rsidP="00127CA8">
            <w:pPr>
              <w:jc w:val="center"/>
              <w:rPr>
                <w:rFonts w:ascii="Arial" w:hAnsi="Arial" w:cs="Arial"/>
                <w:color w:val="000000"/>
                <w:sz w:val="16"/>
                <w:szCs w:val="16"/>
              </w:rPr>
            </w:pPr>
            <w:r w:rsidRPr="00127CA8">
              <w:rPr>
                <w:rFonts w:ascii="Arial" w:hAnsi="Arial" w:cs="Arial"/>
                <w:color w:val="000000"/>
                <w:sz w:val="16"/>
                <w:szCs w:val="16"/>
              </w:rPr>
              <w:t>-</w:t>
            </w:r>
          </w:p>
        </w:tc>
        <w:tc>
          <w:tcPr>
            <w:tcW w:w="708" w:type="dxa"/>
            <w:tcBorders>
              <w:bottom w:val="single" w:sz="4" w:space="0" w:color="auto"/>
            </w:tcBorders>
            <w:shd w:val="clear" w:color="auto" w:fill="auto"/>
            <w:noWrap/>
            <w:vAlign w:val="center"/>
          </w:tcPr>
          <w:p w14:paraId="434A7066" w14:textId="755232C1" w:rsidR="00127CA8" w:rsidRPr="00127CA8" w:rsidRDefault="00127CA8" w:rsidP="00127CA8">
            <w:pPr>
              <w:jc w:val="center"/>
              <w:rPr>
                <w:rFonts w:ascii="Arial" w:hAnsi="Arial" w:cs="Arial"/>
                <w:color w:val="000000"/>
                <w:sz w:val="16"/>
                <w:szCs w:val="16"/>
              </w:rPr>
            </w:pPr>
            <w:r w:rsidRPr="00127CA8">
              <w:rPr>
                <w:rFonts w:ascii="Arial" w:hAnsi="Arial" w:cs="Arial"/>
                <w:color w:val="000000"/>
                <w:sz w:val="16"/>
                <w:szCs w:val="16"/>
              </w:rPr>
              <w:t>-</w:t>
            </w:r>
          </w:p>
        </w:tc>
        <w:tc>
          <w:tcPr>
            <w:tcW w:w="851" w:type="dxa"/>
            <w:tcBorders>
              <w:bottom w:val="single" w:sz="4" w:space="0" w:color="auto"/>
            </w:tcBorders>
            <w:shd w:val="clear" w:color="auto" w:fill="auto"/>
            <w:noWrap/>
            <w:vAlign w:val="center"/>
          </w:tcPr>
          <w:p w14:paraId="19C6CA6E" w14:textId="573E4AAC" w:rsidR="00127CA8" w:rsidRPr="00127CA8" w:rsidRDefault="00127CA8" w:rsidP="00127CA8">
            <w:pPr>
              <w:jc w:val="center"/>
              <w:rPr>
                <w:rFonts w:ascii="Arial" w:hAnsi="Arial" w:cs="Arial"/>
                <w:color w:val="000000"/>
                <w:sz w:val="16"/>
                <w:szCs w:val="16"/>
              </w:rPr>
            </w:pPr>
            <w:r w:rsidRPr="00127CA8">
              <w:rPr>
                <w:rFonts w:ascii="Arial" w:hAnsi="Arial" w:cs="Arial"/>
                <w:color w:val="000000"/>
                <w:sz w:val="16"/>
                <w:szCs w:val="16"/>
              </w:rPr>
              <w:t>3</w:t>
            </w:r>
            <w:r w:rsidR="009C11A9">
              <w:rPr>
                <w:rFonts w:ascii="Arial" w:hAnsi="Arial" w:cs="Arial"/>
                <w:color w:val="000000"/>
                <w:sz w:val="16"/>
                <w:szCs w:val="16"/>
              </w:rPr>
              <w:t>5,231</w:t>
            </w:r>
          </w:p>
        </w:tc>
        <w:tc>
          <w:tcPr>
            <w:tcW w:w="992" w:type="dxa"/>
            <w:tcBorders>
              <w:bottom w:val="single" w:sz="4" w:space="0" w:color="auto"/>
            </w:tcBorders>
            <w:shd w:val="clear" w:color="auto" w:fill="auto"/>
            <w:noWrap/>
            <w:vAlign w:val="center"/>
          </w:tcPr>
          <w:p w14:paraId="7A509B79" w14:textId="57039E6B" w:rsidR="00127CA8" w:rsidRPr="005A34AB" w:rsidRDefault="00127CA8" w:rsidP="00127CA8">
            <w:pPr>
              <w:jc w:val="center"/>
              <w:rPr>
                <w:rFonts w:ascii="Arial" w:hAnsi="Arial" w:cs="Arial"/>
                <w:color w:val="000000"/>
                <w:sz w:val="16"/>
                <w:szCs w:val="16"/>
              </w:rPr>
            </w:pPr>
            <w:r w:rsidRPr="005A34AB">
              <w:rPr>
                <w:rFonts w:ascii="Arial" w:hAnsi="Arial" w:cs="Arial"/>
                <w:color w:val="000000"/>
                <w:sz w:val="16"/>
                <w:szCs w:val="16"/>
              </w:rPr>
              <w:t>-</w:t>
            </w:r>
          </w:p>
        </w:tc>
        <w:tc>
          <w:tcPr>
            <w:tcW w:w="851" w:type="dxa"/>
            <w:tcBorders>
              <w:bottom w:val="single" w:sz="4" w:space="0" w:color="auto"/>
            </w:tcBorders>
            <w:shd w:val="clear" w:color="auto" w:fill="auto"/>
            <w:noWrap/>
            <w:vAlign w:val="center"/>
          </w:tcPr>
          <w:p w14:paraId="01697609" w14:textId="5800376E" w:rsidR="00127CA8" w:rsidRPr="005A34AB" w:rsidRDefault="005A34AB" w:rsidP="00127CA8">
            <w:pPr>
              <w:jc w:val="center"/>
              <w:rPr>
                <w:rFonts w:ascii="Arial" w:hAnsi="Arial" w:cs="Arial"/>
                <w:color w:val="000000"/>
                <w:sz w:val="16"/>
                <w:szCs w:val="16"/>
              </w:rPr>
            </w:pPr>
            <w:r w:rsidRPr="005A34AB">
              <w:rPr>
                <w:rFonts w:ascii="Arial" w:hAnsi="Arial" w:cs="Arial"/>
                <w:color w:val="000000"/>
                <w:sz w:val="16"/>
                <w:szCs w:val="16"/>
              </w:rPr>
              <w:t xml:space="preserve">   </w:t>
            </w:r>
            <w:r w:rsidR="00AF2462">
              <w:rPr>
                <w:rFonts w:ascii="Arial" w:hAnsi="Arial" w:cs="Arial"/>
                <w:color w:val="000000"/>
                <w:sz w:val="16"/>
                <w:szCs w:val="16"/>
              </w:rPr>
              <w:t>333</w:t>
            </w:r>
          </w:p>
        </w:tc>
        <w:tc>
          <w:tcPr>
            <w:tcW w:w="993" w:type="dxa"/>
            <w:tcBorders>
              <w:bottom w:val="single" w:sz="4" w:space="0" w:color="auto"/>
            </w:tcBorders>
            <w:shd w:val="clear" w:color="auto" w:fill="auto"/>
            <w:noWrap/>
            <w:vAlign w:val="center"/>
          </w:tcPr>
          <w:p w14:paraId="04A18DF7" w14:textId="5F9DF0C2" w:rsidR="00127CA8" w:rsidRPr="005A34AB" w:rsidRDefault="00127CA8" w:rsidP="00127CA8">
            <w:pPr>
              <w:jc w:val="center"/>
              <w:rPr>
                <w:rFonts w:ascii="Arial" w:hAnsi="Arial" w:cs="Arial"/>
                <w:color w:val="000000"/>
                <w:sz w:val="16"/>
                <w:szCs w:val="16"/>
              </w:rPr>
            </w:pPr>
            <w:r w:rsidRPr="005A34AB">
              <w:rPr>
                <w:rFonts w:ascii="Arial" w:hAnsi="Arial" w:cs="Arial"/>
                <w:color w:val="000000"/>
                <w:sz w:val="16"/>
                <w:szCs w:val="16"/>
              </w:rPr>
              <w:t>-</w:t>
            </w:r>
          </w:p>
        </w:tc>
        <w:tc>
          <w:tcPr>
            <w:tcW w:w="1558" w:type="dxa"/>
            <w:tcBorders>
              <w:bottom w:val="single" w:sz="4" w:space="0" w:color="auto"/>
            </w:tcBorders>
            <w:shd w:val="clear" w:color="auto" w:fill="auto"/>
            <w:noWrap/>
            <w:vAlign w:val="center"/>
          </w:tcPr>
          <w:p w14:paraId="44CFE20B" w14:textId="3EF5A78C" w:rsidR="00127CA8" w:rsidRPr="005A34AB" w:rsidRDefault="00127CA8" w:rsidP="00127CA8">
            <w:pPr>
              <w:jc w:val="center"/>
              <w:rPr>
                <w:rFonts w:ascii="Arial" w:hAnsi="Arial" w:cs="Arial"/>
                <w:color w:val="000000"/>
                <w:sz w:val="16"/>
                <w:szCs w:val="16"/>
              </w:rPr>
            </w:pPr>
            <w:r w:rsidRPr="005A34AB">
              <w:rPr>
                <w:rFonts w:ascii="Arial" w:hAnsi="Arial" w:cs="Arial"/>
                <w:color w:val="000000"/>
                <w:sz w:val="16"/>
                <w:szCs w:val="16"/>
              </w:rPr>
              <w:t>-</w:t>
            </w:r>
          </w:p>
        </w:tc>
        <w:tc>
          <w:tcPr>
            <w:tcW w:w="851" w:type="dxa"/>
            <w:tcBorders>
              <w:bottom w:val="single" w:sz="4" w:space="0" w:color="auto"/>
            </w:tcBorders>
            <w:shd w:val="clear" w:color="auto" w:fill="auto"/>
            <w:noWrap/>
          </w:tcPr>
          <w:p w14:paraId="761FAB5E" w14:textId="1B5B60E9" w:rsidR="00127CA8" w:rsidRPr="005A34AB" w:rsidRDefault="005A34AB" w:rsidP="00127CA8">
            <w:pPr>
              <w:rPr>
                <w:rFonts w:ascii="Arial" w:hAnsi="Arial" w:cs="Arial"/>
                <w:color w:val="000000"/>
                <w:sz w:val="16"/>
                <w:szCs w:val="16"/>
              </w:rPr>
            </w:pPr>
            <w:r w:rsidRPr="005A34AB">
              <w:rPr>
                <w:rFonts w:ascii="Arial" w:hAnsi="Arial" w:cs="Arial"/>
                <w:color w:val="000000"/>
                <w:sz w:val="16"/>
                <w:szCs w:val="16"/>
              </w:rPr>
              <w:t xml:space="preserve"> </w:t>
            </w:r>
            <w:r w:rsidR="009C11A9">
              <w:rPr>
                <w:rFonts w:ascii="Arial" w:hAnsi="Arial" w:cs="Arial"/>
                <w:color w:val="000000"/>
                <w:sz w:val="16"/>
                <w:szCs w:val="16"/>
              </w:rPr>
              <w:t>35,</w:t>
            </w:r>
            <w:r w:rsidR="00AF2462">
              <w:rPr>
                <w:rFonts w:ascii="Arial" w:hAnsi="Arial" w:cs="Arial"/>
                <w:color w:val="000000"/>
                <w:sz w:val="16"/>
                <w:szCs w:val="16"/>
              </w:rPr>
              <w:t>564</w:t>
            </w:r>
            <w:r w:rsidR="00127CA8" w:rsidRPr="005A34AB">
              <w:rPr>
                <w:rFonts w:ascii="Arial" w:hAnsi="Arial" w:cs="Arial"/>
                <w:color w:val="000000"/>
                <w:sz w:val="16"/>
                <w:szCs w:val="16"/>
              </w:rPr>
              <w:t xml:space="preserve"> </w:t>
            </w:r>
          </w:p>
        </w:tc>
      </w:tr>
      <w:tr w:rsidR="00127CA8" w14:paraId="5D9CE636" w14:textId="77777777" w:rsidTr="00A37566">
        <w:trPr>
          <w:trHeight w:val="222"/>
        </w:trPr>
        <w:tc>
          <w:tcPr>
            <w:tcW w:w="2547" w:type="dxa"/>
            <w:gridSpan w:val="2"/>
            <w:tcBorders>
              <w:bottom w:val="single" w:sz="4" w:space="0" w:color="auto"/>
            </w:tcBorders>
            <w:shd w:val="clear" w:color="auto" w:fill="auto"/>
            <w:noWrap/>
            <w:vAlign w:val="center"/>
            <w:hideMark/>
          </w:tcPr>
          <w:p w14:paraId="2C1DBC3B" w14:textId="79A2C5B9" w:rsidR="00127CA8" w:rsidRPr="008F658C" w:rsidRDefault="00127CA8" w:rsidP="00127CA8">
            <w:pPr>
              <w:rPr>
                <w:rFonts w:ascii="Arial" w:hAnsi="Arial" w:cs="Arial"/>
                <w:b/>
                <w:bCs/>
                <w:i/>
                <w:iCs/>
                <w:color w:val="000000"/>
                <w:sz w:val="16"/>
                <w:szCs w:val="16"/>
              </w:rPr>
            </w:pPr>
            <w:r w:rsidRPr="008F658C">
              <w:rPr>
                <w:rFonts w:ascii="Arial" w:hAnsi="Arial" w:cs="Arial"/>
                <w:b/>
                <w:bCs/>
                <w:i/>
                <w:iCs/>
                <w:color w:val="000000"/>
                <w:sz w:val="16"/>
                <w:szCs w:val="16"/>
              </w:rPr>
              <w:t>Total United Kingdom </w:t>
            </w:r>
          </w:p>
        </w:tc>
        <w:tc>
          <w:tcPr>
            <w:tcW w:w="709" w:type="dxa"/>
            <w:tcBorders>
              <w:bottom w:val="single" w:sz="4" w:space="0" w:color="auto"/>
            </w:tcBorders>
            <w:shd w:val="clear" w:color="auto" w:fill="auto"/>
            <w:noWrap/>
            <w:vAlign w:val="center"/>
          </w:tcPr>
          <w:p w14:paraId="0BCADCC2" w14:textId="0F35740D" w:rsidR="00127CA8" w:rsidRPr="00127CA8" w:rsidRDefault="00127CA8" w:rsidP="00127CA8">
            <w:pPr>
              <w:jc w:val="center"/>
              <w:rPr>
                <w:rFonts w:ascii="Arial" w:hAnsi="Arial" w:cs="Arial"/>
                <w:b/>
                <w:i/>
                <w:color w:val="000000"/>
                <w:sz w:val="16"/>
                <w:szCs w:val="16"/>
              </w:rPr>
            </w:pPr>
            <w:r w:rsidRPr="00127CA8">
              <w:rPr>
                <w:rFonts w:ascii="Arial" w:hAnsi="Arial" w:cs="Arial"/>
                <w:b/>
                <w:color w:val="000000"/>
                <w:sz w:val="16"/>
                <w:szCs w:val="16"/>
              </w:rPr>
              <w:t>-</w:t>
            </w:r>
          </w:p>
        </w:tc>
        <w:tc>
          <w:tcPr>
            <w:tcW w:w="708" w:type="dxa"/>
            <w:tcBorders>
              <w:bottom w:val="single" w:sz="4" w:space="0" w:color="auto"/>
            </w:tcBorders>
            <w:shd w:val="clear" w:color="auto" w:fill="auto"/>
            <w:noWrap/>
            <w:vAlign w:val="center"/>
          </w:tcPr>
          <w:p w14:paraId="0083B03C" w14:textId="4993186B" w:rsidR="00127CA8" w:rsidRPr="00127CA8" w:rsidRDefault="00127CA8" w:rsidP="00127CA8">
            <w:pPr>
              <w:jc w:val="center"/>
              <w:rPr>
                <w:rFonts w:ascii="Arial" w:hAnsi="Arial" w:cs="Arial"/>
                <w:b/>
                <w:i/>
                <w:color w:val="000000"/>
                <w:sz w:val="16"/>
                <w:szCs w:val="16"/>
              </w:rPr>
            </w:pPr>
            <w:r w:rsidRPr="00127CA8">
              <w:rPr>
                <w:rFonts w:ascii="Arial" w:hAnsi="Arial" w:cs="Arial"/>
                <w:b/>
                <w:color w:val="000000"/>
                <w:sz w:val="16"/>
                <w:szCs w:val="16"/>
              </w:rPr>
              <w:t>-</w:t>
            </w:r>
          </w:p>
        </w:tc>
        <w:tc>
          <w:tcPr>
            <w:tcW w:w="851" w:type="dxa"/>
            <w:tcBorders>
              <w:bottom w:val="single" w:sz="4" w:space="0" w:color="auto"/>
            </w:tcBorders>
            <w:shd w:val="clear" w:color="auto" w:fill="auto"/>
            <w:noWrap/>
            <w:vAlign w:val="center"/>
          </w:tcPr>
          <w:p w14:paraId="570C9249" w14:textId="6205B79D" w:rsidR="00127CA8" w:rsidRPr="00127CA8" w:rsidRDefault="00127CA8" w:rsidP="00127CA8">
            <w:pPr>
              <w:jc w:val="center"/>
              <w:rPr>
                <w:rFonts w:ascii="Arial" w:hAnsi="Arial" w:cs="Arial"/>
                <w:b/>
                <w:i/>
                <w:color w:val="000000"/>
                <w:sz w:val="16"/>
                <w:szCs w:val="16"/>
              </w:rPr>
            </w:pPr>
            <w:r w:rsidRPr="00127CA8">
              <w:rPr>
                <w:rFonts w:ascii="Arial" w:hAnsi="Arial" w:cs="Arial"/>
                <w:b/>
                <w:i/>
                <w:color w:val="000000"/>
                <w:sz w:val="16"/>
                <w:szCs w:val="16"/>
              </w:rPr>
              <w:t>3</w:t>
            </w:r>
            <w:r w:rsidR="009C11A9">
              <w:rPr>
                <w:rFonts w:ascii="Arial" w:hAnsi="Arial" w:cs="Arial"/>
                <w:b/>
                <w:i/>
                <w:color w:val="000000"/>
                <w:sz w:val="16"/>
                <w:szCs w:val="16"/>
              </w:rPr>
              <w:t>5,231</w:t>
            </w:r>
          </w:p>
        </w:tc>
        <w:tc>
          <w:tcPr>
            <w:tcW w:w="992" w:type="dxa"/>
            <w:tcBorders>
              <w:bottom w:val="single" w:sz="4" w:space="0" w:color="auto"/>
            </w:tcBorders>
            <w:shd w:val="clear" w:color="auto" w:fill="auto"/>
            <w:noWrap/>
            <w:vAlign w:val="center"/>
          </w:tcPr>
          <w:p w14:paraId="1854E5F8" w14:textId="40E14962" w:rsidR="00127CA8" w:rsidRPr="005A34AB" w:rsidRDefault="00127CA8" w:rsidP="00127CA8">
            <w:pPr>
              <w:jc w:val="center"/>
              <w:rPr>
                <w:rFonts w:ascii="Arial" w:hAnsi="Arial" w:cs="Arial"/>
                <w:b/>
                <w:i/>
                <w:color w:val="000000"/>
                <w:sz w:val="16"/>
                <w:szCs w:val="16"/>
              </w:rPr>
            </w:pPr>
            <w:r w:rsidRPr="005A34AB">
              <w:rPr>
                <w:rFonts w:ascii="Arial" w:hAnsi="Arial" w:cs="Arial"/>
                <w:b/>
                <w:i/>
                <w:color w:val="000000"/>
                <w:sz w:val="16"/>
                <w:szCs w:val="16"/>
              </w:rPr>
              <w:t>-</w:t>
            </w:r>
          </w:p>
        </w:tc>
        <w:tc>
          <w:tcPr>
            <w:tcW w:w="851" w:type="dxa"/>
            <w:tcBorders>
              <w:bottom w:val="single" w:sz="4" w:space="0" w:color="auto"/>
            </w:tcBorders>
            <w:shd w:val="clear" w:color="auto" w:fill="auto"/>
            <w:noWrap/>
            <w:vAlign w:val="center"/>
          </w:tcPr>
          <w:p w14:paraId="0C072C2B" w14:textId="0F00D458" w:rsidR="00127CA8" w:rsidRPr="005A34AB" w:rsidRDefault="00127CA8" w:rsidP="00127CA8">
            <w:pPr>
              <w:jc w:val="center"/>
              <w:rPr>
                <w:rFonts w:ascii="Arial" w:hAnsi="Arial" w:cs="Arial"/>
                <w:b/>
                <w:i/>
                <w:color w:val="000000"/>
                <w:sz w:val="16"/>
                <w:szCs w:val="16"/>
              </w:rPr>
            </w:pPr>
            <w:r w:rsidRPr="005A34AB">
              <w:rPr>
                <w:rFonts w:ascii="Arial" w:hAnsi="Arial" w:cs="Arial"/>
                <w:b/>
                <w:i/>
                <w:color w:val="000000"/>
                <w:sz w:val="16"/>
                <w:szCs w:val="16"/>
              </w:rPr>
              <w:t>3,</w:t>
            </w:r>
            <w:r w:rsidR="005A34AB" w:rsidRPr="005A34AB">
              <w:rPr>
                <w:rFonts w:ascii="Arial" w:hAnsi="Arial" w:cs="Arial"/>
                <w:b/>
                <w:i/>
                <w:color w:val="000000"/>
                <w:sz w:val="16"/>
                <w:szCs w:val="16"/>
              </w:rPr>
              <w:t>990</w:t>
            </w:r>
          </w:p>
        </w:tc>
        <w:tc>
          <w:tcPr>
            <w:tcW w:w="993" w:type="dxa"/>
            <w:tcBorders>
              <w:bottom w:val="single" w:sz="4" w:space="0" w:color="auto"/>
            </w:tcBorders>
            <w:shd w:val="clear" w:color="auto" w:fill="auto"/>
            <w:noWrap/>
            <w:vAlign w:val="center"/>
          </w:tcPr>
          <w:p w14:paraId="5CB42A51" w14:textId="492A3411" w:rsidR="00127CA8" w:rsidRPr="005A34AB" w:rsidRDefault="00127CA8" w:rsidP="00127CA8">
            <w:pPr>
              <w:jc w:val="center"/>
              <w:rPr>
                <w:rFonts w:ascii="Arial" w:hAnsi="Arial" w:cs="Arial"/>
                <w:b/>
                <w:i/>
                <w:color w:val="000000"/>
                <w:sz w:val="16"/>
                <w:szCs w:val="16"/>
              </w:rPr>
            </w:pPr>
            <w:r w:rsidRPr="005A34AB">
              <w:rPr>
                <w:rFonts w:ascii="Arial" w:hAnsi="Arial" w:cs="Arial"/>
                <w:b/>
                <w:i/>
                <w:color w:val="000000"/>
                <w:sz w:val="16"/>
                <w:szCs w:val="16"/>
              </w:rPr>
              <w:t>-</w:t>
            </w:r>
          </w:p>
        </w:tc>
        <w:tc>
          <w:tcPr>
            <w:tcW w:w="1558" w:type="dxa"/>
            <w:tcBorders>
              <w:bottom w:val="single" w:sz="4" w:space="0" w:color="auto"/>
            </w:tcBorders>
            <w:shd w:val="clear" w:color="auto" w:fill="auto"/>
            <w:noWrap/>
            <w:vAlign w:val="center"/>
          </w:tcPr>
          <w:p w14:paraId="06C8548C" w14:textId="71298AC9" w:rsidR="00127CA8" w:rsidRPr="005A34AB" w:rsidRDefault="00127CA8" w:rsidP="00127CA8">
            <w:pPr>
              <w:jc w:val="center"/>
              <w:rPr>
                <w:rFonts w:ascii="Arial" w:hAnsi="Arial" w:cs="Arial"/>
                <w:b/>
                <w:i/>
                <w:color w:val="000000"/>
                <w:sz w:val="16"/>
                <w:szCs w:val="16"/>
              </w:rPr>
            </w:pPr>
            <w:r w:rsidRPr="005A34AB">
              <w:rPr>
                <w:rFonts w:ascii="Arial" w:hAnsi="Arial" w:cs="Arial"/>
                <w:b/>
                <w:i/>
                <w:color w:val="000000"/>
                <w:sz w:val="16"/>
                <w:szCs w:val="16"/>
              </w:rPr>
              <w:t>-</w:t>
            </w:r>
          </w:p>
        </w:tc>
        <w:tc>
          <w:tcPr>
            <w:tcW w:w="851" w:type="dxa"/>
            <w:tcBorders>
              <w:bottom w:val="single" w:sz="4" w:space="0" w:color="auto"/>
            </w:tcBorders>
            <w:shd w:val="clear" w:color="auto" w:fill="auto"/>
            <w:noWrap/>
            <w:vAlign w:val="center"/>
          </w:tcPr>
          <w:p w14:paraId="4E6040A5" w14:textId="72BDBE08" w:rsidR="00127CA8" w:rsidRPr="005A34AB" w:rsidRDefault="009C11A9" w:rsidP="00127CA8">
            <w:pPr>
              <w:jc w:val="center"/>
              <w:rPr>
                <w:rFonts w:ascii="Arial" w:hAnsi="Arial" w:cs="Arial"/>
                <w:b/>
                <w:i/>
                <w:color w:val="000000"/>
                <w:sz w:val="16"/>
                <w:szCs w:val="16"/>
              </w:rPr>
            </w:pPr>
            <w:r>
              <w:rPr>
                <w:rFonts w:ascii="Arial" w:hAnsi="Arial" w:cs="Arial"/>
                <w:b/>
                <w:i/>
                <w:color w:val="000000"/>
                <w:sz w:val="16"/>
                <w:szCs w:val="16"/>
              </w:rPr>
              <w:t>39,221</w:t>
            </w:r>
            <w:r w:rsidR="005A34AB" w:rsidRPr="005A34AB">
              <w:rPr>
                <w:rFonts w:ascii="Arial" w:hAnsi="Arial" w:cs="Arial"/>
                <w:b/>
                <w:i/>
                <w:color w:val="000000"/>
                <w:sz w:val="16"/>
                <w:szCs w:val="16"/>
              </w:rPr>
              <w:t xml:space="preserve"> </w:t>
            </w:r>
          </w:p>
        </w:tc>
      </w:tr>
      <w:tr w:rsidR="00127CA8" w14:paraId="637ED06A" w14:textId="77777777" w:rsidTr="00A37566">
        <w:trPr>
          <w:trHeight w:val="134"/>
        </w:trPr>
        <w:tc>
          <w:tcPr>
            <w:tcW w:w="1681" w:type="dxa"/>
            <w:tcBorders>
              <w:top w:val="nil"/>
              <w:right w:val="nil"/>
            </w:tcBorders>
            <w:shd w:val="clear" w:color="auto" w:fill="auto"/>
            <w:noWrap/>
            <w:vAlign w:val="center"/>
            <w:hideMark/>
          </w:tcPr>
          <w:p w14:paraId="5B0B524D" w14:textId="77777777" w:rsidR="00127CA8" w:rsidRPr="008F658C" w:rsidRDefault="00127CA8" w:rsidP="00127CA8">
            <w:pPr>
              <w:rPr>
                <w:rFonts w:ascii="Arial" w:hAnsi="Arial" w:cs="Arial"/>
                <w:color w:val="000000"/>
                <w:sz w:val="16"/>
                <w:szCs w:val="16"/>
              </w:rPr>
            </w:pPr>
            <w:r w:rsidRPr="008F658C">
              <w:rPr>
                <w:rFonts w:ascii="Arial" w:hAnsi="Arial" w:cs="Arial"/>
                <w:color w:val="000000"/>
                <w:sz w:val="16"/>
                <w:szCs w:val="16"/>
              </w:rPr>
              <w:t>PM-8E</w:t>
            </w:r>
          </w:p>
        </w:tc>
        <w:tc>
          <w:tcPr>
            <w:tcW w:w="866" w:type="dxa"/>
            <w:tcBorders>
              <w:top w:val="nil"/>
              <w:left w:val="nil"/>
            </w:tcBorders>
            <w:shd w:val="clear" w:color="auto" w:fill="auto"/>
            <w:noWrap/>
            <w:vAlign w:val="bottom"/>
            <w:hideMark/>
          </w:tcPr>
          <w:p w14:paraId="5C614975" w14:textId="77777777" w:rsidR="00127CA8" w:rsidRPr="008F658C" w:rsidRDefault="00127CA8" w:rsidP="00127CA8">
            <w:pPr>
              <w:rPr>
                <w:rFonts w:ascii="Arial" w:hAnsi="Arial" w:cs="Arial"/>
                <w:color w:val="000000"/>
                <w:sz w:val="16"/>
                <w:szCs w:val="16"/>
              </w:rPr>
            </w:pPr>
          </w:p>
        </w:tc>
        <w:tc>
          <w:tcPr>
            <w:tcW w:w="709" w:type="dxa"/>
            <w:tcBorders>
              <w:top w:val="nil"/>
            </w:tcBorders>
            <w:shd w:val="clear" w:color="auto" w:fill="auto"/>
            <w:noWrap/>
            <w:hideMark/>
          </w:tcPr>
          <w:p w14:paraId="1B4C0684" w14:textId="04B463E6" w:rsidR="00127CA8" w:rsidRPr="00127CA8" w:rsidRDefault="00127CA8" w:rsidP="00127CA8">
            <w:pPr>
              <w:jc w:val="center"/>
              <w:rPr>
                <w:rFonts w:ascii="Arial" w:hAnsi="Arial" w:cs="Arial"/>
                <w:color w:val="000000"/>
                <w:sz w:val="16"/>
                <w:szCs w:val="16"/>
              </w:rPr>
            </w:pPr>
            <w:r w:rsidRPr="00127CA8">
              <w:rPr>
                <w:rFonts w:ascii="Arial" w:hAnsi="Arial" w:cs="Arial"/>
                <w:color w:val="000000"/>
                <w:sz w:val="16"/>
                <w:szCs w:val="16"/>
              </w:rPr>
              <w:t xml:space="preserve"> 770 </w:t>
            </w:r>
          </w:p>
        </w:tc>
        <w:tc>
          <w:tcPr>
            <w:tcW w:w="708" w:type="dxa"/>
            <w:tcBorders>
              <w:top w:val="nil"/>
            </w:tcBorders>
            <w:shd w:val="clear" w:color="auto" w:fill="auto"/>
            <w:noWrap/>
            <w:hideMark/>
          </w:tcPr>
          <w:p w14:paraId="4EA2B6D7" w14:textId="53D2D2A5" w:rsidR="00127CA8" w:rsidRPr="00127CA8" w:rsidRDefault="00127CA8" w:rsidP="00127CA8">
            <w:pPr>
              <w:jc w:val="center"/>
              <w:rPr>
                <w:rFonts w:ascii="Arial" w:hAnsi="Arial" w:cs="Arial"/>
                <w:color w:val="000000"/>
                <w:sz w:val="16"/>
                <w:szCs w:val="16"/>
              </w:rPr>
            </w:pPr>
            <w:r w:rsidRPr="00127CA8">
              <w:rPr>
                <w:rFonts w:ascii="Arial" w:hAnsi="Arial" w:cs="Arial"/>
                <w:color w:val="000000"/>
                <w:sz w:val="16"/>
                <w:szCs w:val="16"/>
              </w:rPr>
              <w:t xml:space="preserve">77,843 </w:t>
            </w:r>
          </w:p>
        </w:tc>
        <w:tc>
          <w:tcPr>
            <w:tcW w:w="851" w:type="dxa"/>
            <w:tcBorders>
              <w:top w:val="nil"/>
            </w:tcBorders>
            <w:shd w:val="clear" w:color="auto" w:fill="auto"/>
            <w:noWrap/>
            <w:vAlign w:val="center"/>
          </w:tcPr>
          <w:p w14:paraId="534D3B7C" w14:textId="4D6EDA91" w:rsidR="00127CA8" w:rsidRPr="00127CA8" w:rsidRDefault="00127CA8" w:rsidP="00127CA8">
            <w:pPr>
              <w:jc w:val="center"/>
              <w:rPr>
                <w:rFonts w:ascii="Arial" w:hAnsi="Arial" w:cs="Arial"/>
                <w:color w:val="000000"/>
                <w:sz w:val="16"/>
                <w:szCs w:val="16"/>
              </w:rPr>
            </w:pPr>
            <w:r w:rsidRPr="00127CA8">
              <w:rPr>
                <w:rFonts w:ascii="Arial" w:hAnsi="Arial" w:cs="Arial"/>
                <w:color w:val="000000"/>
                <w:sz w:val="16"/>
                <w:szCs w:val="16"/>
              </w:rPr>
              <w:t>-</w:t>
            </w:r>
          </w:p>
        </w:tc>
        <w:tc>
          <w:tcPr>
            <w:tcW w:w="992" w:type="dxa"/>
            <w:tcBorders>
              <w:top w:val="nil"/>
            </w:tcBorders>
            <w:shd w:val="clear" w:color="auto" w:fill="auto"/>
            <w:noWrap/>
            <w:vAlign w:val="center"/>
          </w:tcPr>
          <w:p w14:paraId="54EFD4AB" w14:textId="7BF149FB" w:rsidR="00127CA8" w:rsidRPr="00127CA8" w:rsidRDefault="00127CA8" w:rsidP="00127CA8">
            <w:pPr>
              <w:jc w:val="center"/>
              <w:rPr>
                <w:rFonts w:ascii="Arial" w:hAnsi="Arial" w:cs="Arial"/>
                <w:color w:val="000000"/>
                <w:sz w:val="16"/>
                <w:szCs w:val="16"/>
              </w:rPr>
            </w:pPr>
            <w:r w:rsidRPr="00127CA8">
              <w:rPr>
                <w:rFonts w:ascii="Arial" w:hAnsi="Arial" w:cs="Arial"/>
                <w:color w:val="000000"/>
                <w:sz w:val="16"/>
                <w:szCs w:val="16"/>
              </w:rPr>
              <w:t>2</w:t>
            </w:r>
            <w:r w:rsidR="005A34AB">
              <w:rPr>
                <w:rFonts w:ascii="Arial" w:hAnsi="Arial" w:cs="Arial"/>
                <w:color w:val="000000"/>
                <w:sz w:val="16"/>
                <w:szCs w:val="16"/>
              </w:rPr>
              <w:t>,</w:t>
            </w:r>
            <w:r w:rsidRPr="00127CA8">
              <w:rPr>
                <w:rFonts w:ascii="Arial" w:hAnsi="Arial" w:cs="Arial"/>
                <w:color w:val="000000"/>
                <w:sz w:val="16"/>
                <w:szCs w:val="16"/>
              </w:rPr>
              <w:t>113</w:t>
            </w:r>
          </w:p>
        </w:tc>
        <w:tc>
          <w:tcPr>
            <w:tcW w:w="851" w:type="dxa"/>
            <w:tcBorders>
              <w:top w:val="nil"/>
            </w:tcBorders>
            <w:shd w:val="clear" w:color="auto" w:fill="auto"/>
            <w:noWrap/>
            <w:vAlign w:val="center"/>
          </w:tcPr>
          <w:p w14:paraId="0FBE8F0C" w14:textId="386A2733" w:rsidR="00127CA8" w:rsidRPr="00127CA8" w:rsidRDefault="00127CA8" w:rsidP="00127CA8">
            <w:pPr>
              <w:jc w:val="center"/>
              <w:rPr>
                <w:rFonts w:ascii="Arial" w:hAnsi="Arial" w:cs="Arial"/>
                <w:color w:val="000000"/>
                <w:sz w:val="16"/>
                <w:szCs w:val="16"/>
              </w:rPr>
            </w:pPr>
            <w:r w:rsidRPr="00127CA8">
              <w:rPr>
                <w:rFonts w:ascii="Arial" w:hAnsi="Arial" w:cs="Arial"/>
                <w:color w:val="000000"/>
                <w:sz w:val="16"/>
                <w:szCs w:val="16"/>
              </w:rPr>
              <w:t>-</w:t>
            </w:r>
          </w:p>
        </w:tc>
        <w:tc>
          <w:tcPr>
            <w:tcW w:w="993" w:type="dxa"/>
            <w:tcBorders>
              <w:top w:val="nil"/>
            </w:tcBorders>
            <w:shd w:val="clear" w:color="auto" w:fill="auto"/>
            <w:noWrap/>
          </w:tcPr>
          <w:p w14:paraId="54A46018" w14:textId="00241AE6" w:rsidR="00127CA8" w:rsidRPr="00127CA8" w:rsidRDefault="00127CA8" w:rsidP="00127CA8">
            <w:pPr>
              <w:jc w:val="center"/>
              <w:rPr>
                <w:rFonts w:ascii="Arial" w:hAnsi="Arial" w:cs="Arial"/>
                <w:color w:val="000000"/>
                <w:sz w:val="16"/>
                <w:szCs w:val="16"/>
              </w:rPr>
            </w:pPr>
            <w:r w:rsidRPr="00127CA8">
              <w:rPr>
                <w:rFonts w:ascii="Arial" w:hAnsi="Arial" w:cs="Arial"/>
                <w:color w:val="000000"/>
                <w:sz w:val="16"/>
                <w:szCs w:val="16"/>
              </w:rPr>
              <w:t xml:space="preserve"> 829 </w:t>
            </w:r>
          </w:p>
        </w:tc>
        <w:tc>
          <w:tcPr>
            <w:tcW w:w="1558" w:type="dxa"/>
            <w:tcBorders>
              <w:top w:val="nil"/>
            </w:tcBorders>
            <w:shd w:val="clear" w:color="auto" w:fill="auto"/>
            <w:noWrap/>
          </w:tcPr>
          <w:p w14:paraId="41074FA3" w14:textId="61FDB239" w:rsidR="00127CA8" w:rsidRPr="00127CA8" w:rsidRDefault="00127CA8" w:rsidP="00127CA8">
            <w:pPr>
              <w:jc w:val="center"/>
              <w:rPr>
                <w:rFonts w:ascii="Arial" w:hAnsi="Arial" w:cs="Arial"/>
                <w:color w:val="000000"/>
                <w:sz w:val="16"/>
                <w:szCs w:val="16"/>
              </w:rPr>
            </w:pPr>
            <w:r w:rsidRPr="00127CA8">
              <w:rPr>
                <w:rFonts w:ascii="Arial" w:hAnsi="Arial" w:cs="Arial"/>
                <w:color w:val="000000"/>
                <w:sz w:val="16"/>
                <w:szCs w:val="16"/>
              </w:rPr>
              <w:t>29,765</w:t>
            </w:r>
          </w:p>
        </w:tc>
        <w:tc>
          <w:tcPr>
            <w:tcW w:w="851" w:type="dxa"/>
            <w:tcBorders>
              <w:top w:val="nil"/>
            </w:tcBorders>
            <w:shd w:val="clear" w:color="auto" w:fill="auto"/>
            <w:noWrap/>
          </w:tcPr>
          <w:p w14:paraId="5086EEAA" w14:textId="5ABA41AB" w:rsidR="00127CA8" w:rsidRPr="00127CA8" w:rsidRDefault="00127CA8" w:rsidP="00127CA8">
            <w:pPr>
              <w:jc w:val="center"/>
              <w:rPr>
                <w:rFonts w:ascii="Arial" w:hAnsi="Arial" w:cs="Arial"/>
                <w:color w:val="000000"/>
                <w:sz w:val="16"/>
                <w:szCs w:val="16"/>
              </w:rPr>
            </w:pPr>
            <w:r w:rsidRPr="00127CA8">
              <w:rPr>
                <w:rFonts w:ascii="Arial" w:hAnsi="Arial" w:cs="Arial"/>
                <w:color w:val="000000"/>
                <w:sz w:val="16"/>
                <w:szCs w:val="16"/>
              </w:rPr>
              <w:t>110,550</w:t>
            </w:r>
          </w:p>
        </w:tc>
      </w:tr>
      <w:tr w:rsidR="00127CA8" w14:paraId="4860EDFB" w14:textId="77777777" w:rsidTr="00A37566">
        <w:trPr>
          <w:trHeight w:val="178"/>
        </w:trPr>
        <w:tc>
          <w:tcPr>
            <w:tcW w:w="1681" w:type="dxa"/>
            <w:tcBorders>
              <w:right w:val="nil"/>
            </w:tcBorders>
            <w:shd w:val="clear" w:color="auto" w:fill="auto"/>
            <w:noWrap/>
            <w:vAlign w:val="center"/>
            <w:hideMark/>
          </w:tcPr>
          <w:p w14:paraId="0C843ABF" w14:textId="77777777" w:rsidR="00127CA8" w:rsidRPr="008F658C" w:rsidRDefault="00127CA8" w:rsidP="00127CA8">
            <w:pPr>
              <w:rPr>
                <w:rFonts w:ascii="Arial" w:hAnsi="Arial" w:cs="Arial"/>
                <w:color w:val="000000"/>
                <w:sz w:val="16"/>
                <w:szCs w:val="16"/>
              </w:rPr>
            </w:pPr>
            <w:r w:rsidRPr="008F658C">
              <w:rPr>
                <w:rFonts w:ascii="Arial" w:hAnsi="Arial" w:cs="Arial"/>
                <w:color w:val="000000"/>
                <w:sz w:val="16"/>
                <w:szCs w:val="16"/>
              </w:rPr>
              <w:t>Corporate</w:t>
            </w:r>
          </w:p>
        </w:tc>
        <w:tc>
          <w:tcPr>
            <w:tcW w:w="866" w:type="dxa"/>
            <w:tcBorders>
              <w:left w:val="nil"/>
            </w:tcBorders>
            <w:shd w:val="clear" w:color="auto" w:fill="auto"/>
            <w:noWrap/>
            <w:vAlign w:val="bottom"/>
            <w:hideMark/>
          </w:tcPr>
          <w:p w14:paraId="47CE7559" w14:textId="77777777" w:rsidR="00127CA8" w:rsidRPr="008F658C" w:rsidRDefault="00127CA8" w:rsidP="00127CA8">
            <w:pPr>
              <w:rPr>
                <w:rFonts w:ascii="Arial" w:hAnsi="Arial" w:cs="Arial"/>
                <w:color w:val="000000"/>
                <w:sz w:val="16"/>
                <w:szCs w:val="16"/>
              </w:rPr>
            </w:pPr>
          </w:p>
        </w:tc>
        <w:tc>
          <w:tcPr>
            <w:tcW w:w="709" w:type="dxa"/>
            <w:shd w:val="clear" w:color="auto" w:fill="auto"/>
            <w:noWrap/>
            <w:vAlign w:val="center"/>
          </w:tcPr>
          <w:p w14:paraId="5678A781" w14:textId="77777777" w:rsidR="00127CA8" w:rsidRPr="00127CA8" w:rsidRDefault="00127CA8" w:rsidP="00127CA8">
            <w:pPr>
              <w:jc w:val="center"/>
              <w:rPr>
                <w:rFonts w:ascii="Arial" w:hAnsi="Arial" w:cs="Arial"/>
                <w:color w:val="000000"/>
                <w:sz w:val="16"/>
                <w:szCs w:val="16"/>
              </w:rPr>
            </w:pPr>
            <w:r w:rsidRPr="00127CA8">
              <w:rPr>
                <w:rFonts w:ascii="Arial" w:hAnsi="Arial" w:cs="Arial"/>
                <w:color w:val="000000"/>
                <w:sz w:val="16"/>
                <w:szCs w:val="16"/>
              </w:rPr>
              <w:t>-</w:t>
            </w:r>
          </w:p>
        </w:tc>
        <w:tc>
          <w:tcPr>
            <w:tcW w:w="708" w:type="dxa"/>
            <w:shd w:val="clear" w:color="auto" w:fill="auto"/>
            <w:noWrap/>
            <w:vAlign w:val="center"/>
          </w:tcPr>
          <w:p w14:paraId="6DBEE756" w14:textId="77777777" w:rsidR="00127CA8" w:rsidRPr="00127CA8" w:rsidRDefault="00127CA8" w:rsidP="00127CA8">
            <w:pPr>
              <w:jc w:val="center"/>
              <w:rPr>
                <w:rFonts w:ascii="Arial" w:hAnsi="Arial" w:cs="Arial"/>
                <w:color w:val="000000"/>
                <w:sz w:val="16"/>
                <w:szCs w:val="16"/>
              </w:rPr>
            </w:pPr>
            <w:r w:rsidRPr="00127CA8">
              <w:rPr>
                <w:rFonts w:ascii="Arial" w:hAnsi="Arial" w:cs="Arial"/>
                <w:color w:val="000000"/>
                <w:sz w:val="16"/>
                <w:szCs w:val="16"/>
              </w:rPr>
              <w:t>-</w:t>
            </w:r>
          </w:p>
        </w:tc>
        <w:tc>
          <w:tcPr>
            <w:tcW w:w="851" w:type="dxa"/>
            <w:shd w:val="clear" w:color="auto" w:fill="auto"/>
            <w:noWrap/>
            <w:vAlign w:val="center"/>
          </w:tcPr>
          <w:p w14:paraId="4FBDC886" w14:textId="1BA19E58" w:rsidR="00127CA8" w:rsidRPr="00127CA8" w:rsidRDefault="00127CA8" w:rsidP="00127CA8">
            <w:pPr>
              <w:jc w:val="center"/>
              <w:rPr>
                <w:rFonts w:ascii="Arial" w:hAnsi="Arial" w:cs="Arial"/>
                <w:color w:val="000000"/>
                <w:sz w:val="16"/>
                <w:szCs w:val="16"/>
              </w:rPr>
            </w:pPr>
            <w:r w:rsidRPr="00127CA8">
              <w:rPr>
                <w:rFonts w:ascii="Arial" w:hAnsi="Arial" w:cs="Arial"/>
                <w:color w:val="000000"/>
                <w:sz w:val="16"/>
                <w:szCs w:val="16"/>
              </w:rPr>
              <w:t>14</w:t>
            </w:r>
            <w:r w:rsidR="00CB0832">
              <w:rPr>
                <w:rFonts w:ascii="Arial" w:hAnsi="Arial" w:cs="Arial"/>
                <w:color w:val="000000"/>
                <w:sz w:val="16"/>
                <w:szCs w:val="16"/>
              </w:rPr>
              <w:t>,</w:t>
            </w:r>
            <w:r w:rsidRPr="00127CA8">
              <w:rPr>
                <w:rFonts w:ascii="Arial" w:hAnsi="Arial" w:cs="Arial"/>
                <w:color w:val="000000"/>
                <w:sz w:val="16"/>
                <w:szCs w:val="16"/>
              </w:rPr>
              <w:t>062</w:t>
            </w:r>
          </w:p>
        </w:tc>
        <w:tc>
          <w:tcPr>
            <w:tcW w:w="992" w:type="dxa"/>
            <w:shd w:val="clear" w:color="auto" w:fill="auto"/>
            <w:noWrap/>
            <w:vAlign w:val="center"/>
          </w:tcPr>
          <w:p w14:paraId="3EC2A74E" w14:textId="6BE38CF4" w:rsidR="00127CA8" w:rsidRPr="00127CA8" w:rsidRDefault="00127CA8" w:rsidP="00127CA8">
            <w:pPr>
              <w:jc w:val="center"/>
              <w:rPr>
                <w:rFonts w:ascii="Arial" w:hAnsi="Arial" w:cs="Arial"/>
                <w:color w:val="000000"/>
                <w:sz w:val="16"/>
                <w:szCs w:val="16"/>
              </w:rPr>
            </w:pPr>
            <w:r w:rsidRPr="00127CA8">
              <w:rPr>
                <w:rFonts w:ascii="Arial" w:hAnsi="Arial" w:cs="Arial"/>
                <w:color w:val="000000"/>
                <w:sz w:val="16"/>
                <w:szCs w:val="16"/>
              </w:rPr>
              <w:t>-</w:t>
            </w:r>
          </w:p>
        </w:tc>
        <w:tc>
          <w:tcPr>
            <w:tcW w:w="851" w:type="dxa"/>
            <w:shd w:val="clear" w:color="auto" w:fill="auto"/>
            <w:noWrap/>
            <w:vAlign w:val="center"/>
          </w:tcPr>
          <w:p w14:paraId="4C992105" w14:textId="405E6192" w:rsidR="00127CA8" w:rsidRPr="00127CA8" w:rsidRDefault="00127CA8" w:rsidP="00127CA8">
            <w:pPr>
              <w:jc w:val="center"/>
              <w:rPr>
                <w:rFonts w:ascii="Arial" w:hAnsi="Arial" w:cs="Arial"/>
                <w:color w:val="000000"/>
                <w:sz w:val="16"/>
                <w:szCs w:val="16"/>
              </w:rPr>
            </w:pPr>
            <w:r w:rsidRPr="00127CA8">
              <w:rPr>
                <w:rFonts w:ascii="Arial" w:hAnsi="Arial" w:cs="Arial"/>
                <w:color w:val="000000"/>
                <w:sz w:val="16"/>
                <w:szCs w:val="16"/>
              </w:rPr>
              <w:t>-</w:t>
            </w:r>
          </w:p>
        </w:tc>
        <w:tc>
          <w:tcPr>
            <w:tcW w:w="993" w:type="dxa"/>
            <w:shd w:val="clear" w:color="auto" w:fill="auto"/>
            <w:noWrap/>
            <w:vAlign w:val="center"/>
          </w:tcPr>
          <w:p w14:paraId="43F7419E" w14:textId="595F551D" w:rsidR="00127CA8" w:rsidRPr="00127CA8" w:rsidRDefault="00127CA8" w:rsidP="00127CA8">
            <w:pPr>
              <w:jc w:val="center"/>
              <w:rPr>
                <w:rFonts w:ascii="Arial" w:hAnsi="Arial" w:cs="Arial"/>
                <w:color w:val="000000"/>
                <w:sz w:val="16"/>
                <w:szCs w:val="16"/>
              </w:rPr>
            </w:pPr>
            <w:r w:rsidRPr="00127CA8">
              <w:rPr>
                <w:rFonts w:ascii="Arial" w:hAnsi="Arial" w:cs="Arial"/>
                <w:color w:val="000000"/>
                <w:sz w:val="16"/>
                <w:szCs w:val="16"/>
              </w:rPr>
              <w:t>-</w:t>
            </w:r>
          </w:p>
        </w:tc>
        <w:tc>
          <w:tcPr>
            <w:tcW w:w="1558" w:type="dxa"/>
            <w:shd w:val="clear" w:color="auto" w:fill="auto"/>
            <w:noWrap/>
            <w:vAlign w:val="center"/>
          </w:tcPr>
          <w:p w14:paraId="7F9D26EE" w14:textId="3AEFF047" w:rsidR="00127CA8" w:rsidRPr="00127CA8" w:rsidRDefault="00127CA8" w:rsidP="00127CA8">
            <w:pPr>
              <w:jc w:val="center"/>
              <w:rPr>
                <w:rFonts w:ascii="Arial" w:hAnsi="Arial" w:cs="Arial"/>
                <w:color w:val="000000"/>
                <w:sz w:val="16"/>
                <w:szCs w:val="16"/>
              </w:rPr>
            </w:pPr>
            <w:r w:rsidRPr="00127CA8">
              <w:rPr>
                <w:rFonts w:ascii="Arial" w:hAnsi="Arial" w:cs="Arial"/>
                <w:color w:val="000000"/>
                <w:sz w:val="16"/>
                <w:szCs w:val="16"/>
              </w:rPr>
              <w:t>-</w:t>
            </w:r>
          </w:p>
        </w:tc>
        <w:tc>
          <w:tcPr>
            <w:tcW w:w="851" w:type="dxa"/>
            <w:shd w:val="clear" w:color="auto" w:fill="auto"/>
            <w:noWrap/>
            <w:vAlign w:val="center"/>
          </w:tcPr>
          <w:p w14:paraId="4AEB852D" w14:textId="1BE6AA45" w:rsidR="00127CA8" w:rsidRPr="00127CA8" w:rsidRDefault="00127CA8" w:rsidP="00127CA8">
            <w:pPr>
              <w:jc w:val="center"/>
              <w:rPr>
                <w:rFonts w:ascii="Arial" w:hAnsi="Arial" w:cs="Arial"/>
                <w:color w:val="000000"/>
                <w:sz w:val="16"/>
                <w:szCs w:val="16"/>
              </w:rPr>
            </w:pPr>
            <w:r w:rsidRPr="00127CA8">
              <w:rPr>
                <w:rFonts w:ascii="Arial" w:hAnsi="Arial" w:cs="Arial"/>
                <w:color w:val="000000"/>
                <w:sz w:val="16"/>
                <w:szCs w:val="16"/>
              </w:rPr>
              <w:t>14,062</w:t>
            </w:r>
          </w:p>
        </w:tc>
      </w:tr>
      <w:tr w:rsidR="00127CA8" w14:paraId="78B87C29" w14:textId="77777777" w:rsidTr="00A37566">
        <w:trPr>
          <w:trHeight w:val="178"/>
        </w:trPr>
        <w:tc>
          <w:tcPr>
            <w:tcW w:w="2547" w:type="dxa"/>
            <w:gridSpan w:val="2"/>
            <w:shd w:val="clear" w:color="auto" w:fill="auto"/>
            <w:noWrap/>
            <w:vAlign w:val="center"/>
            <w:hideMark/>
          </w:tcPr>
          <w:p w14:paraId="327E8C91" w14:textId="394EA458" w:rsidR="00127CA8" w:rsidRPr="008F658C" w:rsidRDefault="00127CA8" w:rsidP="00127CA8">
            <w:pPr>
              <w:rPr>
                <w:rFonts w:ascii="Arial" w:hAnsi="Arial" w:cs="Arial"/>
                <w:b/>
                <w:bCs/>
                <w:i/>
                <w:iCs/>
                <w:color w:val="000000"/>
                <w:sz w:val="16"/>
                <w:szCs w:val="16"/>
              </w:rPr>
            </w:pPr>
            <w:r w:rsidRPr="008F658C">
              <w:rPr>
                <w:rFonts w:ascii="Arial" w:hAnsi="Arial" w:cs="Arial"/>
                <w:b/>
                <w:bCs/>
                <w:i/>
                <w:iCs/>
                <w:color w:val="000000"/>
                <w:sz w:val="16"/>
                <w:szCs w:val="16"/>
              </w:rPr>
              <w:t>Total Malaysia</w:t>
            </w:r>
          </w:p>
        </w:tc>
        <w:tc>
          <w:tcPr>
            <w:tcW w:w="709" w:type="dxa"/>
            <w:shd w:val="clear" w:color="auto" w:fill="auto"/>
            <w:noWrap/>
            <w:hideMark/>
          </w:tcPr>
          <w:p w14:paraId="3BE35684" w14:textId="0D193FE4" w:rsidR="00127CA8" w:rsidRPr="005A34AB" w:rsidRDefault="005A34AB" w:rsidP="00127CA8">
            <w:pPr>
              <w:jc w:val="center"/>
              <w:rPr>
                <w:rFonts w:ascii="Arial" w:hAnsi="Arial" w:cs="Arial"/>
                <w:b/>
                <w:i/>
                <w:color w:val="000000"/>
                <w:sz w:val="16"/>
                <w:szCs w:val="16"/>
              </w:rPr>
            </w:pPr>
            <w:r w:rsidRPr="005A34AB">
              <w:rPr>
                <w:rFonts w:ascii="Arial" w:hAnsi="Arial" w:cs="Arial"/>
                <w:b/>
                <w:i/>
                <w:color w:val="000000"/>
                <w:sz w:val="16"/>
                <w:szCs w:val="16"/>
              </w:rPr>
              <w:t>770</w:t>
            </w:r>
          </w:p>
        </w:tc>
        <w:tc>
          <w:tcPr>
            <w:tcW w:w="708" w:type="dxa"/>
            <w:shd w:val="clear" w:color="auto" w:fill="auto"/>
            <w:noWrap/>
            <w:hideMark/>
          </w:tcPr>
          <w:p w14:paraId="1B7AD681" w14:textId="438BD5A2" w:rsidR="00127CA8" w:rsidRPr="005A34AB" w:rsidRDefault="005A34AB" w:rsidP="00127CA8">
            <w:pPr>
              <w:jc w:val="center"/>
              <w:rPr>
                <w:rFonts w:ascii="Arial" w:hAnsi="Arial" w:cs="Arial"/>
                <w:b/>
                <w:i/>
                <w:color w:val="000000"/>
                <w:sz w:val="16"/>
                <w:szCs w:val="16"/>
              </w:rPr>
            </w:pPr>
            <w:r w:rsidRPr="005A34AB">
              <w:rPr>
                <w:rFonts w:ascii="Arial" w:hAnsi="Arial" w:cs="Arial"/>
                <w:b/>
                <w:i/>
                <w:color w:val="000000"/>
                <w:sz w:val="16"/>
                <w:szCs w:val="16"/>
              </w:rPr>
              <w:t>77,843</w:t>
            </w:r>
            <w:r w:rsidR="00127CA8" w:rsidRPr="005A34AB">
              <w:rPr>
                <w:rFonts w:ascii="Arial" w:hAnsi="Arial" w:cs="Arial"/>
                <w:b/>
                <w:i/>
                <w:color w:val="000000"/>
                <w:sz w:val="16"/>
                <w:szCs w:val="16"/>
              </w:rPr>
              <w:t xml:space="preserve"> </w:t>
            </w:r>
          </w:p>
        </w:tc>
        <w:tc>
          <w:tcPr>
            <w:tcW w:w="851" w:type="dxa"/>
            <w:shd w:val="clear" w:color="auto" w:fill="auto"/>
            <w:noWrap/>
            <w:vAlign w:val="center"/>
          </w:tcPr>
          <w:p w14:paraId="5283D074" w14:textId="03D398AC" w:rsidR="00127CA8" w:rsidRPr="00127CA8" w:rsidRDefault="00127CA8" w:rsidP="00127CA8">
            <w:pPr>
              <w:jc w:val="center"/>
              <w:rPr>
                <w:rFonts w:ascii="Arial" w:hAnsi="Arial" w:cs="Arial"/>
                <w:b/>
                <w:i/>
                <w:color w:val="000000"/>
                <w:sz w:val="16"/>
                <w:szCs w:val="16"/>
              </w:rPr>
            </w:pPr>
            <w:r w:rsidRPr="00127CA8">
              <w:rPr>
                <w:rFonts w:ascii="Arial" w:hAnsi="Arial" w:cs="Arial"/>
                <w:b/>
                <w:i/>
                <w:color w:val="000000"/>
                <w:sz w:val="16"/>
                <w:szCs w:val="16"/>
              </w:rPr>
              <w:t>14,062</w:t>
            </w:r>
          </w:p>
        </w:tc>
        <w:tc>
          <w:tcPr>
            <w:tcW w:w="992" w:type="dxa"/>
            <w:shd w:val="clear" w:color="auto" w:fill="auto"/>
            <w:noWrap/>
            <w:vAlign w:val="center"/>
          </w:tcPr>
          <w:p w14:paraId="25E0D7D2" w14:textId="3488B2E2" w:rsidR="00127CA8" w:rsidRPr="005A34AB" w:rsidRDefault="005A34AB" w:rsidP="00127CA8">
            <w:pPr>
              <w:jc w:val="center"/>
              <w:rPr>
                <w:rFonts w:ascii="Arial" w:hAnsi="Arial" w:cs="Arial"/>
                <w:b/>
                <w:i/>
                <w:color w:val="000000"/>
                <w:sz w:val="16"/>
                <w:szCs w:val="16"/>
              </w:rPr>
            </w:pPr>
            <w:r w:rsidRPr="005A34AB">
              <w:rPr>
                <w:rFonts w:ascii="Arial" w:hAnsi="Arial" w:cs="Arial"/>
                <w:b/>
                <w:i/>
                <w:color w:val="000000"/>
                <w:sz w:val="16"/>
                <w:szCs w:val="16"/>
              </w:rPr>
              <w:t>2,113</w:t>
            </w:r>
          </w:p>
        </w:tc>
        <w:tc>
          <w:tcPr>
            <w:tcW w:w="851" w:type="dxa"/>
            <w:shd w:val="clear" w:color="auto" w:fill="auto"/>
            <w:noWrap/>
            <w:vAlign w:val="center"/>
          </w:tcPr>
          <w:p w14:paraId="3DC4596C" w14:textId="7FD1EA2A" w:rsidR="00127CA8" w:rsidRPr="005A34AB" w:rsidRDefault="00127CA8" w:rsidP="00127CA8">
            <w:pPr>
              <w:jc w:val="center"/>
              <w:rPr>
                <w:rFonts w:ascii="Arial" w:hAnsi="Arial" w:cs="Arial"/>
                <w:b/>
                <w:i/>
                <w:color w:val="000000"/>
                <w:sz w:val="16"/>
                <w:szCs w:val="16"/>
              </w:rPr>
            </w:pPr>
            <w:r w:rsidRPr="005A34AB">
              <w:rPr>
                <w:rFonts w:ascii="Arial" w:hAnsi="Arial" w:cs="Arial"/>
                <w:b/>
                <w:i/>
                <w:color w:val="000000"/>
                <w:sz w:val="16"/>
                <w:szCs w:val="16"/>
              </w:rPr>
              <w:t>-</w:t>
            </w:r>
          </w:p>
        </w:tc>
        <w:tc>
          <w:tcPr>
            <w:tcW w:w="993" w:type="dxa"/>
            <w:shd w:val="clear" w:color="auto" w:fill="auto"/>
            <w:noWrap/>
          </w:tcPr>
          <w:p w14:paraId="1FE7CF8B" w14:textId="5217530F" w:rsidR="00127CA8" w:rsidRPr="005A34AB" w:rsidRDefault="00127CA8" w:rsidP="00127CA8">
            <w:pPr>
              <w:jc w:val="center"/>
              <w:rPr>
                <w:rFonts w:ascii="Arial" w:hAnsi="Arial" w:cs="Arial"/>
                <w:b/>
                <w:i/>
                <w:color w:val="000000"/>
                <w:sz w:val="16"/>
                <w:szCs w:val="16"/>
              </w:rPr>
            </w:pPr>
            <w:r w:rsidRPr="005A34AB">
              <w:rPr>
                <w:rFonts w:ascii="Arial" w:hAnsi="Arial" w:cs="Arial"/>
                <w:b/>
                <w:i/>
                <w:color w:val="000000"/>
                <w:sz w:val="16"/>
                <w:szCs w:val="16"/>
              </w:rPr>
              <w:t xml:space="preserve"> </w:t>
            </w:r>
            <w:r w:rsidR="005A34AB" w:rsidRPr="005A34AB">
              <w:rPr>
                <w:rFonts w:ascii="Arial" w:hAnsi="Arial" w:cs="Arial"/>
                <w:b/>
                <w:i/>
                <w:color w:val="000000"/>
                <w:sz w:val="16"/>
                <w:szCs w:val="16"/>
              </w:rPr>
              <w:t>829</w:t>
            </w:r>
            <w:r w:rsidRPr="005A34AB">
              <w:rPr>
                <w:rFonts w:ascii="Arial" w:hAnsi="Arial" w:cs="Arial"/>
                <w:b/>
                <w:i/>
                <w:color w:val="000000"/>
                <w:sz w:val="16"/>
                <w:szCs w:val="16"/>
              </w:rPr>
              <w:t xml:space="preserve"> </w:t>
            </w:r>
          </w:p>
        </w:tc>
        <w:tc>
          <w:tcPr>
            <w:tcW w:w="1558" w:type="dxa"/>
            <w:shd w:val="clear" w:color="auto" w:fill="auto"/>
            <w:noWrap/>
          </w:tcPr>
          <w:p w14:paraId="1B11BFEB" w14:textId="0577A5CC" w:rsidR="00127CA8" w:rsidRPr="005A34AB" w:rsidRDefault="005A34AB" w:rsidP="00127CA8">
            <w:pPr>
              <w:jc w:val="center"/>
              <w:rPr>
                <w:rFonts w:ascii="Arial" w:hAnsi="Arial" w:cs="Arial"/>
                <w:b/>
                <w:i/>
                <w:color w:val="000000"/>
                <w:sz w:val="16"/>
                <w:szCs w:val="16"/>
              </w:rPr>
            </w:pPr>
            <w:r w:rsidRPr="005A34AB">
              <w:rPr>
                <w:rFonts w:ascii="Arial" w:hAnsi="Arial" w:cs="Arial"/>
                <w:b/>
                <w:i/>
                <w:color w:val="000000"/>
                <w:sz w:val="16"/>
                <w:szCs w:val="16"/>
              </w:rPr>
              <w:t>29,765</w:t>
            </w:r>
            <w:r w:rsidR="00127CA8" w:rsidRPr="005A34AB">
              <w:rPr>
                <w:rFonts w:ascii="Arial" w:hAnsi="Arial" w:cs="Arial"/>
                <w:b/>
                <w:i/>
                <w:color w:val="000000"/>
                <w:sz w:val="16"/>
                <w:szCs w:val="16"/>
              </w:rPr>
              <w:t xml:space="preserve"> </w:t>
            </w:r>
          </w:p>
        </w:tc>
        <w:tc>
          <w:tcPr>
            <w:tcW w:w="851" w:type="dxa"/>
            <w:shd w:val="clear" w:color="auto" w:fill="auto"/>
            <w:noWrap/>
            <w:vAlign w:val="center"/>
          </w:tcPr>
          <w:p w14:paraId="12FC6B99" w14:textId="471A3783" w:rsidR="00127CA8" w:rsidRPr="005A34AB" w:rsidRDefault="005A34AB" w:rsidP="00127CA8">
            <w:pPr>
              <w:jc w:val="center"/>
              <w:rPr>
                <w:rFonts w:ascii="Arial" w:hAnsi="Arial" w:cs="Arial"/>
                <w:b/>
                <w:i/>
                <w:color w:val="000000"/>
                <w:sz w:val="16"/>
                <w:szCs w:val="16"/>
              </w:rPr>
            </w:pPr>
            <w:r w:rsidRPr="005A34AB">
              <w:rPr>
                <w:rFonts w:ascii="Arial" w:hAnsi="Arial" w:cs="Arial"/>
                <w:b/>
                <w:i/>
                <w:color w:val="000000"/>
                <w:sz w:val="16"/>
                <w:szCs w:val="16"/>
              </w:rPr>
              <w:t>124,612</w:t>
            </w:r>
          </w:p>
        </w:tc>
      </w:tr>
      <w:tr w:rsidR="00127CA8" w14:paraId="75FDED55" w14:textId="77777777" w:rsidTr="00A37566">
        <w:trPr>
          <w:trHeight w:val="178"/>
        </w:trPr>
        <w:tc>
          <w:tcPr>
            <w:tcW w:w="2547" w:type="dxa"/>
            <w:gridSpan w:val="2"/>
            <w:tcBorders>
              <w:bottom w:val="single" w:sz="4" w:space="0" w:color="auto"/>
            </w:tcBorders>
            <w:shd w:val="clear" w:color="auto" w:fill="auto"/>
            <w:noWrap/>
            <w:vAlign w:val="center"/>
            <w:hideMark/>
          </w:tcPr>
          <w:p w14:paraId="451FA97D" w14:textId="49BF3E23" w:rsidR="00127CA8" w:rsidRPr="00A849C0" w:rsidRDefault="00127CA8" w:rsidP="00127CA8">
            <w:pPr>
              <w:rPr>
                <w:rFonts w:ascii="Arial" w:hAnsi="Arial" w:cs="Arial"/>
                <w:b/>
                <w:bCs/>
                <w:i/>
                <w:color w:val="000000"/>
                <w:sz w:val="16"/>
                <w:szCs w:val="16"/>
              </w:rPr>
            </w:pPr>
            <w:r w:rsidRPr="00A849C0">
              <w:rPr>
                <w:rFonts w:ascii="Arial" w:hAnsi="Arial" w:cs="Arial"/>
                <w:b/>
                <w:bCs/>
                <w:i/>
                <w:color w:val="000000"/>
                <w:sz w:val="16"/>
                <w:szCs w:val="16"/>
              </w:rPr>
              <w:t>Total Group</w:t>
            </w:r>
          </w:p>
        </w:tc>
        <w:tc>
          <w:tcPr>
            <w:tcW w:w="709" w:type="dxa"/>
            <w:tcBorders>
              <w:bottom w:val="single" w:sz="4" w:space="0" w:color="auto"/>
            </w:tcBorders>
            <w:shd w:val="clear" w:color="auto" w:fill="auto"/>
            <w:noWrap/>
            <w:hideMark/>
          </w:tcPr>
          <w:p w14:paraId="6AB5E917" w14:textId="61A80DBC" w:rsidR="00127CA8" w:rsidRPr="005A34AB" w:rsidRDefault="005A34AB" w:rsidP="00127CA8">
            <w:pPr>
              <w:jc w:val="center"/>
              <w:rPr>
                <w:rFonts w:ascii="Arial" w:hAnsi="Arial" w:cs="Arial"/>
                <w:b/>
                <w:bCs/>
                <w:i/>
                <w:color w:val="000000"/>
                <w:sz w:val="16"/>
                <w:szCs w:val="16"/>
              </w:rPr>
            </w:pPr>
            <w:r w:rsidRPr="005A34AB">
              <w:rPr>
                <w:rFonts w:ascii="Arial" w:hAnsi="Arial" w:cs="Arial"/>
                <w:b/>
                <w:i/>
                <w:color w:val="000000"/>
                <w:sz w:val="16"/>
                <w:szCs w:val="16"/>
              </w:rPr>
              <w:t>770</w:t>
            </w:r>
            <w:r w:rsidR="00127CA8" w:rsidRPr="005A34AB">
              <w:rPr>
                <w:rFonts w:ascii="Arial" w:hAnsi="Arial" w:cs="Arial"/>
                <w:b/>
                <w:i/>
                <w:color w:val="000000"/>
                <w:sz w:val="16"/>
                <w:szCs w:val="16"/>
              </w:rPr>
              <w:t xml:space="preserve"> </w:t>
            </w:r>
          </w:p>
        </w:tc>
        <w:tc>
          <w:tcPr>
            <w:tcW w:w="708" w:type="dxa"/>
            <w:tcBorders>
              <w:bottom w:val="single" w:sz="4" w:space="0" w:color="auto"/>
            </w:tcBorders>
            <w:shd w:val="clear" w:color="auto" w:fill="auto"/>
            <w:noWrap/>
            <w:hideMark/>
          </w:tcPr>
          <w:p w14:paraId="5FBBF889" w14:textId="3DE64BC7" w:rsidR="00127CA8" w:rsidRPr="005A34AB" w:rsidRDefault="005A34AB" w:rsidP="00127CA8">
            <w:pPr>
              <w:jc w:val="center"/>
              <w:rPr>
                <w:rFonts w:ascii="Arial" w:hAnsi="Arial" w:cs="Arial"/>
                <w:b/>
                <w:bCs/>
                <w:i/>
                <w:color w:val="000000"/>
                <w:sz w:val="16"/>
                <w:szCs w:val="16"/>
              </w:rPr>
            </w:pPr>
            <w:r w:rsidRPr="005A34AB">
              <w:rPr>
                <w:rFonts w:ascii="Arial" w:hAnsi="Arial" w:cs="Arial"/>
                <w:b/>
                <w:i/>
                <w:color w:val="000000"/>
                <w:sz w:val="16"/>
                <w:szCs w:val="16"/>
              </w:rPr>
              <w:t>77,843</w:t>
            </w:r>
            <w:r w:rsidR="00127CA8" w:rsidRPr="005A34AB">
              <w:rPr>
                <w:rFonts w:ascii="Arial" w:hAnsi="Arial" w:cs="Arial"/>
                <w:b/>
                <w:i/>
                <w:color w:val="000000"/>
                <w:sz w:val="16"/>
                <w:szCs w:val="16"/>
              </w:rPr>
              <w:t xml:space="preserve"> </w:t>
            </w:r>
          </w:p>
        </w:tc>
        <w:tc>
          <w:tcPr>
            <w:tcW w:w="851" w:type="dxa"/>
            <w:tcBorders>
              <w:bottom w:val="single" w:sz="4" w:space="0" w:color="auto"/>
            </w:tcBorders>
            <w:shd w:val="clear" w:color="auto" w:fill="auto"/>
            <w:noWrap/>
            <w:vAlign w:val="center"/>
          </w:tcPr>
          <w:p w14:paraId="493A9029" w14:textId="0C6F91FD" w:rsidR="00127CA8" w:rsidRPr="00127CA8" w:rsidRDefault="009C11A9" w:rsidP="00127CA8">
            <w:pPr>
              <w:jc w:val="center"/>
              <w:rPr>
                <w:rFonts w:ascii="Arial" w:hAnsi="Arial" w:cs="Arial"/>
                <w:b/>
                <w:i/>
                <w:color w:val="000000"/>
                <w:sz w:val="16"/>
                <w:szCs w:val="16"/>
              </w:rPr>
            </w:pPr>
            <w:r>
              <w:rPr>
                <w:rFonts w:ascii="Arial" w:hAnsi="Arial" w:cs="Arial"/>
                <w:b/>
                <w:i/>
                <w:color w:val="000000"/>
                <w:sz w:val="16"/>
                <w:szCs w:val="16"/>
              </w:rPr>
              <w:t>49,293</w:t>
            </w:r>
          </w:p>
        </w:tc>
        <w:tc>
          <w:tcPr>
            <w:tcW w:w="992" w:type="dxa"/>
            <w:tcBorders>
              <w:bottom w:val="single" w:sz="4" w:space="0" w:color="auto"/>
            </w:tcBorders>
            <w:shd w:val="clear" w:color="auto" w:fill="auto"/>
            <w:noWrap/>
            <w:vAlign w:val="center"/>
          </w:tcPr>
          <w:p w14:paraId="66B9606A" w14:textId="355D284C" w:rsidR="00127CA8" w:rsidRPr="005A34AB" w:rsidRDefault="005A34AB" w:rsidP="00127CA8">
            <w:pPr>
              <w:jc w:val="center"/>
              <w:rPr>
                <w:rFonts w:ascii="Arial" w:hAnsi="Arial" w:cs="Arial"/>
                <w:b/>
                <w:i/>
                <w:color w:val="000000"/>
                <w:sz w:val="16"/>
                <w:szCs w:val="16"/>
              </w:rPr>
            </w:pPr>
            <w:r w:rsidRPr="005A34AB">
              <w:rPr>
                <w:rFonts w:ascii="Arial" w:hAnsi="Arial" w:cs="Arial"/>
                <w:b/>
                <w:i/>
                <w:color w:val="000000"/>
                <w:sz w:val="16"/>
                <w:szCs w:val="16"/>
              </w:rPr>
              <w:t>2,113</w:t>
            </w:r>
          </w:p>
        </w:tc>
        <w:tc>
          <w:tcPr>
            <w:tcW w:w="851" w:type="dxa"/>
            <w:tcBorders>
              <w:bottom w:val="single" w:sz="4" w:space="0" w:color="auto"/>
            </w:tcBorders>
            <w:shd w:val="clear" w:color="auto" w:fill="auto"/>
            <w:noWrap/>
            <w:vAlign w:val="center"/>
          </w:tcPr>
          <w:p w14:paraId="70B4B572" w14:textId="2DBCB473" w:rsidR="00127CA8" w:rsidRPr="005A34AB" w:rsidRDefault="00127CA8" w:rsidP="00127CA8">
            <w:pPr>
              <w:jc w:val="center"/>
              <w:rPr>
                <w:rFonts w:ascii="Arial" w:hAnsi="Arial" w:cs="Arial"/>
                <w:b/>
                <w:i/>
                <w:color w:val="000000"/>
                <w:sz w:val="16"/>
                <w:szCs w:val="16"/>
              </w:rPr>
            </w:pPr>
            <w:r w:rsidRPr="005A34AB">
              <w:rPr>
                <w:rFonts w:ascii="Arial" w:hAnsi="Arial" w:cs="Arial"/>
                <w:b/>
                <w:i/>
                <w:color w:val="000000"/>
                <w:sz w:val="16"/>
                <w:szCs w:val="16"/>
              </w:rPr>
              <w:t>3,</w:t>
            </w:r>
            <w:r w:rsidR="005A34AB" w:rsidRPr="005A34AB">
              <w:rPr>
                <w:rFonts w:ascii="Arial" w:hAnsi="Arial" w:cs="Arial"/>
                <w:b/>
                <w:i/>
                <w:color w:val="000000"/>
                <w:sz w:val="16"/>
                <w:szCs w:val="16"/>
              </w:rPr>
              <w:t>990</w:t>
            </w:r>
          </w:p>
        </w:tc>
        <w:tc>
          <w:tcPr>
            <w:tcW w:w="993" w:type="dxa"/>
            <w:tcBorders>
              <w:bottom w:val="single" w:sz="4" w:space="0" w:color="auto"/>
            </w:tcBorders>
            <w:shd w:val="clear" w:color="auto" w:fill="auto"/>
            <w:noWrap/>
          </w:tcPr>
          <w:p w14:paraId="5C9C9533" w14:textId="1D7611F8" w:rsidR="00127CA8" w:rsidRPr="005A34AB" w:rsidRDefault="005A34AB" w:rsidP="00127CA8">
            <w:pPr>
              <w:jc w:val="center"/>
              <w:rPr>
                <w:rFonts w:ascii="Arial" w:hAnsi="Arial" w:cs="Arial"/>
                <w:b/>
                <w:i/>
                <w:color w:val="000000"/>
                <w:sz w:val="16"/>
                <w:szCs w:val="16"/>
              </w:rPr>
            </w:pPr>
            <w:r w:rsidRPr="005A34AB">
              <w:rPr>
                <w:rFonts w:ascii="Arial" w:hAnsi="Arial" w:cs="Arial"/>
                <w:b/>
                <w:i/>
                <w:color w:val="000000"/>
                <w:sz w:val="16"/>
                <w:szCs w:val="16"/>
              </w:rPr>
              <w:t>829</w:t>
            </w:r>
          </w:p>
        </w:tc>
        <w:tc>
          <w:tcPr>
            <w:tcW w:w="1558" w:type="dxa"/>
            <w:tcBorders>
              <w:bottom w:val="single" w:sz="4" w:space="0" w:color="auto"/>
            </w:tcBorders>
            <w:shd w:val="clear" w:color="auto" w:fill="auto"/>
            <w:noWrap/>
          </w:tcPr>
          <w:p w14:paraId="7E14A522" w14:textId="56FC9647" w:rsidR="00127CA8" w:rsidRPr="005A34AB" w:rsidRDefault="005A34AB" w:rsidP="00127CA8">
            <w:pPr>
              <w:jc w:val="center"/>
              <w:rPr>
                <w:rFonts w:ascii="Arial" w:hAnsi="Arial" w:cs="Arial"/>
                <w:b/>
                <w:i/>
                <w:color w:val="000000"/>
                <w:sz w:val="16"/>
                <w:szCs w:val="16"/>
              </w:rPr>
            </w:pPr>
            <w:r w:rsidRPr="005A34AB">
              <w:rPr>
                <w:rFonts w:ascii="Arial" w:hAnsi="Arial" w:cs="Arial"/>
                <w:b/>
                <w:i/>
                <w:color w:val="000000"/>
                <w:sz w:val="16"/>
                <w:szCs w:val="16"/>
              </w:rPr>
              <w:t>29,765</w:t>
            </w:r>
          </w:p>
        </w:tc>
        <w:tc>
          <w:tcPr>
            <w:tcW w:w="851" w:type="dxa"/>
            <w:tcBorders>
              <w:bottom w:val="single" w:sz="4" w:space="0" w:color="auto"/>
            </w:tcBorders>
            <w:shd w:val="clear" w:color="auto" w:fill="auto"/>
            <w:noWrap/>
            <w:vAlign w:val="center"/>
          </w:tcPr>
          <w:p w14:paraId="791000DC" w14:textId="1362990A" w:rsidR="00127CA8" w:rsidRPr="005A34AB" w:rsidRDefault="005A34AB" w:rsidP="00127CA8">
            <w:pPr>
              <w:jc w:val="center"/>
              <w:rPr>
                <w:rFonts w:ascii="Arial" w:hAnsi="Arial" w:cs="Arial"/>
                <w:b/>
                <w:i/>
                <w:color w:val="000000"/>
                <w:sz w:val="16"/>
                <w:szCs w:val="16"/>
              </w:rPr>
            </w:pPr>
            <w:r w:rsidRPr="005A34AB">
              <w:rPr>
                <w:rFonts w:ascii="Arial" w:hAnsi="Arial" w:cs="Arial"/>
                <w:b/>
                <w:i/>
                <w:color w:val="000000"/>
                <w:sz w:val="16"/>
                <w:szCs w:val="16"/>
              </w:rPr>
              <w:t>16</w:t>
            </w:r>
            <w:r w:rsidR="009C11A9">
              <w:rPr>
                <w:rFonts w:ascii="Arial" w:hAnsi="Arial" w:cs="Arial"/>
                <w:b/>
                <w:i/>
                <w:color w:val="000000"/>
                <w:sz w:val="16"/>
                <w:szCs w:val="16"/>
              </w:rPr>
              <w:t>3,833</w:t>
            </w:r>
          </w:p>
        </w:tc>
      </w:tr>
    </w:tbl>
    <w:p w14:paraId="6D8C2A31" w14:textId="77777777" w:rsidR="007F6B1B" w:rsidRDefault="007F6B1B" w:rsidP="00A37E8C">
      <w:pPr>
        <w:rPr>
          <w:rFonts w:ascii="Arial" w:hAnsi="Arial" w:cs="Arial"/>
          <w:sz w:val="20"/>
          <w:szCs w:val="20"/>
        </w:rPr>
      </w:pPr>
    </w:p>
    <w:tbl>
      <w:tblPr>
        <w:tblpPr w:leftFromText="180" w:rightFromText="180" w:vertAnchor="page" w:horzAnchor="margin" w:tblpXSpec="center" w:tblpY="693"/>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3"/>
        <w:gridCol w:w="709"/>
        <w:gridCol w:w="851"/>
        <w:gridCol w:w="850"/>
        <w:gridCol w:w="1134"/>
        <w:gridCol w:w="851"/>
        <w:gridCol w:w="993"/>
        <w:gridCol w:w="1558"/>
        <w:gridCol w:w="851"/>
      </w:tblGrid>
      <w:tr w:rsidR="00D86AD8" w14:paraId="01CF568C" w14:textId="77777777" w:rsidTr="00A37566">
        <w:trPr>
          <w:trHeight w:val="648"/>
        </w:trPr>
        <w:tc>
          <w:tcPr>
            <w:tcW w:w="2263" w:type="dxa"/>
            <w:shd w:val="clear" w:color="auto" w:fill="auto"/>
            <w:noWrap/>
            <w:vAlign w:val="bottom"/>
            <w:hideMark/>
          </w:tcPr>
          <w:p w14:paraId="118526ED" w14:textId="77777777" w:rsidR="00D86AD8" w:rsidRPr="003C6326" w:rsidRDefault="00D86AD8" w:rsidP="001A31C8">
            <w:pPr>
              <w:rPr>
                <w:rFonts w:ascii="Arial" w:hAnsi="Arial" w:cs="Arial"/>
                <w:b/>
                <w:bCs/>
                <w:color w:val="000000"/>
                <w:sz w:val="16"/>
                <w:szCs w:val="16"/>
              </w:rPr>
            </w:pPr>
            <w:r w:rsidRPr="003C6326">
              <w:rPr>
                <w:rFonts w:ascii="Arial" w:hAnsi="Arial" w:cs="Arial"/>
                <w:b/>
                <w:bCs/>
                <w:color w:val="000000"/>
                <w:sz w:val="16"/>
                <w:szCs w:val="16"/>
              </w:rPr>
              <w:lastRenderedPageBreak/>
              <w:t>Project/entity name</w:t>
            </w:r>
          </w:p>
          <w:p w14:paraId="3C331742" w14:textId="77777777" w:rsidR="00D86AD8" w:rsidRPr="003C6326" w:rsidRDefault="00D86AD8" w:rsidP="003C6326">
            <w:pPr>
              <w:rPr>
                <w:rFonts w:ascii="Arial" w:hAnsi="Arial" w:cs="Arial"/>
                <w:b/>
                <w:bCs/>
                <w:color w:val="000000"/>
                <w:sz w:val="16"/>
                <w:szCs w:val="16"/>
              </w:rPr>
            </w:pPr>
            <w:r w:rsidRPr="003C6326">
              <w:rPr>
                <w:rFonts w:ascii="Arial" w:hAnsi="Arial" w:cs="Arial"/>
                <w:b/>
                <w:bCs/>
                <w:color w:val="000000"/>
                <w:sz w:val="16"/>
                <w:szCs w:val="16"/>
              </w:rPr>
              <w:t>Licence</w:t>
            </w:r>
          </w:p>
        </w:tc>
        <w:tc>
          <w:tcPr>
            <w:tcW w:w="1560" w:type="dxa"/>
            <w:gridSpan w:val="2"/>
            <w:shd w:val="clear" w:color="auto" w:fill="auto"/>
            <w:vAlign w:val="bottom"/>
          </w:tcPr>
          <w:p w14:paraId="0F100B8E" w14:textId="77777777" w:rsidR="00D86AD8" w:rsidRPr="003C6326" w:rsidRDefault="00D86AD8" w:rsidP="003C6326">
            <w:pPr>
              <w:jc w:val="center"/>
              <w:rPr>
                <w:rFonts w:ascii="Arial" w:hAnsi="Arial" w:cs="Arial"/>
                <w:b/>
                <w:bCs/>
                <w:color w:val="000000"/>
                <w:sz w:val="16"/>
                <w:szCs w:val="16"/>
              </w:rPr>
            </w:pPr>
            <w:r w:rsidRPr="003C6326">
              <w:rPr>
                <w:rFonts w:ascii="Arial" w:hAnsi="Arial" w:cs="Arial"/>
                <w:b/>
                <w:bCs/>
                <w:color w:val="000000"/>
                <w:sz w:val="16"/>
                <w:szCs w:val="16"/>
              </w:rPr>
              <w:t>Production entitlements</w:t>
            </w:r>
          </w:p>
        </w:tc>
        <w:tc>
          <w:tcPr>
            <w:tcW w:w="850" w:type="dxa"/>
            <w:shd w:val="clear" w:color="auto" w:fill="auto"/>
            <w:vAlign w:val="bottom"/>
            <w:hideMark/>
          </w:tcPr>
          <w:p w14:paraId="7598127C" w14:textId="77777777" w:rsidR="00D86AD8" w:rsidRPr="003C6326" w:rsidRDefault="00D86AD8" w:rsidP="003C6326">
            <w:pPr>
              <w:jc w:val="center"/>
              <w:rPr>
                <w:rFonts w:ascii="Arial" w:hAnsi="Arial" w:cs="Arial"/>
                <w:b/>
                <w:bCs/>
                <w:color w:val="000000"/>
                <w:sz w:val="16"/>
                <w:szCs w:val="16"/>
              </w:rPr>
            </w:pPr>
            <w:r w:rsidRPr="003C6326">
              <w:rPr>
                <w:rFonts w:ascii="Arial" w:hAnsi="Arial" w:cs="Arial"/>
                <w:b/>
                <w:bCs/>
                <w:color w:val="000000"/>
                <w:sz w:val="16"/>
                <w:szCs w:val="16"/>
              </w:rPr>
              <w:t>Taxes</w:t>
            </w:r>
          </w:p>
        </w:tc>
        <w:tc>
          <w:tcPr>
            <w:tcW w:w="1134" w:type="dxa"/>
            <w:shd w:val="clear" w:color="auto" w:fill="auto"/>
            <w:vAlign w:val="bottom"/>
            <w:hideMark/>
          </w:tcPr>
          <w:p w14:paraId="660A1F52" w14:textId="77777777" w:rsidR="00D86AD8" w:rsidRPr="003C6326" w:rsidRDefault="00D86AD8" w:rsidP="003C6326">
            <w:pPr>
              <w:jc w:val="center"/>
              <w:rPr>
                <w:rFonts w:ascii="Arial" w:hAnsi="Arial" w:cs="Arial"/>
                <w:b/>
                <w:bCs/>
                <w:color w:val="000000"/>
                <w:sz w:val="16"/>
                <w:szCs w:val="16"/>
              </w:rPr>
            </w:pPr>
            <w:r w:rsidRPr="003C6326">
              <w:rPr>
                <w:rFonts w:ascii="Arial" w:hAnsi="Arial" w:cs="Arial"/>
                <w:b/>
                <w:bCs/>
                <w:color w:val="000000"/>
                <w:sz w:val="16"/>
                <w:szCs w:val="16"/>
              </w:rPr>
              <w:t>Royalties</w:t>
            </w:r>
          </w:p>
        </w:tc>
        <w:tc>
          <w:tcPr>
            <w:tcW w:w="851" w:type="dxa"/>
            <w:shd w:val="clear" w:color="auto" w:fill="auto"/>
            <w:vAlign w:val="bottom"/>
            <w:hideMark/>
          </w:tcPr>
          <w:p w14:paraId="2D608BCB" w14:textId="77777777" w:rsidR="00D86AD8" w:rsidRPr="003C6326" w:rsidRDefault="00D86AD8" w:rsidP="003C6326">
            <w:pPr>
              <w:jc w:val="center"/>
              <w:rPr>
                <w:rFonts w:ascii="Arial" w:hAnsi="Arial" w:cs="Arial"/>
                <w:b/>
                <w:bCs/>
                <w:color w:val="000000"/>
                <w:sz w:val="16"/>
                <w:szCs w:val="16"/>
              </w:rPr>
            </w:pPr>
            <w:r w:rsidRPr="003C6326">
              <w:rPr>
                <w:rFonts w:ascii="Arial" w:hAnsi="Arial" w:cs="Arial"/>
                <w:b/>
                <w:bCs/>
                <w:color w:val="000000"/>
                <w:sz w:val="16"/>
                <w:szCs w:val="16"/>
              </w:rPr>
              <w:t>Licence fees</w:t>
            </w:r>
          </w:p>
        </w:tc>
        <w:tc>
          <w:tcPr>
            <w:tcW w:w="993" w:type="dxa"/>
            <w:shd w:val="clear" w:color="auto" w:fill="auto"/>
            <w:vAlign w:val="bottom"/>
            <w:hideMark/>
          </w:tcPr>
          <w:p w14:paraId="01D6280F" w14:textId="77777777" w:rsidR="00D86AD8" w:rsidRPr="003C6326" w:rsidRDefault="00D86AD8" w:rsidP="003C6326">
            <w:pPr>
              <w:jc w:val="center"/>
              <w:rPr>
                <w:rFonts w:ascii="Arial" w:hAnsi="Arial" w:cs="Arial"/>
                <w:b/>
                <w:bCs/>
                <w:color w:val="000000"/>
                <w:sz w:val="16"/>
                <w:szCs w:val="16"/>
              </w:rPr>
            </w:pPr>
            <w:r w:rsidRPr="003C6326">
              <w:rPr>
                <w:rFonts w:ascii="Arial" w:hAnsi="Arial" w:cs="Arial"/>
                <w:b/>
                <w:bCs/>
                <w:color w:val="000000"/>
                <w:sz w:val="16"/>
                <w:szCs w:val="16"/>
              </w:rPr>
              <w:t>Research CESS</w:t>
            </w:r>
          </w:p>
        </w:tc>
        <w:tc>
          <w:tcPr>
            <w:tcW w:w="1558" w:type="dxa"/>
            <w:shd w:val="clear" w:color="auto" w:fill="auto"/>
            <w:vAlign w:val="bottom"/>
            <w:hideMark/>
          </w:tcPr>
          <w:p w14:paraId="0FCB6965" w14:textId="3456EB1A" w:rsidR="00D86AD8" w:rsidRPr="003C6326" w:rsidRDefault="00D86AD8" w:rsidP="003C6326">
            <w:pPr>
              <w:jc w:val="center"/>
              <w:rPr>
                <w:rFonts w:ascii="Arial" w:hAnsi="Arial" w:cs="Arial"/>
                <w:b/>
                <w:bCs/>
                <w:color w:val="000000"/>
                <w:sz w:val="16"/>
                <w:szCs w:val="16"/>
              </w:rPr>
            </w:pPr>
            <w:r w:rsidRPr="003C6326">
              <w:rPr>
                <w:rFonts w:ascii="Arial" w:hAnsi="Arial" w:cs="Arial"/>
                <w:b/>
                <w:bCs/>
                <w:color w:val="000000"/>
                <w:sz w:val="16"/>
                <w:szCs w:val="16"/>
              </w:rPr>
              <w:t>Supplementary payments</w:t>
            </w:r>
          </w:p>
        </w:tc>
        <w:tc>
          <w:tcPr>
            <w:tcW w:w="851" w:type="dxa"/>
            <w:shd w:val="clear" w:color="auto" w:fill="auto"/>
            <w:vAlign w:val="bottom"/>
            <w:hideMark/>
          </w:tcPr>
          <w:p w14:paraId="0997060A" w14:textId="77777777" w:rsidR="00D86AD8" w:rsidRPr="003C6326" w:rsidRDefault="00D86AD8" w:rsidP="003C6326">
            <w:pPr>
              <w:jc w:val="center"/>
              <w:rPr>
                <w:rFonts w:ascii="Arial" w:hAnsi="Arial" w:cs="Arial"/>
                <w:b/>
                <w:bCs/>
                <w:color w:val="000000"/>
                <w:sz w:val="16"/>
                <w:szCs w:val="16"/>
              </w:rPr>
            </w:pPr>
            <w:r w:rsidRPr="003C6326">
              <w:rPr>
                <w:rFonts w:ascii="Arial" w:hAnsi="Arial" w:cs="Arial"/>
                <w:b/>
                <w:bCs/>
                <w:color w:val="000000"/>
                <w:sz w:val="16"/>
                <w:szCs w:val="16"/>
              </w:rPr>
              <w:t>TOTAL</w:t>
            </w:r>
          </w:p>
        </w:tc>
      </w:tr>
      <w:tr w:rsidR="00D86AD8" w14:paraId="41BF6FFF" w14:textId="77777777" w:rsidTr="00A37566">
        <w:trPr>
          <w:trHeight w:val="241"/>
        </w:trPr>
        <w:tc>
          <w:tcPr>
            <w:tcW w:w="2263" w:type="dxa"/>
            <w:shd w:val="clear" w:color="auto" w:fill="auto"/>
            <w:noWrap/>
          </w:tcPr>
          <w:p w14:paraId="0A37F315" w14:textId="77777777" w:rsidR="00D86AD8" w:rsidRPr="003C6326" w:rsidRDefault="00D86AD8" w:rsidP="008F3613">
            <w:pPr>
              <w:rPr>
                <w:rFonts w:ascii="Arial" w:hAnsi="Arial" w:cs="Arial"/>
                <w:color w:val="000000"/>
                <w:sz w:val="16"/>
                <w:szCs w:val="16"/>
              </w:rPr>
            </w:pPr>
          </w:p>
        </w:tc>
        <w:tc>
          <w:tcPr>
            <w:tcW w:w="709" w:type="dxa"/>
            <w:shd w:val="clear" w:color="auto" w:fill="auto"/>
            <w:noWrap/>
            <w:vAlign w:val="bottom"/>
            <w:hideMark/>
          </w:tcPr>
          <w:p w14:paraId="1F752548" w14:textId="77777777" w:rsidR="00D86AD8" w:rsidRPr="003C6326" w:rsidRDefault="00D86AD8" w:rsidP="008F3613">
            <w:pPr>
              <w:jc w:val="center"/>
              <w:rPr>
                <w:rFonts w:ascii="Arial" w:hAnsi="Arial" w:cs="Arial"/>
                <w:b/>
                <w:bCs/>
                <w:color w:val="000000"/>
                <w:sz w:val="16"/>
                <w:szCs w:val="16"/>
              </w:rPr>
            </w:pPr>
            <w:r w:rsidRPr="003C6326">
              <w:rPr>
                <w:rFonts w:ascii="Arial" w:hAnsi="Arial" w:cs="Arial"/>
                <w:b/>
                <w:bCs/>
                <w:color w:val="000000"/>
                <w:sz w:val="16"/>
                <w:szCs w:val="16"/>
              </w:rPr>
              <w:t>mboe</w:t>
            </w:r>
          </w:p>
        </w:tc>
        <w:tc>
          <w:tcPr>
            <w:tcW w:w="851" w:type="dxa"/>
            <w:shd w:val="clear" w:color="auto" w:fill="auto"/>
            <w:noWrap/>
            <w:vAlign w:val="bottom"/>
            <w:hideMark/>
          </w:tcPr>
          <w:p w14:paraId="6C23EB8C" w14:textId="77777777" w:rsidR="00D86AD8" w:rsidRPr="003C6326" w:rsidRDefault="00D86AD8" w:rsidP="008F3613">
            <w:pPr>
              <w:jc w:val="center"/>
              <w:rPr>
                <w:rFonts w:ascii="Arial" w:hAnsi="Arial" w:cs="Arial"/>
                <w:b/>
                <w:bCs/>
                <w:color w:val="000000"/>
                <w:sz w:val="16"/>
                <w:szCs w:val="16"/>
              </w:rPr>
            </w:pPr>
            <w:r w:rsidRPr="003C6326">
              <w:rPr>
                <w:rFonts w:ascii="Arial" w:hAnsi="Arial" w:cs="Arial"/>
                <w:b/>
                <w:bCs/>
                <w:color w:val="000000"/>
                <w:sz w:val="16"/>
                <w:szCs w:val="16"/>
              </w:rPr>
              <w:t>$'000</w:t>
            </w:r>
          </w:p>
        </w:tc>
        <w:tc>
          <w:tcPr>
            <w:tcW w:w="850" w:type="dxa"/>
            <w:shd w:val="clear" w:color="auto" w:fill="auto"/>
            <w:noWrap/>
            <w:vAlign w:val="bottom"/>
            <w:hideMark/>
          </w:tcPr>
          <w:p w14:paraId="391057DA" w14:textId="77777777" w:rsidR="00D86AD8" w:rsidRPr="003C6326" w:rsidRDefault="00D86AD8" w:rsidP="008F3613">
            <w:pPr>
              <w:jc w:val="center"/>
              <w:rPr>
                <w:rFonts w:ascii="Arial" w:hAnsi="Arial" w:cs="Arial"/>
                <w:b/>
                <w:bCs/>
                <w:color w:val="000000"/>
                <w:sz w:val="16"/>
                <w:szCs w:val="16"/>
              </w:rPr>
            </w:pPr>
            <w:r w:rsidRPr="003C6326">
              <w:rPr>
                <w:rFonts w:ascii="Arial" w:hAnsi="Arial" w:cs="Arial"/>
                <w:b/>
                <w:bCs/>
                <w:color w:val="000000"/>
                <w:sz w:val="16"/>
                <w:szCs w:val="16"/>
              </w:rPr>
              <w:t>$'000</w:t>
            </w:r>
          </w:p>
        </w:tc>
        <w:tc>
          <w:tcPr>
            <w:tcW w:w="1134" w:type="dxa"/>
            <w:shd w:val="clear" w:color="auto" w:fill="auto"/>
            <w:noWrap/>
            <w:vAlign w:val="bottom"/>
            <w:hideMark/>
          </w:tcPr>
          <w:p w14:paraId="43071D56" w14:textId="77777777" w:rsidR="00D86AD8" w:rsidRPr="003C6326" w:rsidRDefault="00D86AD8" w:rsidP="008F3613">
            <w:pPr>
              <w:jc w:val="center"/>
              <w:rPr>
                <w:rFonts w:ascii="Arial" w:hAnsi="Arial" w:cs="Arial"/>
                <w:b/>
                <w:bCs/>
                <w:color w:val="000000"/>
                <w:sz w:val="16"/>
                <w:szCs w:val="16"/>
              </w:rPr>
            </w:pPr>
            <w:r w:rsidRPr="003C6326">
              <w:rPr>
                <w:rFonts w:ascii="Arial" w:hAnsi="Arial" w:cs="Arial"/>
                <w:b/>
                <w:bCs/>
                <w:color w:val="000000"/>
                <w:sz w:val="16"/>
                <w:szCs w:val="16"/>
              </w:rPr>
              <w:t>$'000</w:t>
            </w:r>
          </w:p>
        </w:tc>
        <w:tc>
          <w:tcPr>
            <w:tcW w:w="851" w:type="dxa"/>
            <w:shd w:val="clear" w:color="auto" w:fill="auto"/>
            <w:noWrap/>
            <w:vAlign w:val="bottom"/>
            <w:hideMark/>
          </w:tcPr>
          <w:p w14:paraId="02FD4F9A" w14:textId="77777777" w:rsidR="00D86AD8" w:rsidRPr="003C6326" w:rsidRDefault="00D86AD8" w:rsidP="008F3613">
            <w:pPr>
              <w:jc w:val="center"/>
              <w:rPr>
                <w:rFonts w:ascii="Arial" w:hAnsi="Arial" w:cs="Arial"/>
                <w:b/>
                <w:bCs/>
                <w:color w:val="000000"/>
                <w:sz w:val="16"/>
                <w:szCs w:val="16"/>
              </w:rPr>
            </w:pPr>
            <w:r w:rsidRPr="003C6326">
              <w:rPr>
                <w:rFonts w:ascii="Arial" w:hAnsi="Arial" w:cs="Arial"/>
                <w:b/>
                <w:bCs/>
                <w:color w:val="000000"/>
                <w:sz w:val="16"/>
                <w:szCs w:val="16"/>
              </w:rPr>
              <w:t>$'000</w:t>
            </w:r>
          </w:p>
        </w:tc>
        <w:tc>
          <w:tcPr>
            <w:tcW w:w="993" w:type="dxa"/>
            <w:shd w:val="clear" w:color="auto" w:fill="auto"/>
            <w:noWrap/>
            <w:vAlign w:val="bottom"/>
            <w:hideMark/>
          </w:tcPr>
          <w:p w14:paraId="13079C7B" w14:textId="77777777" w:rsidR="00D86AD8" w:rsidRPr="003C6326" w:rsidRDefault="00D86AD8" w:rsidP="008F3613">
            <w:pPr>
              <w:jc w:val="center"/>
              <w:rPr>
                <w:rFonts w:ascii="Arial" w:hAnsi="Arial" w:cs="Arial"/>
                <w:b/>
                <w:bCs/>
                <w:color w:val="000000"/>
                <w:sz w:val="16"/>
                <w:szCs w:val="16"/>
              </w:rPr>
            </w:pPr>
            <w:r w:rsidRPr="003C6326">
              <w:rPr>
                <w:rFonts w:ascii="Arial" w:hAnsi="Arial" w:cs="Arial"/>
                <w:b/>
                <w:bCs/>
                <w:color w:val="000000"/>
                <w:sz w:val="16"/>
                <w:szCs w:val="16"/>
              </w:rPr>
              <w:t>$'000</w:t>
            </w:r>
          </w:p>
        </w:tc>
        <w:tc>
          <w:tcPr>
            <w:tcW w:w="1558" w:type="dxa"/>
            <w:shd w:val="clear" w:color="auto" w:fill="auto"/>
            <w:noWrap/>
            <w:vAlign w:val="bottom"/>
            <w:hideMark/>
          </w:tcPr>
          <w:p w14:paraId="260AE2C4" w14:textId="77777777" w:rsidR="00D86AD8" w:rsidRPr="003C6326" w:rsidRDefault="00D86AD8" w:rsidP="008F3613">
            <w:pPr>
              <w:jc w:val="center"/>
              <w:rPr>
                <w:rFonts w:ascii="Arial" w:hAnsi="Arial" w:cs="Arial"/>
                <w:b/>
                <w:bCs/>
                <w:color w:val="000000"/>
                <w:sz w:val="16"/>
                <w:szCs w:val="16"/>
              </w:rPr>
            </w:pPr>
            <w:r w:rsidRPr="003C6326">
              <w:rPr>
                <w:rFonts w:ascii="Arial" w:hAnsi="Arial" w:cs="Arial"/>
                <w:b/>
                <w:bCs/>
                <w:color w:val="000000"/>
                <w:sz w:val="16"/>
                <w:szCs w:val="16"/>
              </w:rPr>
              <w:t>$'000</w:t>
            </w:r>
          </w:p>
        </w:tc>
        <w:tc>
          <w:tcPr>
            <w:tcW w:w="851" w:type="dxa"/>
            <w:shd w:val="clear" w:color="auto" w:fill="auto"/>
            <w:noWrap/>
            <w:vAlign w:val="bottom"/>
            <w:hideMark/>
          </w:tcPr>
          <w:p w14:paraId="0AAA4901" w14:textId="77777777" w:rsidR="00D86AD8" w:rsidRPr="003C6326" w:rsidRDefault="00D86AD8" w:rsidP="008F3613">
            <w:pPr>
              <w:jc w:val="center"/>
              <w:rPr>
                <w:rFonts w:ascii="Arial" w:hAnsi="Arial" w:cs="Arial"/>
                <w:b/>
                <w:bCs/>
                <w:color w:val="000000"/>
                <w:sz w:val="16"/>
                <w:szCs w:val="16"/>
              </w:rPr>
            </w:pPr>
            <w:r w:rsidRPr="003C6326">
              <w:rPr>
                <w:rFonts w:ascii="Arial" w:hAnsi="Arial" w:cs="Arial"/>
                <w:b/>
                <w:bCs/>
                <w:color w:val="000000"/>
                <w:sz w:val="16"/>
                <w:szCs w:val="16"/>
              </w:rPr>
              <w:t>$'000</w:t>
            </w:r>
          </w:p>
        </w:tc>
      </w:tr>
      <w:tr w:rsidR="00D86AD8" w14:paraId="6BF10B14" w14:textId="77777777" w:rsidTr="00A37566">
        <w:trPr>
          <w:trHeight w:val="220"/>
        </w:trPr>
        <w:tc>
          <w:tcPr>
            <w:tcW w:w="2263" w:type="dxa"/>
            <w:shd w:val="clear" w:color="auto" w:fill="auto"/>
            <w:noWrap/>
            <w:hideMark/>
          </w:tcPr>
          <w:p w14:paraId="68387229" w14:textId="77777777" w:rsidR="00D86AD8" w:rsidRPr="003C6326" w:rsidRDefault="00D86AD8" w:rsidP="008F3613">
            <w:pPr>
              <w:rPr>
                <w:rFonts w:ascii="Arial" w:hAnsi="Arial" w:cs="Arial"/>
                <w:color w:val="000000"/>
                <w:sz w:val="16"/>
                <w:szCs w:val="16"/>
              </w:rPr>
            </w:pPr>
            <w:r w:rsidRPr="003C6326">
              <w:rPr>
                <w:rFonts w:ascii="Arial" w:hAnsi="Arial" w:cs="Arial"/>
                <w:color w:val="000000"/>
                <w:sz w:val="16"/>
                <w:szCs w:val="16"/>
              </w:rPr>
              <w:t>HM Revenue and Customs</w:t>
            </w:r>
          </w:p>
        </w:tc>
        <w:tc>
          <w:tcPr>
            <w:tcW w:w="709" w:type="dxa"/>
            <w:shd w:val="clear" w:color="auto" w:fill="auto"/>
            <w:noWrap/>
            <w:vAlign w:val="center"/>
            <w:hideMark/>
          </w:tcPr>
          <w:p w14:paraId="588077A5" w14:textId="48604ED0" w:rsidR="00D86AD8" w:rsidRPr="003C6326" w:rsidRDefault="00D86AD8" w:rsidP="003C6326">
            <w:pPr>
              <w:jc w:val="center"/>
              <w:rPr>
                <w:rFonts w:ascii="Arial" w:hAnsi="Arial" w:cs="Arial"/>
                <w:color w:val="000000"/>
                <w:sz w:val="16"/>
                <w:szCs w:val="16"/>
              </w:rPr>
            </w:pPr>
            <w:r w:rsidRPr="003C6326">
              <w:rPr>
                <w:rFonts w:ascii="Arial" w:hAnsi="Arial" w:cs="Arial"/>
                <w:color w:val="000000"/>
                <w:sz w:val="16"/>
                <w:szCs w:val="16"/>
              </w:rPr>
              <w:t>-</w:t>
            </w:r>
          </w:p>
        </w:tc>
        <w:tc>
          <w:tcPr>
            <w:tcW w:w="851" w:type="dxa"/>
            <w:shd w:val="clear" w:color="auto" w:fill="auto"/>
            <w:noWrap/>
            <w:vAlign w:val="center"/>
            <w:hideMark/>
          </w:tcPr>
          <w:p w14:paraId="537ACC3B" w14:textId="22AC48DA" w:rsidR="00D86AD8" w:rsidRPr="003C6326" w:rsidRDefault="00D86AD8" w:rsidP="003C6326">
            <w:pPr>
              <w:jc w:val="center"/>
              <w:rPr>
                <w:rFonts w:ascii="Arial" w:hAnsi="Arial" w:cs="Arial"/>
                <w:color w:val="000000"/>
                <w:sz w:val="16"/>
                <w:szCs w:val="16"/>
              </w:rPr>
            </w:pPr>
            <w:r w:rsidRPr="003C6326">
              <w:rPr>
                <w:rFonts w:ascii="Arial" w:hAnsi="Arial" w:cs="Arial"/>
                <w:color w:val="000000"/>
                <w:sz w:val="16"/>
                <w:szCs w:val="16"/>
              </w:rPr>
              <w:t>-</w:t>
            </w:r>
          </w:p>
        </w:tc>
        <w:tc>
          <w:tcPr>
            <w:tcW w:w="850" w:type="dxa"/>
            <w:shd w:val="clear" w:color="auto" w:fill="auto"/>
            <w:noWrap/>
            <w:vAlign w:val="center"/>
          </w:tcPr>
          <w:p w14:paraId="28F9E4BA" w14:textId="2BAFE6CB" w:rsidR="00D86AD8" w:rsidRPr="003C6326" w:rsidRDefault="005A34AB" w:rsidP="003C6326">
            <w:pPr>
              <w:jc w:val="center"/>
              <w:rPr>
                <w:rFonts w:ascii="Arial" w:hAnsi="Arial" w:cs="Arial"/>
                <w:color w:val="000000"/>
                <w:sz w:val="16"/>
                <w:szCs w:val="16"/>
              </w:rPr>
            </w:pPr>
            <w:r>
              <w:rPr>
                <w:rFonts w:ascii="Arial" w:hAnsi="Arial" w:cs="Arial"/>
                <w:color w:val="000000"/>
                <w:sz w:val="16"/>
                <w:szCs w:val="16"/>
              </w:rPr>
              <w:t>3</w:t>
            </w:r>
            <w:r w:rsidR="009C11A9">
              <w:rPr>
                <w:rFonts w:ascii="Arial" w:hAnsi="Arial" w:cs="Arial"/>
                <w:color w:val="000000"/>
                <w:sz w:val="16"/>
                <w:szCs w:val="16"/>
              </w:rPr>
              <w:t>5,231</w:t>
            </w:r>
          </w:p>
        </w:tc>
        <w:tc>
          <w:tcPr>
            <w:tcW w:w="1134" w:type="dxa"/>
            <w:shd w:val="clear" w:color="auto" w:fill="auto"/>
            <w:noWrap/>
            <w:vAlign w:val="center"/>
          </w:tcPr>
          <w:p w14:paraId="15C87FA0" w14:textId="29862B9D" w:rsidR="00D86AD8" w:rsidRPr="003C6326" w:rsidRDefault="00D86AD8" w:rsidP="003C6326">
            <w:pPr>
              <w:jc w:val="center"/>
              <w:rPr>
                <w:rFonts w:ascii="Arial" w:hAnsi="Arial" w:cs="Arial"/>
                <w:color w:val="000000"/>
                <w:sz w:val="16"/>
                <w:szCs w:val="16"/>
              </w:rPr>
            </w:pPr>
            <w:r w:rsidRPr="003C6326">
              <w:rPr>
                <w:rFonts w:ascii="Arial" w:hAnsi="Arial" w:cs="Arial"/>
                <w:color w:val="000000"/>
                <w:sz w:val="16"/>
                <w:szCs w:val="16"/>
              </w:rPr>
              <w:t>-</w:t>
            </w:r>
          </w:p>
        </w:tc>
        <w:tc>
          <w:tcPr>
            <w:tcW w:w="851" w:type="dxa"/>
            <w:shd w:val="clear" w:color="auto" w:fill="auto"/>
            <w:noWrap/>
            <w:vAlign w:val="center"/>
          </w:tcPr>
          <w:p w14:paraId="47D4DE9D" w14:textId="185201DB" w:rsidR="00D86AD8" w:rsidRPr="003C6326" w:rsidRDefault="00D86AD8" w:rsidP="003C6326">
            <w:pPr>
              <w:jc w:val="center"/>
              <w:rPr>
                <w:rFonts w:ascii="Arial" w:hAnsi="Arial" w:cs="Arial"/>
                <w:color w:val="000000"/>
                <w:sz w:val="16"/>
                <w:szCs w:val="16"/>
              </w:rPr>
            </w:pPr>
            <w:r w:rsidRPr="003C6326">
              <w:rPr>
                <w:rFonts w:ascii="Arial" w:hAnsi="Arial" w:cs="Arial"/>
                <w:color w:val="000000"/>
                <w:sz w:val="16"/>
                <w:szCs w:val="16"/>
              </w:rPr>
              <w:t>-</w:t>
            </w:r>
          </w:p>
        </w:tc>
        <w:tc>
          <w:tcPr>
            <w:tcW w:w="993" w:type="dxa"/>
            <w:shd w:val="clear" w:color="auto" w:fill="auto"/>
            <w:noWrap/>
            <w:vAlign w:val="center"/>
          </w:tcPr>
          <w:p w14:paraId="0C436158" w14:textId="07962680" w:rsidR="00D86AD8" w:rsidRPr="003C6326" w:rsidRDefault="00D86AD8" w:rsidP="003C6326">
            <w:pPr>
              <w:jc w:val="center"/>
              <w:rPr>
                <w:rFonts w:ascii="Arial" w:hAnsi="Arial" w:cs="Arial"/>
                <w:color w:val="000000"/>
                <w:sz w:val="16"/>
                <w:szCs w:val="16"/>
              </w:rPr>
            </w:pPr>
            <w:r w:rsidRPr="003C6326">
              <w:rPr>
                <w:rFonts w:ascii="Arial" w:hAnsi="Arial" w:cs="Arial"/>
                <w:color w:val="000000"/>
                <w:sz w:val="16"/>
                <w:szCs w:val="16"/>
              </w:rPr>
              <w:t>-</w:t>
            </w:r>
          </w:p>
        </w:tc>
        <w:tc>
          <w:tcPr>
            <w:tcW w:w="1558" w:type="dxa"/>
            <w:shd w:val="clear" w:color="auto" w:fill="auto"/>
            <w:noWrap/>
            <w:vAlign w:val="center"/>
          </w:tcPr>
          <w:p w14:paraId="0FFA3487" w14:textId="58501050" w:rsidR="00D86AD8" w:rsidRPr="003C6326" w:rsidRDefault="00D86AD8" w:rsidP="003C6326">
            <w:pPr>
              <w:jc w:val="center"/>
              <w:rPr>
                <w:rFonts w:ascii="Arial" w:hAnsi="Arial" w:cs="Arial"/>
                <w:color w:val="000000"/>
                <w:sz w:val="16"/>
                <w:szCs w:val="16"/>
              </w:rPr>
            </w:pPr>
            <w:r w:rsidRPr="003C6326">
              <w:rPr>
                <w:rFonts w:ascii="Arial" w:hAnsi="Arial" w:cs="Arial"/>
                <w:color w:val="000000"/>
                <w:sz w:val="16"/>
                <w:szCs w:val="16"/>
              </w:rPr>
              <w:t>-</w:t>
            </w:r>
          </w:p>
        </w:tc>
        <w:tc>
          <w:tcPr>
            <w:tcW w:w="851" w:type="dxa"/>
            <w:shd w:val="clear" w:color="auto" w:fill="auto"/>
            <w:noWrap/>
            <w:vAlign w:val="center"/>
          </w:tcPr>
          <w:p w14:paraId="0CBDE46E" w14:textId="34C5EBA1" w:rsidR="00D86AD8" w:rsidRPr="003C6326" w:rsidRDefault="005A34AB" w:rsidP="003C6326">
            <w:pPr>
              <w:jc w:val="center"/>
              <w:rPr>
                <w:rFonts w:ascii="Arial" w:hAnsi="Arial" w:cs="Arial"/>
                <w:color w:val="000000"/>
                <w:sz w:val="16"/>
                <w:szCs w:val="16"/>
              </w:rPr>
            </w:pPr>
            <w:r>
              <w:rPr>
                <w:rFonts w:ascii="Arial" w:hAnsi="Arial" w:cs="Arial"/>
                <w:color w:val="000000"/>
                <w:sz w:val="16"/>
                <w:szCs w:val="16"/>
              </w:rPr>
              <w:t>3</w:t>
            </w:r>
            <w:r w:rsidR="009C11A9">
              <w:rPr>
                <w:rFonts w:ascii="Arial" w:hAnsi="Arial" w:cs="Arial"/>
                <w:color w:val="000000"/>
                <w:sz w:val="16"/>
                <w:szCs w:val="16"/>
              </w:rPr>
              <w:t>5,231</w:t>
            </w:r>
          </w:p>
        </w:tc>
      </w:tr>
      <w:tr w:rsidR="00D86AD8" w14:paraId="6364CF2E" w14:textId="77777777" w:rsidTr="009C11A9">
        <w:trPr>
          <w:trHeight w:val="553"/>
        </w:trPr>
        <w:tc>
          <w:tcPr>
            <w:tcW w:w="2263" w:type="dxa"/>
            <w:shd w:val="clear" w:color="auto" w:fill="auto"/>
            <w:noWrap/>
            <w:hideMark/>
          </w:tcPr>
          <w:p w14:paraId="1942E42C" w14:textId="77777777" w:rsidR="00D86AD8" w:rsidRPr="003C6326" w:rsidRDefault="00D86AD8" w:rsidP="009C247B">
            <w:pPr>
              <w:rPr>
                <w:rFonts w:ascii="Arial" w:hAnsi="Arial" w:cs="Arial"/>
                <w:color w:val="000000"/>
                <w:sz w:val="16"/>
                <w:szCs w:val="16"/>
              </w:rPr>
            </w:pPr>
            <w:r w:rsidRPr="003C6326">
              <w:rPr>
                <w:rFonts w:ascii="Arial" w:hAnsi="Arial" w:cs="Arial"/>
                <w:color w:val="000000"/>
                <w:sz w:val="16"/>
                <w:szCs w:val="16"/>
              </w:rPr>
              <w:t>Department of Business, Energy and Industrial Strategy</w:t>
            </w:r>
          </w:p>
        </w:tc>
        <w:tc>
          <w:tcPr>
            <w:tcW w:w="709" w:type="dxa"/>
            <w:shd w:val="clear" w:color="auto" w:fill="auto"/>
            <w:noWrap/>
            <w:vAlign w:val="center"/>
          </w:tcPr>
          <w:p w14:paraId="363820A9" w14:textId="77777777" w:rsidR="00D86AD8" w:rsidRPr="003C6326" w:rsidRDefault="00D86AD8" w:rsidP="009C247B">
            <w:pPr>
              <w:jc w:val="center"/>
              <w:rPr>
                <w:rFonts w:ascii="Arial" w:hAnsi="Arial" w:cs="Arial"/>
                <w:color w:val="000000"/>
                <w:sz w:val="16"/>
                <w:szCs w:val="16"/>
              </w:rPr>
            </w:pPr>
            <w:r w:rsidRPr="003C6326">
              <w:rPr>
                <w:rFonts w:ascii="Arial" w:hAnsi="Arial" w:cs="Arial"/>
                <w:color w:val="000000"/>
                <w:sz w:val="16"/>
                <w:szCs w:val="16"/>
              </w:rPr>
              <w:t>-</w:t>
            </w:r>
          </w:p>
        </w:tc>
        <w:tc>
          <w:tcPr>
            <w:tcW w:w="851" w:type="dxa"/>
            <w:shd w:val="clear" w:color="auto" w:fill="auto"/>
            <w:noWrap/>
            <w:vAlign w:val="center"/>
            <w:hideMark/>
          </w:tcPr>
          <w:p w14:paraId="2249C179" w14:textId="77777777" w:rsidR="00D86AD8" w:rsidRPr="003C6326" w:rsidRDefault="00D86AD8" w:rsidP="009C247B">
            <w:pPr>
              <w:jc w:val="center"/>
              <w:rPr>
                <w:rFonts w:ascii="Arial" w:hAnsi="Arial" w:cs="Arial"/>
                <w:color w:val="000000"/>
                <w:sz w:val="16"/>
                <w:szCs w:val="16"/>
              </w:rPr>
            </w:pPr>
            <w:r w:rsidRPr="003C6326">
              <w:rPr>
                <w:rFonts w:ascii="Arial" w:hAnsi="Arial" w:cs="Arial"/>
                <w:color w:val="000000"/>
                <w:sz w:val="16"/>
                <w:szCs w:val="16"/>
              </w:rPr>
              <w:t>-</w:t>
            </w:r>
          </w:p>
        </w:tc>
        <w:tc>
          <w:tcPr>
            <w:tcW w:w="850" w:type="dxa"/>
            <w:shd w:val="clear" w:color="auto" w:fill="auto"/>
            <w:noWrap/>
            <w:vAlign w:val="center"/>
          </w:tcPr>
          <w:p w14:paraId="028FFCC7" w14:textId="67F96383" w:rsidR="00D86AD8" w:rsidRPr="003C6326" w:rsidRDefault="00D86AD8" w:rsidP="009C247B">
            <w:pPr>
              <w:jc w:val="center"/>
              <w:rPr>
                <w:rFonts w:ascii="Arial" w:hAnsi="Arial" w:cs="Arial"/>
                <w:color w:val="000000"/>
                <w:sz w:val="16"/>
                <w:szCs w:val="16"/>
              </w:rPr>
            </w:pPr>
            <w:r w:rsidRPr="003C6326">
              <w:rPr>
                <w:rFonts w:ascii="Arial" w:hAnsi="Arial" w:cs="Arial"/>
                <w:color w:val="000000"/>
                <w:sz w:val="16"/>
                <w:szCs w:val="16"/>
              </w:rPr>
              <w:t>-</w:t>
            </w:r>
          </w:p>
        </w:tc>
        <w:tc>
          <w:tcPr>
            <w:tcW w:w="1134" w:type="dxa"/>
            <w:shd w:val="clear" w:color="auto" w:fill="auto"/>
            <w:noWrap/>
            <w:vAlign w:val="center"/>
          </w:tcPr>
          <w:p w14:paraId="68E10C26" w14:textId="67EC024B" w:rsidR="00D86AD8" w:rsidRPr="003C6326" w:rsidRDefault="00D86AD8" w:rsidP="009C247B">
            <w:pPr>
              <w:jc w:val="center"/>
              <w:rPr>
                <w:rFonts w:ascii="Arial" w:hAnsi="Arial" w:cs="Arial"/>
                <w:color w:val="000000"/>
                <w:sz w:val="16"/>
                <w:szCs w:val="16"/>
              </w:rPr>
            </w:pPr>
            <w:r w:rsidRPr="003C6326">
              <w:rPr>
                <w:rFonts w:ascii="Arial" w:hAnsi="Arial" w:cs="Arial"/>
                <w:color w:val="000000"/>
                <w:sz w:val="16"/>
                <w:szCs w:val="16"/>
              </w:rPr>
              <w:t>-</w:t>
            </w:r>
          </w:p>
        </w:tc>
        <w:tc>
          <w:tcPr>
            <w:tcW w:w="851" w:type="dxa"/>
            <w:shd w:val="clear" w:color="auto" w:fill="auto"/>
            <w:noWrap/>
            <w:vAlign w:val="center"/>
          </w:tcPr>
          <w:p w14:paraId="1C9BEDF1" w14:textId="4DF20790" w:rsidR="00D86AD8" w:rsidRPr="009C247B" w:rsidRDefault="00D86AD8" w:rsidP="009C247B">
            <w:pPr>
              <w:jc w:val="center"/>
              <w:rPr>
                <w:rFonts w:ascii="Arial" w:hAnsi="Arial" w:cs="Arial"/>
                <w:color w:val="000000"/>
                <w:sz w:val="16"/>
                <w:szCs w:val="16"/>
              </w:rPr>
            </w:pPr>
            <w:r w:rsidRPr="009C247B">
              <w:rPr>
                <w:rFonts w:ascii="Arial" w:hAnsi="Arial" w:cs="Arial"/>
                <w:color w:val="000000"/>
                <w:sz w:val="16"/>
                <w:szCs w:val="16"/>
              </w:rPr>
              <w:t>3,</w:t>
            </w:r>
            <w:r w:rsidR="005A34AB">
              <w:rPr>
                <w:rFonts w:ascii="Arial" w:hAnsi="Arial" w:cs="Arial"/>
                <w:color w:val="000000"/>
                <w:sz w:val="16"/>
                <w:szCs w:val="16"/>
              </w:rPr>
              <w:t>990</w:t>
            </w:r>
          </w:p>
        </w:tc>
        <w:tc>
          <w:tcPr>
            <w:tcW w:w="993" w:type="dxa"/>
            <w:shd w:val="clear" w:color="auto" w:fill="auto"/>
            <w:noWrap/>
            <w:vAlign w:val="center"/>
          </w:tcPr>
          <w:p w14:paraId="25EA758A" w14:textId="0A2AF6BF" w:rsidR="00D86AD8" w:rsidRPr="003C6326" w:rsidRDefault="00D86AD8" w:rsidP="009C247B">
            <w:pPr>
              <w:jc w:val="center"/>
              <w:rPr>
                <w:rFonts w:ascii="Arial" w:hAnsi="Arial" w:cs="Arial"/>
                <w:color w:val="000000"/>
                <w:sz w:val="16"/>
                <w:szCs w:val="16"/>
              </w:rPr>
            </w:pPr>
            <w:r w:rsidRPr="003C6326">
              <w:rPr>
                <w:rFonts w:ascii="Arial" w:hAnsi="Arial" w:cs="Arial"/>
                <w:color w:val="000000"/>
                <w:sz w:val="16"/>
                <w:szCs w:val="16"/>
              </w:rPr>
              <w:t>-</w:t>
            </w:r>
          </w:p>
        </w:tc>
        <w:tc>
          <w:tcPr>
            <w:tcW w:w="1558" w:type="dxa"/>
            <w:shd w:val="clear" w:color="auto" w:fill="auto"/>
            <w:noWrap/>
            <w:vAlign w:val="center"/>
          </w:tcPr>
          <w:p w14:paraId="2EABF74A" w14:textId="576B4ED4" w:rsidR="00D86AD8" w:rsidRPr="003C6326" w:rsidRDefault="00D86AD8" w:rsidP="009C247B">
            <w:pPr>
              <w:jc w:val="center"/>
              <w:rPr>
                <w:rFonts w:ascii="Arial" w:hAnsi="Arial" w:cs="Arial"/>
                <w:color w:val="000000"/>
                <w:sz w:val="16"/>
                <w:szCs w:val="16"/>
              </w:rPr>
            </w:pPr>
            <w:r w:rsidRPr="003C6326">
              <w:rPr>
                <w:rFonts w:ascii="Arial" w:hAnsi="Arial" w:cs="Arial"/>
                <w:color w:val="000000"/>
                <w:sz w:val="16"/>
                <w:szCs w:val="16"/>
              </w:rPr>
              <w:t>-</w:t>
            </w:r>
          </w:p>
        </w:tc>
        <w:tc>
          <w:tcPr>
            <w:tcW w:w="851" w:type="dxa"/>
            <w:shd w:val="clear" w:color="auto" w:fill="auto"/>
            <w:noWrap/>
            <w:vAlign w:val="center"/>
          </w:tcPr>
          <w:p w14:paraId="163AA8A7" w14:textId="35C07C5C" w:rsidR="00D86AD8" w:rsidRPr="003C6326" w:rsidRDefault="00D86AD8" w:rsidP="009C247B">
            <w:pPr>
              <w:jc w:val="center"/>
              <w:rPr>
                <w:rFonts w:ascii="Arial" w:hAnsi="Arial" w:cs="Arial"/>
                <w:color w:val="000000"/>
                <w:sz w:val="16"/>
                <w:szCs w:val="16"/>
              </w:rPr>
            </w:pPr>
            <w:r w:rsidRPr="009C247B">
              <w:rPr>
                <w:rFonts w:ascii="Arial" w:hAnsi="Arial" w:cs="Arial"/>
                <w:color w:val="000000"/>
                <w:sz w:val="16"/>
                <w:szCs w:val="16"/>
              </w:rPr>
              <w:t>3,</w:t>
            </w:r>
            <w:r w:rsidR="005A34AB">
              <w:rPr>
                <w:rFonts w:ascii="Arial" w:hAnsi="Arial" w:cs="Arial"/>
                <w:color w:val="000000"/>
                <w:sz w:val="16"/>
                <w:szCs w:val="16"/>
              </w:rPr>
              <w:t>990</w:t>
            </w:r>
          </w:p>
        </w:tc>
      </w:tr>
      <w:tr w:rsidR="00D86AD8" w14:paraId="60B8E28F" w14:textId="77777777" w:rsidTr="00A37566">
        <w:trPr>
          <w:trHeight w:val="220"/>
        </w:trPr>
        <w:tc>
          <w:tcPr>
            <w:tcW w:w="2263" w:type="dxa"/>
            <w:shd w:val="clear" w:color="auto" w:fill="auto"/>
            <w:noWrap/>
            <w:hideMark/>
          </w:tcPr>
          <w:p w14:paraId="2D6D009D" w14:textId="77777777" w:rsidR="00D86AD8" w:rsidRPr="00A849C0" w:rsidRDefault="00D86AD8" w:rsidP="009C247B">
            <w:pPr>
              <w:rPr>
                <w:rFonts w:ascii="Arial" w:hAnsi="Arial" w:cs="Arial"/>
                <w:i/>
                <w:color w:val="000000"/>
                <w:sz w:val="16"/>
                <w:szCs w:val="16"/>
              </w:rPr>
            </w:pPr>
            <w:r w:rsidRPr="00A849C0">
              <w:rPr>
                <w:rFonts w:ascii="Arial" w:hAnsi="Arial" w:cs="Arial"/>
                <w:b/>
                <w:i/>
                <w:color w:val="000000"/>
                <w:sz w:val="16"/>
                <w:szCs w:val="16"/>
              </w:rPr>
              <w:t>Total United Kingdom</w:t>
            </w:r>
          </w:p>
        </w:tc>
        <w:tc>
          <w:tcPr>
            <w:tcW w:w="709" w:type="dxa"/>
            <w:shd w:val="clear" w:color="auto" w:fill="auto"/>
            <w:noWrap/>
            <w:vAlign w:val="center"/>
            <w:hideMark/>
          </w:tcPr>
          <w:p w14:paraId="49BD45E6" w14:textId="77777777" w:rsidR="00D86AD8" w:rsidRPr="003C6326" w:rsidRDefault="00D86AD8" w:rsidP="009C247B">
            <w:pPr>
              <w:jc w:val="center"/>
              <w:rPr>
                <w:rFonts w:ascii="Arial" w:hAnsi="Arial" w:cs="Arial"/>
                <w:b/>
                <w:i/>
                <w:color w:val="000000"/>
                <w:sz w:val="16"/>
                <w:szCs w:val="16"/>
              </w:rPr>
            </w:pPr>
            <w:r w:rsidRPr="003C6326">
              <w:rPr>
                <w:rFonts w:ascii="Arial" w:hAnsi="Arial" w:cs="Arial"/>
                <w:b/>
                <w:bCs/>
                <w:i/>
                <w:iCs/>
                <w:color w:val="000000"/>
                <w:sz w:val="16"/>
                <w:szCs w:val="16"/>
              </w:rPr>
              <w:t>-</w:t>
            </w:r>
          </w:p>
        </w:tc>
        <w:tc>
          <w:tcPr>
            <w:tcW w:w="851" w:type="dxa"/>
            <w:shd w:val="clear" w:color="auto" w:fill="auto"/>
            <w:noWrap/>
            <w:vAlign w:val="center"/>
            <w:hideMark/>
          </w:tcPr>
          <w:p w14:paraId="7D2F719A" w14:textId="77777777" w:rsidR="00D86AD8" w:rsidRPr="003C6326" w:rsidRDefault="00D86AD8" w:rsidP="009C247B">
            <w:pPr>
              <w:jc w:val="center"/>
              <w:rPr>
                <w:rFonts w:ascii="Arial" w:hAnsi="Arial" w:cs="Arial"/>
                <w:b/>
                <w:i/>
                <w:color w:val="000000"/>
                <w:sz w:val="16"/>
                <w:szCs w:val="16"/>
              </w:rPr>
            </w:pPr>
            <w:r w:rsidRPr="003C6326">
              <w:rPr>
                <w:rFonts w:ascii="Arial" w:hAnsi="Arial" w:cs="Arial"/>
                <w:b/>
                <w:i/>
                <w:color w:val="000000"/>
                <w:sz w:val="16"/>
                <w:szCs w:val="16"/>
              </w:rPr>
              <w:t>-</w:t>
            </w:r>
          </w:p>
        </w:tc>
        <w:tc>
          <w:tcPr>
            <w:tcW w:w="850" w:type="dxa"/>
            <w:shd w:val="clear" w:color="auto" w:fill="auto"/>
            <w:noWrap/>
            <w:vAlign w:val="center"/>
          </w:tcPr>
          <w:p w14:paraId="2026141D" w14:textId="197F66D3" w:rsidR="00D86AD8" w:rsidRPr="003C6326" w:rsidRDefault="005A34AB" w:rsidP="009C247B">
            <w:pPr>
              <w:jc w:val="center"/>
              <w:rPr>
                <w:rFonts w:ascii="Arial" w:hAnsi="Arial" w:cs="Arial"/>
                <w:b/>
                <w:i/>
                <w:color w:val="000000"/>
                <w:sz w:val="16"/>
                <w:szCs w:val="16"/>
              </w:rPr>
            </w:pPr>
            <w:r>
              <w:rPr>
                <w:rFonts w:ascii="Arial" w:hAnsi="Arial" w:cs="Arial"/>
                <w:b/>
                <w:i/>
                <w:color w:val="000000"/>
                <w:sz w:val="16"/>
                <w:szCs w:val="16"/>
              </w:rPr>
              <w:t>3</w:t>
            </w:r>
            <w:r w:rsidR="009C11A9">
              <w:rPr>
                <w:rFonts w:ascii="Arial" w:hAnsi="Arial" w:cs="Arial"/>
                <w:b/>
                <w:i/>
                <w:color w:val="000000"/>
                <w:sz w:val="16"/>
                <w:szCs w:val="16"/>
              </w:rPr>
              <w:t>5,231</w:t>
            </w:r>
          </w:p>
        </w:tc>
        <w:tc>
          <w:tcPr>
            <w:tcW w:w="1134" w:type="dxa"/>
            <w:shd w:val="clear" w:color="auto" w:fill="auto"/>
            <w:noWrap/>
            <w:vAlign w:val="center"/>
          </w:tcPr>
          <w:p w14:paraId="6FDE570D" w14:textId="1AF03488" w:rsidR="00D86AD8" w:rsidRPr="003C6326" w:rsidRDefault="00D86AD8" w:rsidP="009C247B">
            <w:pPr>
              <w:jc w:val="center"/>
              <w:rPr>
                <w:rFonts w:ascii="Arial" w:hAnsi="Arial" w:cs="Arial"/>
                <w:b/>
                <w:i/>
                <w:color w:val="000000"/>
                <w:sz w:val="16"/>
                <w:szCs w:val="16"/>
              </w:rPr>
            </w:pPr>
            <w:r w:rsidRPr="003C6326">
              <w:rPr>
                <w:rFonts w:ascii="Arial" w:hAnsi="Arial" w:cs="Arial"/>
                <w:b/>
                <w:i/>
                <w:color w:val="000000"/>
                <w:sz w:val="16"/>
                <w:szCs w:val="16"/>
              </w:rPr>
              <w:t>-</w:t>
            </w:r>
          </w:p>
        </w:tc>
        <w:tc>
          <w:tcPr>
            <w:tcW w:w="851" w:type="dxa"/>
            <w:shd w:val="clear" w:color="auto" w:fill="auto"/>
            <w:noWrap/>
          </w:tcPr>
          <w:p w14:paraId="3FBE889B" w14:textId="1F86AD98" w:rsidR="00D86AD8" w:rsidRPr="003C6326" w:rsidRDefault="00D86AD8" w:rsidP="009C247B">
            <w:pPr>
              <w:jc w:val="center"/>
              <w:rPr>
                <w:rFonts w:ascii="Arial" w:hAnsi="Arial" w:cs="Arial"/>
                <w:b/>
                <w:i/>
                <w:color w:val="000000"/>
                <w:sz w:val="16"/>
                <w:szCs w:val="16"/>
              </w:rPr>
            </w:pPr>
            <w:r w:rsidRPr="00EA7F8C">
              <w:rPr>
                <w:rFonts w:ascii="Arial" w:hAnsi="Arial" w:cs="Arial"/>
                <w:b/>
                <w:i/>
                <w:color w:val="000000"/>
                <w:sz w:val="16"/>
                <w:szCs w:val="16"/>
              </w:rPr>
              <w:t>3,</w:t>
            </w:r>
            <w:r w:rsidR="005A34AB">
              <w:rPr>
                <w:rFonts w:ascii="Arial" w:hAnsi="Arial" w:cs="Arial"/>
                <w:b/>
                <w:i/>
                <w:color w:val="000000"/>
                <w:sz w:val="16"/>
                <w:szCs w:val="16"/>
              </w:rPr>
              <w:t>990</w:t>
            </w:r>
          </w:p>
        </w:tc>
        <w:tc>
          <w:tcPr>
            <w:tcW w:w="993" w:type="dxa"/>
            <w:shd w:val="clear" w:color="auto" w:fill="auto"/>
            <w:noWrap/>
            <w:vAlign w:val="center"/>
          </w:tcPr>
          <w:p w14:paraId="008596B9" w14:textId="74699ED5" w:rsidR="00D86AD8" w:rsidRPr="003C6326" w:rsidRDefault="00D86AD8" w:rsidP="009C247B">
            <w:pPr>
              <w:jc w:val="center"/>
              <w:rPr>
                <w:rFonts w:ascii="Arial" w:hAnsi="Arial" w:cs="Arial"/>
                <w:b/>
                <w:i/>
                <w:color w:val="000000"/>
                <w:sz w:val="16"/>
                <w:szCs w:val="16"/>
              </w:rPr>
            </w:pPr>
            <w:r w:rsidRPr="003C6326">
              <w:rPr>
                <w:rFonts w:ascii="Arial" w:hAnsi="Arial" w:cs="Arial"/>
                <w:b/>
                <w:i/>
                <w:color w:val="000000"/>
                <w:sz w:val="16"/>
                <w:szCs w:val="16"/>
              </w:rPr>
              <w:t>-</w:t>
            </w:r>
          </w:p>
        </w:tc>
        <w:tc>
          <w:tcPr>
            <w:tcW w:w="1558" w:type="dxa"/>
            <w:shd w:val="clear" w:color="auto" w:fill="auto"/>
            <w:noWrap/>
            <w:vAlign w:val="center"/>
          </w:tcPr>
          <w:p w14:paraId="1FF3EAD6" w14:textId="64EA1554" w:rsidR="00D86AD8" w:rsidRPr="003C6326" w:rsidRDefault="00D86AD8" w:rsidP="009C247B">
            <w:pPr>
              <w:jc w:val="center"/>
              <w:rPr>
                <w:rFonts w:ascii="Arial" w:hAnsi="Arial" w:cs="Arial"/>
                <w:b/>
                <w:i/>
                <w:color w:val="000000"/>
                <w:sz w:val="16"/>
                <w:szCs w:val="16"/>
              </w:rPr>
            </w:pPr>
            <w:r w:rsidRPr="003C6326">
              <w:rPr>
                <w:rFonts w:ascii="Arial" w:hAnsi="Arial" w:cs="Arial"/>
                <w:b/>
                <w:i/>
                <w:color w:val="000000"/>
                <w:sz w:val="16"/>
                <w:szCs w:val="16"/>
              </w:rPr>
              <w:t>-</w:t>
            </w:r>
          </w:p>
        </w:tc>
        <w:tc>
          <w:tcPr>
            <w:tcW w:w="851" w:type="dxa"/>
            <w:shd w:val="clear" w:color="auto" w:fill="auto"/>
            <w:noWrap/>
            <w:vAlign w:val="center"/>
          </w:tcPr>
          <w:p w14:paraId="6B84CCFC" w14:textId="11F5F170" w:rsidR="00D86AD8" w:rsidRPr="003C6326" w:rsidRDefault="009C11A9" w:rsidP="009C247B">
            <w:pPr>
              <w:jc w:val="center"/>
              <w:rPr>
                <w:rFonts w:ascii="Arial" w:hAnsi="Arial" w:cs="Arial"/>
                <w:b/>
                <w:i/>
                <w:color w:val="000000"/>
                <w:sz w:val="16"/>
                <w:szCs w:val="16"/>
              </w:rPr>
            </w:pPr>
            <w:r>
              <w:rPr>
                <w:rFonts w:ascii="Arial" w:hAnsi="Arial" w:cs="Arial"/>
                <w:b/>
                <w:i/>
                <w:color w:val="000000"/>
                <w:sz w:val="16"/>
                <w:szCs w:val="16"/>
              </w:rPr>
              <w:t>39,221</w:t>
            </w:r>
          </w:p>
        </w:tc>
      </w:tr>
      <w:tr w:rsidR="00D86AD8" w14:paraId="4EFB61D4" w14:textId="77777777" w:rsidTr="00A37566">
        <w:trPr>
          <w:trHeight w:val="220"/>
        </w:trPr>
        <w:tc>
          <w:tcPr>
            <w:tcW w:w="2263" w:type="dxa"/>
            <w:shd w:val="clear" w:color="auto" w:fill="auto"/>
            <w:noWrap/>
            <w:hideMark/>
          </w:tcPr>
          <w:p w14:paraId="527478FE" w14:textId="77777777" w:rsidR="00D86AD8" w:rsidRPr="003C6326" w:rsidRDefault="00D86AD8" w:rsidP="009C247B">
            <w:pPr>
              <w:rPr>
                <w:rFonts w:ascii="Arial" w:hAnsi="Arial" w:cs="Arial"/>
                <w:color w:val="000000"/>
                <w:sz w:val="16"/>
                <w:szCs w:val="16"/>
              </w:rPr>
            </w:pPr>
            <w:r w:rsidRPr="003C6326">
              <w:rPr>
                <w:rFonts w:ascii="Arial" w:hAnsi="Arial" w:cs="Arial"/>
                <w:color w:val="000000"/>
                <w:sz w:val="16"/>
                <w:szCs w:val="16"/>
              </w:rPr>
              <w:t>PETRONAS</w:t>
            </w:r>
          </w:p>
        </w:tc>
        <w:tc>
          <w:tcPr>
            <w:tcW w:w="709" w:type="dxa"/>
            <w:shd w:val="clear" w:color="auto" w:fill="auto"/>
            <w:noWrap/>
            <w:hideMark/>
          </w:tcPr>
          <w:p w14:paraId="595283D6" w14:textId="4C7BDA15" w:rsidR="00D86AD8" w:rsidRPr="003C6326" w:rsidRDefault="00D86AD8" w:rsidP="009C247B">
            <w:pPr>
              <w:jc w:val="center"/>
              <w:rPr>
                <w:rFonts w:ascii="Arial" w:hAnsi="Arial" w:cs="Arial"/>
                <w:color w:val="000000"/>
                <w:sz w:val="16"/>
                <w:szCs w:val="16"/>
              </w:rPr>
            </w:pPr>
            <w:r w:rsidRPr="009C247B">
              <w:rPr>
                <w:rFonts w:ascii="Arial" w:hAnsi="Arial" w:cs="Arial"/>
                <w:color w:val="000000"/>
                <w:sz w:val="16"/>
                <w:szCs w:val="16"/>
              </w:rPr>
              <w:t xml:space="preserve"> </w:t>
            </w:r>
            <w:r w:rsidR="005A34AB">
              <w:rPr>
                <w:rFonts w:ascii="Arial" w:hAnsi="Arial" w:cs="Arial"/>
                <w:color w:val="000000"/>
                <w:sz w:val="16"/>
                <w:szCs w:val="16"/>
              </w:rPr>
              <w:t>770</w:t>
            </w:r>
            <w:r w:rsidRPr="009C247B">
              <w:rPr>
                <w:rFonts w:ascii="Arial" w:hAnsi="Arial" w:cs="Arial"/>
                <w:color w:val="000000"/>
                <w:sz w:val="16"/>
                <w:szCs w:val="16"/>
              </w:rPr>
              <w:t xml:space="preserve"> </w:t>
            </w:r>
          </w:p>
        </w:tc>
        <w:tc>
          <w:tcPr>
            <w:tcW w:w="851" w:type="dxa"/>
            <w:shd w:val="clear" w:color="auto" w:fill="auto"/>
            <w:noWrap/>
            <w:hideMark/>
          </w:tcPr>
          <w:p w14:paraId="4D98813B" w14:textId="06EF5D29" w:rsidR="00D86AD8" w:rsidRPr="003C6326" w:rsidRDefault="005A34AB" w:rsidP="009C247B">
            <w:pPr>
              <w:jc w:val="center"/>
              <w:rPr>
                <w:rFonts w:ascii="Arial" w:hAnsi="Arial" w:cs="Arial"/>
                <w:color w:val="000000"/>
                <w:sz w:val="16"/>
                <w:szCs w:val="16"/>
              </w:rPr>
            </w:pPr>
            <w:r>
              <w:rPr>
                <w:rFonts w:ascii="Arial" w:hAnsi="Arial" w:cs="Arial"/>
                <w:color w:val="000000"/>
                <w:sz w:val="16"/>
                <w:szCs w:val="16"/>
              </w:rPr>
              <w:t>77,843</w:t>
            </w:r>
            <w:r w:rsidR="00D86AD8" w:rsidRPr="009C247B">
              <w:rPr>
                <w:rFonts w:ascii="Arial" w:hAnsi="Arial" w:cs="Arial"/>
                <w:color w:val="000000"/>
                <w:sz w:val="16"/>
                <w:szCs w:val="16"/>
              </w:rPr>
              <w:t xml:space="preserve"> </w:t>
            </w:r>
          </w:p>
        </w:tc>
        <w:tc>
          <w:tcPr>
            <w:tcW w:w="850" w:type="dxa"/>
            <w:shd w:val="clear" w:color="auto" w:fill="auto"/>
            <w:noWrap/>
            <w:vAlign w:val="center"/>
          </w:tcPr>
          <w:p w14:paraId="6EA2A220" w14:textId="12F4B247" w:rsidR="00D86AD8" w:rsidRPr="003C6326" w:rsidRDefault="00D86AD8" w:rsidP="009C247B">
            <w:pPr>
              <w:jc w:val="center"/>
              <w:rPr>
                <w:rFonts w:ascii="Arial" w:hAnsi="Arial" w:cs="Arial"/>
                <w:color w:val="000000"/>
                <w:sz w:val="16"/>
                <w:szCs w:val="16"/>
              </w:rPr>
            </w:pPr>
            <w:r w:rsidRPr="003C6326">
              <w:rPr>
                <w:rFonts w:ascii="Arial" w:hAnsi="Arial" w:cs="Arial"/>
                <w:color w:val="000000"/>
                <w:sz w:val="16"/>
                <w:szCs w:val="16"/>
              </w:rPr>
              <w:t>-</w:t>
            </w:r>
          </w:p>
        </w:tc>
        <w:tc>
          <w:tcPr>
            <w:tcW w:w="1134" w:type="dxa"/>
            <w:shd w:val="clear" w:color="auto" w:fill="auto"/>
            <w:noWrap/>
            <w:vAlign w:val="center"/>
          </w:tcPr>
          <w:p w14:paraId="7032A2D4" w14:textId="70D95E8F" w:rsidR="00D86AD8" w:rsidRPr="003C6326" w:rsidRDefault="005A34AB" w:rsidP="009C247B">
            <w:pPr>
              <w:jc w:val="center"/>
              <w:rPr>
                <w:rFonts w:ascii="Arial" w:hAnsi="Arial" w:cs="Arial"/>
                <w:color w:val="000000"/>
                <w:sz w:val="16"/>
                <w:szCs w:val="16"/>
              </w:rPr>
            </w:pPr>
            <w:r>
              <w:rPr>
                <w:rFonts w:ascii="Arial" w:hAnsi="Arial" w:cs="Arial"/>
                <w:color w:val="000000"/>
                <w:sz w:val="16"/>
                <w:szCs w:val="16"/>
              </w:rPr>
              <w:t>2,113</w:t>
            </w:r>
          </w:p>
        </w:tc>
        <w:tc>
          <w:tcPr>
            <w:tcW w:w="851" w:type="dxa"/>
            <w:shd w:val="clear" w:color="auto" w:fill="auto"/>
            <w:noWrap/>
            <w:vAlign w:val="center"/>
          </w:tcPr>
          <w:p w14:paraId="619D8CEF" w14:textId="00EF830F" w:rsidR="00D86AD8" w:rsidRPr="003C6326" w:rsidRDefault="00D86AD8" w:rsidP="009C247B">
            <w:pPr>
              <w:jc w:val="center"/>
              <w:rPr>
                <w:rFonts w:ascii="Arial" w:hAnsi="Arial" w:cs="Arial"/>
                <w:color w:val="000000"/>
                <w:sz w:val="16"/>
                <w:szCs w:val="16"/>
              </w:rPr>
            </w:pPr>
            <w:r w:rsidRPr="003C6326">
              <w:rPr>
                <w:rFonts w:ascii="Arial" w:hAnsi="Arial" w:cs="Arial"/>
                <w:color w:val="000000"/>
                <w:sz w:val="16"/>
                <w:szCs w:val="16"/>
              </w:rPr>
              <w:t>-</w:t>
            </w:r>
          </w:p>
        </w:tc>
        <w:tc>
          <w:tcPr>
            <w:tcW w:w="993" w:type="dxa"/>
            <w:shd w:val="clear" w:color="auto" w:fill="auto"/>
            <w:noWrap/>
          </w:tcPr>
          <w:p w14:paraId="20D0DA65" w14:textId="48162A2C" w:rsidR="00D86AD8" w:rsidRPr="003C6326" w:rsidRDefault="00D86AD8" w:rsidP="009C247B">
            <w:pPr>
              <w:jc w:val="center"/>
              <w:rPr>
                <w:rFonts w:ascii="Arial" w:hAnsi="Arial" w:cs="Arial"/>
                <w:color w:val="000000"/>
                <w:sz w:val="16"/>
                <w:szCs w:val="16"/>
              </w:rPr>
            </w:pPr>
            <w:r w:rsidRPr="009C247B">
              <w:rPr>
                <w:rFonts w:ascii="Arial" w:hAnsi="Arial" w:cs="Arial"/>
                <w:color w:val="000000"/>
                <w:sz w:val="16"/>
                <w:szCs w:val="16"/>
              </w:rPr>
              <w:t xml:space="preserve"> </w:t>
            </w:r>
            <w:r w:rsidR="005A34AB">
              <w:rPr>
                <w:rFonts w:ascii="Arial" w:hAnsi="Arial" w:cs="Arial"/>
                <w:color w:val="000000"/>
                <w:sz w:val="16"/>
                <w:szCs w:val="16"/>
              </w:rPr>
              <w:t>829</w:t>
            </w:r>
            <w:r w:rsidRPr="009C247B">
              <w:rPr>
                <w:rFonts w:ascii="Arial" w:hAnsi="Arial" w:cs="Arial"/>
                <w:color w:val="000000"/>
                <w:sz w:val="16"/>
                <w:szCs w:val="16"/>
              </w:rPr>
              <w:t xml:space="preserve"> </w:t>
            </w:r>
          </w:p>
        </w:tc>
        <w:tc>
          <w:tcPr>
            <w:tcW w:w="1558" w:type="dxa"/>
            <w:shd w:val="clear" w:color="auto" w:fill="auto"/>
            <w:noWrap/>
          </w:tcPr>
          <w:p w14:paraId="07571043" w14:textId="093EBCF9" w:rsidR="00D86AD8" w:rsidRPr="003C6326" w:rsidRDefault="00D86AD8" w:rsidP="009C247B">
            <w:pPr>
              <w:jc w:val="center"/>
              <w:rPr>
                <w:rFonts w:ascii="Arial" w:hAnsi="Arial" w:cs="Arial"/>
                <w:color w:val="000000"/>
                <w:sz w:val="16"/>
                <w:szCs w:val="16"/>
              </w:rPr>
            </w:pPr>
            <w:r w:rsidRPr="009C247B">
              <w:rPr>
                <w:rFonts w:ascii="Arial" w:hAnsi="Arial" w:cs="Arial"/>
                <w:color w:val="000000"/>
                <w:sz w:val="16"/>
                <w:szCs w:val="16"/>
              </w:rPr>
              <w:t xml:space="preserve"> </w:t>
            </w:r>
            <w:r w:rsidR="005A34AB">
              <w:rPr>
                <w:rFonts w:ascii="Arial" w:hAnsi="Arial" w:cs="Arial"/>
                <w:color w:val="000000"/>
                <w:sz w:val="16"/>
                <w:szCs w:val="16"/>
              </w:rPr>
              <w:t>29,765</w:t>
            </w:r>
          </w:p>
        </w:tc>
        <w:tc>
          <w:tcPr>
            <w:tcW w:w="851" w:type="dxa"/>
            <w:shd w:val="clear" w:color="auto" w:fill="auto"/>
            <w:noWrap/>
            <w:vAlign w:val="center"/>
          </w:tcPr>
          <w:p w14:paraId="32179D54" w14:textId="59ABC07B" w:rsidR="00D86AD8" w:rsidRPr="003C6326" w:rsidRDefault="005A34AB" w:rsidP="009C247B">
            <w:pPr>
              <w:jc w:val="center"/>
              <w:rPr>
                <w:rFonts w:ascii="Arial" w:hAnsi="Arial" w:cs="Arial"/>
                <w:color w:val="000000"/>
                <w:sz w:val="16"/>
                <w:szCs w:val="16"/>
              </w:rPr>
            </w:pPr>
            <w:r>
              <w:rPr>
                <w:rFonts w:ascii="Arial" w:hAnsi="Arial" w:cs="Arial"/>
                <w:color w:val="000000"/>
                <w:sz w:val="16"/>
                <w:szCs w:val="16"/>
              </w:rPr>
              <w:t>110,550</w:t>
            </w:r>
          </w:p>
        </w:tc>
      </w:tr>
      <w:tr w:rsidR="00D86AD8" w14:paraId="1E620841" w14:textId="77777777" w:rsidTr="00A37566">
        <w:trPr>
          <w:trHeight w:val="220"/>
        </w:trPr>
        <w:tc>
          <w:tcPr>
            <w:tcW w:w="2263" w:type="dxa"/>
            <w:shd w:val="clear" w:color="auto" w:fill="auto"/>
            <w:noWrap/>
            <w:hideMark/>
          </w:tcPr>
          <w:p w14:paraId="1CE4D257" w14:textId="77777777" w:rsidR="00D86AD8" w:rsidRPr="003C6326" w:rsidRDefault="00D86AD8" w:rsidP="009C247B">
            <w:pPr>
              <w:rPr>
                <w:rFonts w:ascii="Arial" w:hAnsi="Arial" w:cs="Arial"/>
                <w:color w:val="000000"/>
                <w:sz w:val="16"/>
                <w:szCs w:val="16"/>
              </w:rPr>
            </w:pPr>
            <w:r w:rsidRPr="003C6326">
              <w:rPr>
                <w:rFonts w:ascii="Arial" w:hAnsi="Arial" w:cs="Arial"/>
                <w:color w:val="000000"/>
                <w:sz w:val="16"/>
                <w:szCs w:val="16"/>
              </w:rPr>
              <w:t>Malaysian Inland Revenue Board</w:t>
            </w:r>
          </w:p>
        </w:tc>
        <w:tc>
          <w:tcPr>
            <w:tcW w:w="709" w:type="dxa"/>
            <w:shd w:val="clear" w:color="auto" w:fill="auto"/>
            <w:noWrap/>
            <w:vAlign w:val="center"/>
            <w:hideMark/>
          </w:tcPr>
          <w:p w14:paraId="116622A8" w14:textId="77777777" w:rsidR="00D86AD8" w:rsidRPr="003C6326" w:rsidRDefault="00D86AD8" w:rsidP="009C247B">
            <w:pPr>
              <w:jc w:val="center"/>
              <w:rPr>
                <w:rFonts w:ascii="Arial" w:hAnsi="Arial" w:cs="Arial"/>
                <w:color w:val="000000"/>
                <w:sz w:val="16"/>
                <w:szCs w:val="16"/>
              </w:rPr>
            </w:pPr>
            <w:r w:rsidRPr="003C6326">
              <w:rPr>
                <w:rFonts w:ascii="Arial" w:hAnsi="Arial" w:cs="Arial"/>
                <w:color w:val="000000"/>
                <w:sz w:val="16"/>
                <w:szCs w:val="16"/>
              </w:rPr>
              <w:t>-</w:t>
            </w:r>
          </w:p>
        </w:tc>
        <w:tc>
          <w:tcPr>
            <w:tcW w:w="851" w:type="dxa"/>
            <w:shd w:val="clear" w:color="auto" w:fill="auto"/>
            <w:noWrap/>
            <w:vAlign w:val="center"/>
            <w:hideMark/>
          </w:tcPr>
          <w:p w14:paraId="164C52B6" w14:textId="77777777" w:rsidR="00D86AD8" w:rsidRPr="003C6326" w:rsidRDefault="00D86AD8" w:rsidP="009C247B">
            <w:pPr>
              <w:jc w:val="center"/>
              <w:rPr>
                <w:rFonts w:ascii="Arial" w:hAnsi="Arial" w:cs="Arial"/>
                <w:color w:val="000000"/>
                <w:sz w:val="16"/>
                <w:szCs w:val="16"/>
              </w:rPr>
            </w:pPr>
            <w:r w:rsidRPr="003C6326">
              <w:rPr>
                <w:rFonts w:ascii="Arial" w:hAnsi="Arial" w:cs="Arial"/>
                <w:color w:val="000000"/>
                <w:sz w:val="16"/>
                <w:szCs w:val="16"/>
              </w:rPr>
              <w:t>-</w:t>
            </w:r>
          </w:p>
        </w:tc>
        <w:tc>
          <w:tcPr>
            <w:tcW w:w="850" w:type="dxa"/>
            <w:shd w:val="clear" w:color="auto" w:fill="auto"/>
            <w:noWrap/>
            <w:vAlign w:val="center"/>
          </w:tcPr>
          <w:p w14:paraId="090DD521" w14:textId="32E0A07A" w:rsidR="00D86AD8" w:rsidRPr="003C6326" w:rsidRDefault="005A34AB" w:rsidP="009C247B">
            <w:pPr>
              <w:jc w:val="center"/>
              <w:rPr>
                <w:rFonts w:ascii="Arial" w:hAnsi="Arial" w:cs="Arial"/>
                <w:color w:val="000000"/>
                <w:sz w:val="16"/>
                <w:szCs w:val="16"/>
              </w:rPr>
            </w:pPr>
            <w:r>
              <w:rPr>
                <w:rFonts w:ascii="Arial" w:hAnsi="Arial" w:cs="Arial"/>
                <w:color w:val="000000"/>
                <w:sz w:val="16"/>
                <w:szCs w:val="16"/>
              </w:rPr>
              <w:t>14,062</w:t>
            </w:r>
          </w:p>
        </w:tc>
        <w:tc>
          <w:tcPr>
            <w:tcW w:w="1134" w:type="dxa"/>
            <w:shd w:val="clear" w:color="auto" w:fill="auto"/>
            <w:noWrap/>
            <w:vAlign w:val="center"/>
          </w:tcPr>
          <w:p w14:paraId="72B611A0" w14:textId="3400A4BC" w:rsidR="00D86AD8" w:rsidRPr="003C6326" w:rsidRDefault="00D86AD8" w:rsidP="009C247B">
            <w:pPr>
              <w:jc w:val="center"/>
              <w:rPr>
                <w:rFonts w:ascii="Arial" w:hAnsi="Arial" w:cs="Arial"/>
                <w:color w:val="000000"/>
                <w:sz w:val="16"/>
                <w:szCs w:val="16"/>
              </w:rPr>
            </w:pPr>
            <w:r w:rsidRPr="003C6326">
              <w:rPr>
                <w:rFonts w:ascii="Arial" w:hAnsi="Arial" w:cs="Arial"/>
                <w:color w:val="000000"/>
                <w:sz w:val="16"/>
                <w:szCs w:val="16"/>
              </w:rPr>
              <w:t>-</w:t>
            </w:r>
          </w:p>
        </w:tc>
        <w:tc>
          <w:tcPr>
            <w:tcW w:w="851" w:type="dxa"/>
            <w:shd w:val="clear" w:color="auto" w:fill="auto"/>
            <w:noWrap/>
            <w:vAlign w:val="center"/>
          </w:tcPr>
          <w:p w14:paraId="4DCF21A2" w14:textId="37C89587" w:rsidR="00D86AD8" w:rsidRPr="003C6326" w:rsidRDefault="00D86AD8" w:rsidP="009C247B">
            <w:pPr>
              <w:jc w:val="center"/>
              <w:rPr>
                <w:rFonts w:ascii="Arial" w:hAnsi="Arial" w:cs="Arial"/>
                <w:color w:val="000000"/>
                <w:sz w:val="16"/>
                <w:szCs w:val="16"/>
              </w:rPr>
            </w:pPr>
            <w:r w:rsidRPr="003C6326">
              <w:rPr>
                <w:rFonts w:ascii="Arial" w:hAnsi="Arial" w:cs="Arial"/>
                <w:color w:val="000000"/>
                <w:sz w:val="16"/>
                <w:szCs w:val="16"/>
              </w:rPr>
              <w:t>-</w:t>
            </w:r>
          </w:p>
        </w:tc>
        <w:tc>
          <w:tcPr>
            <w:tcW w:w="993" w:type="dxa"/>
            <w:shd w:val="clear" w:color="auto" w:fill="auto"/>
            <w:noWrap/>
            <w:vAlign w:val="center"/>
          </w:tcPr>
          <w:p w14:paraId="1C4AE202" w14:textId="23D3AD55" w:rsidR="00D86AD8" w:rsidRPr="003C6326" w:rsidRDefault="00D86AD8" w:rsidP="009C247B">
            <w:pPr>
              <w:jc w:val="center"/>
              <w:rPr>
                <w:rFonts w:ascii="Arial" w:hAnsi="Arial" w:cs="Arial"/>
                <w:color w:val="000000"/>
                <w:sz w:val="16"/>
                <w:szCs w:val="16"/>
              </w:rPr>
            </w:pPr>
            <w:r w:rsidRPr="003C6326">
              <w:rPr>
                <w:rFonts w:ascii="Arial" w:hAnsi="Arial" w:cs="Arial"/>
                <w:color w:val="000000"/>
                <w:sz w:val="16"/>
                <w:szCs w:val="16"/>
              </w:rPr>
              <w:t>-</w:t>
            </w:r>
          </w:p>
        </w:tc>
        <w:tc>
          <w:tcPr>
            <w:tcW w:w="1558" w:type="dxa"/>
            <w:shd w:val="clear" w:color="auto" w:fill="auto"/>
            <w:noWrap/>
            <w:vAlign w:val="center"/>
          </w:tcPr>
          <w:p w14:paraId="7FCD3AB8" w14:textId="35B0108D" w:rsidR="00D86AD8" w:rsidRPr="003C6326" w:rsidRDefault="00D86AD8" w:rsidP="009C247B">
            <w:pPr>
              <w:jc w:val="center"/>
              <w:rPr>
                <w:rFonts w:ascii="Arial" w:hAnsi="Arial" w:cs="Arial"/>
                <w:color w:val="000000"/>
                <w:sz w:val="16"/>
                <w:szCs w:val="16"/>
              </w:rPr>
            </w:pPr>
            <w:r w:rsidRPr="003C6326">
              <w:rPr>
                <w:rFonts w:ascii="Arial" w:hAnsi="Arial" w:cs="Arial"/>
                <w:color w:val="000000"/>
                <w:sz w:val="16"/>
                <w:szCs w:val="16"/>
              </w:rPr>
              <w:t>-</w:t>
            </w:r>
          </w:p>
        </w:tc>
        <w:tc>
          <w:tcPr>
            <w:tcW w:w="851" w:type="dxa"/>
            <w:shd w:val="clear" w:color="auto" w:fill="auto"/>
            <w:noWrap/>
            <w:vAlign w:val="center"/>
          </w:tcPr>
          <w:p w14:paraId="7F52966E" w14:textId="25295118" w:rsidR="00D86AD8" w:rsidRPr="003C6326" w:rsidRDefault="005A34AB" w:rsidP="009C247B">
            <w:pPr>
              <w:jc w:val="center"/>
              <w:rPr>
                <w:rFonts w:ascii="Arial" w:hAnsi="Arial" w:cs="Arial"/>
                <w:color w:val="000000"/>
                <w:sz w:val="16"/>
                <w:szCs w:val="16"/>
              </w:rPr>
            </w:pPr>
            <w:r>
              <w:rPr>
                <w:rFonts w:ascii="Arial" w:hAnsi="Arial" w:cs="Arial"/>
                <w:color w:val="000000"/>
                <w:sz w:val="16"/>
                <w:szCs w:val="16"/>
              </w:rPr>
              <w:t>14,062</w:t>
            </w:r>
          </w:p>
        </w:tc>
      </w:tr>
      <w:tr w:rsidR="00D86AD8" w14:paraId="3364AACE" w14:textId="77777777" w:rsidTr="00A37566">
        <w:trPr>
          <w:trHeight w:val="220"/>
        </w:trPr>
        <w:tc>
          <w:tcPr>
            <w:tcW w:w="2263" w:type="dxa"/>
            <w:shd w:val="clear" w:color="auto" w:fill="auto"/>
            <w:noWrap/>
          </w:tcPr>
          <w:p w14:paraId="31E356B1" w14:textId="77777777" w:rsidR="00D86AD8" w:rsidRPr="00A849C0" w:rsidRDefault="00D86AD8" w:rsidP="00C466D9">
            <w:pPr>
              <w:rPr>
                <w:rFonts w:ascii="Arial" w:hAnsi="Arial" w:cs="Arial"/>
                <w:i/>
                <w:color w:val="000000"/>
                <w:sz w:val="16"/>
                <w:szCs w:val="16"/>
              </w:rPr>
            </w:pPr>
            <w:r w:rsidRPr="00A849C0">
              <w:rPr>
                <w:rFonts w:ascii="Arial" w:hAnsi="Arial" w:cs="Arial"/>
                <w:b/>
                <w:i/>
                <w:color w:val="000000"/>
                <w:sz w:val="16"/>
                <w:szCs w:val="16"/>
              </w:rPr>
              <w:t>Total Malaysia</w:t>
            </w:r>
          </w:p>
        </w:tc>
        <w:tc>
          <w:tcPr>
            <w:tcW w:w="709" w:type="dxa"/>
            <w:shd w:val="clear" w:color="auto" w:fill="auto"/>
            <w:noWrap/>
          </w:tcPr>
          <w:p w14:paraId="79819D2A" w14:textId="77A000BF" w:rsidR="00D86AD8" w:rsidRPr="00C466D9" w:rsidRDefault="00D86AD8" w:rsidP="00C466D9">
            <w:pPr>
              <w:jc w:val="center"/>
              <w:rPr>
                <w:rFonts w:ascii="Arial" w:hAnsi="Arial" w:cs="Arial"/>
                <w:b/>
                <w:i/>
                <w:color w:val="000000"/>
                <w:sz w:val="16"/>
                <w:szCs w:val="16"/>
              </w:rPr>
            </w:pPr>
            <w:r w:rsidRPr="00C466D9">
              <w:rPr>
                <w:rFonts w:ascii="Arial" w:hAnsi="Arial" w:cs="Arial"/>
                <w:b/>
                <w:i/>
                <w:color w:val="000000"/>
                <w:sz w:val="16"/>
                <w:szCs w:val="16"/>
              </w:rPr>
              <w:t xml:space="preserve"> </w:t>
            </w:r>
            <w:r w:rsidR="005A34AB">
              <w:rPr>
                <w:rFonts w:ascii="Arial" w:hAnsi="Arial" w:cs="Arial"/>
                <w:b/>
                <w:i/>
                <w:color w:val="000000"/>
                <w:sz w:val="16"/>
                <w:szCs w:val="16"/>
              </w:rPr>
              <w:t>770</w:t>
            </w:r>
            <w:r w:rsidRPr="00C466D9">
              <w:rPr>
                <w:rFonts w:ascii="Arial" w:hAnsi="Arial" w:cs="Arial"/>
                <w:b/>
                <w:i/>
                <w:color w:val="000000"/>
                <w:sz w:val="16"/>
                <w:szCs w:val="16"/>
              </w:rPr>
              <w:t xml:space="preserve"> </w:t>
            </w:r>
          </w:p>
        </w:tc>
        <w:tc>
          <w:tcPr>
            <w:tcW w:w="851" w:type="dxa"/>
            <w:shd w:val="clear" w:color="auto" w:fill="auto"/>
            <w:noWrap/>
          </w:tcPr>
          <w:p w14:paraId="7C773E6E" w14:textId="4B1989A9" w:rsidR="00D86AD8" w:rsidRPr="00C466D9" w:rsidRDefault="005A34AB" w:rsidP="00C466D9">
            <w:pPr>
              <w:jc w:val="center"/>
              <w:rPr>
                <w:rFonts w:ascii="Arial" w:hAnsi="Arial" w:cs="Arial"/>
                <w:b/>
                <w:i/>
                <w:color w:val="000000"/>
                <w:sz w:val="16"/>
                <w:szCs w:val="16"/>
              </w:rPr>
            </w:pPr>
            <w:r>
              <w:rPr>
                <w:rFonts w:ascii="Arial" w:hAnsi="Arial" w:cs="Arial"/>
                <w:b/>
                <w:i/>
                <w:color w:val="000000"/>
                <w:sz w:val="16"/>
                <w:szCs w:val="16"/>
              </w:rPr>
              <w:t>77,843</w:t>
            </w:r>
            <w:r w:rsidR="00D86AD8" w:rsidRPr="00C466D9">
              <w:rPr>
                <w:rFonts w:ascii="Arial" w:hAnsi="Arial" w:cs="Arial"/>
                <w:b/>
                <w:i/>
                <w:color w:val="000000"/>
                <w:sz w:val="16"/>
                <w:szCs w:val="16"/>
              </w:rPr>
              <w:t xml:space="preserve"> </w:t>
            </w:r>
          </w:p>
        </w:tc>
        <w:tc>
          <w:tcPr>
            <w:tcW w:w="850" w:type="dxa"/>
            <w:shd w:val="clear" w:color="auto" w:fill="auto"/>
            <w:noWrap/>
            <w:vAlign w:val="center"/>
          </w:tcPr>
          <w:p w14:paraId="05A2EAA4" w14:textId="34DA003D" w:rsidR="00D86AD8" w:rsidRPr="00C466D9" w:rsidRDefault="005A34AB" w:rsidP="00C466D9">
            <w:pPr>
              <w:jc w:val="center"/>
              <w:rPr>
                <w:rFonts w:ascii="Arial" w:hAnsi="Arial" w:cs="Arial"/>
                <w:b/>
                <w:i/>
                <w:color w:val="000000"/>
                <w:sz w:val="16"/>
                <w:szCs w:val="16"/>
              </w:rPr>
            </w:pPr>
            <w:r>
              <w:rPr>
                <w:rFonts w:ascii="Arial" w:hAnsi="Arial" w:cs="Arial"/>
                <w:b/>
                <w:i/>
                <w:color w:val="000000"/>
                <w:sz w:val="16"/>
                <w:szCs w:val="16"/>
              </w:rPr>
              <w:t>14,062</w:t>
            </w:r>
          </w:p>
        </w:tc>
        <w:tc>
          <w:tcPr>
            <w:tcW w:w="1134" w:type="dxa"/>
            <w:shd w:val="clear" w:color="auto" w:fill="auto"/>
            <w:noWrap/>
            <w:vAlign w:val="center"/>
          </w:tcPr>
          <w:p w14:paraId="56103F9D" w14:textId="27923339" w:rsidR="00D86AD8" w:rsidRPr="00C466D9" w:rsidRDefault="005A34AB" w:rsidP="00C466D9">
            <w:pPr>
              <w:jc w:val="center"/>
              <w:rPr>
                <w:rFonts w:ascii="Arial" w:hAnsi="Arial" w:cs="Arial"/>
                <w:b/>
                <w:i/>
                <w:color w:val="000000"/>
                <w:sz w:val="16"/>
                <w:szCs w:val="16"/>
              </w:rPr>
            </w:pPr>
            <w:r>
              <w:rPr>
                <w:rFonts w:ascii="Arial" w:hAnsi="Arial" w:cs="Arial"/>
                <w:b/>
                <w:i/>
                <w:color w:val="000000"/>
                <w:sz w:val="16"/>
                <w:szCs w:val="16"/>
              </w:rPr>
              <w:t>2,113</w:t>
            </w:r>
          </w:p>
        </w:tc>
        <w:tc>
          <w:tcPr>
            <w:tcW w:w="851" w:type="dxa"/>
            <w:shd w:val="clear" w:color="auto" w:fill="auto"/>
            <w:noWrap/>
            <w:vAlign w:val="center"/>
          </w:tcPr>
          <w:p w14:paraId="4865400D" w14:textId="6B618C28" w:rsidR="00D86AD8" w:rsidRPr="00C466D9" w:rsidRDefault="00D86AD8" w:rsidP="00C466D9">
            <w:pPr>
              <w:jc w:val="center"/>
              <w:rPr>
                <w:rFonts w:ascii="Arial" w:hAnsi="Arial" w:cs="Arial"/>
                <w:b/>
                <w:i/>
                <w:color w:val="000000"/>
                <w:sz w:val="16"/>
                <w:szCs w:val="16"/>
              </w:rPr>
            </w:pPr>
            <w:r w:rsidRPr="00C466D9">
              <w:rPr>
                <w:rFonts w:ascii="Arial" w:hAnsi="Arial" w:cs="Arial"/>
                <w:b/>
                <w:i/>
                <w:color w:val="000000"/>
                <w:sz w:val="16"/>
                <w:szCs w:val="16"/>
              </w:rPr>
              <w:t>-</w:t>
            </w:r>
          </w:p>
        </w:tc>
        <w:tc>
          <w:tcPr>
            <w:tcW w:w="993" w:type="dxa"/>
            <w:shd w:val="clear" w:color="auto" w:fill="auto"/>
            <w:noWrap/>
          </w:tcPr>
          <w:p w14:paraId="7C8C1F52" w14:textId="1C4F17CC" w:rsidR="00D86AD8" w:rsidRPr="00C466D9" w:rsidRDefault="00D86AD8" w:rsidP="00C466D9">
            <w:pPr>
              <w:jc w:val="center"/>
              <w:rPr>
                <w:rFonts w:ascii="Arial" w:hAnsi="Arial" w:cs="Arial"/>
                <w:b/>
                <w:i/>
                <w:color w:val="000000"/>
                <w:sz w:val="16"/>
                <w:szCs w:val="16"/>
              </w:rPr>
            </w:pPr>
            <w:r w:rsidRPr="00C466D9">
              <w:rPr>
                <w:rFonts w:ascii="Arial" w:hAnsi="Arial" w:cs="Arial"/>
                <w:b/>
                <w:i/>
                <w:color w:val="000000"/>
                <w:sz w:val="16"/>
                <w:szCs w:val="16"/>
              </w:rPr>
              <w:t xml:space="preserve"> </w:t>
            </w:r>
            <w:r w:rsidR="005A34AB">
              <w:rPr>
                <w:rFonts w:ascii="Arial" w:hAnsi="Arial" w:cs="Arial"/>
                <w:b/>
                <w:i/>
                <w:color w:val="000000"/>
                <w:sz w:val="16"/>
                <w:szCs w:val="16"/>
              </w:rPr>
              <w:t>829</w:t>
            </w:r>
            <w:r w:rsidRPr="00C466D9">
              <w:rPr>
                <w:rFonts w:ascii="Arial" w:hAnsi="Arial" w:cs="Arial"/>
                <w:b/>
                <w:i/>
                <w:color w:val="000000"/>
                <w:sz w:val="16"/>
                <w:szCs w:val="16"/>
              </w:rPr>
              <w:t xml:space="preserve"> </w:t>
            </w:r>
          </w:p>
        </w:tc>
        <w:tc>
          <w:tcPr>
            <w:tcW w:w="1558" w:type="dxa"/>
            <w:shd w:val="clear" w:color="auto" w:fill="auto"/>
            <w:noWrap/>
          </w:tcPr>
          <w:p w14:paraId="269A94C9" w14:textId="726E69A3" w:rsidR="00D86AD8" w:rsidRPr="00C466D9" w:rsidRDefault="005A34AB" w:rsidP="00C466D9">
            <w:pPr>
              <w:jc w:val="center"/>
              <w:rPr>
                <w:rFonts w:ascii="Arial" w:hAnsi="Arial" w:cs="Arial"/>
                <w:b/>
                <w:i/>
                <w:color w:val="000000"/>
                <w:sz w:val="16"/>
                <w:szCs w:val="16"/>
              </w:rPr>
            </w:pPr>
            <w:r>
              <w:rPr>
                <w:rFonts w:ascii="Arial" w:hAnsi="Arial" w:cs="Arial"/>
                <w:b/>
                <w:i/>
                <w:color w:val="000000"/>
                <w:sz w:val="16"/>
                <w:szCs w:val="16"/>
              </w:rPr>
              <w:t xml:space="preserve"> 29,765</w:t>
            </w:r>
            <w:r w:rsidR="00D86AD8" w:rsidRPr="00C466D9">
              <w:rPr>
                <w:rFonts w:ascii="Arial" w:hAnsi="Arial" w:cs="Arial"/>
                <w:b/>
                <w:i/>
                <w:color w:val="000000"/>
                <w:sz w:val="16"/>
                <w:szCs w:val="16"/>
              </w:rPr>
              <w:t xml:space="preserve"> </w:t>
            </w:r>
          </w:p>
        </w:tc>
        <w:tc>
          <w:tcPr>
            <w:tcW w:w="851" w:type="dxa"/>
            <w:shd w:val="clear" w:color="auto" w:fill="auto"/>
            <w:noWrap/>
            <w:vAlign w:val="center"/>
          </w:tcPr>
          <w:p w14:paraId="134AB093" w14:textId="6FCFEA2F" w:rsidR="00D86AD8" w:rsidRPr="00C466D9" w:rsidRDefault="005A34AB" w:rsidP="00C466D9">
            <w:pPr>
              <w:jc w:val="center"/>
              <w:rPr>
                <w:rFonts w:ascii="Arial" w:hAnsi="Arial" w:cs="Arial"/>
                <w:b/>
                <w:i/>
                <w:color w:val="000000"/>
                <w:sz w:val="16"/>
                <w:szCs w:val="16"/>
              </w:rPr>
            </w:pPr>
            <w:r>
              <w:rPr>
                <w:rFonts w:ascii="Arial" w:hAnsi="Arial" w:cs="Arial"/>
                <w:b/>
                <w:i/>
                <w:color w:val="000000"/>
                <w:sz w:val="16"/>
                <w:szCs w:val="16"/>
              </w:rPr>
              <w:t>124,612</w:t>
            </w:r>
          </w:p>
        </w:tc>
      </w:tr>
      <w:tr w:rsidR="00D86AD8" w14:paraId="788E138F" w14:textId="77777777" w:rsidTr="00A37566">
        <w:trPr>
          <w:trHeight w:val="220"/>
        </w:trPr>
        <w:tc>
          <w:tcPr>
            <w:tcW w:w="2263" w:type="dxa"/>
            <w:shd w:val="clear" w:color="auto" w:fill="auto"/>
            <w:noWrap/>
            <w:hideMark/>
          </w:tcPr>
          <w:p w14:paraId="37F96B8A" w14:textId="77777777" w:rsidR="00D86AD8" w:rsidRPr="00A849C0" w:rsidRDefault="00D86AD8" w:rsidP="00C466D9">
            <w:pPr>
              <w:rPr>
                <w:rFonts w:ascii="Arial" w:hAnsi="Arial" w:cs="Arial"/>
                <w:i/>
                <w:color w:val="000000"/>
                <w:sz w:val="16"/>
                <w:szCs w:val="16"/>
              </w:rPr>
            </w:pPr>
            <w:r w:rsidRPr="00A849C0">
              <w:rPr>
                <w:rFonts w:ascii="Arial" w:hAnsi="Arial" w:cs="Arial"/>
                <w:b/>
                <w:i/>
                <w:color w:val="000000"/>
                <w:sz w:val="16"/>
                <w:szCs w:val="16"/>
              </w:rPr>
              <w:t>Total Group</w:t>
            </w:r>
          </w:p>
        </w:tc>
        <w:tc>
          <w:tcPr>
            <w:tcW w:w="709" w:type="dxa"/>
            <w:shd w:val="clear" w:color="auto" w:fill="auto"/>
            <w:noWrap/>
          </w:tcPr>
          <w:p w14:paraId="769F6AA4" w14:textId="507763BA" w:rsidR="00D86AD8" w:rsidRPr="00C466D9" w:rsidRDefault="00D86AD8" w:rsidP="00C466D9">
            <w:pPr>
              <w:jc w:val="center"/>
              <w:rPr>
                <w:rFonts w:ascii="Arial" w:hAnsi="Arial" w:cs="Arial"/>
                <w:b/>
                <w:i/>
                <w:color w:val="000000"/>
                <w:sz w:val="16"/>
                <w:szCs w:val="16"/>
              </w:rPr>
            </w:pPr>
            <w:r w:rsidRPr="00C466D9">
              <w:rPr>
                <w:rFonts w:ascii="Arial" w:hAnsi="Arial" w:cs="Arial"/>
                <w:b/>
                <w:i/>
                <w:color w:val="000000"/>
                <w:sz w:val="16"/>
                <w:szCs w:val="16"/>
              </w:rPr>
              <w:t xml:space="preserve"> </w:t>
            </w:r>
            <w:r w:rsidR="005A34AB">
              <w:rPr>
                <w:rFonts w:ascii="Arial" w:hAnsi="Arial" w:cs="Arial"/>
                <w:b/>
                <w:i/>
                <w:color w:val="000000"/>
                <w:sz w:val="16"/>
                <w:szCs w:val="16"/>
              </w:rPr>
              <w:t>770</w:t>
            </w:r>
            <w:r w:rsidRPr="00C466D9">
              <w:rPr>
                <w:rFonts w:ascii="Arial" w:hAnsi="Arial" w:cs="Arial"/>
                <w:b/>
                <w:i/>
                <w:color w:val="000000"/>
                <w:sz w:val="16"/>
                <w:szCs w:val="16"/>
              </w:rPr>
              <w:t xml:space="preserve"> </w:t>
            </w:r>
          </w:p>
        </w:tc>
        <w:tc>
          <w:tcPr>
            <w:tcW w:w="851" w:type="dxa"/>
            <w:shd w:val="clear" w:color="auto" w:fill="auto"/>
            <w:noWrap/>
            <w:hideMark/>
          </w:tcPr>
          <w:p w14:paraId="5CCB09CA" w14:textId="5DE7A6AE" w:rsidR="00D86AD8" w:rsidRPr="00C466D9" w:rsidRDefault="005A34AB" w:rsidP="00C466D9">
            <w:pPr>
              <w:jc w:val="center"/>
              <w:rPr>
                <w:rFonts w:ascii="Arial" w:hAnsi="Arial" w:cs="Arial"/>
                <w:b/>
                <w:i/>
                <w:color w:val="000000"/>
                <w:sz w:val="16"/>
                <w:szCs w:val="16"/>
              </w:rPr>
            </w:pPr>
            <w:r>
              <w:rPr>
                <w:rFonts w:ascii="Arial" w:hAnsi="Arial" w:cs="Arial"/>
                <w:b/>
                <w:i/>
                <w:color w:val="000000"/>
                <w:sz w:val="16"/>
                <w:szCs w:val="16"/>
              </w:rPr>
              <w:t>77,843</w:t>
            </w:r>
            <w:r w:rsidR="00D86AD8" w:rsidRPr="00C466D9">
              <w:rPr>
                <w:rFonts w:ascii="Arial" w:hAnsi="Arial" w:cs="Arial"/>
                <w:b/>
                <w:i/>
                <w:color w:val="000000"/>
                <w:sz w:val="16"/>
                <w:szCs w:val="16"/>
              </w:rPr>
              <w:t xml:space="preserve"> </w:t>
            </w:r>
          </w:p>
        </w:tc>
        <w:tc>
          <w:tcPr>
            <w:tcW w:w="850" w:type="dxa"/>
            <w:shd w:val="clear" w:color="auto" w:fill="auto"/>
            <w:noWrap/>
            <w:vAlign w:val="center"/>
          </w:tcPr>
          <w:p w14:paraId="74438018" w14:textId="7C246C56" w:rsidR="00D86AD8" w:rsidRPr="00C466D9" w:rsidRDefault="009C11A9" w:rsidP="00C466D9">
            <w:pPr>
              <w:jc w:val="center"/>
              <w:rPr>
                <w:rFonts w:ascii="Arial" w:hAnsi="Arial" w:cs="Arial"/>
                <w:b/>
                <w:i/>
                <w:color w:val="000000"/>
                <w:sz w:val="16"/>
                <w:szCs w:val="16"/>
              </w:rPr>
            </w:pPr>
            <w:r>
              <w:rPr>
                <w:rFonts w:ascii="Arial" w:hAnsi="Arial" w:cs="Arial"/>
                <w:b/>
                <w:i/>
                <w:color w:val="000000"/>
                <w:sz w:val="16"/>
                <w:szCs w:val="16"/>
              </w:rPr>
              <w:t>49,293</w:t>
            </w:r>
          </w:p>
        </w:tc>
        <w:tc>
          <w:tcPr>
            <w:tcW w:w="1134" w:type="dxa"/>
            <w:shd w:val="clear" w:color="auto" w:fill="auto"/>
            <w:noWrap/>
            <w:vAlign w:val="center"/>
          </w:tcPr>
          <w:p w14:paraId="5C960045" w14:textId="33847CA0" w:rsidR="00D86AD8" w:rsidRPr="00C466D9" w:rsidRDefault="005A34AB" w:rsidP="00C466D9">
            <w:pPr>
              <w:jc w:val="center"/>
              <w:rPr>
                <w:rFonts w:ascii="Arial" w:hAnsi="Arial" w:cs="Arial"/>
                <w:b/>
                <w:i/>
                <w:color w:val="000000"/>
                <w:sz w:val="16"/>
                <w:szCs w:val="16"/>
              </w:rPr>
            </w:pPr>
            <w:r>
              <w:rPr>
                <w:rFonts w:ascii="Arial" w:hAnsi="Arial" w:cs="Arial"/>
                <w:b/>
                <w:i/>
                <w:color w:val="000000"/>
                <w:sz w:val="16"/>
                <w:szCs w:val="16"/>
              </w:rPr>
              <w:t>2,113</w:t>
            </w:r>
          </w:p>
        </w:tc>
        <w:tc>
          <w:tcPr>
            <w:tcW w:w="851" w:type="dxa"/>
            <w:shd w:val="clear" w:color="auto" w:fill="auto"/>
            <w:noWrap/>
            <w:vAlign w:val="center"/>
          </w:tcPr>
          <w:p w14:paraId="0195321C" w14:textId="3F96F356" w:rsidR="00D86AD8" w:rsidRPr="00C466D9" w:rsidRDefault="00D86AD8" w:rsidP="00C466D9">
            <w:pPr>
              <w:jc w:val="center"/>
              <w:rPr>
                <w:rFonts w:ascii="Arial" w:hAnsi="Arial" w:cs="Arial"/>
                <w:b/>
                <w:i/>
                <w:color w:val="000000"/>
                <w:sz w:val="16"/>
                <w:szCs w:val="16"/>
              </w:rPr>
            </w:pPr>
            <w:r w:rsidRPr="00C466D9">
              <w:rPr>
                <w:rFonts w:ascii="Arial" w:hAnsi="Arial" w:cs="Arial"/>
                <w:b/>
                <w:i/>
                <w:color w:val="000000"/>
                <w:sz w:val="16"/>
                <w:szCs w:val="16"/>
              </w:rPr>
              <w:t>3,</w:t>
            </w:r>
            <w:r w:rsidR="005A34AB">
              <w:rPr>
                <w:rFonts w:ascii="Arial" w:hAnsi="Arial" w:cs="Arial"/>
                <w:b/>
                <w:i/>
                <w:color w:val="000000"/>
                <w:sz w:val="16"/>
                <w:szCs w:val="16"/>
              </w:rPr>
              <w:t>990</w:t>
            </w:r>
          </w:p>
        </w:tc>
        <w:tc>
          <w:tcPr>
            <w:tcW w:w="993" w:type="dxa"/>
            <w:shd w:val="clear" w:color="auto" w:fill="auto"/>
            <w:noWrap/>
          </w:tcPr>
          <w:p w14:paraId="2291D949" w14:textId="407381E2" w:rsidR="00D86AD8" w:rsidRPr="00C466D9" w:rsidRDefault="005A34AB" w:rsidP="00C466D9">
            <w:pPr>
              <w:jc w:val="center"/>
              <w:rPr>
                <w:rFonts w:ascii="Arial" w:hAnsi="Arial" w:cs="Arial"/>
                <w:b/>
                <w:i/>
                <w:color w:val="000000"/>
                <w:sz w:val="16"/>
                <w:szCs w:val="16"/>
              </w:rPr>
            </w:pPr>
            <w:r>
              <w:rPr>
                <w:rFonts w:ascii="Arial" w:hAnsi="Arial" w:cs="Arial"/>
                <w:b/>
                <w:i/>
                <w:color w:val="000000"/>
                <w:sz w:val="16"/>
                <w:szCs w:val="16"/>
              </w:rPr>
              <w:t>829</w:t>
            </w:r>
          </w:p>
        </w:tc>
        <w:tc>
          <w:tcPr>
            <w:tcW w:w="1558" w:type="dxa"/>
            <w:shd w:val="clear" w:color="auto" w:fill="auto"/>
            <w:noWrap/>
          </w:tcPr>
          <w:p w14:paraId="50497ED7" w14:textId="4F1E5D79" w:rsidR="00D86AD8" w:rsidRPr="00C466D9" w:rsidRDefault="005A34AB" w:rsidP="00C466D9">
            <w:pPr>
              <w:jc w:val="center"/>
              <w:rPr>
                <w:rFonts w:ascii="Arial" w:hAnsi="Arial" w:cs="Arial"/>
                <w:b/>
                <w:i/>
                <w:color w:val="000000"/>
                <w:sz w:val="16"/>
                <w:szCs w:val="16"/>
              </w:rPr>
            </w:pPr>
            <w:r>
              <w:rPr>
                <w:rFonts w:ascii="Arial" w:hAnsi="Arial" w:cs="Arial"/>
                <w:b/>
                <w:i/>
                <w:color w:val="000000"/>
                <w:sz w:val="16"/>
                <w:szCs w:val="16"/>
              </w:rPr>
              <w:t>29,765</w:t>
            </w:r>
          </w:p>
        </w:tc>
        <w:tc>
          <w:tcPr>
            <w:tcW w:w="851" w:type="dxa"/>
            <w:shd w:val="clear" w:color="auto" w:fill="auto"/>
            <w:noWrap/>
            <w:vAlign w:val="center"/>
          </w:tcPr>
          <w:p w14:paraId="2E93D639" w14:textId="2E8B093D" w:rsidR="00D86AD8" w:rsidRPr="00C466D9" w:rsidRDefault="005A34AB" w:rsidP="00C466D9">
            <w:pPr>
              <w:jc w:val="center"/>
              <w:rPr>
                <w:rFonts w:ascii="Arial" w:hAnsi="Arial" w:cs="Arial"/>
                <w:b/>
                <w:i/>
                <w:color w:val="000000"/>
                <w:sz w:val="16"/>
                <w:szCs w:val="16"/>
              </w:rPr>
            </w:pPr>
            <w:r>
              <w:rPr>
                <w:rFonts w:ascii="Arial" w:hAnsi="Arial" w:cs="Arial"/>
                <w:b/>
                <w:i/>
                <w:color w:val="000000"/>
                <w:sz w:val="16"/>
                <w:szCs w:val="16"/>
              </w:rPr>
              <w:t>16</w:t>
            </w:r>
            <w:r w:rsidR="009C11A9">
              <w:rPr>
                <w:rFonts w:ascii="Arial" w:hAnsi="Arial" w:cs="Arial"/>
                <w:b/>
                <w:i/>
                <w:color w:val="000000"/>
                <w:sz w:val="16"/>
                <w:szCs w:val="16"/>
              </w:rPr>
              <w:t>3,833</w:t>
            </w:r>
          </w:p>
        </w:tc>
      </w:tr>
    </w:tbl>
    <w:p w14:paraId="1220524F" w14:textId="4A75A606" w:rsidR="005E302A" w:rsidRDefault="005E302A"/>
    <w:p w14:paraId="30AF266D" w14:textId="77777777" w:rsidR="000D47EC" w:rsidRPr="00267DB4" w:rsidRDefault="000D47EC" w:rsidP="008C4DF7">
      <w:pPr>
        <w:spacing w:after="120"/>
        <w:ind w:left="-284"/>
        <w:rPr>
          <w:rFonts w:ascii="Arial" w:hAnsi="Arial" w:cs="Arial"/>
          <w:i/>
          <w:sz w:val="20"/>
          <w:szCs w:val="20"/>
          <w:u w:val="single"/>
        </w:rPr>
      </w:pPr>
      <w:r w:rsidRPr="00267DB4">
        <w:rPr>
          <w:rFonts w:ascii="Arial" w:hAnsi="Arial" w:cs="Arial"/>
          <w:i/>
          <w:sz w:val="20"/>
          <w:szCs w:val="20"/>
          <w:u w:val="single"/>
        </w:rPr>
        <w:t>Production entitlements expressed in barrels</w:t>
      </w:r>
    </w:p>
    <w:p w14:paraId="4A61FE8F" w14:textId="5EA29FA7" w:rsidR="00B9270D" w:rsidRDefault="00B9270D" w:rsidP="008C4DF7">
      <w:pPr>
        <w:spacing w:after="120"/>
        <w:ind w:left="-284"/>
        <w:rPr>
          <w:rFonts w:ascii="Arial" w:hAnsi="Arial" w:cs="Arial"/>
          <w:sz w:val="20"/>
          <w:szCs w:val="20"/>
        </w:rPr>
      </w:pPr>
      <w:r w:rsidRPr="00B9270D">
        <w:rPr>
          <w:rFonts w:ascii="Arial" w:hAnsi="Arial" w:cs="Arial"/>
          <w:sz w:val="20"/>
          <w:szCs w:val="20"/>
        </w:rPr>
        <w:t>This includes non-cash royalties and state non-participating interest paid in barrels of oil or gas out of EnQuest's working interest share of production in a licence. The figures disclosed are produced on an entitlement basis rather than a liftings basis. It does not include the Government's or N</w:t>
      </w:r>
      <w:r w:rsidR="003C25D4">
        <w:rPr>
          <w:rFonts w:ascii="Arial" w:hAnsi="Arial" w:cs="Arial"/>
          <w:sz w:val="20"/>
          <w:szCs w:val="20"/>
        </w:rPr>
        <w:t xml:space="preserve">ational </w:t>
      </w:r>
      <w:r w:rsidRPr="00B9270D">
        <w:rPr>
          <w:rFonts w:ascii="Arial" w:hAnsi="Arial" w:cs="Arial"/>
          <w:sz w:val="20"/>
          <w:szCs w:val="20"/>
        </w:rPr>
        <w:t>O</w:t>
      </w:r>
      <w:r w:rsidR="003C25D4">
        <w:rPr>
          <w:rFonts w:ascii="Arial" w:hAnsi="Arial" w:cs="Arial"/>
          <w:sz w:val="20"/>
          <w:szCs w:val="20"/>
        </w:rPr>
        <w:t xml:space="preserve">il </w:t>
      </w:r>
      <w:r w:rsidRPr="00B9270D">
        <w:rPr>
          <w:rFonts w:ascii="Arial" w:hAnsi="Arial" w:cs="Arial"/>
          <w:sz w:val="20"/>
          <w:szCs w:val="20"/>
        </w:rPr>
        <w:t>C</w:t>
      </w:r>
      <w:r w:rsidR="003C25D4">
        <w:rPr>
          <w:rFonts w:ascii="Arial" w:hAnsi="Arial" w:cs="Arial"/>
          <w:sz w:val="20"/>
          <w:szCs w:val="20"/>
        </w:rPr>
        <w:t>ompany</w:t>
      </w:r>
      <w:r w:rsidRPr="00B9270D">
        <w:rPr>
          <w:rFonts w:ascii="Arial" w:hAnsi="Arial" w:cs="Arial"/>
          <w:sz w:val="20"/>
          <w:szCs w:val="20"/>
        </w:rPr>
        <w:t xml:space="preserve">'s working interest share of production in a licence. Production entitlements are assessed on a quarterly basis and </w:t>
      </w:r>
      <w:r w:rsidR="00F25F5E">
        <w:rPr>
          <w:rFonts w:ascii="Arial" w:hAnsi="Arial" w:cs="Arial"/>
          <w:sz w:val="20"/>
          <w:szCs w:val="20"/>
        </w:rPr>
        <w:t>are valued at the price used to determine entitlement</w:t>
      </w:r>
      <w:r w:rsidR="006311EF" w:rsidRPr="006311EF">
        <w:t xml:space="preserve"> </w:t>
      </w:r>
      <w:r w:rsidR="006311EF" w:rsidRPr="006311EF">
        <w:rPr>
          <w:rFonts w:ascii="Arial" w:hAnsi="Arial" w:cs="Arial"/>
          <w:sz w:val="20"/>
          <w:szCs w:val="20"/>
        </w:rPr>
        <w:t>under the terms of the production sharing contract</w:t>
      </w:r>
      <w:r w:rsidRPr="00B9270D">
        <w:rPr>
          <w:rFonts w:ascii="Arial" w:hAnsi="Arial" w:cs="Arial"/>
          <w:sz w:val="20"/>
          <w:szCs w:val="20"/>
        </w:rPr>
        <w:t>.</w:t>
      </w:r>
    </w:p>
    <w:p w14:paraId="2C6FA16C" w14:textId="77777777" w:rsidR="000D47EC" w:rsidRPr="00267DB4" w:rsidRDefault="000D47EC" w:rsidP="008C4DF7">
      <w:pPr>
        <w:spacing w:after="120"/>
        <w:ind w:left="-284"/>
        <w:rPr>
          <w:rFonts w:ascii="Arial" w:hAnsi="Arial" w:cs="Arial"/>
          <w:i/>
          <w:sz w:val="20"/>
          <w:szCs w:val="20"/>
          <w:u w:val="single"/>
        </w:rPr>
      </w:pPr>
      <w:r w:rsidRPr="00267DB4">
        <w:rPr>
          <w:rFonts w:ascii="Arial" w:hAnsi="Arial" w:cs="Arial"/>
          <w:i/>
          <w:sz w:val="20"/>
          <w:szCs w:val="20"/>
          <w:u w:val="single"/>
        </w:rPr>
        <w:t>Taxes</w:t>
      </w:r>
    </w:p>
    <w:p w14:paraId="51906E2C" w14:textId="7303F656" w:rsidR="00B9270D" w:rsidRDefault="00B9270D" w:rsidP="008C4DF7">
      <w:pPr>
        <w:spacing w:after="120"/>
        <w:ind w:left="-284"/>
        <w:rPr>
          <w:rFonts w:ascii="Arial" w:hAnsi="Arial" w:cs="Arial"/>
          <w:sz w:val="20"/>
          <w:szCs w:val="20"/>
        </w:rPr>
      </w:pPr>
      <w:r w:rsidRPr="00B9270D">
        <w:rPr>
          <w:rFonts w:ascii="Arial" w:hAnsi="Arial" w:cs="Arial"/>
          <w:sz w:val="20"/>
          <w:szCs w:val="20"/>
        </w:rPr>
        <w:t xml:space="preserve">This represents cash tax calculated on the basis of profits including income or capital gains. Income taxes are usually reflected in corporate income tax returns. The cash payment of income taxes occurs in the year in which the tax has arisen or up to one year later. Income taxes also include any cash tax rebates received from the </w:t>
      </w:r>
      <w:r w:rsidR="006720F6">
        <w:rPr>
          <w:rFonts w:ascii="Arial" w:hAnsi="Arial" w:cs="Arial"/>
          <w:sz w:val="20"/>
          <w:szCs w:val="20"/>
        </w:rPr>
        <w:t>G</w:t>
      </w:r>
      <w:r w:rsidRPr="00B9270D">
        <w:rPr>
          <w:rFonts w:ascii="Arial" w:hAnsi="Arial" w:cs="Arial"/>
          <w:sz w:val="20"/>
          <w:szCs w:val="20"/>
        </w:rPr>
        <w:t>overnment or revenue authority during the year and excludes fines and penalties.</w:t>
      </w:r>
    </w:p>
    <w:p w14:paraId="2CDF61D5" w14:textId="77777777" w:rsidR="000D47EC" w:rsidRPr="00267DB4" w:rsidRDefault="000D47EC" w:rsidP="008C4DF7">
      <w:pPr>
        <w:spacing w:after="120"/>
        <w:ind w:left="-284"/>
        <w:rPr>
          <w:rFonts w:ascii="Arial" w:hAnsi="Arial" w:cs="Arial"/>
          <w:i/>
          <w:sz w:val="20"/>
          <w:szCs w:val="20"/>
          <w:u w:val="single"/>
        </w:rPr>
      </w:pPr>
      <w:r w:rsidRPr="00267DB4">
        <w:rPr>
          <w:rFonts w:ascii="Arial" w:hAnsi="Arial" w:cs="Arial"/>
          <w:i/>
          <w:sz w:val="20"/>
          <w:szCs w:val="20"/>
          <w:u w:val="single"/>
        </w:rPr>
        <w:t>Royalties</w:t>
      </w:r>
    </w:p>
    <w:p w14:paraId="10B8E5AC" w14:textId="03B2D685" w:rsidR="00B9270D" w:rsidRDefault="00B9270D" w:rsidP="008C4DF7">
      <w:pPr>
        <w:spacing w:after="120"/>
        <w:ind w:left="-284"/>
        <w:rPr>
          <w:rFonts w:ascii="Arial" w:hAnsi="Arial" w:cs="Arial"/>
          <w:sz w:val="20"/>
          <w:szCs w:val="20"/>
        </w:rPr>
      </w:pPr>
      <w:r w:rsidRPr="00B9270D">
        <w:rPr>
          <w:rFonts w:ascii="Arial" w:hAnsi="Arial" w:cs="Arial"/>
          <w:sz w:val="20"/>
          <w:szCs w:val="20"/>
        </w:rPr>
        <w:t xml:space="preserve">This represents cash royalties paid to </w:t>
      </w:r>
      <w:r w:rsidR="006720F6">
        <w:rPr>
          <w:rFonts w:ascii="Arial" w:hAnsi="Arial" w:cs="Arial"/>
          <w:sz w:val="20"/>
          <w:szCs w:val="20"/>
        </w:rPr>
        <w:t>G</w:t>
      </w:r>
      <w:r w:rsidRPr="00B9270D">
        <w:rPr>
          <w:rFonts w:ascii="Arial" w:hAnsi="Arial" w:cs="Arial"/>
          <w:sz w:val="20"/>
          <w:szCs w:val="20"/>
        </w:rPr>
        <w:t>overnments during the year for the extraction of oil or gas. The terms of the royalties are described within our Production Sharing Contracts (</w:t>
      </w:r>
      <w:r w:rsidR="003C25D4">
        <w:rPr>
          <w:rFonts w:ascii="Arial" w:hAnsi="Arial" w:cs="Arial"/>
          <w:sz w:val="20"/>
          <w:szCs w:val="20"/>
        </w:rPr>
        <w:t>‘</w:t>
      </w:r>
      <w:r w:rsidRPr="00B9270D">
        <w:rPr>
          <w:rFonts w:ascii="Arial" w:hAnsi="Arial" w:cs="Arial"/>
          <w:sz w:val="20"/>
          <w:szCs w:val="20"/>
        </w:rPr>
        <w:t>PSC</w:t>
      </w:r>
      <w:r w:rsidR="003C25D4">
        <w:rPr>
          <w:rFonts w:ascii="Arial" w:hAnsi="Arial" w:cs="Arial"/>
          <w:sz w:val="20"/>
          <w:szCs w:val="20"/>
        </w:rPr>
        <w:t>’</w:t>
      </w:r>
      <w:r w:rsidRPr="00B9270D">
        <w:rPr>
          <w:rFonts w:ascii="Arial" w:hAnsi="Arial" w:cs="Arial"/>
          <w:sz w:val="20"/>
          <w:szCs w:val="20"/>
        </w:rPr>
        <w:t xml:space="preserve">) and can vary from project to project within one country. Royalties paid in kind have been recognised within the production entitlements category. </w:t>
      </w:r>
    </w:p>
    <w:p w14:paraId="204FC14A" w14:textId="77777777" w:rsidR="000D47EC" w:rsidRPr="00267DB4" w:rsidRDefault="000D47EC" w:rsidP="008C4DF7">
      <w:pPr>
        <w:spacing w:after="120"/>
        <w:ind w:left="-284"/>
        <w:rPr>
          <w:rFonts w:ascii="Arial" w:hAnsi="Arial" w:cs="Arial"/>
          <w:i/>
          <w:sz w:val="20"/>
          <w:szCs w:val="20"/>
          <w:u w:val="single"/>
        </w:rPr>
      </w:pPr>
      <w:r w:rsidRPr="00267DB4">
        <w:rPr>
          <w:rFonts w:ascii="Arial" w:hAnsi="Arial" w:cs="Arial"/>
          <w:i/>
          <w:sz w:val="20"/>
          <w:szCs w:val="20"/>
          <w:u w:val="single"/>
        </w:rPr>
        <w:t>Licence fees</w:t>
      </w:r>
    </w:p>
    <w:p w14:paraId="2EB70A80" w14:textId="4A468964" w:rsidR="00B9270D" w:rsidRDefault="00B9270D" w:rsidP="008C4DF7">
      <w:pPr>
        <w:spacing w:after="120"/>
        <w:ind w:left="-284"/>
        <w:rPr>
          <w:rFonts w:ascii="Arial" w:hAnsi="Arial" w:cs="Arial"/>
          <w:sz w:val="20"/>
          <w:szCs w:val="20"/>
        </w:rPr>
      </w:pPr>
      <w:r w:rsidRPr="00B9270D">
        <w:rPr>
          <w:rFonts w:ascii="Arial" w:hAnsi="Arial" w:cs="Arial"/>
          <w:sz w:val="20"/>
          <w:szCs w:val="20"/>
        </w:rPr>
        <w:t>This represents total, rather than working interest share of, licence fees, rental fees, entry fees and other levies or consideration for licences and/or concessions paid for access to an area during the year (with the exception of signature bonuses which are captured within bonus payments</w:t>
      </w:r>
      <w:r w:rsidR="004570D7">
        <w:rPr>
          <w:rFonts w:ascii="Arial" w:hAnsi="Arial" w:cs="Arial"/>
          <w:sz w:val="20"/>
          <w:szCs w:val="20"/>
        </w:rPr>
        <w:t xml:space="preserve"> if applicable</w:t>
      </w:r>
      <w:r w:rsidRPr="00B9270D">
        <w:rPr>
          <w:rFonts w:ascii="Arial" w:hAnsi="Arial" w:cs="Arial"/>
          <w:sz w:val="20"/>
          <w:szCs w:val="20"/>
        </w:rPr>
        <w:t>).</w:t>
      </w:r>
    </w:p>
    <w:p w14:paraId="30228F7F" w14:textId="37EDF065" w:rsidR="006F7454" w:rsidRPr="00267DB4" w:rsidRDefault="006F7454" w:rsidP="008C4DF7">
      <w:pPr>
        <w:spacing w:after="120"/>
        <w:ind w:left="-284"/>
        <w:rPr>
          <w:rFonts w:ascii="Arial" w:hAnsi="Arial" w:cs="Arial"/>
          <w:i/>
          <w:sz w:val="20"/>
          <w:szCs w:val="20"/>
          <w:u w:val="single"/>
        </w:rPr>
      </w:pPr>
      <w:r w:rsidRPr="00267DB4">
        <w:rPr>
          <w:rFonts w:ascii="Arial" w:hAnsi="Arial" w:cs="Arial"/>
          <w:i/>
          <w:sz w:val="20"/>
          <w:szCs w:val="20"/>
          <w:u w:val="single"/>
        </w:rPr>
        <w:t>Research CESS</w:t>
      </w:r>
    </w:p>
    <w:p w14:paraId="38E7C4F1" w14:textId="4AC86EF2" w:rsidR="00B9270D" w:rsidRDefault="00B9270D" w:rsidP="008C4DF7">
      <w:pPr>
        <w:spacing w:after="120"/>
        <w:ind w:left="-284"/>
        <w:rPr>
          <w:rFonts w:ascii="Arial" w:hAnsi="Arial" w:cs="Arial"/>
          <w:sz w:val="20"/>
          <w:szCs w:val="20"/>
        </w:rPr>
      </w:pPr>
      <w:r w:rsidRPr="00B9270D">
        <w:rPr>
          <w:rFonts w:ascii="Arial" w:hAnsi="Arial" w:cs="Arial"/>
          <w:sz w:val="20"/>
          <w:szCs w:val="20"/>
        </w:rPr>
        <w:t>Research CESS payments are contractual amounts due under the PM</w:t>
      </w:r>
      <w:r w:rsidR="006720F6">
        <w:rPr>
          <w:rFonts w:ascii="Arial" w:hAnsi="Arial" w:cs="Arial"/>
          <w:sz w:val="20"/>
          <w:szCs w:val="20"/>
        </w:rPr>
        <w:t>-</w:t>
      </w:r>
      <w:r w:rsidRPr="00B9270D">
        <w:rPr>
          <w:rFonts w:ascii="Arial" w:hAnsi="Arial" w:cs="Arial"/>
          <w:sz w:val="20"/>
          <w:szCs w:val="20"/>
        </w:rPr>
        <w:t>8</w:t>
      </w:r>
      <w:r w:rsidR="006720F6">
        <w:rPr>
          <w:rFonts w:ascii="Arial" w:hAnsi="Arial" w:cs="Arial"/>
          <w:sz w:val="20"/>
          <w:szCs w:val="20"/>
        </w:rPr>
        <w:t>E</w:t>
      </w:r>
      <w:r w:rsidRPr="00B9270D">
        <w:rPr>
          <w:rFonts w:ascii="Arial" w:hAnsi="Arial" w:cs="Arial"/>
          <w:sz w:val="20"/>
          <w:szCs w:val="20"/>
        </w:rPr>
        <w:t xml:space="preserve"> </w:t>
      </w:r>
      <w:r w:rsidR="00B01F4B">
        <w:rPr>
          <w:rFonts w:ascii="Arial" w:hAnsi="Arial" w:cs="Arial"/>
          <w:sz w:val="20"/>
          <w:szCs w:val="20"/>
        </w:rPr>
        <w:t>PSC</w:t>
      </w:r>
      <w:r w:rsidRPr="00B9270D">
        <w:rPr>
          <w:rFonts w:ascii="Arial" w:hAnsi="Arial" w:cs="Arial"/>
          <w:sz w:val="20"/>
          <w:szCs w:val="20"/>
        </w:rPr>
        <w:t>,</w:t>
      </w:r>
      <w:r w:rsidR="005A34AB">
        <w:rPr>
          <w:rFonts w:ascii="Arial" w:hAnsi="Arial" w:cs="Arial"/>
          <w:sz w:val="20"/>
          <w:szCs w:val="20"/>
        </w:rPr>
        <w:t xml:space="preserve"> </w:t>
      </w:r>
      <w:r w:rsidRPr="00B9270D">
        <w:rPr>
          <w:rFonts w:ascii="Arial" w:hAnsi="Arial" w:cs="Arial"/>
          <w:sz w:val="20"/>
          <w:szCs w:val="20"/>
        </w:rPr>
        <w:t>and are based on EnQuest's entitlement to production. These payments are made to P</w:t>
      </w:r>
      <w:r w:rsidR="0039293E">
        <w:rPr>
          <w:rFonts w:ascii="Arial" w:hAnsi="Arial" w:cs="Arial"/>
          <w:sz w:val="20"/>
          <w:szCs w:val="20"/>
        </w:rPr>
        <w:t>ETRONAS.</w:t>
      </w:r>
    </w:p>
    <w:p w14:paraId="2E7B282B" w14:textId="77777777" w:rsidR="00CA43D1" w:rsidRPr="00267DB4" w:rsidRDefault="00CA43D1" w:rsidP="008C4DF7">
      <w:pPr>
        <w:spacing w:after="120"/>
        <w:ind w:left="-284"/>
        <w:rPr>
          <w:rFonts w:ascii="Arial" w:hAnsi="Arial" w:cs="Arial"/>
          <w:i/>
          <w:sz w:val="20"/>
          <w:szCs w:val="20"/>
          <w:u w:val="single"/>
        </w:rPr>
      </w:pPr>
      <w:r w:rsidRPr="00267DB4">
        <w:rPr>
          <w:rFonts w:ascii="Arial" w:hAnsi="Arial" w:cs="Arial"/>
          <w:i/>
          <w:sz w:val="20"/>
          <w:szCs w:val="20"/>
          <w:u w:val="single"/>
        </w:rPr>
        <w:t>Supplementary payments</w:t>
      </w:r>
    </w:p>
    <w:p w14:paraId="45C0D290" w14:textId="22D31D69" w:rsidR="00B9270D" w:rsidRDefault="00B9270D" w:rsidP="008C4DF7">
      <w:pPr>
        <w:spacing w:after="120"/>
        <w:ind w:left="-284"/>
        <w:rPr>
          <w:rFonts w:ascii="Arial" w:hAnsi="Arial" w:cs="Arial"/>
          <w:sz w:val="20"/>
          <w:szCs w:val="20"/>
        </w:rPr>
      </w:pPr>
      <w:r w:rsidRPr="00B9270D">
        <w:rPr>
          <w:rFonts w:ascii="Arial" w:hAnsi="Arial" w:cs="Arial"/>
          <w:sz w:val="20"/>
          <w:szCs w:val="20"/>
        </w:rPr>
        <w:t>Supplementary payments are required under the PM</w:t>
      </w:r>
      <w:r w:rsidR="006720F6">
        <w:rPr>
          <w:rFonts w:ascii="Arial" w:hAnsi="Arial" w:cs="Arial"/>
          <w:sz w:val="20"/>
          <w:szCs w:val="20"/>
        </w:rPr>
        <w:t>-</w:t>
      </w:r>
      <w:r w:rsidRPr="00B9270D">
        <w:rPr>
          <w:rFonts w:ascii="Arial" w:hAnsi="Arial" w:cs="Arial"/>
          <w:sz w:val="20"/>
          <w:szCs w:val="20"/>
        </w:rPr>
        <w:t>8</w:t>
      </w:r>
      <w:r w:rsidR="006720F6">
        <w:rPr>
          <w:rFonts w:ascii="Arial" w:hAnsi="Arial" w:cs="Arial"/>
          <w:sz w:val="20"/>
          <w:szCs w:val="20"/>
        </w:rPr>
        <w:t>E</w:t>
      </w:r>
      <w:r w:rsidRPr="00B9270D">
        <w:rPr>
          <w:rFonts w:ascii="Arial" w:hAnsi="Arial" w:cs="Arial"/>
          <w:sz w:val="20"/>
          <w:szCs w:val="20"/>
        </w:rPr>
        <w:t xml:space="preserve"> </w:t>
      </w:r>
      <w:r w:rsidR="00B01F4B">
        <w:rPr>
          <w:rFonts w:ascii="Arial" w:hAnsi="Arial" w:cs="Arial"/>
          <w:sz w:val="20"/>
          <w:szCs w:val="20"/>
        </w:rPr>
        <w:t>PSC</w:t>
      </w:r>
      <w:r w:rsidRPr="00B9270D">
        <w:rPr>
          <w:rFonts w:ascii="Arial" w:hAnsi="Arial" w:cs="Arial"/>
          <w:sz w:val="20"/>
          <w:szCs w:val="20"/>
        </w:rPr>
        <w:t xml:space="preserve"> and are based on EnQuest's entitlement to profit oil and profit gas. These payments are made to </w:t>
      </w:r>
      <w:r w:rsidR="0039293E" w:rsidRPr="00B9270D">
        <w:rPr>
          <w:rFonts w:ascii="Arial" w:hAnsi="Arial" w:cs="Arial"/>
          <w:sz w:val="20"/>
          <w:szCs w:val="20"/>
        </w:rPr>
        <w:t>P</w:t>
      </w:r>
      <w:r w:rsidR="0039293E">
        <w:rPr>
          <w:rFonts w:ascii="Arial" w:hAnsi="Arial" w:cs="Arial"/>
          <w:sz w:val="20"/>
          <w:szCs w:val="20"/>
        </w:rPr>
        <w:t>ETRONAS.</w:t>
      </w:r>
    </w:p>
    <w:p w14:paraId="181C01C4" w14:textId="470E129E" w:rsidR="00592A34" w:rsidRDefault="00592A34" w:rsidP="008C4DF7">
      <w:pPr>
        <w:spacing w:after="120"/>
        <w:ind w:left="-284"/>
        <w:rPr>
          <w:rFonts w:ascii="Arial" w:hAnsi="Arial" w:cs="Arial"/>
          <w:sz w:val="20"/>
          <w:szCs w:val="20"/>
        </w:rPr>
      </w:pPr>
    </w:p>
    <w:p w14:paraId="01ED0C12" w14:textId="5DF1B348" w:rsidR="00592A34" w:rsidRDefault="00592A34" w:rsidP="008C4DF7">
      <w:pPr>
        <w:spacing w:after="120"/>
        <w:ind w:left="-284"/>
        <w:rPr>
          <w:rFonts w:ascii="Arial" w:hAnsi="Arial" w:cs="Arial"/>
          <w:sz w:val="20"/>
          <w:szCs w:val="20"/>
        </w:rPr>
      </w:pPr>
      <w:r>
        <w:rPr>
          <w:rFonts w:ascii="Arial" w:hAnsi="Arial" w:cs="Arial"/>
          <w:sz w:val="20"/>
          <w:szCs w:val="20"/>
        </w:rPr>
        <w:t>For the purposes of compliance with the Swedish Act on Reporting of Payments to Governments, there have been no dividends or payments for infrastructure improvements and, other than disclosed in the tables above, there have been no signature, discovery and production bonuses, and no licence fees, rental fees, entry fees or other considerations for licences and/or concessions.</w:t>
      </w:r>
    </w:p>
    <w:p w14:paraId="115AA918" w14:textId="77777777" w:rsidR="00101BE2" w:rsidRPr="00101BE2" w:rsidRDefault="00101BE2" w:rsidP="008C4DF7">
      <w:pPr>
        <w:ind w:left="-284"/>
        <w:rPr>
          <w:rFonts w:ascii="Arial" w:hAnsi="Arial" w:cs="Arial"/>
          <w:sz w:val="18"/>
          <w:szCs w:val="18"/>
        </w:rPr>
      </w:pPr>
    </w:p>
    <w:p w14:paraId="5E15BBD5" w14:textId="77777777" w:rsidR="00101BE2" w:rsidRPr="00101BE2" w:rsidRDefault="00101BE2" w:rsidP="008C4DF7">
      <w:pPr>
        <w:ind w:left="-284"/>
        <w:jc w:val="center"/>
        <w:rPr>
          <w:rFonts w:ascii="Arial" w:hAnsi="Arial" w:cs="Arial"/>
          <w:sz w:val="18"/>
          <w:szCs w:val="18"/>
        </w:rPr>
      </w:pPr>
      <w:r w:rsidRPr="00101BE2">
        <w:rPr>
          <w:rFonts w:ascii="Arial" w:hAnsi="Arial" w:cs="Arial"/>
          <w:sz w:val="18"/>
          <w:szCs w:val="18"/>
        </w:rPr>
        <w:t>Ends</w:t>
      </w:r>
    </w:p>
    <w:p w14:paraId="02D3CA7A" w14:textId="77777777" w:rsidR="00101BE2" w:rsidRPr="00101BE2" w:rsidRDefault="00101BE2" w:rsidP="00101BE2">
      <w:pPr>
        <w:rPr>
          <w:rFonts w:ascii="Arial" w:hAnsi="Arial" w:cs="Arial"/>
          <w:color w:val="000000"/>
          <w:sz w:val="18"/>
          <w:szCs w:val="18"/>
        </w:rPr>
      </w:pPr>
    </w:p>
    <w:p w14:paraId="120B539C" w14:textId="77777777" w:rsidR="00101BE2" w:rsidRPr="00101BE2" w:rsidRDefault="00101BE2" w:rsidP="00101BE2">
      <w:pPr>
        <w:rPr>
          <w:rFonts w:ascii="Arial" w:hAnsi="Arial" w:cs="Arial"/>
          <w:color w:val="000000"/>
          <w:sz w:val="18"/>
          <w:szCs w:val="18"/>
        </w:rPr>
      </w:pPr>
    </w:p>
    <w:p w14:paraId="57933E5F" w14:textId="77777777" w:rsidR="00101BE2" w:rsidRPr="00101BE2" w:rsidRDefault="00101BE2" w:rsidP="00101BE2">
      <w:pPr>
        <w:rPr>
          <w:rFonts w:ascii="Arial" w:hAnsi="Arial" w:cs="Arial"/>
          <w:color w:val="000000"/>
          <w:sz w:val="18"/>
          <w:szCs w:val="18"/>
        </w:rPr>
      </w:pPr>
    </w:p>
    <w:p w14:paraId="46CCA3EB" w14:textId="77777777" w:rsidR="00101BE2" w:rsidRPr="00101BE2" w:rsidRDefault="00101BE2" w:rsidP="00101BE2">
      <w:pPr>
        <w:rPr>
          <w:rFonts w:ascii="Arial" w:hAnsi="Arial" w:cs="Arial"/>
          <w:color w:val="000000"/>
          <w:sz w:val="18"/>
          <w:szCs w:val="18"/>
        </w:rPr>
      </w:pPr>
    </w:p>
    <w:p w14:paraId="0EBA0026" w14:textId="229DE82C" w:rsidR="003C6326" w:rsidRPr="003C6326" w:rsidRDefault="008F3613" w:rsidP="003C6326">
      <w:pPr>
        <w:rPr>
          <w:rFonts w:ascii="Arial" w:hAnsi="Arial" w:cs="Arial"/>
          <w:sz w:val="18"/>
          <w:szCs w:val="18"/>
          <w:highlight w:val="yellow"/>
        </w:rPr>
      </w:pPr>
      <w:r>
        <w:rPr>
          <w:rFonts w:ascii="Arial" w:hAnsi="Arial" w:cs="Arial"/>
          <w:sz w:val="18"/>
          <w:szCs w:val="18"/>
          <w:highlight w:val="yellow"/>
        </w:rPr>
        <w:br w:type="page"/>
      </w:r>
    </w:p>
    <w:p w14:paraId="56DF9D41" w14:textId="77777777" w:rsidR="008708CC" w:rsidRPr="00382401" w:rsidRDefault="008708CC" w:rsidP="008708CC">
      <w:pPr>
        <w:rPr>
          <w:rFonts w:ascii="Arial" w:hAnsi="Arial" w:cs="Arial"/>
          <w:sz w:val="18"/>
          <w:szCs w:val="18"/>
        </w:rPr>
      </w:pPr>
      <w:r>
        <w:rPr>
          <w:rFonts w:ascii="Arial" w:hAnsi="Arial" w:cs="Arial"/>
          <w:sz w:val="18"/>
          <w:szCs w:val="18"/>
        </w:rPr>
        <w:lastRenderedPageBreak/>
        <w:t>F</w:t>
      </w:r>
      <w:r w:rsidRPr="00382401">
        <w:rPr>
          <w:rFonts w:ascii="Arial" w:hAnsi="Arial" w:cs="Arial"/>
          <w:sz w:val="18"/>
          <w:szCs w:val="18"/>
        </w:rPr>
        <w:t>or further information please contact:</w:t>
      </w:r>
    </w:p>
    <w:p w14:paraId="5BA0A818" w14:textId="77777777" w:rsidR="008708CC" w:rsidRPr="00382401" w:rsidRDefault="008708CC" w:rsidP="008708CC">
      <w:pPr>
        <w:rPr>
          <w:rFonts w:ascii="Arial" w:hAnsi="Arial" w:cs="Arial"/>
          <w:sz w:val="18"/>
          <w:szCs w:val="18"/>
        </w:rPr>
      </w:pPr>
    </w:p>
    <w:tbl>
      <w:tblPr>
        <w:tblStyle w:val="TableGrid"/>
        <w:tblW w:w="94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20"/>
        <w:gridCol w:w="2948"/>
      </w:tblGrid>
      <w:tr w:rsidR="008708CC" w:rsidRPr="005552EA" w14:paraId="1DAEF28D" w14:textId="77777777" w:rsidTr="009F4EBF">
        <w:tc>
          <w:tcPr>
            <w:tcW w:w="6520" w:type="dxa"/>
          </w:tcPr>
          <w:p w14:paraId="3D5D869F" w14:textId="77777777" w:rsidR="008708CC" w:rsidRPr="005552EA" w:rsidRDefault="008708CC" w:rsidP="009F4EBF">
            <w:pPr>
              <w:widowControl w:val="0"/>
              <w:tabs>
                <w:tab w:val="center" w:pos="4153"/>
                <w:tab w:val="right" w:pos="8306"/>
              </w:tabs>
              <w:overflowPunct w:val="0"/>
              <w:autoSpaceDE w:val="0"/>
              <w:autoSpaceDN w:val="0"/>
              <w:adjustRightInd w:val="0"/>
              <w:ind w:right="-215"/>
              <w:textAlignment w:val="baseline"/>
              <w:rPr>
                <w:rFonts w:ascii="Arial" w:hAnsi="Arial" w:cs="Arial"/>
                <w:b/>
                <w:bCs/>
                <w:sz w:val="18"/>
                <w:szCs w:val="18"/>
              </w:rPr>
            </w:pPr>
            <w:r w:rsidRPr="005552EA">
              <w:rPr>
                <w:rFonts w:ascii="Arial" w:hAnsi="Arial" w:cs="Arial"/>
                <w:b/>
                <w:bCs/>
                <w:sz w:val="18"/>
                <w:szCs w:val="18"/>
              </w:rPr>
              <w:t>EnQuest PLC</w:t>
            </w:r>
          </w:p>
        </w:tc>
        <w:tc>
          <w:tcPr>
            <w:tcW w:w="2948" w:type="dxa"/>
          </w:tcPr>
          <w:p w14:paraId="48025CCD" w14:textId="77777777" w:rsidR="008708CC" w:rsidRPr="005552EA" w:rsidRDefault="008708CC" w:rsidP="009F4EBF">
            <w:pPr>
              <w:widowControl w:val="0"/>
              <w:tabs>
                <w:tab w:val="center" w:pos="4153"/>
                <w:tab w:val="right" w:pos="8306"/>
              </w:tabs>
              <w:overflowPunct w:val="0"/>
              <w:autoSpaceDE w:val="0"/>
              <w:autoSpaceDN w:val="0"/>
              <w:adjustRightInd w:val="0"/>
              <w:ind w:right="-215"/>
              <w:textAlignment w:val="baseline"/>
              <w:rPr>
                <w:rFonts w:ascii="Arial" w:hAnsi="Arial" w:cs="Arial"/>
                <w:bCs/>
                <w:sz w:val="18"/>
                <w:szCs w:val="18"/>
              </w:rPr>
            </w:pPr>
            <w:r w:rsidRPr="005552EA">
              <w:rPr>
                <w:rFonts w:ascii="Arial" w:hAnsi="Arial" w:cs="Arial"/>
                <w:bCs/>
                <w:sz w:val="18"/>
                <w:szCs w:val="18"/>
              </w:rPr>
              <w:t>Tel: +44 (0)20 7925 4900</w:t>
            </w:r>
          </w:p>
        </w:tc>
      </w:tr>
      <w:tr w:rsidR="008708CC" w:rsidRPr="005552EA" w14:paraId="77698353" w14:textId="77777777" w:rsidTr="009F4EBF">
        <w:tc>
          <w:tcPr>
            <w:tcW w:w="6520" w:type="dxa"/>
          </w:tcPr>
          <w:p w14:paraId="5B9BC90A" w14:textId="77777777" w:rsidR="008708CC" w:rsidRPr="005552EA" w:rsidRDefault="008708CC" w:rsidP="009F4EBF">
            <w:pPr>
              <w:widowControl w:val="0"/>
              <w:tabs>
                <w:tab w:val="center" w:pos="4153"/>
                <w:tab w:val="right" w:pos="8306"/>
              </w:tabs>
              <w:overflowPunct w:val="0"/>
              <w:autoSpaceDE w:val="0"/>
              <w:autoSpaceDN w:val="0"/>
              <w:adjustRightInd w:val="0"/>
              <w:ind w:right="-215"/>
              <w:textAlignment w:val="baseline"/>
              <w:rPr>
                <w:rFonts w:ascii="Arial" w:hAnsi="Arial" w:cs="Arial"/>
                <w:b/>
                <w:bCs/>
                <w:sz w:val="18"/>
                <w:szCs w:val="18"/>
              </w:rPr>
            </w:pPr>
            <w:r w:rsidRPr="005552EA">
              <w:rPr>
                <w:rFonts w:ascii="Arial" w:hAnsi="Arial" w:cs="Arial"/>
                <w:sz w:val="18"/>
                <w:szCs w:val="18"/>
              </w:rPr>
              <w:t>Amjad Bseisu (Chief Executive)</w:t>
            </w:r>
          </w:p>
        </w:tc>
        <w:tc>
          <w:tcPr>
            <w:tcW w:w="2948" w:type="dxa"/>
          </w:tcPr>
          <w:p w14:paraId="027C58DB" w14:textId="77777777" w:rsidR="008708CC" w:rsidRPr="005552EA" w:rsidRDefault="008708CC" w:rsidP="009F4EBF">
            <w:pPr>
              <w:widowControl w:val="0"/>
              <w:tabs>
                <w:tab w:val="center" w:pos="4153"/>
                <w:tab w:val="right" w:pos="8306"/>
              </w:tabs>
              <w:overflowPunct w:val="0"/>
              <w:autoSpaceDE w:val="0"/>
              <w:autoSpaceDN w:val="0"/>
              <w:adjustRightInd w:val="0"/>
              <w:ind w:right="-215"/>
              <w:textAlignment w:val="baseline"/>
              <w:rPr>
                <w:rFonts w:ascii="Arial" w:hAnsi="Arial" w:cs="Arial"/>
                <w:b/>
                <w:bCs/>
                <w:sz w:val="18"/>
                <w:szCs w:val="18"/>
              </w:rPr>
            </w:pPr>
          </w:p>
        </w:tc>
      </w:tr>
      <w:tr w:rsidR="008708CC" w:rsidRPr="005552EA" w14:paraId="27D65DFA" w14:textId="77777777" w:rsidTr="009F4EBF">
        <w:tc>
          <w:tcPr>
            <w:tcW w:w="6520" w:type="dxa"/>
          </w:tcPr>
          <w:p w14:paraId="25E00915" w14:textId="77777777" w:rsidR="008708CC" w:rsidRPr="005552EA" w:rsidRDefault="008708CC" w:rsidP="009F4EBF">
            <w:pPr>
              <w:widowControl w:val="0"/>
              <w:tabs>
                <w:tab w:val="center" w:pos="4153"/>
                <w:tab w:val="right" w:pos="8306"/>
              </w:tabs>
              <w:overflowPunct w:val="0"/>
              <w:autoSpaceDE w:val="0"/>
              <w:autoSpaceDN w:val="0"/>
              <w:adjustRightInd w:val="0"/>
              <w:ind w:right="-215"/>
              <w:textAlignment w:val="baseline"/>
              <w:rPr>
                <w:rFonts w:ascii="Arial" w:hAnsi="Arial" w:cs="Arial"/>
                <w:sz w:val="18"/>
                <w:szCs w:val="18"/>
              </w:rPr>
            </w:pPr>
            <w:r>
              <w:rPr>
                <w:rFonts w:ascii="Arial" w:hAnsi="Arial" w:cs="Arial"/>
                <w:sz w:val="18"/>
                <w:szCs w:val="18"/>
              </w:rPr>
              <w:t>Salman Malik</w:t>
            </w:r>
            <w:r w:rsidRPr="005552EA">
              <w:rPr>
                <w:rFonts w:ascii="Arial" w:hAnsi="Arial" w:cs="Arial"/>
                <w:sz w:val="18"/>
                <w:szCs w:val="18"/>
              </w:rPr>
              <w:t xml:space="preserve"> (Chief Financial Officer) </w:t>
            </w:r>
          </w:p>
        </w:tc>
        <w:tc>
          <w:tcPr>
            <w:tcW w:w="2948" w:type="dxa"/>
          </w:tcPr>
          <w:p w14:paraId="1EC933D6" w14:textId="77777777" w:rsidR="008708CC" w:rsidRPr="005552EA" w:rsidRDefault="008708CC" w:rsidP="009F4EBF">
            <w:pPr>
              <w:widowControl w:val="0"/>
              <w:tabs>
                <w:tab w:val="center" w:pos="4153"/>
                <w:tab w:val="right" w:pos="8306"/>
              </w:tabs>
              <w:overflowPunct w:val="0"/>
              <w:autoSpaceDE w:val="0"/>
              <w:autoSpaceDN w:val="0"/>
              <w:adjustRightInd w:val="0"/>
              <w:ind w:right="-215"/>
              <w:textAlignment w:val="baseline"/>
              <w:rPr>
                <w:rFonts w:ascii="Arial" w:hAnsi="Arial" w:cs="Arial"/>
                <w:b/>
                <w:bCs/>
                <w:sz w:val="18"/>
                <w:szCs w:val="18"/>
              </w:rPr>
            </w:pPr>
          </w:p>
        </w:tc>
      </w:tr>
      <w:tr w:rsidR="002D3AD8" w:rsidRPr="005552EA" w14:paraId="08B6B8C1" w14:textId="77777777" w:rsidTr="009F4EBF">
        <w:tc>
          <w:tcPr>
            <w:tcW w:w="6520" w:type="dxa"/>
          </w:tcPr>
          <w:p w14:paraId="65E0135D" w14:textId="445A27CF" w:rsidR="002D3AD8" w:rsidRPr="005552EA" w:rsidRDefault="002D3AD8" w:rsidP="002D3AD8">
            <w:pPr>
              <w:widowControl w:val="0"/>
              <w:tabs>
                <w:tab w:val="center" w:pos="4153"/>
                <w:tab w:val="right" w:pos="8306"/>
              </w:tabs>
              <w:overflowPunct w:val="0"/>
              <w:autoSpaceDE w:val="0"/>
              <w:autoSpaceDN w:val="0"/>
              <w:adjustRightInd w:val="0"/>
              <w:ind w:right="-215"/>
              <w:textAlignment w:val="baseline"/>
              <w:rPr>
                <w:rFonts w:ascii="Arial" w:hAnsi="Arial" w:cs="Arial"/>
                <w:b/>
                <w:bCs/>
                <w:sz w:val="18"/>
                <w:szCs w:val="18"/>
              </w:rPr>
            </w:pPr>
            <w:r>
              <w:rPr>
                <w:rFonts w:ascii="Arial" w:hAnsi="Arial" w:cs="Arial"/>
                <w:sz w:val="18"/>
                <w:szCs w:val="18"/>
              </w:rPr>
              <w:t>Craig Baxter</w:t>
            </w:r>
            <w:r w:rsidRPr="005552EA">
              <w:rPr>
                <w:rFonts w:ascii="Arial" w:hAnsi="Arial" w:cs="Arial"/>
                <w:sz w:val="18"/>
                <w:szCs w:val="18"/>
              </w:rPr>
              <w:t xml:space="preserve"> (</w:t>
            </w:r>
            <w:r>
              <w:rPr>
                <w:rFonts w:ascii="Arial" w:hAnsi="Arial" w:cs="Arial"/>
                <w:sz w:val="18"/>
                <w:szCs w:val="18"/>
              </w:rPr>
              <w:t>Head of</w:t>
            </w:r>
            <w:r w:rsidRPr="005552EA">
              <w:rPr>
                <w:rFonts w:ascii="Arial" w:hAnsi="Arial" w:cs="Arial"/>
                <w:sz w:val="18"/>
                <w:szCs w:val="18"/>
              </w:rPr>
              <w:t xml:space="preserve"> Investor Relations)</w:t>
            </w:r>
          </w:p>
        </w:tc>
        <w:tc>
          <w:tcPr>
            <w:tcW w:w="2948" w:type="dxa"/>
          </w:tcPr>
          <w:p w14:paraId="6053C4EE" w14:textId="77777777" w:rsidR="002D3AD8" w:rsidRPr="005552EA" w:rsidRDefault="002D3AD8" w:rsidP="002D3AD8">
            <w:pPr>
              <w:widowControl w:val="0"/>
              <w:tabs>
                <w:tab w:val="center" w:pos="4153"/>
                <w:tab w:val="right" w:pos="8306"/>
              </w:tabs>
              <w:overflowPunct w:val="0"/>
              <w:autoSpaceDE w:val="0"/>
              <w:autoSpaceDN w:val="0"/>
              <w:adjustRightInd w:val="0"/>
              <w:ind w:right="-215"/>
              <w:textAlignment w:val="baseline"/>
              <w:rPr>
                <w:rFonts w:ascii="Arial" w:hAnsi="Arial" w:cs="Arial"/>
                <w:b/>
                <w:bCs/>
                <w:sz w:val="18"/>
                <w:szCs w:val="18"/>
              </w:rPr>
            </w:pPr>
          </w:p>
        </w:tc>
      </w:tr>
      <w:tr w:rsidR="002D3AD8" w:rsidRPr="005552EA" w14:paraId="58FBDE52" w14:textId="77777777" w:rsidTr="009F4EBF">
        <w:tc>
          <w:tcPr>
            <w:tcW w:w="6520" w:type="dxa"/>
          </w:tcPr>
          <w:p w14:paraId="64DA72DE" w14:textId="1597DD00" w:rsidR="002D3AD8" w:rsidRPr="005552EA" w:rsidRDefault="002D3AD8" w:rsidP="002D3AD8">
            <w:pPr>
              <w:widowControl w:val="0"/>
              <w:tabs>
                <w:tab w:val="center" w:pos="4153"/>
                <w:tab w:val="right" w:pos="8306"/>
              </w:tabs>
              <w:overflowPunct w:val="0"/>
              <w:autoSpaceDE w:val="0"/>
              <w:autoSpaceDN w:val="0"/>
              <w:adjustRightInd w:val="0"/>
              <w:ind w:right="-215"/>
              <w:textAlignment w:val="baseline"/>
              <w:rPr>
                <w:rFonts w:ascii="Arial" w:hAnsi="Arial" w:cs="Arial"/>
                <w:b/>
                <w:bCs/>
                <w:sz w:val="18"/>
                <w:szCs w:val="18"/>
              </w:rPr>
            </w:pPr>
          </w:p>
        </w:tc>
        <w:tc>
          <w:tcPr>
            <w:tcW w:w="2948" w:type="dxa"/>
          </w:tcPr>
          <w:p w14:paraId="2B7595AD" w14:textId="77777777" w:rsidR="002D3AD8" w:rsidRPr="005552EA" w:rsidRDefault="002D3AD8" w:rsidP="002D3AD8">
            <w:pPr>
              <w:widowControl w:val="0"/>
              <w:tabs>
                <w:tab w:val="center" w:pos="4153"/>
                <w:tab w:val="right" w:pos="8306"/>
              </w:tabs>
              <w:overflowPunct w:val="0"/>
              <w:autoSpaceDE w:val="0"/>
              <w:autoSpaceDN w:val="0"/>
              <w:adjustRightInd w:val="0"/>
              <w:ind w:right="-215"/>
              <w:textAlignment w:val="baseline"/>
              <w:rPr>
                <w:rFonts w:ascii="Arial" w:hAnsi="Arial" w:cs="Arial"/>
                <w:b/>
                <w:bCs/>
                <w:sz w:val="18"/>
                <w:szCs w:val="18"/>
              </w:rPr>
            </w:pPr>
          </w:p>
        </w:tc>
      </w:tr>
      <w:tr w:rsidR="002D3AD8" w:rsidRPr="005552EA" w14:paraId="79E718B0" w14:textId="77777777" w:rsidTr="009F4EBF">
        <w:tc>
          <w:tcPr>
            <w:tcW w:w="6520" w:type="dxa"/>
          </w:tcPr>
          <w:p w14:paraId="518CCCC6" w14:textId="77777777" w:rsidR="002D3AD8" w:rsidRPr="005552EA" w:rsidRDefault="002D3AD8" w:rsidP="002D3AD8">
            <w:pPr>
              <w:widowControl w:val="0"/>
              <w:tabs>
                <w:tab w:val="center" w:pos="4153"/>
                <w:tab w:val="right" w:pos="8306"/>
              </w:tabs>
              <w:overflowPunct w:val="0"/>
              <w:autoSpaceDE w:val="0"/>
              <w:autoSpaceDN w:val="0"/>
              <w:adjustRightInd w:val="0"/>
              <w:ind w:right="-215"/>
              <w:textAlignment w:val="baseline"/>
              <w:rPr>
                <w:rFonts w:ascii="Arial" w:hAnsi="Arial" w:cs="Arial"/>
                <w:b/>
                <w:bCs/>
                <w:sz w:val="18"/>
                <w:szCs w:val="18"/>
              </w:rPr>
            </w:pPr>
          </w:p>
        </w:tc>
        <w:tc>
          <w:tcPr>
            <w:tcW w:w="2948" w:type="dxa"/>
          </w:tcPr>
          <w:p w14:paraId="2198B1BB" w14:textId="77777777" w:rsidR="002D3AD8" w:rsidRPr="005552EA" w:rsidRDefault="002D3AD8" w:rsidP="002D3AD8">
            <w:pPr>
              <w:widowControl w:val="0"/>
              <w:tabs>
                <w:tab w:val="center" w:pos="4153"/>
                <w:tab w:val="right" w:pos="8306"/>
              </w:tabs>
              <w:overflowPunct w:val="0"/>
              <w:autoSpaceDE w:val="0"/>
              <w:autoSpaceDN w:val="0"/>
              <w:adjustRightInd w:val="0"/>
              <w:ind w:right="-215"/>
              <w:textAlignment w:val="baseline"/>
              <w:rPr>
                <w:rFonts w:ascii="Arial" w:hAnsi="Arial" w:cs="Arial"/>
                <w:b/>
                <w:bCs/>
                <w:sz w:val="18"/>
                <w:szCs w:val="18"/>
              </w:rPr>
            </w:pPr>
          </w:p>
        </w:tc>
      </w:tr>
      <w:tr w:rsidR="002D3AD8" w:rsidRPr="005552EA" w14:paraId="0DFF94DF" w14:textId="77777777" w:rsidTr="009F4EBF">
        <w:tc>
          <w:tcPr>
            <w:tcW w:w="6520" w:type="dxa"/>
          </w:tcPr>
          <w:p w14:paraId="31AB1C43" w14:textId="514B5AE0" w:rsidR="002D3AD8" w:rsidRPr="005552EA" w:rsidRDefault="002D3AD8" w:rsidP="002D3AD8">
            <w:pPr>
              <w:widowControl w:val="0"/>
              <w:tabs>
                <w:tab w:val="center" w:pos="4153"/>
                <w:tab w:val="right" w:pos="8306"/>
              </w:tabs>
              <w:overflowPunct w:val="0"/>
              <w:autoSpaceDE w:val="0"/>
              <w:autoSpaceDN w:val="0"/>
              <w:adjustRightInd w:val="0"/>
              <w:ind w:right="-215"/>
              <w:textAlignment w:val="baseline"/>
              <w:rPr>
                <w:rFonts w:ascii="Arial" w:hAnsi="Arial" w:cs="Arial"/>
                <w:b/>
                <w:bCs/>
                <w:sz w:val="18"/>
                <w:szCs w:val="18"/>
              </w:rPr>
            </w:pPr>
            <w:r w:rsidRPr="005552EA">
              <w:rPr>
                <w:rFonts w:ascii="Arial" w:hAnsi="Arial" w:cs="Arial"/>
                <w:b/>
                <w:bCs/>
                <w:sz w:val="18"/>
              </w:rPr>
              <w:t>T</w:t>
            </w:r>
            <w:r>
              <w:rPr>
                <w:rFonts w:ascii="Arial" w:hAnsi="Arial" w:cs="Arial"/>
                <w:b/>
                <w:bCs/>
                <w:sz w:val="18"/>
              </w:rPr>
              <w:t>eneo</w:t>
            </w:r>
          </w:p>
        </w:tc>
        <w:tc>
          <w:tcPr>
            <w:tcW w:w="2948" w:type="dxa"/>
          </w:tcPr>
          <w:p w14:paraId="0C6807CA" w14:textId="77777777" w:rsidR="002D3AD8" w:rsidRPr="005552EA" w:rsidRDefault="002D3AD8" w:rsidP="002D3AD8">
            <w:pPr>
              <w:rPr>
                <w:rFonts w:ascii="Arial" w:hAnsi="Arial" w:cs="Arial"/>
                <w:b/>
                <w:bCs/>
                <w:sz w:val="18"/>
              </w:rPr>
            </w:pPr>
            <w:r w:rsidRPr="005552EA">
              <w:rPr>
                <w:rFonts w:ascii="Arial" w:hAnsi="Arial" w:cs="Arial"/>
                <w:bCs/>
                <w:sz w:val="18"/>
              </w:rPr>
              <w:t>Tel: +44 (0)20</w:t>
            </w:r>
            <w:r w:rsidRPr="005552EA">
              <w:rPr>
                <w:rFonts w:ascii="Arial" w:hAnsi="Arial" w:cs="Arial"/>
                <w:sz w:val="18"/>
              </w:rPr>
              <w:t xml:space="preserve"> 7353 4200</w:t>
            </w:r>
          </w:p>
        </w:tc>
      </w:tr>
      <w:tr w:rsidR="002D3AD8" w:rsidRPr="005552EA" w14:paraId="262DCCED" w14:textId="77777777" w:rsidTr="009F4EBF">
        <w:tc>
          <w:tcPr>
            <w:tcW w:w="6520" w:type="dxa"/>
          </w:tcPr>
          <w:p w14:paraId="20FEE33D" w14:textId="77777777" w:rsidR="002D3AD8" w:rsidRPr="005552EA" w:rsidRDefault="002D3AD8" w:rsidP="002D3AD8">
            <w:pPr>
              <w:widowControl w:val="0"/>
              <w:tabs>
                <w:tab w:val="center" w:pos="4153"/>
                <w:tab w:val="right" w:pos="8306"/>
              </w:tabs>
              <w:overflowPunct w:val="0"/>
              <w:autoSpaceDE w:val="0"/>
              <w:autoSpaceDN w:val="0"/>
              <w:adjustRightInd w:val="0"/>
              <w:ind w:right="-215"/>
              <w:textAlignment w:val="baseline"/>
              <w:rPr>
                <w:rFonts w:ascii="Arial" w:hAnsi="Arial" w:cs="Arial"/>
                <w:b/>
                <w:bCs/>
                <w:sz w:val="18"/>
                <w:szCs w:val="18"/>
              </w:rPr>
            </w:pPr>
            <w:r w:rsidRPr="005552EA">
              <w:rPr>
                <w:rFonts w:ascii="Arial" w:hAnsi="Arial" w:cs="Arial"/>
                <w:sz w:val="18"/>
              </w:rPr>
              <w:t>Martin Robinson</w:t>
            </w:r>
          </w:p>
        </w:tc>
        <w:tc>
          <w:tcPr>
            <w:tcW w:w="2948" w:type="dxa"/>
          </w:tcPr>
          <w:p w14:paraId="6D6065C9" w14:textId="77777777" w:rsidR="002D3AD8" w:rsidRPr="005552EA" w:rsidRDefault="002D3AD8" w:rsidP="002D3AD8">
            <w:pPr>
              <w:widowControl w:val="0"/>
              <w:tabs>
                <w:tab w:val="center" w:pos="4153"/>
                <w:tab w:val="right" w:pos="8306"/>
              </w:tabs>
              <w:overflowPunct w:val="0"/>
              <w:autoSpaceDE w:val="0"/>
              <w:autoSpaceDN w:val="0"/>
              <w:adjustRightInd w:val="0"/>
              <w:ind w:right="-215"/>
              <w:textAlignment w:val="baseline"/>
              <w:rPr>
                <w:rFonts w:ascii="Arial" w:hAnsi="Arial" w:cs="Arial"/>
                <w:b/>
                <w:bCs/>
                <w:sz w:val="18"/>
                <w:szCs w:val="18"/>
              </w:rPr>
            </w:pPr>
          </w:p>
        </w:tc>
      </w:tr>
      <w:tr w:rsidR="002D3AD8" w:rsidRPr="005552EA" w14:paraId="07E275B0" w14:textId="77777777" w:rsidTr="009F4EBF">
        <w:tc>
          <w:tcPr>
            <w:tcW w:w="6520" w:type="dxa"/>
          </w:tcPr>
          <w:p w14:paraId="461B7225" w14:textId="77777777" w:rsidR="002D3AD8" w:rsidRPr="005552EA" w:rsidRDefault="002D3AD8" w:rsidP="002D3AD8">
            <w:pPr>
              <w:rPr>
                <w:rFonts w:ascii="Arial" w:hAnsi="Arial" w:cs="Arial"/>
                <w:sz w:val="18"/>
              </w:rPr>
            </w:pPr>
            <w:r w:rsidRPr="005552EA">
              <w:rPr>
                <w:rFonts w:ascii="Arial" w:hAnsi="Arial" w:cs="Arial"/>
                <w:sz w:val="18"/>
              </w:rPr>
              <w:t>Martin Pengelley</w:t>
            </w:r>
          </w:p>
        </w:tc>
        <w:tc>
          <w:tcPr>
            <w:tcW w:w="2948" w:type="dxa"/>
          </w:tcPr>
          <w:p w14:paraId="25F6CB50" w14:textId="77777777" w:rsidR="002D3AD8" w:rsidRPr="005552EA" w:rsidRDefault="002D3AD8" w:rsidP="002D3AD8">
            <w:pPr>
              <w:widowControl w:val="0"/>
              <w:tabs>
                <w:tab w:val="center" w:pos="4153"/>
                <w:tab w:val="right" w:pos="8306"/>
              </w:tabs>
              <w:overflowPunct w:val="0"/>
              <w:autoSpaceDE w:val="0"/>
              <w:autoSpaceDN w:val="0"/>
              <w:adjustRightInd w:val="0"/>
              <w:ind w:right="-215"/>
              <w:textAlignment w:val="baseline"/>
              <w:rPr>
                <w:rFonts w:ascii="Arial" w:hAnsi="Arial" w:cs="Arial"/>
                <w:b/>
                <w:bCs/>
                <w:sz w:val="18"/>
                <w:szCs w:val="18"/>
              </w:rPr>
            </w:pPr>
          </w:p>
        </w:tc>
      </w:tr>
      <w:tr w:rsidR="002D3AD8" w:rsidRPr="005552EA" w14:paraId="59ECE9EC" w14:textId="77777777" w:rsidTr="009F4EBF">
        <w:tc>
          <w:tcPr>
            <w:tcW w:w="6520" w:type="dxa"/>
          </w:tcPr>
          <w:p w14:paraId="15C98834" w14:textId="77777777" w:rsidR="002D3AD8" w:rsidRPr="005552EA" w:rsidRDefault="002D3AD8" w:rsidP="002D3AD8">
            <w:pPr>
              <w:widowControl w:val="0"/>
              <w:tabs>
                <w:tab w:val="center" w:pos="4153"/>
                <w:tab w:val="right" w:pos="8306"/>
              </w:tabs>
              <w:overflowPunct w:val="0"/>
              <w:autoSpaceDE w:val="0"/>
              <w:autoSpaceDN w:val="0"/>
              <w:adjustRightInd w:val="0"/>
              <w:ind w:right="-215"/>
              <w:textAlignment w:val="baseline"/>
              <w:rPr>
                <w:rFonts w:ascii="Arial" w:hAnsi="Arial" w:cs="Arial"/>
                <w:bCs/>
                <w:sz w:val="18"/>
                <w:szCs w:val="18"/>
              </w:rPr>
            </w:pPr>
            <w:r w:rsidRPr="005552EA">
              <w:rPr>
                <w:rFonts w:ascii="Arial" w:hAnsi="Arial" w:cs="Arial"/>
                <w:bCs/>
                <w:sz w:val="18"/>
                <w:szCs w:val="18"/>
              </w:rPr>
              <w:t>Harry Cameron</w:t>
            </w:r>
          </w:p>
        </w:tc>
        <w:tc>
          <w:tcPr>
            <w:tcW w:w="2948" w:type="dxa"/>
          </w:tcPr>
          <w:p w14:paraId="6F7AED42" w14:textId="77777777" w:rsidR="002D3AD8" w:rsidRPr="005552EA" w:rsidRDefault="002D3AD8" w:rsidP="002D3AD8">
            <w:pPr>
              <w:widowControl w:val="0"/>
              <w:tabs>
                <w:tab w:val="center" w:pos="4153"/>
                <w:tab w:val="right" w:pos="8306"/>
              </w:tabs>
              <w:overflowPunct w:val="0"/>
              <w:autoSpaceDE w:val="0"/>
              <w:autoSpaceDN w:val="0"/>
              <w:adjustRightInd w:val="0"/>
              <w:ind w:right="-215"/>
              <w:textAlignment w:val="baseline"/>
              <w:rPr>
                <w:rFonts w:ascii="Arial" w:hAnsi="Arial" w:cs="Arial"/>
                <w:b/>
                <w:bCs/>
                <w:sz w:val="18"/>
                <w:szCs w:val="18"/>
              </w:rPr>
            </w:pPr>
          </w:p>
        </w:tc>
      </w:tr>
    </w:tbl>
    <w:p w14:paraId="70D6E0C4" w14:textId="77777777" w:rsidR="008708CC" w:rsidRDefault="008708CC" w:rsidP="008708CC">
      <w:pPr>
        <w:rPr>
          <w:rFonts w:ascii="Arial" w:hAnsi="Arial" w:cs="Arial"/>
          <w:b/>
          <w:sz w:val="18"/>
          <w:szCs w:val="18"/>
        </w:rPr>
      </w:pPr>
    </w:p>
    <w:p w14:paraId="7E79BDD4" w14:textId="77777777" w:rsidR="008708CC" w:rsidRPr="0099600A" w:rsidRDefault="008708CC" w:rsidP="008708CC">
      <w:pPr>
        <w:rPr>
          <w:rFonts w:ascii="Arial" w:hAnsi="Arial" w:cs="Arial"/>
          <w:sz w:val="14"/>
          <w:szCs w:val="18"/>
        </w:rPr>
      </w:pPr>
      <w:r w:rsidRPr="00382401">
        <w:rPr>
          <w:rFonts w:ascii="Arial" w:hAnsi="Arial" w:cs="Arial"/>
          <w:b/>
          <w:sz w:val="18"/>
          <w:szCs w:val="18"/>
        </w:rPr>
        <w:t>Notes to editors</w:t>
      </w:r>
    </w:p>
    <w:p w14:paraId="1F746D52" w14:textId="77777777" w:rsidR="008708CC" w:rsidRDefault="008708CC" w:rsidP="008708CC">
      <w:pPr>
        <w:jc w:val="both"/>
        <w:rPr>
          <w:rFonts w:ascii="Arial" w:hAnsi="Arial" w:cs="Arial"/>
          <w:b/>
          <w:sz w:val="18"/>
          <w:szCs w:val="18"/>
        </w:rPr>
      </w:pPr>
    </w:p>
    <w:p w14:paraId="5092ADA4" w14:textId="77777777" w:rsidR="008708CC" w:rsidRPr="00D92414" w:rsidRDefault="008708CC" w:rsidP="008708CC">
      <w:pPr>
        <w:jc w:val="both"/>
        <w:rPr>
          <w:rFonts w:ascii="Arial" w:hAnsi="Arial" w:cs="Arial"/>
          <w:b/>
          <w:sz w:val="18"/>
          <w:szCs w:val="18"/>
        </w:rPr>
      </w:pPr>
      <w:r>
        <w:rPr>
          <w:rFonts w:ascii="Arial" w:hAnsi="Arial" w:cs="Arial"/>
          <w:b/>
          <w:sz w:val="18"/>
          <w:szCs w:val="18"/>
        </w:rPr>
        <w:t>ENQUEST</w:t>
      </w:r>
    </w:p>
    <w:p w14:paraId="261C5807" w14:textId="0AE4DC60" w:rsidR="008708CC" w:rsidRPr="005C343C" w:rsidRDefault="009422D9" w:rsidP="008708CC">
      <w:pPr>
        <w:pStyle w:val="a"/>
        <w:rPr>
          <w:rFonts w:ascii="Arial" w:hAnsi="Arial" w:cs="Arial"/>
          <w:sz w:val="18"/>
          <w:szCs w:val="18"/>
          <w:lang w:eastAsia="en-US"/>
        </w:rPr>
      </w:pPr>
      <w:r w:rsidRPr="009422D9">
        <w:rPr>
          <w:rFonts w:ascii="Arial" w:hAnsi="Arial" w:cs="Arial"/>
          <w:sz w:val="18"/>
          <w:szCs w:val="18"/>
          <w:lang w:eastAsia="en-US"/>
        </w:rPr>
        <w:t>EnQuest is providing creative solutions through the energy transition. As an independent energy company with operations in the UK North Sea and Malaysia, the Group's strategic vision is to be the partner of choice for the responsible management of existing energy assets, applying its core capabilities to create value through the transition.</w:t>
      </w:r>
    </w:p>
    <w:p w14:paraId="2869CA27" w14:textId="77777777" w:rsidR="008708CC" w:rsidRPr="005C343C" w:rsidRDefault="008708CC" w:rsidP="008708CC">
      <w:pPr>
        <w:pStyle w:val="a"/>
        <w:rPr>
          <w:rFonts w:ascii="Arial" w:hAnsi="Arial" w:cs="Arial"/>
          <w:sz w:val="18"/>
          <w:szCs w:val="18"/>
          <w:lang w:eastAsia="en-US"/>
        </w:rPr>
      </w:pPr>
      <w:r w:rsidRPr="005C343C">
        <w:rPr>
          <w:rFonts w:ascii="Arial" w:hAnsi="Arial" w:cs="Arial"/>
          <w:sz w:val="18"/>
          <w:szCs w:val="18"/>
          <w:lang w:eastAsia="en-US"/>
        </w:rPr>
        <w:t>EnQuest PLC trades on both the London Stock Exchange and the NASDAQ OMX Stockholm.</w:t>
      </w:r>
    </w:p>
    <w:p w14:paraId="7D7D0A30" w14:textId="20507DE1" w:rsidR="008708CC" w:rsidRDefault="008708CC" w:rsidP="008708CC">
      <w:pPr>
        <w:jc w:val="both"/>
        <w:rPr>
          <w:rFonts w:ascii="Arial" w:hAnsi="Arial" w:cs="Arial"/>
          <w:sz w:val="18"/>
          <w:szCs w:val="18"/>
        </w:rPr>
      </w:pPr>
      <w:r w:rsidRPr="005C343C">
        <w:rPr>
          <w:rFonts w:ascii="Arial" w:hAnsi="Arial" w:cs="Arial"/>
          <w:sz w:val="18"/>
          <w:szCs w:val="18"/>
        </w:rPr>
        <w:t xml:space="preserve">Please visit our website </w:t>
      </w:r>
      <w:hyperlink r:id="rId8" w:history="1">
        <w:r w:rsidRPr="002C23D1">
          <w:rPr>
            <w:rStyle w:val="Hyperlink"/>
            <w:rFonts w:ascii="Arial" w:hAnsi="Arial" w:cs="Arial"/>
            <w:sz w:val="18"/>
            <w:szCs w:val="18"/>
          </w:rPr>
          <w:t>www.enquest.com</w:t>
        </w:r>
      </w:hyperlink>
      <w:r>
        <w:rPr>
          <w:rFonts w:ascii="Arial" w:hAnsi="Arial" w:cs="Arial"/>
          <w:sz w:val="18"/>
          <w:szCs w:val="18"/>
        </w:rPr>
        <w:t xml:space="preserve"> </w:t>
      </w:r>
      <w:r w:rsidRPr="005C343C">
        <w:rPr>
          <w:rFonts w:ascii="Arial" w:hAnsi="Arial" w:cs="Arial"/>
          <w:sz w:val="18"/>
          <w:szCs w:val="18"/>
        </w:rPr>
        <w:t>for more information on our global operations.</w:t>
      </w:r>
      <w:r w:rsidRPr="009A09FE">
        <w:rPr>
          <w:rFonts w:ascii="Arial" w:hAnsi="Arial" w:cs="Arial"/>
          <w:sz w:val="18"/>
          <w:szCs w:val="18"/>
        </w:rPr>
        <w:t xml:space="preserve"> </w:t>
      </w:r>
    </w:p>
    <w:p w14:paraId="4AF9E419" w14:textId="77777777" w:rsidR="008708CC" w:rsidRPr="009A09FE" w:rsidRDefault="008708CC" w:rsidP="008708CC">
      <w:pPr>
        <w:jc w:val="both"/>
        <w:rPr>
          <w:rFonts w:ascii="Arial" w:hAnsi="Arial" w:cs="Arial"/>
          <w:sz w:val="18"/>
          <w:szCs w:val="18"/>
        </w:rPr>
      </w:pPr>
    </w:p>
    <w:p w14:paraId="40FCD357" w14:textId="77777777" w:rsidR="008708CC" w:rsidRPr="003E1393" w:rsidRDefault="008708CC" w:rsidP="008708CC">
      <w:pPr>
        <w:jc w:val="both"/>
        <w:rPr>
          <w:rFonts w:ascii="Arial" w:hAnsi="Arial" w:cs="Arial"/>
          <w:sz w:val="18"/>
          <w:szCs w:val="18"/>
          <w:lang w:val="en-US"/>
        </w:rPr>
      </w:pPr>
      <w:r w:rsidRPr="009A09FE">
        <w:rPr>
          <w:rFonts w:ascii="Arial" w:hAnsi="Arial" w:cs="Arial"/>
          <w:b/>
          <w:sz w:val="18"/>
          <w:szCs w:val="18"/>
        </w:rPr>
        <w:t>Forward-looking statements:</w:t>
      </w:r>
      <w:r w:rsidRPr="009A09FE">
        <w:rPr>
          <w:rFonts w:ascii="Arial" w:hAnsi="Arial" w:cs="Arial"/>
          <w:sz w:val="18"/>
          <w:szCs w:val="18"/>
        </w:rPr>
        <w:t xml:space="preserve"> This announcement may contain certain forward-looking statements with respect to EnQuest’s expectation</w:t>
      </w:r>
      <w:r>
        <w:rPr>
          <w:rFonts w:ascii="Arial" w:hAnsi="Arial" w:cs="Arial"/>
          <w:sz w:val="18"/>
          <w:szCs w:val="18"/>
        </w:rPr>
        <w:t>s</w:t>
      </w:r>
      <w:r w:rsidRPr="009A09FE">
        <w:rPr>
          <w:rFonts w:ascii="Arial" w:hAnsi="Arial" w:cs="Arial"/>
          <w:sz w:val="18"/>
          <w:szCs w:val="18"/>
        </w:rPr>
        <w:t xml:space="preserve"> and plans, strategy, management’s objectives, future performance, production, reserves, costs, revenues and other trend information. These statements and forecasts involve risk and uncertainty because they relate to events and depend upon circumstances that may occur in the future. There are a number of factors which could cause actual results or developments to differ materially from those expressed or implied by these forward-looking statements and forecasts. The statements have been made with reference to forecast price changes, economic conditions and the current regulatory environment. Nothing in this announcement should be construed as a profit forecast. Past share performance cannot be relied </w:t>
      </w:r>
      <w:r>
        <w:rPr>
          <w:rFonts w:ascii="Arial" w:hAnsi="Arial" w:cs="Arial"/>
          <w:sz w:val="18"/>
          <w:szCs w:val="18"/>
        </w:rPr>
        <w:t>up</w:t>
      </w:r>
      <w:r w:rsidRPr="009A09FE">
        <w:rPr>
          <w:rFonts w:ascii="Arial" w:hAnsi="Arial" w:cs="Arial"/>
          <w:sz w:val="18"/>
          <w:szCs w:val="18"/>
        </w:rPr>
        <w:t>on as a guide to future performance.</w:t>
      </w:r>
    </w:p>
    <w:p w14:paraId="206257A7" w14:textId="38D33A35" w:rsidR="007F6B1B" w:rsidRPr="003C6326" w:rsidRDefault="007F6B1B" w:rsidP="008708CC">
      <w:pPr>
        <w:rPr>
          <w:rFonts w:ascii="Arial" w:hAnsi="Arial" w:cs="Arial"/>
          <w:sz w:val="18"/>
          <w:szCs w:val="18"/>
          <w:lang w:val="en-US"/>
        </w:rPr>
      </w:pPr>
    </w:p>
    <w:sectPr w:rsidR="007F6B1B" w:rsidRPr="003C6326" w:rsidSect="006F7454">
      <w:pgSz w:w="11907" w:h="16840" w:code="9"/>
      <w:pgMar w:top="1440" w:right="1440" w:bottom="1440" w:left="1440" w:header="1440" w:footer="1440" w:gutter="0"/>
      <w:cols w:space="708"/>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A4E05"/>
    <w:multiLevelType w:val="multilevel"/>
    <w:tmpl w:val="E47C1A5A"/>
    <w:lvl w:ilvl="0">
      <w:start w:val="1"/>
      <w:numFmt w:val="decimal"/>
      <w:pStyle w:val="Heading1"/>
      <w:lvlText w:val="%1.0"/>
      <w:lvlJc w:val="left"/>
      <w:pPr>
        <w:tabs>
          <w:tab w:val="num" w:pos="360"/>
        </w:tabs>
        <w:ind w:left="0" w:hanging="360"/>
      </w:pPr>
      <w:rPr>
        <w:rFonts w:hint="default"/>
      </w:rPr>
    </w:lvl>
    <w:lvl w:ilvl="1">
      <w:start w:val="1"/>
      <w:numFmt w:val="decimal"/>
      <w:pStyle w:val="Heading2"/>
      <w:lvlText w:val="%1.%2"/>
      <w:lvlJc w:val="left"/>
      <w:pPr>
        <w:tabs>
          <w:tab w:val="num" w:pos="432"/>
        </w:tabs>
        <w:ind w:left="432" w:hanging="432"/>
      </w:pPr>
      <w:rPr>
        <w:rFonts w:hint="default"/>
      </w:rPr>
    </w:lvl>
    <w:lvl w:ilvl="2">
      <w:start w:val="1"/>
      <w:numFmt w:val="decimal"/>
      <w:lvlText w:val="%1.%2.%3."/>
      <w:lvlJc w:val="left"/>
      <w:pPr>
        <w:tabs>
          <w:tab w:val="num" w:pos="1080"/>
        </w:tabs>
        <w:ind w:left="864" w:hanging="504"/>
      </w:pPr>
      <w:rPr>
        <w:rFonts w:hint="default"/>
      </w:rPr>
    </w:lvl>
    <w:lvl w:ilvl="3">
      <w:start w:val="1"/>
      <w:numFmt w:val="decimal"/>
      <w:lvlText w:val="%1.%2.%3.%4."/>
      <w:lvlJc w:val="left"/>
      <w:pPr>
        <w:tabs>
          <w:tab w:val="num" w:pos="1800"/>
        </w:tabs>
        <w:ind w:left="1368" w:hanging="648"/>
      </w:pPr>
      <w:rPr>
        <w:rFonts w:hint="default"/>
      </w:rPr>
    </w:lvl>
    <w:lvl w:ilvl="4">
      <w:start w:val="1"/>
      <w:numFmt w:val="decimal"/>
      <w:lvlText w:val="%1.%2.%3.%4.%5."/>
      <w:lvlJc w:val="left"/>
      <w:pPr>
        <w:tabs>
          <w:tab w:val="num" w:pos="2520"/>
        </w:tabs>
        <w:ind w:left="1872" w:hanging="792"/>
      </w:pPr>
      <w:rPr>
        <w:rFonts w:hint="default"/>
      </w:rPr>
    </w:lvl>
    <w:lvl w:ilvl="5">
      <w:start w:val="1"/>
      <w:numFmt w:val="decimal"/>
      <w:lvlText w:val="%1.%2.%3.%4.%5.%6."/>
      <w:lvlJc w:val="left"/>
      <w:pPr>
        <w:tabs>
          <w:tab w:val="num" w:pos="2880"/>
        </w:tabs>
        <w:ind w:left="2376" w:hanging="936"/>
      </w:pPr>
      <w:rPr>
        <w:rFonts w:hint="default"/>
      </w:rPr>
    </w:lvl>
    <w:lvl w:ilvl="6">
      <w:start w:val="1"/>
      <w:numFmt w:val="decimal"/>
      <w:lvlText w:val="%1.%2.%3.%4.%5.%6.%7."/>
      <w:lvlJc w:val="left"/>
      <w:pPr>
        <w:tabs>
          <w:tab w:val="num" w:pos="3600"/>
        </w:tabs>
        <w:ind w:left="2880" w:hanging="1080"/>
      </w:pPr>
      <w:rPr>
        <w:rFonts w:hint="default"/>
      </w:rPr>
    </w:lvl>
    <w:lvl w:ilvl="7">
      <w:start w:val="1"/>
      <w:numFmt w:val="decimal"/>
      <w:lvlText w:val="%1.%2.%3.%4.%5.%6.%7.%8."/>
      <w:lvlJc w:val="left"/>
      <w:pPr>
        <w:tabs>
          <w:tab w:val="num" w:pos="4320"/>
        </w:tabs>
        <w:ind w:left="3384" w:hanging="1224"/>
      </w:pPr>
      <w:rPr>
        <w:rFonts w:hint="default"/>
      </w:rPr>
    </w:lvl>
    <w:lvl w:ilvl="8">
      <w:start w:val="1"/>
      <w:numFmt w:val="decimal"/>
      <w:lvlText w:val="%1.%2.%3.%4.%5.%6.%7.%8.%9."/>
      <w:lvlJc w:val="left"/>
      <w:pPr>
        <w:tabs>
          <w:tab w:val="num" w:pos="4680"/>
        </w:tabs>
        <w:ind w:left="3960" w:hanging="1440"/>
      </w:pPr>
      <w:rPr>
        <w:rFonts w:hint="default"/>
      </w:rPr>
    </w:lvl>
  </w:abstractNum>
  <w:abstractNum w:abstractNumId="1" w15:restartNumberingAfterBreak="0">
    <w:nsid w:val="0743356F"/>
    <w:multiLevelType w:val="hybridMultilevel"/>
    <w:tmpl w:val="4C083A48"/>
    <w:lvl w:ilvl="0" w:tplc="2682A366">
      <w:start w:val="1"/>
      <w:numFmt w:val="bullet"/>
      <w:pStyle w:val="Bullet1"/>
      <w:lvlText w:val=""/>
      <w:lvlJc w:val="left"/>
      <w:pPr>
        <w:tabs>
          <w:tab w:val="num" w:pos="360"/>
        </w:tabs>
        <w:ind w:left="360" w:hanging="360"/>
      </w:pPr>
      <w:rPr>
        <w:rFonts w:ascii="Symbol" w:hAnsi="Symbol" w:hint="default"/>
        <w:sz w:val="16"/>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798764154">
    <w:abstractNumId w:val="0"/>
  </w:num>
  <w:num w:numId="2" w16cid:durableId="394936118">
    <w:abstractNumId w:val="0"/>
  </w:num>
  <w:num w:numId="3" w16cid:durableId="24565123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rawingGridVerticalSpacing w:val="163"/>
  <w:displayHorizontalDrawingGridEvery w:val="0"/>
  <w:displayVertic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30DE"/>
    <w:rsid w:val="0000653B"/>
    <w:rsid w:val="00027744"/>
    <w:rsid w:val="00071CBC"/>
    <w:rsid w:val="00074DA4"/>
    <w:rsid w:val="000A5339"/>
    <w:rsid w:val="000B0161"/>
    <w:rsid w:val="000D30F9"/>
    <w:rsid w:val="000D47EC"/>
    <w:rsid w:val="000E143C"/>
    <w:rsid w:val="000E6D9C"/>
    <w:rsid w:val="000F1D11"/>
    <w:rsid w:val="000F250B"/>
    <w:rsid w:val="00101BE2"/>
    <w:rsid w:val="00105A69"/>
    <w:rsid w:val="001144E7"/>
    <w:rsid w:val="00121FEF"/>
    <w:rsid w:val="00127CA8"/>
    <w:rsid w:val="00134E17"/>
    <w:rsid w:val="001432A7"/>
    <w:rsid w:val="00145322"/>
    <w:rsid w:val="00161299"/>
    <w:rsid w:val="00164E56"/>
    <w:rsid w:val="00175284"/>
    <w:rsid w:val="001A1766"/>
    <w:rsid w:val="001A31C8"/>
    <w:rsid w:val="001C0D9C"/>
    <w:rsid w:val="001C39BE"/>
    <w:rsid w:val="001F406B"/>
    <w:rsid w:val="00226FAA"/>
    <w:rsid w:val="00232CF8"/>
    <w:rsid w:val="0024783B"/>
    <w:rsid w:val="002504C9"/>
    <w:rsid w:val="00257C6F"/>
    <w:rsid w:val="00267DB4"/>
    <w:rsid w:val="00274CED"/>
    <w:rsid w:val="00286947"/>
    <w:rsid w:val="00286F8C"/>
    <w:rsid w:val="002A125F"/>
    <w:rsid w:val="002B4A26"/>
    <w:rsid w:val="002D3AD8"/>
    <w:rsid w:val="002F1BC2"/>
    <w:rsid w:val="00305A3E"/>
    <w:rsid w:val="0033008C"/>
    <w:rsid w:val="00367D4B"/>
    <w:rsid w:val="00374534"/>
    <w:rsid w:val="00377B5D"/>
    <w:rsid w:val="0039293E"/>
    <w:rsid w:val="00396D58"/>
    <w:rsid w:val="003A3B08"/>
    <w:rsid w:val="003A4DFE"/>
    <w:rsid w:val="003B2C2E"/>
    <w:rsid w:val="003C25D4"/>
    <w:rsid w:val="003C2AA7"/>
    <w:rsid w:val="003C6326"/>
    <w:rsid w:val="00400C16"/>
    <w:rsid w:val="004273E4"/>
    <w:rsid w:val="004456AF"/>
    <w:rsid w:val="00453150"/>
    <w:rsid w:val="004548FE"/>
    <w:rsid w:val="004570D7"/>
    <w:rsid w:val="004B3E0A"/>
    <w:rsid w:val="004D4C95"/>
    <w:rsid w:val="004E4818"/>
    <w:rsid w:val="004F6F21"/>
    <w:rsid w:val="005464C0"/>
    <w:rsid w:val="00587247"/>
    <w:rsid w:val="00587E83"/>
    <w:rsid w:val="00592A34"/>
    <w:rsid w:val="005A24A5"/>
    <w:rsid w:val="005A34AB"/>
    <w:rsid w:val="005C5CC7"/>
    <w:rsid w:val="005D18A8"/>
    <w:rsid w:val="005E302A"/>
    <w:rsid w:val="005F46DC"/>
    <w:rsid w:val="00600BFE"/>
    <w:rsid w:val="0061496A"/>
    <w:rsid w:val="00616CD8"/>
    <w:rsid w:val="00624F60"/>
    <w:rsid w:val="006311EF"/>
    <w:rsid w:val="006411E6"/>
    <w:rsid w:val="006606DC"/>
    <w:rsid w:val="006720F6"/>
    <w:rsid w:val="00676B02"/>
    <w:rsid w:val="00682CC4"/>
    <w:rsid w:val="006A5626"/>
    <w:rsid w:val="006B3B63"/>
    <w:rsid w:val="006B49BA"/>
    <w:rsid w:val="006D753B"/>
    <w:rsid w:val="006E333F"/>
    <w:rsid w:val="006E5F99"/>
    <w:rsid w:val="006F2EAF"/>
    <w:rsid w:val="006F5CA9"/>
    <w:rsid w:val="006F6380"/>
    <w:rsid w:val="006F7454"/>
    <w:rsid w:val="006F7A8E"/>
    <w:rsid w:val="00704E7A"/>
    <w:rsid w:val="00711338"/>
    <w:rsid w:val="00712599"/>
    <w:rsid w:val="007A1C79"/>
    <w:rsid w:val="007D771D"/>
    <w:rsid w:val="007F6B1B"/>
    <w:rsid w:val="0083393D"/>
    <w:rsid w:val="008630DE"/>
    <w:rsid w:val="008708CC"/>
    <w:rsid w:val="008B12E9"/>
    <w:rsid w:val="008B51A5"/>
    <w:rsid w:val="008C4DF7"/>
    <w:rsid w:val="008C538D"/>
    <w:rsid w:val="008F3613"/>
    <w:rsid w:val="008F7EDA"/>
    <w:rsid w:val="009040EE"/>
    <w:rsid w:val="00936D0F"/>
    <w:rsid w:val="00937056"/>
    <w:rsid w:val="009377CE"/>
    <w:rsid w:val="009422D9"/>
    <w:rsid w:val="00953CB2"/>
    <w:rsid w:val="009C11A9"/>
    <w:rsid w:val="009C247B"/>
    <w:rsid w:val="00A2148B"/>
    <w:rsid w:val="00A37566"/>
    <w:rsid w:val="00A37E8C"/>
    <w:rsid w:val="00A62B3A"/>
    <w:rsid w:val="00A73106"/>
    <w:rsid w:val="00A849C0"/>
    <w:rsid w:val="00A86725"/>
    <w:rsid w:val="00AA0C41"/>
    <w:rsid w:val="00AB0976"/>
    <w:rsid w:val="00AC1F4B"/>
    <w:rsid w:val="00AF2462"/>
    <w:rsid w:val="00B01F4B"/>
    <w:rsid w:val="00B21F2A"/>
    <w:rsid w:val="00B5264A"/>
    <w:rsid w:val="00B54032"/>
    <w:rsid w:val="00B71C23"/>
    <w:rsid w:val="00B72ED8"/>
    <w:rsid w:val="00B9270D"/>
    <w:rsid w:val="00B937AE"/>
    <w:rsid w:val="00BA71B0"/>
    <w:rsid w:val="00BB5039"/>
    <w:rsid w:val="00BC4AEA"/>
    <w:rsid w:val="00BD4334"/>
    <w:rsid w:val="00BF6D80"/>
    <w:rsid w:val="00BF7EB0"/>
    <w:rsid w:val="00C466D9"/>
    <w:rsid w:val="00C72C52"/>
    <w:rsid w:val="00C90DB8"/>
    <w:rsid w:val="00CA43D1"/>
    <w:rsid w:val="00CB0832"/>
    <w:rsid w:val="00CD3C08"/>
    <w:rsid w:val="00D157C8"/>
    <w:rsid w:val="00D46BC2"/>
    <w:rsid w:val="00D61372"/>
    <w:rsid w:val="00D75663"/>
    <w:rsid w:val="00D86AD8"/>
    <w:rsid w:val="00D87F13"/>
    <w:rsid w:val="00D87F9B"/>
    <w:rsid w:val="00D95C5B"/>
    <w:rsid w:val="00DB0125"/>
    <w:rsid w:val="00DC33B6"/>
    <w:rsid w:val="00DC627B"/>
    <w:rsid w:val="00E542A0"/>
    <w:rsid w:val="00E841D1"/>
    <w:rsid w:val="00EB5236"/>
    <w:rsid w:val="00ED56C5"/>
    <w:rsid w:val="00EE62A2"/>
    <w:rsid w:val="00F073A7"/>
    <w:rsid w:val="00F25F5E"/>
    <w:rsid w:val="00F36242"/>
    <w:rsid w:val="00F62C59"/>
    <w:rsid w:val="00F66AF5"/>
    <w:rsid w:val="00F95B28"/>
    <w:rsid w:val="00FA033B"/>
    <w:rsid w:val="00FB3B2B"/>
    <w:rsid w:val="00FE0162"/>
    <w:rsid w:val="00FE39B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FE1AB0"/>
  <w15:docId w15:val="{FF6AA362-20E6-47BF-8F58-3C4993BC10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ormal"/>
    <w:qFormat/>
    <w:rsid w:val="00BA71B0"/>
    <w:pPr>
      <w:keepNext/>
      <w:numPr>
        <w:numId w:val="2"/>
      </w:numPr>
      <w:tabs>
        <w:tab w:val="clear" w:pos="360"/>
        <w:tab w:val="num" w:pos="2160"/>
      </w:tabs>
      <w:ind w:left="2160" w:hanging="1440"/>
      <w:outlineLvl w:val="0"/>
    </w:pPr>
    <w:rPr>
      <w:rFonts w:ascii="Verdana" w:hAnsi="Verdana"/>
      <w:b/>
      <w:sz w:val="20"/>
    </w:rPr>
  </w:style>
  <w:style w:type="paragraph" w:styleId="Heading2">
    <w:name w:val="heading 2"/>
    <w:basedOn w:val="Normal"/>
    <w:next w:val="Normal"/>
    <w:qFormat/>
    <w:rsid w:val="00BA71B0"/>
    <w:pPr>
      <w:keepNext/>
      <w:numPr>
        <w:ilvl w:val="1"/>
        <w:numId w:val="2"/>
      </w:numPr>
      <w:tabs>
        <w:tab w:val="clear" w:pos="432"/>
        <w:tab w:val="num" w:pos="1800"/>
      </w:tabs>
      <w:ind w:left="1800" w:hanging="360"/>
      <w:outlineLvl w:val="1"/>
    </w:pPr>
    <w:rPr>
      <w:rFonts w:ascii="Verdana" w:hAnsi="Verdana" w:cs="Courier New"/>
      <w:b/>
      <w:bCs/>
      <w:sz w:val="20"/>
      <w:szCs w:val="16"/>
      <w:lang w:val="en-US"/>
    </w:rPr>
  </w:style>
  <w:style w:type="paragraph" w:styleId="Heading3">
    <w:name w:val="heading 3"/>
    <w:basedOn w:val="Normal"/>
    <w:next w:val="Normal"/>
    <w:qFormat/>
    <w:rsid w:val="00BA71B0"/>
    <w:pPr>
      <w:keepNext/>
      <w:outlineLvl w:val="2"/>
    </w:pPr>
    <w:rPr>
      <w:rFonts w:ascii="Verdana" w:hAnsi="Verdana"/>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BA71B0"/>
    <w:pPr>
      <w:jc w:val="both"/>
    </w:pPr>
    <w:rPr>
      <w:rFonts w:ascii="Verdana" w:hAnsi="Verdana"/>
      <w:sz w:val="20"/>
    </w:rPr>
  </w:style>
  <w:style w:type="character" w:customStyle="1" w:styleId="PersonalComposeStyle">
    <w:name w:val="Personal Compose Style"/>
    <w:basedOn w:val="DefaultParagraphFont"/>
    <w:rPr>
      <w:rFonts w:ascii="Arial" w:hAnsi="Arial" w:cs="Arial"/>
      <w:color w:val="auto"/>
      <w:sz w:val="20"/>
    </w:rPr>
  </w:style>
  <w:style w:type="character" w:customStyle="1" w:styleId="PersonalReplyStyle">
    <w:name w:val="Personal Reply Style"/>
    <w:basedOn w:val="DefaultParagraphFont"/>
    <w:rPr>
      <w:rFonts w:ascii="Arial" w:hAnsi="Arial" w:cs="Arial"/>
      <w:color w:val="auto"/>
      <w:sz w:val="20"/>
    </w:rPr>
  </w:style>
  <w:style w:type="paragraph" w:customStyle="1" w:styleId="Bullet1">
    <w:name w:val="Bullet1"/>
    <w:basedOn w:val="Normal"/>
    <w:rsid w:val="00BA71B0"/>
    <w:pPr>
      <w:numPr>
        <w:numId w:val="3"/>
      </w:numPr>
      <w:tabs>
        <w:tab w:val="clear" w:pos="360"/>
        <w:tab w:val="num" w:pos="1080"/>
      </w:tabs>
      <w:ind w:left="1080"/>
      <w:jc w:val="both"/>
    </w:pPr>
    <w:rPr>
      <w:rFonts w:ascii="Verdana" w:hAnsi="Verdana"/>
      <w:sz w:val="20"/>
    </w:rPr>
  </w:style>
  <w:style w:type="paragraph" w:customStyle="1" w:styleId="Appendix">
    <w:name w:val="Appendix"/>
    <w:basedOn w:val="BodyText"/>
    <w:rsid w:val="00C72C52"/>
    <w:rPr>
      <w:b/>
      <w:bCs/>
      <w:u w:val="single"/>
    </w:rPr>
  </w:style>
  <w:style w:type="table" w:styleId="TableGrid">
    <w:name w:val="Table Grid"/>
    <w:basedOn w:val="TableNormal"/>
    <w:uiPriority w:val="59"/>
    <w:rsid w:val="00AC1F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101BE2"/>
    <w:rPr>
      <w:rFonts w:ascii="Tahoma" w:hAnsi="Tahoma" w:cs="Tahoma"/>
      <w:sz w:val="16"/>
      <w:szCs w:val="16"/>
    </w:rPr>
  </w:style>
  <w:style w:type="character" w:customStyle="1" w:styleId="BalloonTextChar">
    <w:name w:val="Balloon Text Char"/>
    <w:basedOn w:val="DefaultParagraphFont"/>
    <w:link w:val="BalloonText"/>
    <w:rsid w:val="00101BE2"/>
    <w:rPr>
      <w:rFonts w:ascii="Tahoma" w:hAnsi="Tahoma" w:cs="Tahoma"/>
      <w:sz w:val="16"/>
      <w:szCs w:val="16"/>
      <w:lang w:eastAsia="en-US"/>
    </w:rPr>
  </w:style>
  <w:style w:type="character" w:styleId="CommentReference">
    <w:name w:val="annotation reference"/>
    <w:basedOn w:val="DefaultParagraphFont"/>
    <w:semiHidden/>
    <w:unhideWhenUsed/>
    <w:rsid w:val="00367D4B"/>
    <w:rPr>
      <w:sz w:val="16"/>
      <w:szCs w:val="16"/>
    </w:rPr>
  </w:style>
  <w:style w:type="paragraph" w:styleId="CommentText">
    <w:name w:val="annotation text"/>
    <w:basedOn w:val="Normal"/>
    <w:link w:val="CommentTextChar"/>
    <w:semiHidden/>
    <w:unhideWhenUsed/>
    <w:rsid w:val="00367D4B"/>
    <w:rPr>
      <w:sz w:val="20"/>
      <w:szCs w:val="20"/>
    </w:rPr>
  </w:style>
  <w:style w:type="character" w:customStyle="1" w:styleId="CommentTextChar">
    <w:name w:val="Comment Text Char"/>
    <w:basedOn w:val="DefaultParagraphFont"/>
    <w:link w:val="CommentText"/>
    <w:semiHidden/>
    <w:rsid w:val="00367D4B"/>
    <w:rPr>
      <w:lang w:eastAsia="en-US"/>
    </w:rPr>
  </w:style>
  <w:style w:type="paragraph" w:styleId="CommentSubject">
    <w:name w:val="annotation subject"/>
    <w:basedOn w:val="CommentText"/>
    <w:next w:val="CommentText"/>
    <w:link w:val="CommentSubjectChar"/>
    <w:semiHidden/>
    <w:unhideWhenUsed/>
    <w:rsid w:val="00367D4B"/>
    <w:rPr>
      <w:b/>
      <w:bCs/>
    </w:rPr>
  </w:style>
  <w:style w:type="character" w:customStyle="1" w:styleId="CommentSubjectChar">
    <w:name w:val="Comment Subject Char"/>
    <w:basedOn w:val="CommentTextChar"/>
    <w:link w:val="CommentSubject"/>
    <w:semiHidden/>
    <w:rsid w:val="00367D4B"/>
    <w:rPr>
      <w:b/>
      <w:bCs/>
      <w:lang w:eastAsia="en-US"/>
    </w:rPr>
  </w:style>
  <w:style w:type="paragraph" w:styleId="Revision">
    <w:name w:val="Revision"/>
    <w:hidden/>
    <w:uiPriority w:val="99"/>
    <w:semiHidden/>
    <w:rsid w:val="00367D4B"/>
    <w:rPr>
      <w:sz w:val="24"/>
      <w:szCs w:val="24"/>
      <w:lang w:eastAsia="en-US"/>
    </w:rPr>
  </w:style>
  <w:style w:type="paragraph" w:customStyle="1" w:styleId="a">
    <w:name w:val="a"/>
    <w:basedOn w:val="Normal"/>
    <w:rsid w:val="002504C9"/>
    <w:pPr>
      <w:spacing w:before="100" w:beforeAutospacing="1" w:after="100" w:afterAutospacing="1"/>
    </w:pPr>
    <w:rPr>
      <w:lang w:eastAsia="en-GB"/>
    </w:rPr>
  </w:style>
  <w:style w:type="character" w:styleId="Hyperlink">
    <w:name w:val="Hyperlink"/>
    <w:uiPriority w:val="99"/>
    <w:unhideWhenUsed/>
    <w:rsid w:val="002504C9"/>
    <w:rPr>
      <w:color w:val="0000FF"/>
      <w:u w:val="single"/>
    </w:rPr>
  </w:style>
  <w:style w:type="character" w:styleId="UnresolvedMention">
    <w:name w:val="Unresolved Mention"/>
    <w:basedOn w:val="DefaultParagraphFont"/>
    <w:uiPriority w:val="99"/>
    <w:semiHidden/>
    <w:unhideWhenUsed/>
    <w:rsid w:val="00D7566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9739912">
      <w:bodyDiv w:val="1"/>
      <w:marLeft w:val="0"/>
      <w:marRight w:val="0"/>
      <w:marTop w:val="0"/>
      <w:marBottom w:val="0"/>
      <w:divBdr>
        <w:top w:val="none" w:sz="0" w:space="0" w:color="auto"/>
        <w:left w:val="none" w:sz="0" w:space="0" w:color="auto"/>
        <w:bottom w:val="none" w:sz="0" w:space="0" w:color="auto"/>
        <w:right w:val="none" w:sz="0" w:space="0" w:color="auto"/>
      </w:divBdr>
    </w:div>
    <w:div w:id="206722955">
      <w:bodyDiv w:val="1"/>
      <w:marLeft w:val="0"/>
      <w:marRight w:val="0"/>
      <w:marTop w:val="0"/>
      <w:marBottom w:val="0"/>
      <w:divBdr>
        <w:top w:val="none" w:sz="0" w:space="0" w:color="auto"/>
        <w:left w:val="none" w:sz="0" w:space="0" w:color="auto"/>
        <w:bottom w:val="none" w:sz="0" w:space="0" w:color="auto"/>
        <w:right w:val="none" w:sz="0" w:space="0" w:color="auto"/>
      </w:divBdr>
    </w:div>
    <w:div w:id="652221417">
      <w:bodyDiv w:val="1"/>
      <w:marLeft w:val="0"/>
      <w:marRight w:val="0"/>
      <w:marTop w:val="0"/>
      <w:marBottom w:val="0"/>
      <w:divBdr>
        <w:top w:val="none" w:sz="0" w:space="0" w:color="auto"/>
        <w:left w:val="none" w:sz="0" w:space="0" w:color="auto"/>
        <w:bottom w:val="none" w:sz="0" w:space="0" w:color="auto"/>
        <w:right w:val="none" w:sz="0" w:space="0" w:color="auto"/>
      </w:divBdr>
    </w:div>
    <w:div w:id="895556446">
      <w:bodyDiv w:val="1"/>
      <w:marLeft w:val="0"/>
      <w:marRight w:val="0"/>
      <w:marTop w:val="0"/>
      <w:marBottom w:val="0"/>
      <w:divBdr>
        <w:top w:val="none" w:sz="0" w:space="0" w:color="auto"/>
        <w:left w:val="none" w:sz="0" w:space="0" w:color="auto"/>
        <w:bottom w:val="none" w:sz="0" w:space="0" w:color="auto"/>
        <w:right w:val="none" w:sz="0" w:space="0" w:color="auto"/>
      </w:divBdr>
    </w:div>
    <w:div w:id="1382943500">
      <w:bodyDiv w:val="1"/>
      <w:marLeft w:val="0"/>
      <w:marRight w:val="0"/>
      <w:marTop w:val="0"/>
      <w:marBottom w:val="0"/>
      <w:divBdr>
        <w:top w:val="none" w:sz="0" w:space="0" w:color="auto"/>
        <w:left w:val="none" w:sz="0" w:space="0" w:color="auto"/>
        <w:bottom w:val="none" w:sz="0" w:space="0" w:color="auto"/>
        <w:right w:val="none" w:sz="0" w:space="0" w:color="auto"/>
      </w:divBdr>
    </w:div>
    <w:div w:id="1832327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nquest.com" TargetMode="External"/><Relationship Id="rId3" Type="http://schemas.openxmlformats.org/officeDocument/2006/relationships/styles" Target="styles.xml"/><Relationship Id="rId7" Type="http://schemas.openxmlformats.org/officeDocument/2006/relationships/hyperlink" Target="https://www.enquest.com/environmental-social-and-governance/governance/business-conduc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38A9B0-8A8E-44D9-87CA-10559EB0A5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1116</Words>
  <Characters>6280</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EnQuest PLC</Company>
  <LinksUpToDate>false</LinksUpToDate>
  <CharactersWithSpaces>7382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Hague, Jackie</dc:creator>
  <cp:lastModifiedBy>Penrice, Victoria</cp:lastModifiedBy>
  <cp:revision>3</cp:revision>
  <cp:lastPrinted>2023-05-24T15:40:00Z</cp:lastPrinted>
  <dcterms:created xsi:type="dcterms:W3CDTF">2023-06-22T12:54:00Z</dcterms:created>
  <dcterms:modified xsi:type="dcterms:W3CDTF">2023-06-22T12:55:00Z</dcterms:modified>
</cp:coreProperties>
</file>