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1D7BD" w14:textId="5AB2CF75" w:rsidR="001F4C0B" w:rsidRPr="00332E89" w:rsidRDefault="00332E89" w:rsidP="00332E89">
      <w:pPr>
        <w:jc w:val="center"/>
        <w:rPr>
          <w:rFonts w:ascii="Arial" w:hAnsi="Arial" w:cs="Arial"/>
          <w:b/>
          <w:bCs/>
          <w:lang w:val="en-US"/>
        </w:rPr>
      </w:pPr>
      <w:r w:rsidRPr="00332E89">
        <w:rPr>
          <w:rFonts w:ascii="Arial" w:hAnsi="Arial" w:cs="Arial"/>
          <w:b/>
          <w:bCs/>
          <w:lang w:val="en-US"/>
        </w:rPr>
        <w:t>Calculus VCT PLC</w:t>
      </w:r>
    </w:p>
    <w:p w14:paraId="616D18A4" w14:textId="0348282E" w:rsidR="00332E89" w:rsidRPr="00332E89" w:rsidRDefault="00332E89" w:rsidP="00332E89">
      <w:pPr>
        <w:jc w:val="center"/>
        <w:rPr>
          <w:rFonts w:ascii="Arial" w:hAnsi="Arial" w:cs="Arial"/>
          <w:b/>
          <w:bCs/>
          <w:lang w:val="en-US"/>
        </w:rPr>
      </w:pPr>
      <w:r w:rsidRPr="00332E89">
        <w:rPr>
          <w:rFonts w:ascii="Arial" w:hAnsi="Arial" w:cs="Arial"/>
          <w:b/>
          <w:bCs/>
          <w:lang w:val="en-US"/>
        </w:rPr>
        <w:t>ANNUAL GENERAL MEETING: 22 AUGUST 2024</w:t>
      </w:r>
    </w:p>
    <w:p w14:paraId="0809249C" w14:textId="77777777" w:rsidR="00332E89" w:rsidRDefault="00332E89" w:rsidP="00332E89">
      <w:pPr>
        <w:jc w:val="center"/>
        <w:rPr>
          <w:rFonts w:ascii="Arial" w:hAnsi="Arial" w:cs="Arial"/>
          <w:lang w:val="en-US"/>
        </w:rPr>
      </w:pPr>
    </w:p>
    <w:p w14:paraId="3F428255" w14:textId="35808292" w:rsidR="00332E89" w:rsidRPr="00332E89" w:rsidRDefault="00332E89" w:rsidP="00332E89">
      <w:pPr>
        <w:rPr>
          <w:rFonts w:ascii="Arial" w:hAnsi="Arial" w:cs="Arial"/>
          <w:lang w:val="en-US"/>
        </w:rPr>
      </w:pPr>
      <w:r>
        <w:rPr>
          <w:rFonts w:ascii="Arial" w:hAnsi="Arial" w:cs="Arial"/>
          <w:lang w:val="en-US"/>
        </w:rPr>
        <w:t>Calculus VCT PLC announced the results of the voting at its Annual General Meeting today. As proposed in the Notice of AGM, all Resolutions were decided by poll vote</w:t>
      </w:r>
    </w:p>
    <w:p w14:paraId="739BEC21" w14:textId="77777777" w:rsidR="00947B7B" w:rsidRPr="00332E89" w:rsidRDefault="00947B7B">
      <w:pPr>
        <w:rPr>
          <w:rFonts w:ascii="Arial" w:hAnsi="Arial" w:cs="Arial"/>
          <w:lang w:val="en-US"/>
        </w:rPr>
      </w:pPr>
    </w:p>
    <w:p w14:paraId="58059C64" w14:textId="56733387" w:rsidR="00947B7B" w:rsidRPr="00332E89" w:rsidRDefault="00947B7B"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spacing w:val="-7"/>
          <w:u w:val="single"/>
        </w:rPr>
        <w:t>Resolution 1</w:t>
      </w:r>
      <w:r w:rsidR="00332E89" w:rsidRPr="00332E89">
        <w:rPr>
          <w:rFonts w:ascii="Arial" w:hAnsi="Arial" w:cs="Arial"/>
          <w:spacing w:val="-7"/>
          <w:u w:val="single"/>
        </w:rPr>
        <w:t>3</w:t>
      </w:r>
      <w:r w:rsidRPr="00332E89">
        <w:rPr>
          <w:rFonts w:ascii="Arial" w:hAnsi="Arial" w:cs="Arial"/>
          <w:spacing w:val="-7"/>
          <w:u w:val="single"/>
        </w:rPr>
        <w:t xml:space="preserve">: </w:t>
      </w:r>
      <w:r w:rsidRPr="00332E89">
        <w:rPr>
          <w:rFonts w:ascii="Arial" w:hAnsi="Arial" w:cs="Arial"/>
          <w:spacing w:val="-7"/>
          <w:u w:val="single"/>
        </w:rPr>
        <w:t xml:space="preserve">THAT, </w:t>
      </w:r>
      <w:r w:rsidRPr="00332E89">
        <w:rPr>
          <w:rFonts w:ascii="Arial" w:hAnsi="Arial" w:cs="Arial"/>
          <w:u w:val="single"/>
        </w:rPr>
        <w:t>in addition to all other existing authorities, the Directors be and are generally and unconditionally authorised in accordance</w:t>
      </w:r>
      <w:r w:rsidRPr="00332E89">
        <w:rPr>
          <w:rFonts w:ascii="Arial" w:hAnsi="Arial" w:cs="Arial"/>
          <w:spacing w:val="-7"/>
          <w:u w:val="single"/>
        </w:rPr>
        <w:t xml:space="preserve"> </w:t>
      </w:r>
      <w:r w:rsidRPr="00332E89">
        <w:rPr>
          <w:rFonts w:ascii="Arial" w:hAnsi="Arial" w:cs="Arial"/>
          <w:u w:val="single"/>
        </w:rPr>
        <w:t>with</w:t>
      </w:r>
      <w:r w:rsidRPr="00332E89">
        <w:rPr>
          <w:rFonts w:ascii="Arial" w:hAnsi="Arial" w:cs="Arial"/>
          <w:spacing w:val="-7"/>
          <w:u w:val="single"/>
        </w:rPr>
        <w:t xml:space="preserve"> </w:t>
      </w:r>
      <w:r w:rsidRPr="00332E89">
        <w:rPr>
          <w:rFonts w:ascii="Arial" w:hAnsi="Arial" w:cs="Arial"/>
          <w:u w:val="single"/>
        </w:rPr>
        <w:t>section</w:t>
      </w:r>
      <w:r w:rsidRPr="00332E89">
        <w:rPr>
          <w:rFonts w:ascii="Arial" w:hAnsi="Arial" w:cs="Arial"/>
          <w:spacing w:val="-7"/>
          <w:u w:val="single"/>
        </w:rPr>
        <w:t xml:space="preserve"> </w:t>
      </w:r>
      <w:r w:rsidRPr="00332E89">
        <w:rPr>
          <w:rFonts w:ascii="Arial" w:hAnsi="Arial" w:cs="Arial"/>
          <w:u w:val="single"/>
        </w:rPr>
        <w:t>570</w:t>
      </w:r>
      <w:r w:rsidRPr="00332E89">
        <w:rPr>
          <w:rFonts w:ascii="Arial" w:hAnsi="Arial" w:cs="Arial"/>
          <w:spacing w:val="-7"/>
          <w:u w:val="single"/>
        </w:rPr>
        <w:t xml:space="preserve"> </w:t>
      </w:r>
      <w:r w:rsidRPr="00332E89">
        <w:rPr>
          <w:rFonts w:ascii="Arial" w:hAnsi="Arial" w:cs="Arial"/>
          <w:u w:val="single"/>
        </w:rPr>
        <w:t>of</w:t>
      </w:r>
      <w:r w:rsidRPr="00332E89">
        <w:rPr>
          <w:rFonts w:ascii="Arial" w:hAnsi="Arial" w:cs="Arial"/>
          <w:spacing w:val="-7"/>
          <w:u w:val="single"/>
        </w:rPr>
        <w:t xml:space="preserve"> </w:t>
      </w:r>
      <w:r w:rsidRPr="00332E89">
        <w:rPr>
          <w:rFonts w:ascii="Arial" w:hAnsi="Arial" w:cs="Arial"/>
          <w:u w:val="single"/>
        </w:rPr>
        <w:t>the</w:t>
      </w:r>
      <w:r w:rsidRPr="00332E89">
        <w:rPr>
          <w:rFonts w:ascii="Arial" w:hAnsi="Arial" w:cs="Arial"/>
          <w:spacing w:val="-7"/>
          <w:u w:val="single"/>
        </w:rPr>
        <w:t xml:space="preserve"> </w:t>
      </w:r>
      <w:r w:rsidRPr="00332E89">
        <w:rPr>
          <w:rFonts w:ascii="Arial" w:hAnsi="Arial" w:cs="Arial"/>
          <w:u w:val="single"/>
        </w:rPr>
        <w:t>Act</w:t>
      </w:r>
      <w:r w:rsidRPr="00332E89">
        <w:rPr>
          <w:rFonts w:ascii="Arial" w:hAnsi="Arial" w:cs="Arial"/>
          <w:spacing w:val="-7"/>
          <w:u w:val="single"/>
        </w:rPr>
        <w:t xml:space="preserve"> </w:t>
      </w:r>
      <w:r w:rsidRPr="00332E89">
        <w:rPr>
          <w:rFonts w:ascii="Arial" w:hAnsi="Arial" w:cs="Arial"/>
          <w:u w:val="single"/>
        </w:rPr>
        <w:t>to</w:t>
      </w:r>
      <w:r w:rsidRPr="00332E89">
        <w:rPr>
          <w:rFonts w:ascii="Arial" w:hAnsi="Arial" w:cs="Arial"/>
          <w:spacing w:val="-7"/>
          <w:u w:val="single"/>
        </w:rPr>
        <w:t xml:space="preserve"> </w:t>
      </w:r>
      <w:r w:rsidRPr="00332E89">
        <w:rPr>
          <w:rFonts w:ascii="Arial" w:hAnsi="Arial" w:cs="Arial"/>
          <w:u w:val="single"/>
        </w:rPr>
        <w:t>allot</w:t>
      </w:r>
      <w:r w:rsidRPr="00332E89">
        <w:rPr>
          <w:rFonts w:ascii="Arial" w:hAnsi="Arial" w:cs="Arial"/>
          <w:spacing w:val="-7"/>
          <w:u w:val="single"/>
        </w:rPr>
        <w:t xml:space="preserve"> </w:t>
      </w:r>
      <w:r w:rsidRPr="00332E89">
        <w:rPr>
          <w:rFonts w:ascii="Arial" w:hAnsi="Arial" w:cs="Arial"/>
          <w:u w:val="single"/>
        </w:rPr>
        <w:t>equity</w:t>
      </w:r>
      <w:r w:rsidRPr="00332E89">
        <w:rPr>
          <w:rFonts w:ascii="Arial" w:hAnsi="Arial" w:cs="Arial"/>
          <w:spacing w:val="-7"/>
          <w:u w:val="single"/>
        </w:rPr>
        <w:t xml:space="preserve"> </w:t>
      </w:r>
      <w:r w:rsidRPr="00332E89">
        <w:rPr>
          <w:rFonts w:ascii="Arial" w:hAnsi="Arial" w:cs="Arial"/>
          <w:u w:val="single"/>
        </w:rPr>
        <w:t>securities</w:t>
      </w:r>
      <w:r w:rsidRPr="00332E89">
        <w:rPr>
          <w:rFonts w:ascii="Arial" w:hAnsi="Arial" w:cs="Arial"/>
          <w:spacing w:val="-7"/>
          <w:u w:val="single"/>
        </w:rPr>
        <w:t xml:space="preserve"> </w:t>
      </w:r>
      <w:r w:rsidRPr="00332E89">
        <w:rPr>
          <w:rFonts w:ascii="Arial" w:hAnsi="Arial" w:cs="Arial"/>
          <w:u w:val="single"/>
        </w:rPr>
        <w:t>(within</w:t>
      </w:r>
      <w:r w:rsidRPr="00332E89">
        <w:rPr>
          <w:rFonts w:ascii="Arial" w:hAnsi="Arial" w:cs="Arial"/>
          <w:spacing w:val="-7"/>
          <w:u w:val="single"/>
        </w:rPr>
        <w:t xml:space="preserve"> </w:t>
      </w:r>
      <w:r w:rsidRPr="00332E89">
        <w:rPr>
          <w:rFonts w:ascii="Arial" w:hAnsi="Arial" w:cs="Arial"/>
          <w:u w:val="single"/>
        </w:rPr>
        <w:t>the</w:t>
      </w:r>
      <w:r w:rsidRPr="00332E89">
        <w:rPr>
          <w:rFonts w:ascii="Arial" w:hAnsi="Arial" w:cs="Arial"/>
          <w:spacing w:val="-7"/>
          <w:u w:val="single"/>
        </w:rPr>
        <w:t xml:space="preserve"> </w:t>
      </w:r>
      <w:r w:rsidRPr="00332E89">
        <w:rPr>
          <w:rFonts w:ascii="Arial" w:hAnsi="Arial" w:cs="Arial"/>
          <w:u w:val="single"/>
        </w:rPr>
        <w:t>meaning</w:t>
      </w:r>
      <w:r w:rsidRPr="00332E89">
        <w:rPr>
          <w:rFonts w:ascii="Arial" w:hAnsi="Arial" w:cs="Arial"/>
          <w:spacing w:val="-7"/>
          <w:u w:val="single"/>
        </w:rPr>
        <w:t xml:space="preserve"> </w:t>
      </w:r>
      <w:r w:rsidRPr="00332E89">
        <w:rPr>
          <w:rFonts w:ascii="Arial" w:hAnsi="Arial" w:cs="Arial"/>
          <w:u w:val="single"/>
        </w:rPr>
        <w:t>of</w:t>
      </w:r>
      <w:r w:rsidRPr="00332E89">
        <w:rPr>
          <w:rFonts w:ascii="Arial" w:hAnsi="Arial" w:cs="Arial"/>
          <w:spacing w:val="-7"/>
          <w:u w:val="single"/>
        </w:rPr>
        <w:t xml:space="preserve"> </w:t>
      </w:r>
      <w:r w:rsidRPr="00332E89">
        <w:rPr>
          <w:rFonts w:ascii="Arial" w:hAnsi="Arial" w:cs="Arial"/>
          <w:u w:val="single"/>
        </w:rPr>
        <w:t>section</w:t>
      </w:r>
      <w:r w:rsidRPr="00332E89">
        <w:rPr>
          <w:rFonts w:ascii="Arial" w:hAnsi="Arial" w:cs="Arial"/>
          <w:spacing w:val="-7"/>
          <w:u w:val="single"/>
        </w:rPr>
        <w:t xml:space="preserve"> </w:t>
      </w:r>
      <w:r w:rsidRPr="00332E89">
        <w:rPr>
          <w:rFonts w:ascii="Arial" w:hAnsi="Arial" w:cs="Arial"/>
          <w:u w:val="single"/>
        </w:rPr>
        <w:t>560</w:t>
      </w:r>
      <w:r w:rsidRPr="00332E89">
        <w:rPr>
          <w:rFonts w:ascii="Arial" w:hAnsi="Arial" w:cs="Arial"/>
          <w:spacing w:val="-7"/>
          <w:u w:val="single"/>
        </w:rPr>
        <w:t xml:space="preserve"> </w:t>
      </w:r>
      <w:r w:rsidRPr="00332E89">
        <w:rPr>
          <w:rFonts w:ascii="Arial" w:hAnsi="Arial" w:cs="Arial"/>
          <w:u w:val="single"/>
        </w:rPr>
        <w:t>of</w:t>
      </w:r>
      <w:r w:rsidRPr="00332E89">
        <w:rPr>
          <w:rFonts w:ascii="Arial" w:hAnsi="Arial" w:cs="Arial"/>
          <w:spacing w:val="-7"/>
          <w:u w:val="single"/>
        </w:rPr>
        <w:t xml:space="preserve"> </w:t>
      </w:r>
      <w:r w:rsidRPr="00332E89">
        <w:rPr>
          <w:rFonts w:ascii="Arial" w:hAnsi="Arial" w:cs="Arial"/>
          <w:u w:val="single"/>
        </w:rPr>
        <w:t>the</w:t>
      </w:r>
      <w:r w:rsidRPr="00332E89">
        <w:rPr>
          <w:rFonts w:ascii="Arial" w:hAnsi="Arial" w:cs="Arial"/>
          <w:spacing w:val="-7"/>
          <w:u w:val="single"/>
        </w:rPr>
        <w:t xml:space="preserve"> </w:t>
      </w:r>
      <w:r w:rsidRPr="00332E89">
        <w:rPr>
          <w:rFonts w:ascii="Arial" w:hAnsi="Arial" w:cs="Arial"/>
          <w:u w:val="single"/>
        </w:rPr>
        <w:t>Act)</w:t>
      </w:r>
      <w:r w:rsidRPr="00332E89">
        <w:rPr>
          <w:rFonts w:ascii="Arial" w:hAnsi="Arial" w:cs="Arial"/>
          <w:spacing w:val="-6"/>
          <w:u w:val="single"/>
        </w:rPr>
        <w:t xml:space="preserve"> </w:t>
      </w:r>
      <w:r w:rsidRPr="00332E89">
        <w:rPr>
          <w:rFonts w:ascii="Arial" w:hAnsi="Arial" w:cs="Arial"/>
          <w:u w:val="single"/>
        </w:rPr>
        <w:t>for</w:t>
      </w:r>
      <w:r w:rsidRPr="00332E89">
        <w:rPr>
          <w:rFonts w:ascii="Arial" w:hAnsi="Arial" w:cs="Arial"/>
          <w:spacing w:val="-7"/>
          <w:u w:val="single"/>
        </w:rPr>
        <w:t xml:space="preserve"> </w:t>
      </w:r>
      <w:r w:rsidRPr="00332E89">
        <w:rPr>
          <w:rFonts w:ascii="Arial" w:hAnsi="Arial" w:cs="Arial"/>
          <w:u w:val="single"/>
        </w:rPr>
        <w:t>cash pursuant to the authority conferred by Resolution 11 above as if section 561(1) of the Act did not apply to any such allotment, provided that this power shall expire on the conclusion of the Annual General Meeting of the Company to be held in</w:t>
      </w:r>
      <w:r w:rsidRPr="00332E89">
        <w:rPr>
          <w:rFonts w:ascii="Arial" w:hAnsi="Arial" w:cs="Arial"/>
          <w:spacing w:val="-2"/>
          <w:u w:val="single"/>
        </w:rPr>
        <w:t xml:space="preserve"> </w:t>
      </w:r>
      <w:r w:rsidRPr="00332E89">
        <w:rPr>
          <w:rFonts w:ascii="Arial" w:hAnsi="Arial" w:cs="Arial"/>
          <w:u w:val="single"/>
        </w:rPr>
        <w:t>2025.</w:t>
      </w:r>
      <w:r w:rsidR="00332E89" w:rsidRPr="00332E89">
        <w:rPr>
          <w:rFonts w:ascii="Arial" w:hAnsi="Arial" w:cs="Arial"/>
          <w:u w:val="single"/>
        </w:rPr>
        <w:br/>
      </w:r>
      <w:r w:rsidR="00332E89" w:rsidRPr="00332E89">
        <w:rPr>
          <w:rFonts w:ascii="Arial" w:hAnsi="Arial" w:cs="Arial"/>
        </w:rPr>
        <w:br/>
        <w:t>VOTES FOR</w:t>
      </w:r>
      <w:r w:rsidR="001172D7">
        <w:rPr>
          <w:rFonts w:ascii="Arial" w:hAnsi="Arial" w:cs="Arial"/>
        </w:rPr>
        <w:t xml:space="preserve"> (including Chairman’s discretion)</w:t>
      </w:r>
      <w:r w:rsidR="00332E89" w:rsidRPr="00332E89">
        <w:rPr>
          <w:rFonts w:ascii="Arial" w:hAnsi="Arial" w:cs="Arial"/>
        </w:rPr>
        <w:t>: 72</w:t>
      </w:r>
      <w:r w:rsidR="001172D7">
        <w:rPr>
          <w:rFonts w:ascii="Arial" w:hAnsi="Arial" w:cs="Arial"/>
        </w:rPr>
        <w:t>7</w:t>
      </w:r>
      <w:r w:rsidR="00332E89" w:rsidRPr="00332E89">
        <w:rPr>
          <w:rFonts w:ascii="Arial" w:hAnsi="Arial" w:cs="Arial"/>
        </w:rPr>
        <w:t>,</w:t>
      </w:r>
      <w:r w:rsidR="001172D7">
        <w:rPr>
          <w:rFonts w:ascii="Arial" w:hAnsi="Arial" w:cs="Arial"/>
        </w:rPr>
        <w:t>879</w:t>
      </w:r>
    </w:p>
    <w:p w14:paraId="07496D6D" w14:textId="3DBCE0D7" w:rsidR="00332E89" w:rsidRPr="00332E89" w:rsidRDefault="00332E89" w:rsidP="00947B7B">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VOTES AGAINST: 74,284</w:t>
      </w:r>
    </w:p>
    <w:p w14:paraId="78780D53" w14:textId="64543D96" w:rsidR="00332E89" w:rsidRPr="00332E89" w:rsidRDefault="00332E89" w:rsidP="00947B7B">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6A4D9559" w14:textId="77777777" w:rsidR="00947B7B" w:rsidRPr="00332E89" w:rsidRDefault="00947B7B" w:rsidP="00947B7B">
      <w:pPr>
        <w:pStyle w:val="ListParagraph"/>
        <w:tabs>
          <w:tab w:val="left" w:pos="514"/>
        </w:tabs>
        <w:spacing w:before="139" w:line="283" w:lineRule="auto"/>
        <w:rPr>
          <w:rFonts w:ascii="Arial" w:hAnsi="Arial" w:cs="Arial"/>
        </w:rPr>
      </w:pPr>
    </w:p>
    <w:p w14:paraId="3D675C30" w14:textId="688F5446" w:rsidR="00947B7B" w:rsidRPr="00332E89" w:rsidRDefault="00332E89" w:rsidP="00332E89">
      <w:pPr>
        <w:widowControl w:val="0"/>
        <w:tabs>
          <w:tab w:val="left" w:pos="514"/>
        </w:tabs>
        <w:autoSpaceDE w:val="0"/>
        <w:autoSpaceDN w:val="0"/>
        <w:spacing w:before="113" w:after="0" w:line="283" w:lineRule="auto"/>
        <w:jc w:val="both"/>
        <w:rPr>
          <w:rFonts w:ascii="Arial" w:hAnsi="Arial" w:cs="Arial"/>
          <w:u w:val="single"/>
        </w:rPr>
      </w:pPr>
      <w:r w:rsidRPr="00332E89">
        <w:rPr>
          <w:rFonts w:ascii="Arial" w:hAnsi="Arial" w:cs="Arial"/>
          <w:spacing w:val="-7"/>
          <w:u w:val="single"/>
        </w:rPr>
        <w:t xml:space="preserve">Resolution 14: </w:t>
      </w:r>
      <w:r w:rsidR="00947B7B" w:rsidRPr="00332E89">
        <w:rPr>
          <w:rFonts w:ascii="Arial" w:hAnsi="Arial" w:cs="Arial"/>
          <w:spacing w:val="-7"/>
          <w:u w:val="single"/>
        </w:rPr>
        <w:t>THAT,</w:t>
      </w:r>
      <w:r w:rsidR="00947B7B" w:rsidRPr="00332E89">
        <w:rPr>
          <w:rFonts w:ascii="Arial" w:hAnsi="Arial" w:cs="Arial"/>
          <w:spacing w:val="28"/>
          <w:u w:val="single"/>
        </w:rPr>
        <w:t xml:space="preserve"> </w:t>
      </w:r>
      <w:r w:rsidR="00947B7B" w:rsidRPr="00332E89">
        <w:rPr>
          <w:rFonts w:ascii="Arial" w:hAnsi="Arial" w:cs="Arial"/>
          <w:u w:val="single"/>
        </w:rPr>
        <w:t>in substitution for existing authorities, the Company be and hereby is empowered to make one or more market purchases within the meaning of section 693(4) of the Act of its own shares (either for</w:t>
      </w:r>
      <w:r w:rsidR="00947B7B" w:rsidRPr="00332E89">
        <w:rPr>
          <w:rFonts w:ascii="Arial" w:hAnsi="Arial" w:cs="Arial"/>
          <w:spacing w:val="10"/>
          <w:u w:val="single"/>
        </w:rPr>
        <w:t xml:space="preserve"> </w:t>
      </w:r>
      <w:r w:rsidR="00947B7B" w:rsidRPr="00332E89">
        <w:rPr>
          <w:rFonts w:ascii="Arial" w:hAnsi="Arial" w:cs="Arial"/>
          <w:u w:val="single"/>
        </w:rPr>
        <w:t>cancellation</w:t>
      </w:r>
      <w:r w:rsidR="00947B7B" w:rsidRPr="00332E89">
        <w:rPr>
          <w:rFonts w:ascii="Arial" w:hAnsi="Arial" w:cs="Arial"/>
          <w:spacing w:val="10"/>
          <w:u w:val="single"/>
        </w:rPr>
        <w:t xml:space="preserve"> </w:t>
      </w:r>
      <w:r w:rsidR="00947B7B" w:rsidRPr="00332E89">
        <w:rPr>
          <w:rFonts w:ascii="Arial" w:hAnsi="Arial" w:cs="Arial"/>
          <w:u w:val="single"/>
        </w:rPr>
        <w:t>or</w:t>
      </w:r>
      <w:r w:rsidR="00947B7B" w:rsidRPr="00332E89">
        <w:rPr>
          <w:rFonts w:ascii="Arial" w:hAnsi="Arial" w:cs="Arial"/>
          <w:spacing w:val="10"/>
          <w:u w:val="single"/>
        </w:rPr>
        <w:t xml:space="preserve"> </w:t>
      </w:r>
      <w:r w:rsidR="00947B7B" w:rsidRPr="00332E89">
        <w:rPr>
          <w:rFonts w:ascii="Arial" w:hAnsi="Arial" w:cs="Arial"/>
          <w:u w:val="single"/>
        </w:rPr>
        <w:t>for</w:t>
      </w:r>
      <w:r w:rsidR="00947B7B" w:rsidRPr="00332E89">
        <w:rPr>
          <w:rFonts w:ascii="Arial" w:hAnsi="Arial" w:cs="Arial"/>
          <w:spacing w:val="10"/>
          <w:u w:val="single"/>
        </w:rPr>
        <w:t xml:space="preserve"> </w:t>
      </w:r>
      <w:r w:rsidR="00947B7B" w:rsidRPr="00332E89">
        <w:rPr>
          <w:rFonts w:ascii="Arial" w:hAnsi="Arial" w:cs="Arial"/>
          <w:u w:val="single"/>
        </w:rPr>
        <w:t>the</w:t>
      </w:r>
      <w:r w:rsidR="00947B7B" w:rsidRPr="00332E89">
        <w:rPr>
          <w:rFonts w:ascii="Arial" w:hAnsi="Arial" w:cs="Arial"/>
          <w:spacing w:val="10"/>
          <w:u w:val="single"/>
        </w:rPr>
        <w:t xml:space="preserve"> </w:t>
      </w:r>
      <w:r w:rsidR="00947B7B" w:rsidRPr="00332E89">
        <w:rPr>
          <w:rFonts w:ascii="Arial" w:hAnsi="Arial" w:cs="Arial"/>
          <w:u w:val="single"/>
        </w:rPr>
        <w:t>retention</w:t>
      </w:r>
      <w:r w:rsidR="00947B7B" w:rsidRPr="00332E89">
        <w:rPr>
          <w:rFonts w:ascii="Arial" w:hAnsi="Arial" w:cs="Arial"/>
          <w:spacing w:val="10"/>
          <w:u w:val="single"/>
        </w:rPr>
        <w:t xml:space="preserve"> </w:t>
      </w:r>
      <w:r w:rsidR="00947B7B" w:rsidRPr="00332E89">
        <w:rPr>
          <w:rFonts w:ascii="Arial" w:hAnsi="Arial" w:cs="Arial"/>
          <w:u w:val="single"/>
        </w:rPr>
        <w:t>as</w:t>
      </w:r>
      <w:r w:rsidR="00947B7B" w:rsidRPr="00332E89">
        <w:rPr>
          <w:rFonts w:ascii="Arial" w:hAnsi="Arial" w:cs="Arial"/>
          <w:spacing w:val="10"/>
          <w:u w:val="single"/>
        </w:rPr>
        <w:t xml:space="preserve"> </w:t>
      </w:r>
      <w:r w:rsidR="00947B7B" w:rsidRPr="00332E89">
        <w:rPr>
          <w:rFonts w:ascii="Arial" w:hAnsi="Arial" w:cs="Arial"/>
          <w:u w:val="single"/>
        </w:rPr>
        <w:t>treasury</w:t>
      </w:r>
      <w:r w:rsidR="00947B7B" w:rsidRPr="00332E89">
        <w:rPr>
          <w:rFonts w:ascii="Arial" w:hAnsi="Arial" w:cs="Arial"/>
          <w:spacing w:val="10"/>
          <w:u w:val="single"/>
        </w:rPr>
        <w:t xml:space="preserve"> </w:t>
      </w:r>
      <w:r w:rsidR="00947B7B" w:rsidRPr="00332E89">
        <w:rPr>
          <w:rFonts w:ascii="Arial" w:hAnsi="Arial" w:cs="Arial"/>
          <w:u w:val="single"/>
        </w:rPr>
        <w:t>shares</w:t>
      </w:r>
      <w:r w:rsidR="00947B7B" w:rsidRPr="00332E89">
        <w:rPr>
          <w:rFonts w:ascii="Arial" w:hAnsi="Arial" w:cs="Arial"/>
          <w:spacing w:val="10"/>
          <w:u w:val="single"/>
        </w:rPr>
        <w:t xml:space="preserve"> </w:t>
      </w:r>
      <w:r w:rsidR="00947B7B" w:rsidRPr="00332E89">
        <w:rPr>
          <w:rFonts w:ascii="Arial" w:hAnsi="Arial" w:cs="Arial"/>
          <w:u w:val="single"/>
        </w:rPr>
        <w:t>for</w:t>
      </w:r>
      <w:r w:rsidR="00947B7B" w:rsidRPr="00332E89">
        <w:rPr>
          <w:rFonts w:ascii="Arial" w:hAnsi="Arial" w:cs="Arial"/>
          <w:spacing w:val="10"/>
          <w:u w:val="single"/>
        </w:rPr>
        <w:t xml:space="preserve"> </w:t>
      </w:r>
      <w:r w:rsidR="00947B7B" w:rsidRPr="00332E89">
        <w:rPr>
          <w:rFonts w:ascii="Arial" w:hAnsi="Arial" w:cs="Arial"/>
          <w:u w:val="single"/>
        </w:rPr>
        <w:t>future</w:t>
      </w:r>
      <w:r w:rsidR="00947B7B" w:rsidRPr="00332E89">
        <w:rPr>
          <w:rFonts w:ascii="Arial" w:hAnsi="Arial" w:cs="Arial"/>
          <w:spacing w:val="10"/>
          <w:u w:val="single"/>
        </w:rPr>
        <w:t xml:space="preserve"> </w:t>
      </w:r>
      <w:r w:rsidR="00947B7B" w:rsidRPr="00332E89">
        <w:rPr>
          <w:rFonts w:ascii="Arial" w:hAnsi="Arial" w:cs="Arial"/>
          <w:u w:val="single"/>
        </w:rPr>
        <w:t>re-issue</w:t>
      </w:r>
      <w:r w:rsidR="00947B7B" w:rsidRPr="00332E89">
        <w:rPr>
          <w:rFonts w:ascii="Arial" w:hAnsi="Arial" w:cs="Arial"/>
          <w:spacing w:val="10"/>
          <w:u w:val="single"/>
        </w:rPr>
        <w:t xml:space="preserve"> </w:t>
      </w:r>
      <w:r w:rsidR="00947B7B" w:rsidRPr="00332E89">
        <w:rPr>
          <w:rFonts w:ascii="Arial" w:hAnsi="Arial" w:cs="Arial"/>
          <w:u w:val="single"/>
        </w:rPr>
        <w:t>or</w:t>
      </w:r>
      <w:r w:rsidR="00947B7B" w:rsidRPr="00332E89">
        <w:rPr>
          <w:rFonts w:ascii="Arial" w:hAnsi="Arial" w:cs="Arial"/>
          <w:spacing w:val="10"/>
          <w:u w:val="single"/>
        </w:rPr>
        <w:t xml:space="preserve"> </w:t>
      </w:r>
      <w:r w:rsidR="00947B7B" w:rsidRPr="00332E89">
        <w:rPr>
          <w:rFonts w:ascii="Arial" w:hAnsi="Arial" w:cs="Arial"/>
          <w:u w:val="single"/>
        </w:rPr>
        <w:t>transfer)</w:t>
      </w:r>
      <w:r w:rsidR="00947B7B" w:rsidRPr="00332E89">
        <w:rPr>
          <w:rFonts w:ascii="Arial" w:hAnsi="Arial" w:cs="Arial"/>
          <w:spacing w:val="10"/>
          <w:u w:val="single"/>
        </w:rPr>
        <w:t xml:space="preserve"> </w:t>
      </w:r>
      <w:r w:rsidR="00947B7B" w:rsidRPr="00332E89">
        <w:rPr>
          <w:rFonts w:ascii="Arial" w:hAnsi="Arial" w:cs="Arial"/>
          <w:u w:val="single"/>
        </w:rPr>
        <w:t>provided</w:t>
      </w:r>
      <w:r w:rsidR="00947B7B" w:rsidRPr="00332E89">
        <w:rPr>
          <w:rFonts w:ascii="Arial" w:hAnsi="Arial" w:cs="Arial"/>
          <w:spacing w:val="10"/>
          <w:u w:val="single"/>
        </w:rPr>
        <w:t xml:space="preserve"> </w:t>
      </w:r>
      <w:r w:rsidR="00947B7B" w:rsidRPr="00332E89">
        <w:rPr>
          <w:rFonts w:ascii="Arial" w:hAnsi="Arial" w:cs="Arial"/>
          <w:u w:val="single"/>
        </w:rPr>
        <w:t>that:</w:t>
      </w:r>
    </w:p>
    <w:p w14:paraId="414863A5" w14:textId="77777777" w:rsidR="00947B7B" w:rsidRPr="00332E89" w:rsidRDefault="00947B7B" w:rsidP="00947B7B">
      <w:pPr>
        <w:pStyle w:val="BodyText"/>
        <w:spacing w:before="3"/>
        <w:rPr>
          <w:rFonts w:ascii="Arial" w:hAnsi="Arial" w:cs="Arial"/>
          <w:sz w:val="22"/>
          <w:szCs w:val="22"/>
          <w:u w:val="single"/>
        </w:rPr>
      </w:pPr>
    </w:p>
    <w:p w14:paraId="1123925A" w14:textId="77777777" w:rsidR="00947B7B" w:rsidRPr="00332E89" w:rsidRDefault="00947B7B" w:rsidP="00947B7B">
      <w:pPr>
        <w:pStyle w:val="ListParagraph"/>
        <w:widowControl w:val="0"/>
        <w:numPr>
          <w:ilvl w:val="1"/>
          <w:numId w:val="1"/>
        </w:numPr>
        <w:tabs>
          <w:tab w:val="left" w:pos="835"/>
        </w:tabs>
        <w:autoSpaceDE w:val="0"/>
        <w:autoSpaceDN w:val="0"/>
        <w:spacing w:before="76" w:after="0" w:line="283" w:lineRule="auto"/>
        <w:ind w:left="1985" w:hanging="545"/>
        <w:contextualSpacing w:val="0"/>
        <w:jc w:val="both"/>
        <w:rPr>
          <w:rFonts w:ascii="Arial" w:hAnsi="Arial" w:cs="Arial"/>
          <w:u w:val="single"/>
        </w:rPr>
      </w:pPr>
      <w:r w:rsidRPr="00332E89">
        <w:rPr>
          <w:rFonts w:ascii="Arial" w:hAnsi="Arial" w:cs="Arial"/>
          <w:u w:val="single"/>
        </w:rPr>
        <w:t xml:space="preserve">the aggregate number of Ordinary shares which may be purchased shall not exceed 9,000,000, </w:t>
      </w:r>
      <w:r w:rsidRPr="00332E89">
        <w:rPr>
          <w:rFonts w:ascii="Arial" w:hAnsi="Arial" w:cs="Arial"/>
          <w:spacing w:val="-4"/>
          <w:u w:val="single"/>
        </w:rPr>
        <w:t xml:space="preserve">or, </w:t>
      </w:r>
      <w:r w:rsidRPr="00332E89">
        <w:rPr>
          <w:rFonts w:ascii="Arial" w:hAnsi="Arial" w:cs="Arial"/>
          <w:u w:val="single"/>
        </w:rPr>
        <w:t xml:space="preserve">if </w:t>
      </w:r>
      <w:r w:rsidRPr="00332E89">
        <w:rPr>
          <w:rFonts w:ascii="Arial" w:hAnsi="Arial" w:cs="Arial"/>
          <w:spacing w:val="-3"/>
          <w:u w:val="single"/>
        </w:rPr>
        <w:t xml:space="preserve">lower, </w:t>
      </w:r>
      <w:r w:rsidRPr="00332E89">
        <w:rPr>
          <w:rFonts w:ascii="Arial" w:hAnsi="Arial" w:cs="Arial"/>
          <w:u w:val="single"/>
        </w:rPr>
        <w:t>such</w:t>
      </w:r>
      <w:r w:rsidRPr="00332E89">
        <w:rPr>
          <w:rFonts w:ascii="Arial" w:hAnsi="Arial" w:cs="Arial"/>
          <w:spacing w:val="23"/>
          <w:u w:val="single"/>
        </w:rPr>
        <w:t xml:space="preserve"> </w:t>
      </w:r>
      <w:r w:rsidRPr="00332E89">
        <w:rPr>
          <w:rFonts w:ascii="Arial" w:hAnsi="Arial" w:cs="Arial"/>
          <w:u w:val="single"/>
        </w:rPr>
        <w:t>number</w:t>
      </w:r>
      <w:r w:rsidRPr="00332E89">
        <w:rPr>
          <w:rFonts w:ascii="Arial" w:hAnsi="Arial" w:cs="Arial"/>
          <w:spacing w:val="23"/>
          <w:u w:val="single"/>
        </w:rPr>
        <w:t xml:space="preserve"> </w:t>
      </w:r>
      <w:r w:rsidRPr="00332E89">
        <w:rPr>
          <w:rFonts w:ascii="Arial" w:hAnsi="Arial" w:cs="Arial"/>
          <w:u w:val="single"/>
        </w:rPr>
        <w:t>of</w:t>
      </w:r>
      <w:r w:rsidRPr="00332E89">
        <w:rPr>
          <w:rFonts w:ascii="Arial" w:hAnsi="Arial" w:cs="Arial"/>
          <w:spacing w:val="23"/>
          <w:u w:val="single"/>
        </w:rPr>
        <w:t xml:space="preserve"> Ordinary </w:t>
      </w:r>
      <w:r w:rsidRPr="00332E89">
        <w:rPr>
          <w:rFonts w:ascii="Arial" w:hAnsi="Arial" w:cs="Arial"/>
          <w:u w:val="single"/>
        </w:rPr>
        <w:t>shares</w:t>
      </w:r>
      <w:r w:rsidRPr="00332E89">
        <w:rPr>
          <w:rFonts w:ascii="Arial" w:hAnsi="Arial" w:cs="Arial"/>
          <w:spacing w:val="23"/>
          <w:u w:val="single"/>
        </w:rPr>
        <w:t xml:space="preserve"> </w:t>
      </w:r>
      <w:r w:rsidRPr="00332E89">
        <w:rPr>
          <w:rFonts w:ascii="Arial" w:hAnsi="Arial" w:cs="Arial"/>
          <w:u w:val="single"/>
        </w:rPr>
        <w:t>as</w:t>
      </w:r>
      <w:r w:rsidRPr="00332E89">
        <w:rPr>
          <w:rFonts w:ascii="Arial" w:hAnsi="Arial" w:cs="Arial"/>
          <w:spacing w:val="23"/>
          <w:u w:val="single"/>
        </w:rPr>
        <w:t xml:space="preserve"> </w:t>
      </w:r>
      <w:r w:rsidRPr="00332E89">
        <w:rPr>
          <w:rFonts w:ascii="Arial" w:hAnsi="Arial" w:cs="Arial"/>
          <w:u w:val="single"/>
        </w:rPr>
        <w:t>shall</w:t>
      </w:r>
      <w:r w:rsidRPr="00332E89">
        <w:rPr>
          <w:rFonts w:ascii="Arial" w:hAnsi="Arial" w:cs="Arial"/>
          <w:spacing w:val="23"/>
          <w:u w:val="single"/>
        </w:rPr>
        <w:t xml:space="preserve"> </w:t>
      </w:r>
      <w:r w:rsidRPr="00332E89">
        <w:rPr>
          <w:rFonts w:ascii="Arial" w:hAnsi="Arial" w:cs="Arial"/>
          <w:u w:val="single"/>
        </w:rPr>
        <w:t>equal</w:t>
      </w:r>
      <w:r w:rsidRPr="00332E89">
        <w:rPr>
          <w:rFonts w:ascii="Arial" w:hAnsi="Arial" w:cs="Arial"/>
          <w:spacing w:val="23"/>
          <w:u w:val="single"/>
        </w:rPr>
        <w:t xml:space="preserve"> </w:t>
      </w:r>
      <w:r w:rsidRPr="00332E89">
        <w:rPr>
          <w:rFonts w:ascii="Arial" w:hAnsi="Arial" w:cs="Arial"/>
          <w:u w:val="single"/>
        </w:rPr>
        <w:t>15</w:t>
      </w:r>
      <w:r w:rsidRPr="00332E89">
        <w:rPr>
          <w:rFonts w:ascii="Arial" w:hAnsi="Arial" w:cs="Arial"/>
          <w:spacing w:val="23"/>
          <w:u w:val="single"/>
        </w:rPr>
        <w:t xml:space="preserve"> </w:t>
      </w:r>
      <w:r w:rsidRPr="00332E89">
        <w:rPr>
          <w:rFonts w:ascii="Arial" w:hAnsi="Arial" w:cs="Arial"/>
          <w:u w:val="single"/>
        </w:rPr>
        <w:t>per</w:t>
      </w:r>
      <w:r w:rsidRPr="00332E89">
        <w:rPr>
          <w:rFonts w:ascii="Arial" w:hAnsi="Arial" w:cs="Arial"/>
          <w:spacing w:val="23"/>
          <w:u w:val="single"/>
        </w:rPr>
        <w:t xml:space="preserve"> </w:t>
      </w:r>
      <w:r w:rsidRPr="00332E89">
        <w:rPr>
          <w:rFonts w:ascii="Arial" w:hAnsi="Arial" w:cs="Arial"/>
          <w:u w:val="single"/>
        </w:rPr>
        <w:t>cent</w:t>
      </w:r>
      <w:r w:rsidRPr="00332E89">
        <w:rPr>
          <w:rFonts w:ascii="Arial" w:hAnsi="Arial" w:cs="Arial"/>
          <w:spacing w:val="23"/>
          <w:u w:val="single"/>
        </w:rPr>
        <w:t xml:space="preserve"> </w:t>
      </w:r>
      <w:r w:rsidRPr="00332E89">
        <w:rPr>
          <w:rFonts w:ascii="Arial" w:hAnsi="Arial" w:cs="Arial"/>
          <w:u w:val="single"/>
        </w:rPr>
        <w:t>of</w:t>
      </w:r>
      <w:r w:rsidRPr="00332E89">
        <w:rPr>
          <w:rFonts w:ascii="Arial" w:hAnsi="Arial" w:cs="Arial"/>
          <w:spacing w:val="23"/>
          <w:u w:val="single"/>
        </w:rPr>
        <w:t xml:space="preserve"> </w:t>
      </w:r>
      <w:r w:rsidRPr="00332E89">
        <w:rPr>
          <w:rFonts w:ascii="Arial" w:hAnsi="Arial" w:cs="Arial"/>
          <w:u w:val="single"/>
        </w:rPr>
        <w:t>the</w:t>
      </w:r>
      <w:r w:rsidRPr="00332E89">
        <w:rPr>
          <w:rFonts w:ascii="Arial" w:hAnsi="Arial" w:cs="Arial"/>
          <w:spacing w:val="23"/>
          <w:u w:val="single"/>
        </w:rPr>
        <w:t xml:space="preserve"> </w:t>
      </w:r>
      <w:r w:rsidRPr="00332E89">
        <w:rPr>
          <w:rFonts w:ascii="Arial" w:hAnsi="Arial" w:cs="Arial"/>
          <w:u w:val="single"/>
        </w:rPr>
        <w:t>issued</w:t>
      </w:r>
      <w:r w:rsidRPr="00332E89">
        <w:rPr>
          <w:rFonts w:ascii="Arial" w:hAnsi="Arial" w:cs="Arial"/>
          <w:spacing w:val="23"/>
          <w:u w:val="single"/>
        </w:rPr>
        <w:t xml:space="preserve"> Ordinary </w:t>
      </w:r>
      <w:r w:rsidRPr="00332E89">
        <w:rPr>
          <w:rFonts w:ascii="Arial" w:hAnsi="Arial" w:cs="Arial"/>
          <w:u w:val="single"/>
        </w:rPr>
        <w:t>share</w:t>
      </w:r>
      <w:r w:rsidRPr="00332E89">
        <w:rPr>
          <w:rFonts w:ascii="Arial" w:hAnsi="Arial" w:cs="Arial"/>
          <w:spacing w:val="23"/>
          <w:u w:val="single"/>
        </w:rPr>
        <w:t xml:space="preserve"> </w:t>
      </w:r>
      <w:r w:rsidRPr="00332E89">
        <w:rPr>
          <w:rFonts w:ascii="Arial" w:hAnsi="Arial" w:cs="Arial"/>
          <w:u w:val="single"/>
        </w:rPr>
        <w:t>capital;</w:t>
      </w:r>
    </w:p>
    <w:p w14:paraId="1CB23F45" w14:textId="77777777" w:rsidR="00947B7B" w:rsidRPr="00332E89" w:rsidRDefault="00947B7B" w:rsidP="00947B7B">
      <w:pPr>
        <w:pStyle w:val="ListParagraph"/>
        <w:tabs>
          <w:tab w:val="left" w:pos="835"/>
        </w:tabs>
        <w:spacing w:before="76" w:line="283" w:lineRule="auto"/>
        <w:ind w:left="1985" w:hanging="545"/>
        <w:rPr>
          <w:rFonts w:ascii="Arial" w:hAnsi="Arial" w:cs="Arial"/>
          <w:u w:val="single"/>
        </w:rPr>
      </w:pPr>
    </w:p>
    <w:p w14:paraId="7D31F2DC" w14:textId="77777777" w:rsidR="00947B7B" w:rsidRPr="00332E89" w:rsidRDefault="00947B7B" w:rsidP="00947B7B">
      <w:pPr>
        <w:pStyle w:val="ListParagraph"/>
        <w:widowControl w:val="0"/>
        <w:numPr>
          <w:ilvl w:val="1"/>
          <w:numId w:val="1"/>
        </w:numPr>
        <w:tabs>
          <w:tab w:val="left" w:pos="835"/>
        </w:tabs>
        <w:autoSpaceDE w:val="0"/>
        <w:autoSpaceDN w:val="0"/>
        <w:spacing w:before="76" w:after="0" w:line="283" w:lineRule="auto"/>
        <w:ind w:left="1985" w:hanging="545"/>
        <w:contextualSpacing w:val="0"/>
        <w:jc w:val="both"/>
        <w:rPr>
          <w:rFonts w:ascii="Arial" w:hAnsi="Arial" w:cs="Arial"/>
          <w:u w:val="single"/>
        </w:rPr>
      </w:pPr>
      <w:r w:rsidRPr="00332E89">
        <w:rPr>
          <w:rFonts w:ascii="Arial" w:hAnsi="Arial" w:cs="Arial"/>
          <w:u w:val="single"/>
        </w:rPr>
        <w:t>the minimum price which may be paid per share is 1p, the nominal value thereof; the maximum price which may be paid per share is an amount equal to the higher of (a) 105 per cent of the average of the middle market quotation per share taken from the London Stock Exchange daily official list for the five business days immediately preceding the day on which such share is to be purchased;</w:t>
      </w:r>
      <w:r w:rsidRPr="00332E89">
        <w:rPr>
          <w:rFonts w:ascii="Arial" w:hAnsi="Arial" w:cs="Arial"/>
          <w:spacing w:val="5"/>
          <w:u w:val="single"/>
        </w:rPr>
        <w:t xml:space="preserve"> </w:t>
      </w:r>
      <w:r w:rsidRPr="00332E89">
        <w:rPr>
          <w:rFonts w:ascii="Arial" w:hAnsi="Arial" w:cs="Arial"/>
          <w:u w:val="single"/>
        </w:rPr>
        <w:t>and</w:t>
      </w:r>
      <w:r w:rsidRPr="00332E89">
        <w:rPr>
          <w:rFonts w:ascii="Arial" w:hAnsi="Arial" w:cs="Arial"/>
          <w:spacing w:val="5"/>
          <w:u w:val="single"/>
        </w:rPr>
        <w:t xml:space="preserve"> </w:t>
      </w:r>
      <w:r w:rsidRPr="00332E89">
        <w:rPr>
          <w:rFonts w:ascii="Arial" w:hAnsi="Arial" w:cs="Arial"/>
          <w:u w:val="single"/>
        </w:rPr>
        <w:t>(b)</w:t>
      </w:r>
      <w:r w:rsidRPr="00332E89">
        <w:rPr>
          <w:rFonts w:ascii="Arial" w:hAnsi="Arial" w:cs="Arial"/>
          <w:spacing w:val="5"/>
          <w:u w:val="single"/>
        </w:rPr>
        <w:t xml:space="preserve"> </w:t>
      </w:r>
      <w:r w:rsidRPr="00332E89">
        <w:rPr>
          <w:rFonts w:ascii="Arial" w:hAnsi="Arial" w:cs="Arial"/>
          <w:u w:val="single"/>
        </w:rPr>
        <w:t>the</w:t>
      </w:r>
      <w:r w:rsidRPr="00332E89">
        <w:rPr>
          <w:rFonts w:ascii="Arial" w:hAnsi="Arial" w:cs="Arial"/>
          <w:spacing w:val="5"/>
          <w:u w:val="single"/>
        </w:rPr>
        <w:t xml:space="preserve"> </w:t>
      </w:r>
      <w:r w:rsidRPr="00332E89">
        <w:rPr>
          <w:rFonts w:ascii="Arial" w:hAnsi="Arial" w:cs="Arial"/>
          <w:u w:val="single"/>
        </w:rPr>
        <w:t>amount</w:t>
      </w:r>
      <w:r w:rsidRPr="00332E89">
        <w:rPr>
          <w:rFonts w:ascii="Arial" w:hAnsi="Arial" w:cs="Arial"/>
          <w:spacing w:val="5"/>
          <w:u w:val="single"/>
        </w:rPr>
        <w:t xml:space="preserve"> </w:t>
      </w:r>
      <w:r w:rsidRPr="00332E89">
        <w:rPr>
          <w:rFonts w:ascii="Arial" w:hAnsi="Arial" w:cs="Arial"/>
          <w:u w:val="single"/>
        </w:rPr>
        <w:t>stipulated</w:t>
      </w:r>
      <w:r w:rsidRPr="00332E89">
        <w:rPr>
          <w:rFonts w:ascii="Arial" w:hAnsi="Arial" w:cs="Arial"/>
          <w:spacing w:val="5"/>
          <w:u w:val="single"/>
        </w:rPr>
        <w:t xml:space="preserve"> </w:t>
      </w:r>
      <w:r w:rsidRPr="00332E89">
        <w:rPr>
          <w:rFonts w:ascii="Arial" w:hAnsi="Arial" w:cs="Arial"/>
          <w:u w:val="single"/>
        </w:rPr>
        <w:t>by</w:t>
      </w:r>
      <w:r w:rsidRPr="00332E89">
        <w:rPr>
          <w:rFonts w:ascii="Arial" w:hAnsi="Arial" w:cs="Arial"/>
          <w:spacing w:val="5"/>
          <w:u w:val="single"/>
        </w:rPr>
        <w:t xml:space="preserve"> </w:t>
      </w:r>
      <w:r w:rsidRPr="00332E89">
        <w:rPr>
          <w:rFonts w:ascii="Arial" w:hAnsi="Arial" w:cs="Arial"/>
          <w:u w:val="single"/>
        </w:rPr>
        <w:t>Article</w:t>
      </w:r>
      <w:r w:rsidRPr="00332E89">
        <w:rPr>
          <w:rFonts w:ascii="Arial" w:hAnsi="Arial" w:cs="Arial"/>
          <w:spacing w:val="5"/>
          <w:u w:val="single"/>
        </w:rPr>
        <w:t xml:space="preserve"> </w:t>
      </w:r>
      <w:r w:rsidRPr="00332E89">
        <w:rPr>
          <w:rFonts w:ascii="Arial" w:hAnsi="Arial" w:cs="Arial"/>
          <w:u w:val="single"/>
        </w:rPr>
        <w:t>5(1)</w:t>
      </w:r>
      <w:r w:rsidRPr="00332E89">
        <w:rPr>
          <w:rFonts w:ascii="Arial" w:hAnsi="Arial" w:cs="Arial"/>
          <w:spacing w:val="5"/>
          <w:u w:val="single"/>
        </w:rPr>
        <w:t xml:space="preserve"> </w:t>
      </w:r>
      <w:r w:rsidRPr="00332E89">
        <w:rPr>
          <w:rFonts w:ascii="Arial" w:hAnsi="Arial" w:cs="Arial"/>
          <w:u w:val="single"/>
        </w:rPr>
        <w:t>of</w:t>
      </w:r>
      <w:r w:rsidRPr="00332E89">
        <w:rPr>
          <w:rFonts w:ascii="Arial" w:hAnsi="Arial" w:cs="Arial"/>
          <w:spacing w:val="5"/>
          <w:u w:val="single"/>
        </w:rPr>
        <w:t xml:space="preserve"> </w:t>
      </w:r>
      <w:r w:rsidRPr="00332E89">
        <w:rPr>
          <w:rFonts w:ascii="Arial" w:hAnsi="Arial" w:cs="Arial"/>
          <w:u w:val="single"/>
        </w:rPr>
        <w:t>the</w:t>
      </w:r>
      <w:r w:rsidRPr="00332E89">
        <w:rPr>
          <w:rFonts w:ascii="Arial" w:hAnsi="Arial" w:cs="Arial"/>
          <w:spacing w:val="5"/>
          <w:u w:val="single"/>
        </w:rPr>
        <w:t xml:space="preserve"> </w:t>
      </w:r>
      <w:r w:rsidRPr="00332E89">
        <w:rPr>
          <w:rFonts w:ascii="Arial" w:hAnsi="Arial" w:cs="Arial"/>
          <w:u w:val="single"/>
        </w:rPr>
        <w:t>Buy</w:t>
      </w:r>
      <w:r w:rsidRPr="00332E89">
        <w:rPr>
          <w:rFonts w:ascii="Arial" w:hAnsi="Arial" w:cs="Arial"/>
          <w:spacing w:val="5"/>
          <w:u w:val="single"/>
        </w:rPr>
        <w:t xml:space="preserve"> </w:t>
      </w:r>
      <w:r w:rsidRPr="00332E89">
        <w:rPr>
          <w:rFonts w:ascii="Arial" w:hAnsi="Arial" w:cs="Arial"/>
          <w:u w:val="single"/>
        </w:rPr>
        <w:t>Back</w:t>
      </w:r>
      <w:r w:rsidRPr="00332E89">
        <w:rPr>
          <w:rFonts w:ascii="Arial" w:hAnsi="Arial" w:cs="Arial"/>
          <w:spacing w:val="5"/>
          <w:u w:val="single"/>
        </w:rPr>
        <w:t xml:space="preserve"> </w:t>
      </w:r>
      <w:r w:rsidRPr="00332E89">
        <w:rPr>
          <w:rFonts w:ascii="Arial" w:hAnsi="Arial" w:cs="Arial"/>
          <w:u w:val="single"/>
        </w:rPr>
        <w:t>and</w:t>
      </w:r>
      <w:r w:rsidRPr="00332E89">
        <w:rPr>
          <w:rFonts w:ascii="Arial" w:hAnsi="Arial" w:cs="Arial"/>
          <w:spacing w:val="5"/>
          <w:u w:val="single"/>
        </w:rPr>
        <w:t xml:space="preserve"> </w:t>
      </w:r>
      <w:r w:rsidRPr="00332E89">
        <w:rPr>
          <w:rFonts w:ascii="Arial" w:hAnsi="Arial" w:cs="Arial"/>
          <w:u w:val="single"/>
        </w:rPr>
        <w:t>Stabilisation</w:t>
      </w:r>
      <w:r w:rsidRPr="00332E89">
        <w:rPr>
          <w:rFonts w:ascii="Arial" w:hAnsi="Arial" w:cs="Arial"/>
          <w:spacing w:val="5"/>
          <w:u w:val="single"/>
        </w:rPr>
        <w:t xml:space="preserve"> </w:t>
      </w:r>
      <w:r w:rsidRPr="00332E89">
        <w:rPr>
          <w:rFonts w:ascii="Arial" w:hAnsi="Arial" w:cs="Arial"/>
          <w:u w:val="single"/>
        </w:rPr>
        <w:t>Regulation</w:t>
      </w:r>
      <w:r w:rsidRPr="00332E89">
        <w:rPr>
          <w:rFonts w:ascii="Arial" w:hAnsi="Arial" w:cs="Arial"/>
          <w:spacing w:val="5"/>
          <w:u w:val="single"/>
        </w:rPr>
        <w:t xml:space="preserve"> </w:t>
      </w:r>
      <w:r w:rsidRPr="00332E89">
        <w:rPr>
          <w:rFonts w:ascii="Arial" w:hAnsi="Arial" w:cs="Arial"/>
          <w:u w:val="single"/>
        </w:rPr>
        <w:t>2003;</w:t>
      </w:r>
    </w:p>
    <w:p w14:paraId="003ED5FD" w14:textId="77777777" w:rsidR="00947B7B" w:rsidRPr="00332E89" w:rsidRDefault="00947B7B" w:rsidP="00947B7B">
      <w:pPr>
        <w:pStyle w:val="BodyText"/>
        <w:spacing w:before="3"/>
        <w:ind w:left="1985" w:hanging="545"/>
        <w:rPr>
          <w:rFonts w:ascii="Arial" w:hAnsi="Arial" w:cs="Arial"/>
          <w:sz w:val="22"/>
          <w:szCs w:val="22"/>
          <w:u w:val="single"/>
        </w:rPr>
      </w:pPr>
    </w:p>
    <w:p w14:paraId="05A40C54" w14:textId="77777777" w:rsidR="00947B7B" w:rsidRPr="00332E89" w:rsidRDefault="00947B7B" w:rsidP="00947B7B">
      <w:pPr>
        <w:pStyle w:val="ListParagraph"/>
        <w:widowControl w:val="0"/>
        <w:numPr>
          <w:ilvl w:val="1"/>
          <w:numId w:val="1"/>
        </w:numPr>
        <w:tabs>
          <w:tab w:val="left" w:pos="828"/>
        </w:tabs>
        <w:autoSpaceDE w:val="0"/>
        <w:autoSpaceDN w:val="0"/>
        <w:spacing w:after="0" w:line="283" w:lineRule="auto"/>
        <w:ind w:left="1985" w:hanging="545"/>
        <w:contextualSpacing w:val="0"/>
        <w:jc w:val="both"/>
        <w:rPr>
          <w:rFonts w:ascii="Arial" w:hAnsi="Arial" w:cs="Arial"/>
          <w:u w:val="single"/>
        </w:rPr>
      </w:pPr>
      <w:r w:rsidRPr="00332E89">
        <w:rPr>
          <w:rFonts w:ascii="Arial" w:hAnsi="Arial" w:cs="Arial"/>
          <w:u w:val="single"/>
        </w:rPr>
        <w:t>the authority conferred by this resolution shall expire on the conclusion of the Annual General Meeting of the Company to be held in 2025, unless such authority is renewed prior to such time; and</w:t>
      </w:r>
    </w:p>
    <w:p w14:paraId="01799596" w14:textId="77777777" w:rsidR="00947B7B" w:rsidRPr="00332E89" w:rsidRDefault="00947B7B" w:rsidP="00947B7B">
      <w:pPr>
        <w:pStyle w:val="BodyText"/>
        <w:spacing w:before="3"/>
        <w:ind w:left="1985" w:hanging="545"/>
        <w:rPr>
          <w:rFonts w:ascii="Arial" w:hAnsi="Arial" w:cs="Arial"/>
          <w:sz w:val="22"/>
          <w:szCs w:val="22"/>
          <w:u w:val="single"/>
        </w:rPr>
      </w:pPr>
    </w:p>
    <w:p w14:paraId="306C5DA4" w14:textId="77777777" w:rsidR="00947B7B" w:rsidRPr="00332E89" w:rsidRDefault="00947B7B" w:rsidP="00947B7B">
      <w:pPr>
        <w:pStyle w:val="ListParagraph"/>
        <w:widowControl w:val="0"/>
        <w:numPr>
          <w:ilvl w:val="1"/>
          <w:numId w:val="1"/>
        </w:numPr>
        <w:tabs>
          <w:tab w:val="left" w:pos="721"/>
        </w:tabs>
        <w:autoSpaceDE w:val="0"/>
        <w:autoSpaceDN w:val="0"/>
        <w:spacing w:after="0" w:line="283" w:lineRule="auto"/>
        <w:ind w:left="1985" w:hanging="545"/>
        <w:contextualSpacing w:val="0"/>
        <w:jc w:val="both"/>
        <w:rPr>
          <w:rFonts w:ascii="Arial" w:hAnsi="Arial" w:cs="Arial"/>
          <w:u w:val="single"/>
        </w:rPr>
      </w:pPr>
      <w:r w:rsidRPr="00332E89">
        <w:rPr>
          <w:rFonts w:ascii="Arial" w:hAnsi="Arial" w:cs="Arial"/>
          <w:u w:val="single"/>
        </w:rPr>
        <w:t xml:space="preserve">the Company may make a contract to purchase shares under the authority </w:t>
      </w:r>
      <w:r w:rsidRPr="00332E89">
        <w:rPr>
          <w:rFonts w:ascii="Arial" w:hAnsi="Arial" w:cs="Arial"/>
          <w:u w:val="single"/>
        </w:rPr>
        <w:lastRenderedPageBreak/>
        <w:t>conferred by this resolution prior to the expiry of such authority which will or may be executed wholly or partly after the expiration of such authority and may make a purchase of such shares pursuant to such</w:t>
      </w:r>
      <w:r w:rsidRPr="00332E89">
        <w:rPr>
          <w:rFonts w:ascii="Arial" w:hAnsi="Arial" w:cs="Arial"/>
          <w:spacing w:val="-8"/>
          <w:u w:val="single"/>
        </w:rPr>
        <w:t xml:space="preserve"> </w:t>
      </w:r>
      <w:r w:rsidRPr="00332E89">
        <w:rPr>
          <w:rFonts w:ascii="Arial" w:hAnsi="Arial" w:cs="Arial"/>
          <w:u w:val="single"/>
        </w:rPr>
        <w:t>contract.</w:t>
      </w:r>
    </w:p>
    <w:p w14:paraId="1DACBB52" w14:textId="77777777" w:rsidR="00332E89" w:rsidRPr="00332E89" w:rsidRDefault="00332E89" w:rsidP="00332E89">
      <w:pPr>
        <w:rPr>
          <w:rFonts w:ascii="Arial" w:hAnsi="Arial" w:cs="Arial"/>
        </w:rPr>
      </w:pPr>
    </w:p>
    <w:p w14:paraId="2C1A3FA7" w14:textId="23212DEF" w:rsidR="00332E89" w:rsidRPr="00332E89" w:rsidRDefault="001172D7"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rPr>
        <w:t>VOTES FOR</w:t>
      </w:r>
      <w:r>
        <w:rPr>
          <w:rFonts w:ascii="Arial" w:hAnsi="Arial" w:cs="Arial"/>
        </w:rPr>
        <w:t xml:space="preserve"> (including Chairman’s discretion)</w:t>
      </w:r>
      <w:r w:rsidR="00332E89" w:rsidRPr="00332E89">
        <w:rPr>
          <w:rFonts w:ascii="Arial" w:hAnsi="Arial" w:cs="Arial"/>
        </w:rPr>
        <w:t xml:space="preserve">: </w:t>
      </w:r>
      <w:r w:rsidR="00332E89" w:rsidRPr="00332E89">
        <w:rPr>
          <w:rFonts w:ascii="Arial" w:hAnsi="Arial" w:cs="Arial"/>
        </w:rPr>
        <w:t>801,</w:t>
      </w:r>
      <w:r>
        <w:rPr>
          <w:rFonts w:ascii="Arial" w:hAnsi="Arial" w:cs="Arial"/>
        </w:rPr>
        <w:t>745</w:t>
      </w:r>
    </w:p>
    <w:p w14:paraId="0608BCD8" w14:textId="671BAD9C"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 xml:space="preserve">VOTES AGAINST: </w:t>
      </w:r>
      <w:r w:rsidRPr="00332E89">
        <w:rPr>
          <w:rFonts w:ascii="Arial" w:hAnsi="Arial" w:cs="Arial"/>
        </w:rPr>
        <w:t>418</w:t>
      </w:r>
    </w:p>
    <w:p w14:paraId="18414F69"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0DCDD2BC" w14:textId="77777777" w:rsidR="00332E89" w:rsidRPr="00332E89" w:rsidRDefault="00332E89" w:rsidP="00332E89">
      <w:pPr>
        <w:rPr>
          <w:rFonts w:ascii="Arial" w:hAnsi="Arial" w:cs="Arial"/>
        </w:rPr>
      </w:pPr>
    </w:p>
    <w:p w14:paraId="6D6F8FD2" w14:textId="77777777" w:rsidR="00947B7B" w:rsidRPr="00332E89" w:rsidRDefault="00947B7B" w:rsidP="00947B7B">
      <w:pPr>
        <w:pStyle w:val="ListParagraph"/>
        <w:tabs>
          <w:tab w:val="left" w:pos="721"/>
        </w:tabs>
        <w:spacing w:line="283" w:lineRule="auto"/>
        <w:rPr>
          <w:rFonts w:ascii="Arial" w:hAnsi="Arial" w:cs="Arial"/>
        </w:rPr>
      </w:pPr>
    </w:p>
    <w:p w14:paraId="6BED6545" w14:textId="2BE018C2" w:rsidR="00947B7B" w:rsidRPr="00332E89" w:rsidRDefault="00332E89" w:rsidP="00332E89">
      <w:pPr>
        <w:widowControl w:val="0"/>
        <w:tabs>
          <w:tab w:val="left" w:pos="514"/>
        </w:tabs>
        <w:autoSpaceDE w:val="0"/>
        <w:autoSpaceDN w:val="0"/>
        <w:spacing w:before="113" w:after="0" w:line="283" w:lineRule="auto"/>
        <w:jc w:val="both"/>
        <w:rPr>
          <w:rFonts w:ascii="Arial" w:hAnsi="Arial" w:cs="Arial"/>
          <w:u w:val="single"/>
        </w:rPr>
      </w:pPr>
      <w:r w:rsidRPr="00332E89">
        <w:rPr>
          <w:rFonts w:ascii="Arial" w:hAnsi="Arial" w:cs="Arial"/>
          <w:spacing w:val="-4"/>
          <w:u w:val="single"/>
        </w:rPr>
        <w:t xml:space="preserve">Resolution 15: </w:t>
      </w:r>
      <w:r w:rsidR="00947B7B" w:rsidRPr="00332E89">
        <w:rPr>
          <w:rFonts w:ascii="Arial" w:hAnsi="Arial" w:cs="Arial"/>
          <w:spacing w:val="-4"/>
          <w:u w:val="single"/>
        </w:rPr>
        <w:t xml:space="preserve">THAT </w:t>
      </w:r>
      <w:r w:rsidR="00947B7B" w:rsidRPr="00332E89">
        <w:rPr>
          <w:rFonts w:ascii="Arial" w:hAnsi="Arial" w:cs="Arial"/>
          <w:u w:val="single"/>
        </w:rPr>
        <w:t>the Company be and is hereby generally and unconditionally authorised to hold general meetings (other than Annual General Meetings) on 14 clear days’</w:t>
      </w:r>
      <w:r w:rsidR="00947B7B" w:rsidRPr="00332E89">
        <w:rPr>
          <w:rFonts w:ascii="Arial" w:hAnsi="Arial" w:cs="Arial"/>
          <w:spacing w:val="-7"/>
          <w:u w:val="single"/>
        </w:rPr>
        <w:t xml:space="preserve"> </w:t>
      </w:r>
      <w:r w:rsidR="00947B7B" w:rsidRPr="00332E89">
        <w:rPr>
          <w:rFonts w:ascii="Arial" w:hAnsi="Arial" w:cs="Arial"/>
          <w:u w:val="single"/>
        </w:rPr>
        <w:t>notice.</w:t>
      </w:r>
    </w:p>
    <w:p w14:paraId="0FD7BEA3" w14:textId="77777777" w:rsidR="00332E89" w:rsidRPr="00332E89" w:rsidRDefault="00332E89" w:rsidP="00332E89">
      <w:pPr>
        <w:widowControl w:val="0"/>
        <w:tabs>
          <w:tab w:val="left" w:pos="514"/>
        </w:tabs>
        <w:autoSpaceDE w:val="0"/>
        <w:autoSpaceDN w:val="0"/>
        <w:spacing w:before="113" w:after="0" w:line="283" w:lineRule="auto"/>
        <w:jc w:val="both"/>
        <w:rPr>
          <w:rFonts w:ascii="Arial" w:hAnsi="Arial" w:cs="Arial"/>
        </w:rPr>
      </w:pPr>
    </w:p>
    <w:p w14:paraId="28E512BC" w14:textId="075AEBDF" w:rsidR="00332E89" w:rsidRPr="00332E89" w:rsidRDefault="001172D7"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rPr>
        <w:t>VOTES FOR</w:t>
      </w:r>
      <w:r>
        <w:rPr>
          <w:rFonts w:ascii="Arial" w:hAnsi="Arial" w:cs="Arial"/>
        </w:rPr>
        <w:t xml:space="preserve"> (including Chairman’s discretion)</w:t>
      </w:r>
      <w:r w:rsidR="00332E89" w:rsidRPr="00332E89">
        <w:rPr>
          <w:rFonts w:ascii="Arial" w:hAnsi="Arial" w:cs="Arial"/>
        </w:rPr>
        <w:t xml:space="preserve">: </w:t>
      </w:r>
      <w:r w:rsidR="00332E89" w:rsidRPr="00332E89">
        <w:rPr>
          <w:rFonts w:ascii="Arial" w:hAnsi="Arial" w:cs="Arial"/>
        </w:rPr>
        <w:t>78</w:t>
      </w:r>
      <w:r>
        <w:rPr>
          <w:rFonts w:ascii="Arial" w:hAnsi="Arial" w:cs="Arial"/>
        </w:rPr>
        <w:t>7</w:t>
      </w:r>
      <w:r w:rsidR="00332E89" w:rsidRPr="00332E89">
        <w:rPr>
          <w:rFonts w:ascii="Arial" w:hAnsi="Arial" w:cs="Arial"/>
        </w:rPr>
        <w:t>,</w:t>
      </w:r>
      <w:r>
        <w:rPr>
          <w:rFonts w:ascii="Arial" w:hAnsi="Arial" w:cs="Arial"/>
        </w:rPr>
        <w:t>025</w:t>
      </w:r>
    </w:p>
    <w:p w14:paraId="770C7B74" w14:textId="6596B714"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 xml:space="preserve">VOTES AGAINST: </w:t>
      </w:r>
      <w:r w:rsidRPr="00332E89">
        <w:rPr>
          <w:rFonts w:ascii="Arial" w:hAnsi="Arial" w:cs="Arial"/>
        </w:rPr>
        <w:t>15,138</w:t>
      </w:r>
    </w:p>
    <w:p w14:paraId="34E90415"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72A11665" w14:textId="77777777" w:rsidR="00332E89" w:rsidRPr="00332E89" w:rsidRDefault="00332E89" w:rsidP="00332E89">
      <w:pPr>
        <w:widowControl w:val="0"/>
        <w:tabs>
          <w:tab w:val="left" w:pos="514"/>
        </w:tabs>
        <w:autoSpaceDE w:val="0"/>
        <w:autoSpaceDN w:val="0"/>
        <w:spacing w:before="113" w:after="0" w:line="283" w:lineRule="auto"/>
        <w:jc w:val="both"/>
        <w:rPr>
          <w:rFonts w:ascii="Arial" w:hAnsi="Arial" w:cs="Arial"/>
        </w:rPr>
      </w:pPr>
    </w:p>
    <w:p w14:paraId="0D52FD2F" w14:textId="77777777" w:rsidR="00947B7B" w:rsidRPr="00332E89" w:rsidRDefault="00947B7B" w:rsidP="00947B7B">
      <w:pPr>
        <w:pStyle w:val="ListParagraph"/>
        <w:tabs>
          <w:tab w:val="left" w:pos="514"/>
        </w:tabs>
        <w:spacing w:line="283" w:lineRule="auto"/>
        <w:rPr>
          <w:rFonts w:ascii="Arial" w:hAnsi="Arial" w:cs="Arial"/>
        </w:rPr>
      </w:pPr>
    </w:p>
    <w:p w14:paraId="43C7A3F4" w14:textId="23C04F64" w:rsidR="00947B7B" w:rsidRPr="00332E89" w:rsidRDefault="00332E89" w:rsidP="00332E89">
      <w:pPr>
        <w:widowControl w:val="0"/>
        <w:tabs>
          <w:tab w:val="left" w:pos="514"/>
        </w:tabs>
        <w:autoSpaceDE w:val="0"/>
        <w:autoSpaceDN w:val="0"/>
        <w:spacing w:before="113" w:after="0" w:line="283" w:lineRule="auto"/>
        <w:jc w:val="both"/>
        <w:rPr>
          <w:rFonts w:ascii="Arial" w:hAnsi="Arial" w:cs="Arial"/>
          <w:u w:val="single"/>
        </w:rPr>
      </w:pPr>
      <w:r w:rsidRPr="00332E89">
        <w:rPr>
          <w:rFonts w:ascii="Arial" w:hAnsi="Arial" w:cs="Arial"/>
          <w:u w:val="single"/>
        </w:rPr>
        <w:t xml:space="preserve">Resolution 16: </w:t>
      </w:r>
      <w:r w:rsidR="00947B7B" w:rsidRPr="00332E89">
        <w:rPr>
          <w:rFonts w:ascii="Arial" w:hAnsi="Arial" w:cs="Arial"/>
          <w:u w:val="single"/>
        </w:rPr>
        <w:t>THAT the share premium account and the capital redemption reserve each be cancelled.</w:t>
      </w:r>
    </w:p>
    <w:p w14:paraId="71BF6EAB" w14:textId="77777777" w:rsidR="00947B7B" w:rsidRPr="00332E89" w:rsidRDefault="00947B7B">
      <w:pPr>
        <w:rPr>
          <w:rFonts w:ascii="Arial" w:hAnsi="Arial" w:cs="Arial"/>
          <w:lang w:val="en-US"/>
        </w:rPr>
      </w:pPr>
    </w:p>
    <w:p w14:paraId="6FC78BFD" w14:textId="4832C11D" w:rsidR="00332E89" w:rsidRPr="00332E89" w:rsidRDefault="001172D7"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rPr>
        <w:t>VOTES FOR</w:t>
      </w:r>
      <w:r>
        <w:rPr>
          <w:rFonts w:ascii="Arial" w:hAnsi="Arial" w:cs="Arial"/>
        </w:rPr>
        <w:t xml:space="preserve"> (including Chairman’s discretion)</w:t>
      </w:r>
      <w:r w:rsidR="00332E89" w:rsidRPr="00332E89">
        <w:rPr>
          <w:rFonts w:ascii="Arial" w:hAnsi="Arial" w:cs="Arial"/>
        </w:rPr>
        <w:t xml:space="preserve">: </w:t>
      </w:r>
      <w:r w:rsidR="00E63631">
        <w:rPr>
          <w:rFonts w:ascii="Arial" w:hAnsi="Arial" w:cs="Arial"/>
        </w:rPr>
        <w:t>801</w:t>
      </w:r>
      <w:r w:rsidR="00332E89" w:rsidRPr="00332E89">
        <w:rPr>
          <w:rFonts w:ascii="Arial" w:hAnsi="Arial" w:cs="Arial"/>
        </w:rPr>
        <w:t>,</w:t>
      </w:r>
      <w:r w:rsidR="00E63631">
        <w:rPr>
          <w:rFonts w:ascii="Arial" w:hAnsi="Arial" w:cs="Arial"/>
        </w:rPr>
        <w:t>745</w:t>
      </w:r>
    </w:p>
    <w:p w14:paraId="55524E10"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VOTES AGAINST: 418</w:t>
      </w:r>
    </w:p>
    <w:p w14:paraId="51899E0B"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5E75FF14" w14:textId="77777777" w:rsidR="00332E89" w:rsidRDefault="00332E89">
      <w:pPr>
        <w:rPr>
          <w:rFonts w:ascii="Arial" w:hAnsi="Arial" w:cs="Arial"/>
          <w:lang w:val="en-US"/>
        </w:rPr>
      </w:pPr>
    </w:p>
    <w:p w14:paraId="3DC545F1" w14:textId="77777777" w:rsidR="00A671FE" w:rsidRDefault="00A671FE">
      <w:pPr>
        <w:rPr>
          <w:rFonts w:ascii="Arial" w:hAnsi="Arial" w:cs="Arial"/>
          <w:lang w:val="en-US"/>
        </w:rPr>
      </w:pPr>
    </w:p>
    <w:p w14:paraId="0A7DDE80" w14:textId="77777777" w:rsidR="00A671FE" w:rsidRDefault="00A671FE">
      <w:pPr>
        <w:rPr>
          <w:rFonts w:ascii="Arial" w:hAnsi="Arial" w:cs="Arial"/>
          <w:lang w:val="en-US"/>
        </w:rPr>
      </w:pPr>
    </w:p>
    <w:p w14:paraId="6101A360" w14:textId="59C7150B" w:rsidR="00A671FE" w:rsidRPr="00332E89" w:rsidRDefault="00A671FE" w:rsidP="00A671FE">
      <w:pPr>
        <w:spacing w:line="360" w:lineRule="auto"/>
        <w:rPr>
          <w:rFonts w:ascii="Arial" w:hAnsi="Arial" w:cs="Arial"/>
          <w:lang w:val="en-US"/>
        </w:rPr>
      </w:pPr>
      <w:r>
        <w:rPr>
          <w:rFonts w:ascii="Arial" w:hAnsi="Arial" w:cs="Arial"/>
          <w:lang w:val="en-US"/>
        </w:rPr>
        <w:t>Calculus Capital Limited</w:t>
      </w:r>
      <w:r>
        <w:rPr>
          <w:rFonts w:ascii="Arial" w:hAnsi="Arial" w:cs="Arial"/>
          <w:lang w:val="en-US"/>
        </w:rPr>
        <w:br/>
        <w:t>Company Secretary</w:t>
      </w:r>
      <w:r>
        <w:rPr>
          <w:rFonts w:ascii="Arial" w:hAnsi="Arial" w:cs="Arial"/>
          <w:lang w:val="en-US"/>
        </w:rPr>
        <w:br/>
        <w:t>22 August 2024</w:t>
      </w:r>
    </w:p>
    <w:sectPr w:rsidR="00A671FE" w:rsidRPr="00332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E1E80"/>
    <w:multiLevelType w:val="hybridMultilevel"/>
    <w:tmpl w:val="A06E1CCE"/>
    <w:lvl w:ilvl="0" w:tplc="905A74CC">
      <w:start w:val="1"/>
      <w:numFmt w:val="decimal"/>
      <w:lvlText w:val="%1."/>
      <w:lvlJc w:val="left"/>
      <w:pPr>
        <w:ind w:left="360" w:hanging="360"/>
      </w:pPr>
      <w:rPr>
        <w:rFonts w:hint="default"/>
        <w:color w:val="231F20"/>
        <w:spacing w:val="-9"/>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01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7B"/>
    <w:rsid w:val="001172D7"/>
    <w:rsid w:val="001F4C0B"/>
    <w:rsid w:val="00283204"/>
    <w:rsid w:val="00332E89"/>
    <w:rsid w:val="0062350C"/>
    <w:rsid w:val="006F2038"/>
    <w:rsid w:val="00947B7B"/>
    <w:rsid w:val="00A671FE"/>
    <w:rsid w:val="00B54CD1"/>
    <w:rsid w:val="00D1269E"/>
    <w:rsid w:val="00E6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CC57"/>
  <w15:chartTrackingRefBased/>
  <w15:docId w15:val="{44710FC6-7474-447D-BB30-A45F66B9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47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47B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47B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47B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47B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47B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47B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47B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47B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4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7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47B7B"/>
    <w:pPr>
      <w:spacing w:before="160"/>
      <w:jc w:val="center"/>
    </w:pPr>
    <w:rPr>
      <w:i/>
      <w:iCs/>
      <w:color w:val="404040" w:themeColor="text1" w:themeTint="BF"/>
    </w:rPr>
  </w:style>
  <w:style w:type="character" w:customStyle="1" w:styleId="QuoteChar">
    <w:name w:val="Quote Char"/>
    <w:basedOn w:val="DefaultParagraphFont"/>
    <w:link w:val="Quote"/>
    <w:uiPriority w:val="29"/>
    <w:rsid w:val="00947B7B"/>
    <w:rPr>
      <w:i/>
      <w:iCs/>
      <w:color w:val="404040" w:themeColor="text1" w:themeTint="BF"/>
      <w:lang w:val="en-GB"/>
    </w:rPr>
  </w:style>
  <w:style w:type="paragraph" w:styleId="ListParagraph">
    <w:name w:val="List Paragraph"/>
    <w:aliases w:val="Parties List"/>
    <w:basedOn w:val="Normal"/>
    <w:link w:val="ListParagraphChar"/>
    <w:uiPriority w:val="34"/>
    <w:qFormat/>
    <w:rsid w:val="00947B7B"/>
    <w:pPr>
      <w:ind w:left="720"/>
      <w:contextualSpacing/>
    </w:pPr>
  </w:style>
  <w:style w:type="character" w:styleId="IntenseEmphasis">
    <w:name w:val="Intense Emphasis"/>
    <w:basedOn w:val="DefaultParagraphFont"/>
    <w:uiPriority w:val="21"/>
    <w:qFormat/>
    <w:rsid w:val="00947B7B"/>
    <w:rPr>
      <w:i/>
      <w:iCs/>
      <w:color w:val="0F4761" w:themeColor="accent1" w:themeShade="BF"/>
    </w:rPr>
  </w:style>
  <w:style w:type="paragraph" w:styleId="IntenseQuote">
    <w:name w:val="Intense Quote"/>
    <w:basedOn w:val="Normal"/>
    <w:next w:val="Normal"/>
    <w:link w:val="IntenseQuoteChar"/>
    <w:uiPriority w:val="30"/>
    <w:qFormat/>
    <w:rsid w:val="00947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7B"/>
    <w:rPr>
      <w:i/>
      <w:iCs/>
      <w:color w:val="0F4761" w:themeColor="accent1" w:themeShade="BF"/>
      <w:lang w:val="en-GB"/>
    </w:rPr>
  </w:style>
  <w:style w:type="character" w:styleId="IntenseReference">
    <w:name w:val="Intense Reference"/>
    <w:basedOn w:val="DefaultParagraphFont"/>
    <w:uiPriority w:val="32"/>
    <w:qFormat/>
    <w:rsid w:val="00947B7B"/>
    <w:rPr>
      <w:b/>
      <w:bCs/>
      <w:smallCaps/>
      <w:color w:val="0F4761" w:themeColor="accent1" w:themeShade="BF"/>
      <w:spacing w:val="5"/>
    </w:rPr>
  </w:style>
  <w:style w:type="paragraph" w:styleId="BodyText">
    <w:name w:val="Body Text"/>
    <w:basedOn w:val="Normal"/>
    <w:link w:val="BodyTextChar"/>
    <w:uiPriority w:val="1"/>
    <w:qFormat/>
    <w:rsid w:val="00947B7B"/>
    <w:pPr>
      <w:widowControl w:val="0"/>
      <w:autoSpaceDE w:val="0"/>
      <w:autoSpaceDN w:val="0"/>
      <w:spacing w:after="0" w:line="240" w:lineRule="auto"/>
    </w:pPr>
    <w:rPr>
      <w:rFonts w:ascii="Roboto-Light" w:eastAsia="Roboto-Light" w:hAnsi="Roboto-Light" w:cs="Roboto-Light"/>
      <w:kern w:val="0"/>
      <w:sz w:val="18"/>
      <w:szCs w:val="18"/>
      <w:lang w:eastAsia="en-GB" w:bidi="en-GB"/>
    </w:rPr>
  </w:style>
  <w:style w:type="character" w:customStyle="1" w:styleId="BodyTextChar">
    <w:name w:val="Body Text Char"/>
    <w:basedOn w:val="DefaultParagraphFont"/>
    <w:link w:val="BodyText"/>
    <w:uiPriority w:val="1"/>
    <w:rsid w:val="00947B7B"/>
    <w:rPr>
      <w:rFonts w:ascii="Roboto-Light" w:eastAsia="Roboto-Light" w:hAnsi="Roboto-Light" w:cs="Roboto-Light"/>
      <w:kern w:val="0"/>
      <w:sz w:val="18"/>
      <w:szCs w:val="18"/>
      <w:lang w:val="en-GB" w:eastAsia="en-GB" w:bidi="en-GB"/>
    </w:rPr>
  </w:style>
  <w:style w:type="character" w:customStyle="1" w:styleId="ListParagraphChar">
    <w:name w:val="List Paragraph Char"/>
    <w:aliases w:val="Parties List Char"/>
    <w:link w:val="ListParagraph"/>
    <w:uiPriority w:val="34"/>
    <w:rsid w:val="00947B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Prince</dc:creator>
  <cp:keywords/>
  <dc:description/>
  <cp:lastModifiedBy>William Prince</cp:lastModifiedBy>
  <cp:revision>3</cp:revision>
  <dcterms:created xsi:type="dcterms:W3CDTF">2024-08-23T08:25:00Z</dcterms:created>
  <dcterms:modified xsi:type="dcterms:W3CDTF">2024-08-23T10:07:00Z</dcterms:modified>
</cp:coreProperties>
</file>