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00DA6" w14:textId="77777777" w:rsidR="00F03FF7" w:rsidRDefault="00F03FF7" w:rsidP="00F03FF7">
      <w:pPr>
        <w:jc w:val="center"/>
        <w:rPr>
          <w:rFonts w:ascii="Arial" w:hAnsi="Arial" w:cs="Arial"/>
          <w:b/>
          <w:sz w:val="20"/>
          <w:szCs w:val="20"/>
        </w:rPr>
      </w:pPr>
      <w:r w:rsidRPr="003F07FD">
        <w:rPr>
          <w:rFonts w:ascii="Arial" w:hAnsi="Arial" w:cs="Arial"/>
          <w:b/>
          <w:sz w:val="20"/>
          <w:szCs w:val="20"/>
        </w:rPr>
        <w:t>Jupiter Fund Management plc</w:t>
      </w:r>
    </w:p>
    <w:p w14:paraId="4A5842E4" w14:textId="77777777" w:rsidR="00F03FF7" w:rsidRDefault="00F03FF7" w:rsidP="00F03FF7">
      <w:pPr>
        <w:jc w:val="center"/>
        <w:rPr>
          <w:rFonts w:ascii="Arial" w:hAnsi="Arial" w:cs="Arial"/>
          <w:b/>
          <w:sz w:val="20"/>
          <w:szCs w:val="20"/>
        </w:rPr>
      </w:pPr>
      <w:r w:rsidRPr="003D1198">
        <w:rPr>
          <w:rFonts w:ascii="Arial" w:hAnsi="Arial" w:cs="Arial"/>
          <w:b/>
          <w:sz w:val="20"/>
          <w:szCs w:val="20"/>
        </w:rPr>
        <w:t>Company number 06150195</w:t>
      </w:r>
    </w:p>
    <w:p w14:paraId="370AF766" w14:textId="18836168" w:rsidR="00F03FF7" w:rsidRDefault="00F03FF7" w:rsidP="00F03FF7">
      <w:pPr>
        <w:contextualSpacing/>
        <w:jc w:val="both"/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At the</w:t>
      </w:r>
      <w:r>
        <w:rPr>
          <w:rFonts w:ascii="Arial" w:hAnsi="Arial" w:cs="Arial"/>
          <w:sz w:val="20"/>
          <w:szCs w:val="20"/>
        </w:rPr>
        <w:t xml:space="preserve"> General Meeting </w:t>
      </w:r>
      <w:r w:rsidRPr="003D1198">
        <w:rPr>
          <w:rFonts w:ascii="Arial" w:hAnsi="Arial" w:cs="Arial"/>
          <w:sz w:val="20"/>
          <w:szCs w:val="20"/>
        </w:rPr>
        <w:t>of the above company</w:t>
      </w:r>
      <w:r>
        <w:rPr>
          <w:rFonts w:ascii="Arial" w:hAnsi="Arial" w:cs="Arial"/>
          <w:sz w:val="20"/>
          <w:szCs w:val="20"/>
        </w:rPr>
        <w:t>,</w:t>
      </w:r>
      <w:r w:rsidRPr="00FC6155">
        <w:rPr>
          <w:rFonts w:ascii="Arial" w:hAnsi="Arial" w:cs="Arial"/>
          <w:sz w:val="20"/>
          <w:szCs w:val="20"/>
        </w:rPr>
        <w:t xml:space="preserve"> duly convened and held on </w:t>
      </w:r>
      <w:r>
        <w:rPr>
          <w:rFonts w:ascii="Arial" w:hAnsi="Arial" w:cs="Arial"/>
          <w:sz w:val="20"/>
          <w:szCs w:val="20"/>
        </w:rPr>
        <w:t>21</w:t>
      </w:r>
      <w:r w:rsidRPr="00FC6155">
        <w:rPr>
          <w:rFonts w:ascii="Arial" w:hAnsi="Arial" w:cs="Arial"/>
          <w:sz w:val="20"/>
          <w:szCs w:val="20"/>
        </w:rPr>
        <w:t xml:space="preserve"> May 20</w:t>
      </w:r>
      <w:r>
        <w:rPr>
          <w:rFonts w:ascii="Arial" w:hAnsi="Arial" w:cs="Arial"/>
          <w:sz w:val="20"/>
          <w:szCs w:val="20"/>
        </w:rPr>
        <w:t>20</w:t>
      </w:r>
      <w:r w:rsidRPr="00FC6155">
        <w:rPr>
          <w:rFonts w:ascii="Arial" w:hAnsi="Arial" w:cs="Arial"/>
          <w:sz w:val="20"/>
          <w:szCs w:val="20"/>
        </w:rPr>
        <w:t xml:space="preserve">, the following </w:t>
      </w:r>
      <w:r w:rsidR="00C827B6">
        <w:rPr>
          <w:rFonts w:ascii="Arial" w:hAnsi="Arial" w:cs="Arial"/>
          <w:sz w:val="20"/>
          <w:szCs w:val="20"/>
        </w:rPr>
        <w:t xml:space="preserve">ordinary </w:t>
      </w:r>
      <w:r w:rsidRPr="00FC6155">
        <w:rPr>
          <w:rFonts w:ascii="Arial" w:hAnsi="Arial" w:cs="Arial"/>
          <w:sz w:val="20"/>
          <w:szCs w:val="20"/>
        </w:rPr>
        <w:t>resolution</w:t>
      </w:r>
      <w:r>
        <w:rPr>
          <w:rFonts w:ascii="Arial" w:hAnsi="Arial" w:cs="Arial"/>
          <w:sz w:val="20"/>
          <w:szCs w:val="20"/>
        </w:rPr>
        <w:t xml:space="preserve"> </w:t>
      </w:r>
      <w:r w:rsidR="00715027"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z w:val="20"/>
          <w:szCs w:val="20"/>
        </w:rPr>
        <w:t xml:space="preserve"> duly passed.</w:t>
      </w:r>
    </w:p>
    <w:p w14:paraId="3AC1E457" w14:textId="77777777" w:rsidR="00F03FF7" w:rsidRDefault="00F03FF7" w:rsidP="00F03FF7">
      <w:pPr>
        <w:rPr>
          <w:rFonts w:ascii="Arial" w:hAnsi="Arial" w:cs="Arial"/>
          <w:b/>
          <w:sz w:val="20"/>
          <w:szCs w:val="20"/>
        </w:rPr>
      </w:pPr>
    </w:p>
    <w:p w14:paraId="3B61A0BE" w14:textId="5F5CA06A" w:rsidR="00F03FF7" w:rsidRPr="00044447" w:rsidRDefault="00715027" w:rsidP="00F03FF7">
      <w:pPr>
        <w:ind w:firstLine="72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To approve the</w:t>
      </w:r>
      <w:r w:rsidRPr="0004444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03FF7" w:rsidRPr="00044447">
        <w:rPr>
          <w:rFonts w:ascii="Arial" w:hAnsi="Arial" w:cs="Arial"/>
          <w:b/>
          <w:sz w:val="20"/>
          <w:szCs w:val="20"/>
          <w:lang w:val="en-US"/>
        </w:rPr>
        <w:t xml:space="preserve">acquisition of </w:t>
      </w:r>
      <w:proofErr w:type="spellStart"/>
      <w:r w:rsidR="00F03FF7" w:rsidRPr="00044447">
        <w:rPr>
          <w:rFonts w:ascii="Arial" w:hAnsi="Arial" w:cs="Arial"/>
          <w:b/>
          <w:sz w:val="20"/>
          <w:szCs w:val="20"/>
          <w:lang w:val="en-US"/>
        </w:rPr>
        <w:t>Merian</w:t>
      </w:r>
      <w:proofErr w:type="spellEnd"/>
      <w:r w:rsidR="00F03FF7" w:rsidRPr="00044447">
        <w:rPr>
          <w:rFonts w:ascii="Arial" w:hAnsi="Arial" w:cs="Arial"/>
          <w:b/>
          <w:sz w:val="20"/>
          <w:szCs w:val="20"/>
          <w:lang w:val="en-US"/>
        </w:rPr>
        <w:t xml:space="preserve"> Global Investors Limited and </w:t>
      </w:r>
      <w:proofErr w:type="spellStart"/>
      <w:r w:rsidR="00F03FF7" w:rsidRPr="00044447">
        <w:rPr>
          <w:rFonts w:ascii="Arial" w:hAnsi="Arial" w:cs="Arial"/>
          <w:b/>
          <w:sz w:val="20"/>
          <w:szCs w:val="20"/>
          <w:lang w:val="en-US"/>
        </w:rPr>
        <w:t>authorise</w:t>
      </w:r>
      <w:proofErr w:type="spellEnd"/>
      <w:r w:rsidR="00F03FF7" w:rsidRPr="00044447">
        <w:rPr>
          <w:rFonts w:ascii="Arial" w:hAnsi="Arial" w:cs="Arial"/>
          <w:b/>
          <w:sz w:val="20"/>
          <w:szCs w:val="20"/>
          <w:lang w:val="en-US"/>
        </w:rPr>
        <w:t xml:space="preserve"> the </w:t>
      </w:r>
      <w:r w:rsidR="005233E0">
        <w:rPr>
          <w:rFonts w:ascii="Arial" w:hAnsi="Arial" w:cs="Arial"/>
          <w:b/>
          <w:sz w:val="20"/>
          <w:szCs w:val="20"/>
          <w:lang w:val="en-US"/>
        </w:rPr>
        <w:tab/>
      </w:r>
      <w:r w:rsidR="00F03FF7" w:rsidRPr="00044447">
        <w:rPr>
          <w:rFonts w:ascii="Arial" w:hAnsi="Arial" w:cs="Arial"/>
          <w:b/>
          <w:sz w:val="20"/>
          <w:szCs w:val="20"/>
          <w:lang w:val="en-US"/>
        </w:rPr>
        <w:t>Directors to allot the consideration shares</w:t>
      </w:r>
    </w:p>
    <w:p w14:paraId="2B606946" w14:textId="5BD6A723" w:rsidR="00F03FF7" w:rsidRPr="00044447" w:rsidRDefault="00F03FF7" w:rsidP="00F03F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044447">
        <w:rPr>
          <w:rFonts w:ascii="Arial" w:hAnsi="Arial" w:cs="Arial"/>
          <w:sz w:val="20"/>
          <w:szCs w:val="20"/>
        </w:rPr>
        <w:t>(A) the Acquisition, substantially on the terms and subject to the conditions set out in the sale and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purchase agreement entered into by the Company and the shareholders of Merian (the </w:t>
      </w:r>
      <w:r w:rsidR="00715027">
        <w:rPr>
          <w:rFonts w:ascii="Arial" w:hAnsi="Arial" w:cs="Arial"/>
          <w:sz w:val="20"/>
          <w:szCs w:val="20"/>
        </w:rPr>
        <w:t>“S</w:t>
      </w:r>
      <w:r w:rsidRPr="00044447">
        <w:rPr>
          <w:rFonts w:ascii="Arial" w:hAnsi="Arial" w:cs="Arial"/>
          <w:sz w:val="20"/>
          <w:szCs w:val="20"/>
        </w:rPr>
        <w:t>ellers</w:t>
      </w:r>
      <w:r w:rsidRPr="00044447">
        <w:rPr>
          <w:rFonts w:ascii="Arial" w:hAnsi="Arial" w:cs="Arial" w:hint="eastAsia"/>
          <w:sz w:val="20"/>
          <w:szCs w:val="20"/>
        </w:rPr>
        <w:t>”</w:t>
      </w:r>
      <w:r w:rsidRPr="00044447">
        <w:rPr>
          <w:rFonts w:ascii="Arial" w:hAnsi="Arial" w:cs="Arial"/>
          <w:sz w:val="20"/>
          <w:szCs w:val="20"/>
        </w:rPr>
        <w:t>) on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17 February 2020 relating to the Acquisition (the </w:t>
      </w:r>
      <w:r w:rsidRPr="00044447">
        <w:rPr>
          <w:rFonts w:ascii="Arial" w:hAnsi="Arial" w:cs="Arial" w:hint="eastAsia"/>
          <w:sz w:val="20"/>
          <w:szCs w:val="20"/>
        </w:rPr>
        <w:t>“</w:t>
      </w:r>
      <w:r w:rsidRPr="00044447">
        <w:rPr>
          <w:rFonts w:ascii="Arial" w:hAnsi="Arial" w:cs="Arial"/>
          <w:sz w:val="20"/>
          <w:szCs w:val="20"/>
        </w:rPr>
        <w:t>SPA</w:t>
      </w:r>
      <w:r w:rsidRPr="00044447">
        <w:rPr>
          <w:rFonts w:ascii="Arial" w:hAnsi="Arial" w:cs="Arial" w:hint="eastAsia"/>
          <w:sz w:val="20"/>
          <w:szCs w:val="20"/>
        </w:rPr>
        <w:t>”</w:t>
      </w:r>
      <w:r w:rsidRPr="00044447">
        <w:rPr>
          <w:rFonts w:ascii="Arial" w:hAnsi="Arial" w:cs="Arial"/>
          <w:sz w:val="20"/>
          <w:szCs w:val="20"/>
        </w:rPr>
        <w:t>) as summarised in the circular to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>shareholders of the Company dated 27 April 2020 be and is hereby approved and the directors of the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Company (the </w:t>
      </w:r>
      <w:r w:rsidRPr="00044447">
        <w:rPr>
          <w:rFonts w:ascii="Arial" w:hAnsi="Arial" w:cs="Arial" w:hint="eastAsia"/>
          <w:sz w:val="20"/>
          <w:szCs w:val="20"/>
        </w:rPr>
        <w:t>“</w:t>
      </w:r>
      <w:r w:rsidRPr="00044447">
        <w:rPr>
          <w:rFonts w:ascii="Arial" w:hAnsi="Arial" w:cs="Arial"/>
          <w:sz w:val="20"/>
          <w:szCs w:val="20"/>
        </w:rPr>
        <w:t>Directors</w:t>
      </w:r>
      <w:r w:rsidRPr="00044447">
        <w:rPr>
          <w:rFonts w:ascii="Arial" w:hAnsi="Arial" w:cs="Arial" w:hint="eastAsia"/>
          <w:sz w:val="20"/>
          <w:szCs w:val="20"/>
        </w:rPr>
        <w:t>”</w:t>
      </w:r>
      <w:r w:rsidRPr="00044447">
        <w:rPr>
          <w:rFonts w:ascii="Arial" w:hAnsi="Arial" w:cs="Arial"/>
          <w:sz w:val="20"/>
          <w:szCs w:val="20"/>
        </w:rPr>
        <w:t>) (or any duly constituted committee thereof) be authorised: (1) to take all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>such steps as may be necessary or desirable in connection with, and to implement, the Acquisition;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>and (2) to agree such modifications, variations, revisions, waivers or amendments to the terms and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>conditions of the Acquisition (provided such modifications, variations, revisions, waivers or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>amendments are not material), and to any documents relating thereto, as they may in their absolute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>discretion think fit; and</w:t>
      </w:r>
    </w:p>
    <w:p w14:paraId="2CB36A83" w14:textId="77777777" w:rsidR="00F03FF7" w:rsidRDefault="00F03FF7" w:rsidP="00F03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09F363" w14:textId="77777777" w:rsidR="00F03FF7" w:rsidRDefault="00F03FF7" w:rsidP="00F03F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4447">
        <w:rPr>
          <w:rFonts w:ascii="Arial" w:hAnsi="Arial" w:cs="Arial"/>
          <w:sz w:val="20"/>
          <w:szCs w:val="20"/>
        </w:rPr>
        <w:t xml:space="preserve">(B) without prejudice to all existing authorities conferred on the Directors, the Directors be and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are hereby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generally and unconditionally authorised in accordance with the section 551 of the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Companies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Act 2006 to exercise all powers of the Company to allot new ordinary shares of two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pence each in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the capital of the Company, credited as fully paid, with authority to deal with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fractional entitlements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arising out of such allotment as they think fit consistent with the terms of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the SPA, in connection with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the Acquisition up to an aggregate nominal amount of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£1,907,216.50, and which authority shall expire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on the Longstop Date (as defined in the SPA),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being 31 December 2020 or such later date as Mintaka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LP and the Company may agree or as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may be determined in accordance with the SPA (unless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previously revoked or varied by the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Company in general meeting), save that the Company may before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such expiry make an offer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or agreement which would or might require relevant securities to be allotted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after such expiry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and the Directors may allot relevant securities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>in pursuance of such an offer or</w:t>
      </w:r>
      <w:r>
        <w:rPr>
          <w:rFonts w:ascii="Arial" w:hAnsi="Arial" w:cs="Arial"/>
          <w:sz w:val="20"/>
          <w:szCs w:val="20"/>
        </w:rPr>
        <w:t xml:space="preserve"> </w:t>
      </w:r>
      <w:r w:rsidRPr="00044447">
        <w:rPr>
          <w:rFonts w:ascii="Arial" w:hAnsi="Arial" w:cs="Arial"/>
          <w:sz w:val="20"/>
          <w:szCs w:val="20"/>
        </w:rPr>
        <w:t xml:space="preserve">agreement as if </w:t>
      </w:r>
      <w:r>
        <w:rPr>
          <w:rFonts w:ascii="Arial" w:hAnsi="Arial" w:cs="Arial"/>
          <w:sz w:val="20"/>
          <w:szCs w:val="20"/>
        </w:rPr>
        <w:tab/>
      </w:r>
      <w:r w:rsidRPr="00044447">
        <w:rPr>
          <w:rFonts w:ascii="Arial" w:hAnsi="Arial" w:cs="Arial"/>
          <w:sz w:val="20"/>
          <w:szCs w:val="20"/>
        </w:rPr>
        <w:t>the authority conferred hereby had not expired.</w:t>
      </w:r>
    </w:p>
    <w:p w14:paraId="6D5A945F" w14:textId="77777777" w:rsidR="00F03FF7" w:rsidRDefault="00F03FF7"/>
    <w:sectPr w:rsidR="00F03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81880" w14:textId="77777777" w:rsidR="00F03FF7" w:rsidRDefault="00F03FF7" w:rsidP="00F03FF7">
      <w:pPr>
        <w:spacing w:after="0" w:line="240" w:lineRule="auto"/>
      </w:pPr>
      <w:r>
        <w:separator/>
      </w:r>
    </w:p>
  </w:endnote>
  <w:endnote w:type="continuationSeparator" w:id="0">
    <w:p w14:paraId="02C96D57" w14:textId="77777777" w:rsidR="00F03FF7" w:rsidRDefault="00F03FF7" w:rsidP="00F0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C78A5" w14:textId="77777777" w:rsidR="00F03FF7" w:rsidRDefault="00F03FF7" w:rsidP="00F03FF7">
      <w:pPr>
        <w:spacing w:after="0" w:line="240" w:lineRule="auto"/>
      </w:pPr>
      <w:r>
        <w:separator/>
      </w:r>
    </w:p>
  </w:footnote>
  <w:footnote w:type="continuationSeparator" w:id="0">
    <w:p w14:paraId="550AA025" w14:textId="77777777" w:rsidR="00F03FF7" w:rsidRDefault="00F03FF7" w:rsidP="00F03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61804"/>
    <w:multiLevelType w:val="hybridMultilevel"/>
    <w:tmpl w:val="21504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F7"/>
    <w:rsid w:val="005233E0"/>
    <w:rsid w:val="00715027"/>
    <w:rsid w:val="00C827B6"/>
    <w:rsid w:val="00F0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4D056"/>
  <w15:chartTrackingRefBased/>
  <w15:docId w15:val="{C04E26FA-D85C-45CA-8D33-A01DB631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unhideWhenUsed/>
    <w:qFormat/>
    <w:rsid w:val="00F03F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F03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Warren</dc:creator>
  <cp:keywords/>
  <dc:description/>
  <cp:lastModifiedBy>Colette Warren</cp:lastModifiedBy>
  <cp:revision>3</cp:revision>
  <dcterms:created xsi:type="dcterms:W3CDTF">2020-05-22T08:13:00Z</dcterms:created>
  <dcterms:modified xsi:type="dcterms:W3CDTF">2020-05-22T09:24:00Z</dcterms:modified>
</cp:coreProperties>
</file>