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620"/>
        <w:gridCol w:w="585"/>
      </w:tblGrid>
      <w:tr w:rsidR="0063761E" w:rsidRPr="001520AE" w14:paraId="418A819A" w14:textId="77777777" w:rsidTr="00A97AF6">
        <w:trPr>
          <w:trHeight w:val="708"/>
        </w:trPr>
        <w:tc>
          <w:tcPr>
            <w:tcW w:w="10205" w:type="dxa"/>
            <w:gridSpan w:val="2"/>
          </w:tcPr>
          <w:p w14:paraId="06BA0C79" w14:textId="458473BA" w:rsidR="00C13590" w:rsidRPr="001520AE" w:rsidRDefault="00C13590" w:rsidP="00A97AF6">
            <w:pPr>
              <w:pStyle w:val="Heading"/>
              <w:spacing w:after="120"/>
              <w:rPr>
                <w:sz w:val="52"/>
                <w:szCs w:val="40"/>
              </w:rPr>
            </w:pPr>
            <w:r>
              <w:rPr>
                <w:sz w:val="52"/>
                <w:szCs w:val="40"/>
              </w:rPr>
              <w:t xml:space="preserve">Results for the six months ended </w:t>
            </w:r>
            <w:r w:rsidRPr="00567A8B">
              <w:rPr>
                <w:sz w:val="52"/>
                <w:szCs w:val="40"/>
              </w:rPr>
              <w:t xml:space="preserve">30 June </w:t>
            </w:r>
            <w:r w:rsidR="00E85F7E">
              <w:rPr>
                <w:sz w:val="52"/>
                <w:szCs w:val="40"/>
              </w:rPr>
              <w:t>2024</w:t>
            </w:r>
          </w:p>
        </w:tc>
      </w:tr>
      <w:tr w:rsidR="00A93C4F" w:rsidRPr="00A517F6" w14:paraId="5B84EF9B" w14:textId="77777777" w:rsidTr="00A97AF6">
        <w:trPr>
          <w:gridAfter w:val="1"/>
          <w:wAfter w:w="623" w:type="dxa"/>
          <w:trHeight w:hRule="exact" w:val="284"/>
        </w:trPr>
        <w:tc>
          <w:tcPr>
            <w:tcW w:w="10205" w:type="dxa"/>
            <w:shd w:val="clear" w:color="auto" w:fill="16293F" w:themeFill="text1"/>
          </w:tcPr>
          <w:p w14:paraId="1F6B462C" w14:textId="77777777" w:rsidR="00C13590" w:rsidRPr="00A517F6" w:rsidRDefault="00C13590" w:rsidP="00A97AF6">
            <w:pPr>
              <w:pStyle w:val="Bodytext0"/>
              <w:spacing w:before="0" w:line="240" w:lineRule="auto"/>
              <w:rPr>
                <w:sz w:val="16"/>
                <w:szCs w:val="18"/>
              </w:rPr>
            </w:pPr>
          </w:p>
        </w:tc>
      </w:tr>
    </w:tbl>
    <w:p w14:paraId="297A7FF1" w14:textId="53B9A6E7" w:rsidR="003161E9" w:rsidRPr="00673EB2" w:rsidRDefault="00376214" w:rsidP="000C4FE6">
      <w:pPr>
        <w:pStyle w:val="Subheading"/>
      </w:pPr>
      <w:r>
        <w:t>2</w:t>
      </w:r>
      <w:r w:rsidR="00D4670F">
        <w:t>6</w:t>
      </w:r>
      <w:r>
        <w:t xml:space="preserve"> July</w:t>
      </w:r>
      <w:r w:rsidR="003161E9" w:rsidRPr="00673EB2">
        <w:t xml:space="preserve"> </w:t>
      </w:r>
      <w:r w:rsidR="00E85F7E">
        <w:t>2024</w:t>
      </w:r>
    </w:p>
    <w:p w14:paraId="7C0A03D9" w14:textId="3CFA9F52" w:rsidR="003F65B1" w:rsidRPr="00AC00DD" w:rsidRDefault="00270AA2" w:rsidP="003F65B1">
      <w:pPr>
        <w:pStyle w:val="Bullet1"/>
        <w:rPr>
          <w:b/>
          <w:bCs/>
        </w:rPr>
      </w:pPr>
      <w:r>
        <w:rPr>
          <w:b/>
          <w:bCs/>
        </w:rPr>
        <w:t>A</w:t>
      </w:r>
      <w:r w:rsidR="009D3110">
        <w:rPr>
          <w:b/>
          <w:bCs/>
        </w:rPr>
        <w:t xml:space="preserve"> </w:t>
      </w:r>
      <w:r w:rsidR="00397430">
        <w:rPr>
          <w:b/>
          <w:bCs/>
        </w:rPr>
        <w:t xml:space="preserve">solid </w:t>
      </w:r>
      <w:r w:rsidR="009D3110">
        <w:rPr>
          <w:b/>
          <w:bCs/>
        </w:rPr>
        <w:t>first half with reasons for cautious optimism</w:t>
      </w:r>
    </w:p>
    <w:p w14:paraId="0DF1A707" w14:textId="75BEED85" w:rsidR="008F6653" w:rsidRPr="00CE181C" w:rsidRDefault="008F6653" w:rsidP="00CE181C">
      <w:pPr>
        <w:pStyle w:val="Bodytext0"/>
        <w:numPr>
          <w:ilvl w:val="0"/>
          <w:numId w:val="33"/>
        </w:numPr>
      </w:pPr>
      <w:r w:rsidRPr="00CE181C">
        <w:t xml:space="preserve">We have delivered a </w:t>
      </w:r>
      <w:r w:rsidR="00683BC8">
        <w:t>solid set of</w:t>
      </w:r>
      <w:r w:rsidRPr="00CE181C">
        <w:t xml:space="preserve"> financial</w:t>
      </w:r>
      <w:r>
        <w:t xml:space="preserve"> results </w:t>
      </w:r>
      <w:r w:rsidR="00683BC8">
        <w:t>for H1 2024</w:t>
      </w:r>
      <w:r w:rsidR="008A13AF">
        <w:t xml:space="preserve"> that </w:t>
      </w:r>
      <w:r w:rsidR="00A213EF">
        <w:t>are</w:t>
      </w:r>
      <w:r>
        <w:t xml:space="preserve"> in line with </w:t>
      </w:r>
      <w:r w:rsidRPr="00CE181C">
        <w:t>our expectations</w:t>
      </w:r>
      <w:r w:rsidR="00AE3877">
        <w:t xml:space="preserve">, </w:t>
      </w:r>
      <w:r w:rsidR="004D7176">
        <w:t xml:space="preserve">and </w:t>
      </w:r>
      <w:r w:rsidR="00E81767">
        <w:t>we</w:t>
      </w:r>
      <w:r w:rsidR="004D7176">
        <w:t xml:space="preserve"> are continuing to make progress against each of our strategic objectives</w:t>
      </w:r>
    </w:p>
    <w:p w14:paraId="5237322F" w14:textId="3AA8B66B" w:rsidR="00125A09" w:rsidRPr="00202314" w:rsidRDefault="00352661" w:rsidP="00944B19">
      <w:pPr>
        <w:pStyle w:val="Bodytext0"/>
        <w:numPr>
          <w:ilvl w:val="0"/>
          <w:numId w:val="33"/>
        </w:numPr>
      </w:pPr>
      <w:r w:rsidRPr="005F0E7F">
        <w:t xml:space="preserve">Underlying profit before tax increased </w:t>
      </w:r>
      <w:r w:rsidR="007E04D9" w:rsidRPr="005F0E7F">
        <w:t xml:space="preserve">3% </w:t>
      </w:r>
      <w:r w:rsidRPr="005F0E7F">
        <w:t xml:space="preserve">to </w:t>
      </w:r>
      <w:r w:rsidR="00BF0DCC" w:rsidRPr="005F0E7F">
        <w:t>£47.9</w:t>
      </w:r>
      <w:r w:rsidRPr="005F0E7F">
        <w:t>m</w:t>
      </w:r>
      <w:r w:rsidRPr="00202314">
        <w:t xml:space="preserve"> (</w:t>
      </w:r>
      <w:r w:rsidR="00D14034">
        <w:t xml:space="preserve">H1 </w:t>
      </w:r>
      <w:r w:rsidR="00E85F7E" w:rsidRPr="00202314">
        <w:t>2023</w:t>
      </w:r>
      <w:r w:rsidRPr="00202314">
        <w:t>: £</w:t>
      </w:r>
      <w:r w:rsidR="002D2015" w:rsidRPr="00202314">
        <w:t>46.4</w:t>
      </w:r>
      <w:r w:rsidRPr="00202314">
        <w:t xml:space="preserve">m) </w:t>
      </w:r>
      <w:r w:rsidRPr="005F0E7F">
        <w:t xml:space="preserve">and statutory profit before tax grew </w:t>
      </w:r>
      <w:r w:rsidR="00202314" w:rsidRPr="005F0E7F">
        <w:t xml:space="preserve">11% </w:t>
      </w:r>
      <w:r w:rsidRPr="005F0E7F">
        <w:t xml:space="preserve">to </w:t>
      </w:r>
      <w:r w:rsidR="00202314" w:rsidRPr="005F0E7F">
        <w:t>£38.7</w:t>
      </w:r>
      <w:r w:rsidRPr="005F0E7F">
        <w:t>m</w:t>
      </w:r>
      <w:r w:rsidRPr="00202314">
        <w:t xml:space="preserve"> (</w:t>
      </w:r>
      <w:r w:rsidR="00D14034">
        <w:t xml:space="preserve">H1 </w:t>
      </w:r>
      <w:r w:rsidR="00E85F7E" w:rsidRPr="00202314">
        <w:t>2023</w:t>
      </w:r>
      <w:r w:rsidRPr="00202314">
        <w:t>: £</w:t>
      </w:r>
      <w:r w:rsidR="002D2015" w:rsidRPr="00202314">
        <w:t>34</w:t>
      </w:r>
      <w:r w:rsidRPr="00202314">
        <w:t>.8m)</w:t>
      </w:r>
    </w:p>
    <w:p w14:paraId="63AA0EC4" w14:textId="4CBE0002" w:rsidR="008F6653" w:rsidRPr="00202314" w:rsidRDefault="008F6653" w:rsidP="00944B19">
      <w:pPr>
        <w:pStyle w:val="Bodytext0"/>
        <w:numPr>
          <w:ilvl w:val="0"/>
          <w:numId w:val="33"/>
        </w:numPr>
      </w:pPr>
      <w:r>
        <w:t xml:space="preserve">We </w:t>
      </w:r>
      <w:r w:rsidR="00552C99">
        <w:t>remain committed to careful and deliberate capital allocation and cost management</w:t>
      </w:r>
      <w:r w:rsidR="004959A0">
        <w:t>.</w:t>
      </w:r>
      <w:r>
        <w:t xml:space="preserve"> </w:t>
      </w:r>
      <w:r w:rsidR="00A95715">
        <w:t>T</w:t>
      </w:r>
      <w:r>
        <w:t>otal operating costs decreas</w:t>
      </w:r>
      <w:r w:rsidR="00A95715">
        <w:t>ed</w:t>
      </w:r>
      <w:r>
        <w:t xml:space="preserve"> by </w:t>
      </w:r>
      <w:r w:rsidR="00077A91">
        <w:t>2</w:t>
      </w:r>
      <w:r>
        <w:t>% to £</w:t>
      </w:r>
      <w:r w:rsidRPr="008F6653">
        <w:t>129.1</w:t>
      </w:r>
      <w:r>
        <w:t>m (H1 2023: £132.2m</w:t>
      </w:r>
      <w:r w:rsidRPr="00913F2A">
        <w:t>)</w:t>
      </w:r>
    </w:p>
    <w:p w14:paraId="0B3C9A90" w14:textId="5CE6B8C1" w:rsidR="006C6116" w:rsidRPr="00CE181C" w:rsidRDefault="006C6116" w:rsidP="00944B19">
      <w:pPr>
        <w:pStyle w:val="Bodytext0"/>
        <w:numPr>
          <w:ilvl w:val="0"/>
          <w:numId w:val="33"/>
        </w:numPr>
      </w:pPr>
      <w:r w:rsidRPr="00CE181C">
        <w:t>We saw an increase in gross flows from retail clients, with total gross flows of £7.5bn</w:t>
      </w:r>
      <w:r w:rsidR="00394705">
        <w:t xml:space="preserve"> (H2 2023: </w:t>
      </w:r>
      <w:r w:rsidR="000E587C">
        <w:t>£</w:t>
      </w:r>
      <w:r w:rsidR="00D63C73">
        <w:t>5.5bn)</w:t>
      </w:r>
    </w:p>
    <w:p w14:paraId="46D28477" w14:textId="38AAF443" w:rsidR="00702029" w:rsidRPr="00702029" w:rsidRDefault="006C6116" w:rsidP="00944B19">
      <w:pPr>
        <w:pStyle w:val="Bodytext0"/>
        <w:numPr>
          <w:ilvl w:val="0"/>
          <w:numId w:val="33"/>
        </w:numPr>
      </w:pPr>
      <w:r w:rsidRPr="00CE181C">
        <w:t xml:space="preserve">There were total net outflows of £3.4bn, driven by </w:t>
      </w:r>
      <w:r w:rsidR="00402370">
        <w:t xml:space="preserve">the expected impact of </w:t>
      </w:r>
      <w:r w:rsidRPr="00CE181C">
        <w:t xml:space="preserve">changes to the Value </w:t>
      </w:r>
      <w:r w:rsidR="00AC5CBE">
        <w:t xml:space="preserve">equity </w:t>
      </w:r>
      <w:r w:rsidRPr="00CE181C">
        <w:t xml:space="preserve">team and </w:t>
      </w:r>
      <w:r w:rsidR="00050322">
        <w:t xml:space="preserve">the </w:t>
      </w:r>
      <w:r w:rsidR="004842D8">
        <w:t xml:space="preserve">management of the </w:t>
      </w:r>
      <w:r w:rsidRPr="00CE181C">
        <w:t xml:space="preserve">Chrysalis </w:t>
      </w:r>
      <w:r w:rsidR="00050322">
        <w:t>I</w:t>
      </w:r>
      <w:r w:rsidRPr="00CE181C">
        <w:t xml:space="preserve">nvestment </w:t>
      </w:r>
      <w:r w:rsidR="00E81767">
        <w:t>T</w:t>
      </w:r>
      <w:r w:rsidRPr="00CE181C">
        <w:t>rust. U</w:t>
      </w:r>
      <w:r w:rsidR="00B92F6E" w:rsidRPr="00CE181C">
        <w:t xml:space="preserve">nderlying net </w:t>
      </w:r>
      <w:r w:rsidR="00FF7F59" w:rsidRPr="00CE181C">
        <w:t>out</w:t>
      </w:r>
      <w:r w:rsidR="00B92F6E" w:rsidRPr="00CE181C">
        <w:t>flows</w:t>
      </w:r>
      <w:r w:rsidR="004A2A78">
        <w:t>, excluding these impacts,</w:t>
      </w:r>
      <w:r w:rsidR="00B92F6E" w:rsidRPr="00CE181C">
        <w:t xml:space="preserve"> were £0.2bn</w:t>
      </w:r>
    </w:p>
    <w:p w14:paraId="10C52E7E" w14:textId="193B1725" w:rsidR="00D82E20" w:rsidRPr="00CE181C" w:rsidRDefault="00B978E4" w:rsidP="005F0E7F">
      <w:pPr>
        <w:pStyle w:val="Bodytext0"/>
        <w:numPr>
          <w:ilvl w:val="0"/>
          <w:numId w:val="33"/>
        </w:numPr>
      </w:pPr>
      <w:r>
        <w:t xml:space="preserve">In line with our capital allocation policy, </w:t>
      </w:r>
      <w:r w:rsidR="00BB17BE">
        <w:t xml:space="preserve">we announce an ordinary </w:t>
      </w:r>
      <w:r w:rsidR="00913F2A" w:rsidRPr="00913F2A">
        <w:t>dividend o</w:t>
      </w:r>
      <w:r w:rsidR="00913F2A" w:rsidRPr="00DE6D08">
        <w:t xml:space="preserve">f </w:t>
      </w:r>
      <w:r w:rsidR="00702029" w:rsidRPr="00577845">
        <w:t>3.2</w:t>
      </w:r>
      <w:r w:rsidR="006459B4" w:rsidRPr="00577845">
        <w:t>p</w:t>
      </w:r>
      <w:r w:rsidR="006459B4" w:rsidRPr="005F0E7F">
        <w:t xml:space="preserve"> per share</w:t>
      </w:r>
      <w:r w:rsidR="00504D68" w:rsidRPr="005F0E7F">
        <w:t xml:space="preserve"> </w:t>
      </w:r>
    </w:p>
    <w:tbl>
      <w:tblPr>
        <w:tblStyle w:val="TableGrid"/>
        <w:tblW w:w="0" w:type="auto"/>
        <w:tblBorders>
          <w:bottom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686"/>
        <w:gridCol w:w="1843"/>
        <w:gridCol w:w="2297"/>
        <w:gridCol w:w="2213"/>
      </w:tblGrid>
      <w:tr w:rsidR="009A0E69" w14:paraId="1AC2D8CF" w14:textId="77777777" w:rsidTr="00B9668B">
        <w:trPr>
          <w:trHeight w:val="574"/>
        </w:trPr>
        <w:tc>
          <w:tcPr>
            <w:tcW w:w="3686" w:type="dxa"/>
            <w:vAlign w:val="bottom"/>
          </w:tcPr>
          <w:p w14:paraId="70C2AF2E" w14:textId="77777777" w:rsidR="009A0E69" w:rsidRDefault="009A0E69" w:rsidP="00B9668B">
            <w:pPr>
              <w:pStyle w:val="Tableheading"/>
              <w:jc w:val="right"/>
            </w:pPr>
          </w:p>
          <w:p w14:paraId="45F30797" w14:textId="672B346D" w:rsidR="006958FA" w:rsidRPr="005405BA" w:rsidRDefault="006958FA" w:rsidP="00B9668B">
            <w:pPr>
              <w:pStyle w:val="Tableheading"/>
              <w:jc w:val="right"/>
            </w:pPr>
          </w:p>
        </w:tc>
        <w:tc>
          <w:tcPr>
            <w:tcW w:w="1843" w:type="dxa"/>
            <w:vAlign w:val="bottom"/>
          </w:tcPr>
          <w:p w14:paraId="175FD11D" w14:textId="6D04EF87" w:rsidR="009A0E69" w:rsidRDefault="009A0E69" w:rsidP="00B9668B">
            <w:pPr>
              <w:pStyle w:val="Tableheading"/>
              <w:jc w:val="right"/>
            </w:pPr>
            <w:r>
              <w:t>Six months ended</w:t>
            </w:r>
          </w:p>
          <w:p w14:paraId="17771342" w14:textId="09053997" w:rsidR="009A0E69" w:rsidRPr="005405BA" w:rsidRDefault="009A0E69" w:rsidP="00B9668B">
            <w:pPr>
              <w:pStyle w:val="Tableheading"/>
              <w:jc w:val="right"/>
            </w:pPr>
            <w:r>
              <w:t xml:space="preserve">30 June </w:t>
            </w:r>
            <w:r w:rsidR="00E85F7E">
              <w:t>2024</w:t>
            </w:r>
          </w:p>
        </w:tc>
        <w:tc>
          <w:tcPr>
            <w:tcW w:w="2297" w:type="dxa"/>
            <w:vAlign w:val="bottom"/>
          </w:tcPr>
          <w:p w14:paraId="4A399DD6" w14:textId="7279E16D" w:rsidR="009A0E69" w:rsidRPr="008C542A" w:rsidRDefault="009A0E69" w:rsidP="00B9668B">
            <w:pPr>
              <w:pStyle w:val="Tableheading"/>
              <w:jc w:val="right"/>
            </w:pPr>
            <w:r w:rsidRPr="008C542A">
              <w:t>Six months ended</w:t>
            </w:r>
          </w:p>
          <w:p w14:paraId="4E2A97ED" w14:textId="20137BA2" w:rsidR="009A0E69" w:rsidRPr="008C542A" w:rsidRDefault="009A0E69" w:rsidP="00B9668B">
            <w:pPr>
              <w:pStyle w:val="Tableheading"/>
              <w:jc w:val="right"/>
            </w:pPr>
            <w:r w:rsidRPr="008C542A">
              <w:t xml:space="preserve">30 June </w:t>
            </w:r>
            <w:r w:rsidR="00E85F7E">
              <w:t>2023</w:t>
            </w:r>
          </w:p>
        </w:tc>
        <w:tc>
          <w:tcPr>
            <w:tcW w:w="2213" w:type="dxa"/>
            <w:vAlign w:val="bottom"/>
          </w:tcPr>
          <w:p w14:paraId="68BDCFD2" w14:textId="083DB6E2" w:rsidR="009A0E69" w:rsidRPr="00DC6188" w:rsidRDefault="009A0E69" w:rsidP="00B9668B">
            <w:pPr>
              <w:pStyle w:val="Tableheading"/>
              <w:jc w:val="right"/>
            </w:pPr>
            <w:r w:rsidRPr="00DC6188">
              <w:t>Year ended</w:t>
            </w:r>
          </w:p>
          <w:p w14:paraId="53134DD7" w14:textId="4D9BCC35" w:rsidR="009A0E69" w:rsidRPr="00F2575A" w:rsidRDefault="009A0E69" w:rsidP="00B9668B">
            <w:pPr>
              <w:pStyle w:val="Tableheading"/>
              <w:jc w:val="right"/>
              <w:rPr>
                <w:highlight w:val="yellow"/>
              </w:rPr>
            </w:pPr>
            <w:r w:rsidRPr="00DC6188">
              <w:t>3</w:t>
            </w:r>
            <w:r w:rsidR="00955F6B" w:rsidRPr="00DC6188">
              <w:t>1 December</w:t>
            </w:r>
            <w:r w:rsidRPr="00DC6188">
              <w:t xml:space="preserve"> </w:t>
            </w:r>
            <w:r w:rsidR="00E85F7E">
              <w:t>2023</w:t>
            </w:r>
          </w:p>
        </w:tc>
      </w:tr>
      <w:tr w:rsidR="00E70E94" w14:paraId="5AA215FC" w14:textId="77777777" w:rsidTr="00412C4E">
        <w:trPr>
          <w:trHeight w:val="301"/>
        </w:trPr>
        <w:tc>
          <w:tcPr>
            <w:tcW w:w="3686" w:type="dxa"/>
            <w:tcBorders>
              <w:top w:val="single" w:sz="4" w:space="0" w:color="auto"/>
              <w:bottom w:val="single" w:sz="4" w:space="0" w:color="auto"/>
            </w:tcBorders>
            <w:shd w:val="clear" w:color="auto" w:fill="auto"/>
            <w:vAlign w:val="center"/>
          </w:tcPr>
          <w:p w14:paraId="5C04F7BB" w14:textId="385295EB" w:rsidR="00E70E94" w:rsidRPr="009A0E69" w:rsidRDefault="00E70E94" w:rsidP="00E70E94">
            <w:pPr>
              <w:pStyle w:val="Tabletext"/>
            </w:pPr>
            <w:r>
              <w:t>AUM (£bn)</w:t>
            </w:r>
          </w:p>
        </w:tc>
        <w:tc>
          <w:tcPr>
            <w:tcW w:w="1843" w:type="dxa"/>
            <w:tcBorders>
              <w:top w:val="single" w:sz="4" w:space="0" w:color="auto"/>
              <w:bottom w:val="single" w:sz="4" w:space="0" w:color="auto"/>
            </w:tcBorders>
            <w:shd w:val="clear" w:color="auto" w:fill="auto"/>
            <w:vAlign w:val="center"/>
          </w:tcPr>
          <w:p w14:paraId="45A0AE2E" w14:textId="0F54405F" w:rsidR="00E70E94" w:rsidRPr="005F0E7F" w:rsidDel="005651B6" w:rsidRDefault="00616F60" w:rsidP="00E70E94">
            <w:pPr>
              <w:pStyle w:val="Tabletext"/>
              <w:tabs>
                <w:tab w:val="decimal" w:pos="1480"/>
              </w:tabs>
              <w:jc w:val="both"/>
            </w:pPr>
            <w:r w:rsidRPr="005F0E7F">
              <w:t>51.3</w:t>
            </w:r>
          </w:p>
        </w:tc>
        <w:tc>
          <w:tcPr>
            <w:tcW w:w="2297" w:type="dxa"/>
            <w:tcBorders>
              <w:top w:val="single" w:sz="4" w:space="0" w:color="auto"/>
              <w:bottom w:val="single" w:sz="4" w:space="0" w:color="auto"/>
            </w:tcBorders>
            <w:shd w:val="clear" w:color="auto" w:fill="auto"/>
            <w:vAlign w:val="center"/>
          </w:tcPr>
          <w:p w14:paraId="4046EE1B" w14:textId="30C29E57" w:rsidR="00E70E94" w:rsidRPr="00632714" w:rsidRDefault="00E70E94" w:rsidP="00E70E94">
            <w:pPr>
              <w:pStyle w:val="Tabletext"/>
              <w:tabs>
                <w:tab w:val="decimal" w:pos="1813"/>
              </w:tabs>
            </w:pPr>
            <w:r w:rsidRPr="00F2575A">
              <w:t>51.4</w:t>
            </w:r>
          </w:p>
        </w:tc>
        <w:tc>
          <w:tcPr>
            <w:tcW w:w="2213" w:type="dxa"/>
            <w:tcBorders>
              <w:top w:val="single" w:sz="4" w:space="0" w:color="auto"/>
              <w:bottom w:val="single" w:sz="4" w:space="0" w:color="auto"/>
            </w:tcBorders>
            <w:shd w:val="clear" w:color="auto" w:fill="auto"/>
            <w:vAlign w:val="center"/>
          </w:tcPr>
          <w:p w14:paraId="7C296203" w14:textId="7CC40E9A" w:rsidR="00E70E94" w:rsidRPr="00E70E94" w:rsidRDefault="00E70E94" w:rsidP="00E70E94">
            <w:pPr>
              <w:pStyle w:val="Tabletext"/>
              <w:tabs>
                <w:tab w:val="decimal" w:pos="1813"/>
              </w:tabs>
            </w:pPr>
            <w:r w:rsidRPr="00E70E94">
              <w:t>52.2</w:t>
            </w:r>
          </w:p>
        </w:tc>
      </w:tr>
      <w:tr w:rsidR="00E70E94" w14:paraId="0DFED52C" w14:textId="77777777" w:rsidTr="00412C4E">
        <w:trPr>
          <w:trHeight w:val="301"/>
        </w:trPr>
        <w:tc>
          <w:tcPr>
            <w:tcW w:w="3686" w:type="dxa"/>
            <w:tcBorders>
              <w:top w:val="single" w:sz="4" w:space="0" w:color="auto"/>
              <w:bottom w:val="single" w:sz="4" w:space="0" w:color="auto"/>
            </w:tcBorders>
            <w:shd w:val="clear" w:color="auto" w:fill="auto"/>
            <w:vAlign w:val="center"/>
          </w:tcPr>
          <w:p w14:paraId="0D0D5962" w14:textId="7133AE06" w:rsidR="00E70E94" w:rsidRPr="009A0E69" w:rsidRDefault="00E70E94" w:rsidP="00E70E94">
            <w:pPr>
              <w:pStyle w:val="Tabletext"/>
            </w:pPr>
            <w:r>
              <w:t>Net flows (£bn)</w:t>
            </w:r>
          </w:p>
        </w:tc>
        <w:tc>
          <w:tcPr>
            <w:tcW w:w="1843" w:type="dxa"/>
            <w:tcBorders>
              <w:top w:val="single" w:sz="4" w:space="0" w:color="auto"/>
              <w:bottom w:val="single" w:sz="4" w:space="0" w:color="auto"/>
            </w:tcBorders>
            <w:shd w:val="clear" w:color="auto" w:fill="auto"/>
            <w:vAlign w:val="center"/>
          </w:tcPr>
          <w:p w14:paraId="542AACB0" w14:textId="6EAEE17A" w:rsidR="00E70E94" w:rsidRPr="005F0E7F" w:rsidDel="005651B6" w:rsidRDefault="004F12A1" w:rsidP="00E70E94">
            <w:pPr>
              <w:pStyle w:val="Tabletext"/>
              <w:tabs>
                <w:tab w:val="decimal" w:pos="1480"/>
              </w:tabs>
              <w:jc w:val="both"/>
            </w:pPr>
            <w:r w:rsidRPr="005F0E7F">
              <w:t>(</w:t>
            </w:r>
            <w:r w:rsidR="00B92F6E">
              <w:t>3.4</w:t>
            </w:r>
            <w:r w:rsidRPr="005F0E7F">
              <w:t>)</w:t>
            </w:r>
          </w:p>
        </w:tc>
        <w:tc>
          <w:tcPr>
            <w:tcW w:w="2297" w:type="dxa"/>
            <w:tcBorders>
              <w:top w:val="single" w:sz="4" w:space="0" w:color="auto"/>
              <w:bottom w:val="single" w:sz="4" w:space="0" w:color="auto"/>
            </w:tcBorders>
            <w:shd w:val="clear" w:color="auto" w:fill="auto"/>
            <w:vAlign w:val="center"/>
          </w:tcPr>
          <w:p w14:paraId="042FBC99" w14:textId="22D1216D" w:rsidR="00E70E94" w:rsidRPr="00632714" w:rsidRDefault="00E70E94" w:rsidP="00E70E94">
            <w:pPr>
              <w:pStyle w:val="Tabletext"/>
              <w:tabs>
                <w:tab w:val="decimal" w:pos="1813"/>
              </w:tabs>
            </w:pPr>
            <w:r w:rsidRPr="00F2575A">
              <w:t>-</w:t>
            </w:r>
          </w:p>
        </w:tc>
        <w:tc>
          <w:tcPr>
            <w:tcW w:w="2213" w:type="dxa"/>
            <w:tcBorders>
              <w:top w:val="single" w:sz="4" w:space="0" w:color="auto"/>
              <w:bottom w:val="single" w:sz="4" w:space="0" w:color="auto"/>
            </w:tcBorders>
            <w:shd w:val="clear" w:color="auto" w:fill="auto"/>
            <w:vAlign w:val="center"/>
          </w:tcPr>
          <w:p w14:paraId="3662F932" w14:textId="79F1B3F6" w:rsidR="00E70E94" w:rsidRPr="00E70E94" w:rsidRDefault="00E70E94" w:rsidP="00E70E94">
            <w:pPr>
              <w:pStyle w:val="Tabletext"/>
              <w:tabs>
                <w:tab w:val="decimal" w:pos="1813"/>
              </w:tabs>
            </w:pPr>
            <w:r w:rsidRPr="00E70E94">
              <w:t>(2.2)</w:t>
            </w:r>
          </w:p>
        </w:tc>
      </w:tr>
      <w:tr w:rsidR="00E70E94" w14:paraId="669F2946" w14:textId="77777777" w:rsidTr="00412C4E">
        <w:trPr>
          <w:trHeight w:val="301"/>
        </w:trPr>
        <w:tc>
          <w:tcPr>
            <w:tcW w:w="3686" w:type="dxa"/>
            <w:tcBorders>
              <w:top w:val="single" w:sz="4" w:space="0" w:color="auto"/>
              <w:bottom w:val="single" w:sz="4" w:space="0" w:color="auto"/>
            </w:tcBorders>
            <w:shd w:val="clear" w:color="auto" w:fill="auto"/>
            <w:vAlign w:val="center"/>
          </w:tcPr>
          <w:p w14:paraId="0C202A79" w14:textId="54EFCBC4" w:rsidR="00E70E94" w:rsidRPr="009A0E69" w:rsidRDefault="00E70E94" w:rsidP="00E70E94">
            <w:pPr>
              <w:pStyle w:val="Tabletext"/>
            </w:pPr>
            <w:r w:rsidRPr="009A0E69">
              <w:t xml:space="preserve">Net </w:t>
            </w:r>
            <w:r>
              <w:t>revenue</w:t>
            </w:r>
            <w:r w:rsidRPr="009A0E69">
              <w:rPr>
                <w:vertAlign w:val="superscript"/>
              </w:rPr>
              <w:t>1</w:t>
            </w:r>
            <w:r w:rsidRPr="009A0E69">
              <w:t xml:space="preserve"> (£m)</w:t>
            </w:r>
          </w:p>
        </w:tc>
        <w:tc>
          <w:tcPr>
            <w:tcW w:w="1843" w:type="dxa"/>
            <w:tcBorders>
              <w:top w:val="single" w:sz="4" w:space="0" w:color="auto"/>
              <w:bottom w:val="single" w:sz="4" w:space="0" w:color="auto"/>
            </w:tcBorders>
            <w:shd w:val="clear" w:color="auto" w:fill="auto"/>
            <w:vAlign w:val="center"/>
          </w:tcPr>
          <w:p w14:paraId="490A11BD" w14:textId="70D30375" w:rsidR="00E70E94" w:rsidRPr="005F0E7F" w:rsidRDefault="004F12A1" w:rsidP="00E70E94">
            <w:pPr>
              <w:pStyle w:val="Tabletext"/>
              <w:tabs>
                <w:tab w:val="decimal" w:pos="1480"/>
              </w:tabs>
              <w:jc w:val="both"/>
            </w:pPr>
            <w:r w:rsidRPr="005F0E7F">
              <w:t>173.7</w:t>
            </w:r>
          </w:p>
        </w:tc>
        <w:tc>
          <w:tcPr>
            <w:tcW w:w="2297" w:type="dxa"/>
            <w:tcBorders>
              <w:top w:val="single" w:sz="4" w:space="0" w:color="auto"/>
              <w:bottom w:val="single" w:sz="4" w:space="0" w:color="auto"/>
            </w:tcBorders>
            <w:shd w:val="clear" w:color="auto" w:fill="auto"/>
            <w:vAlign w:val="center"/>
          </w:tcPr>
          <w:p w14:paraId="225758D4" w14:textId="229B095F" w:rsidR="00E70E94" w:rsidRPr="00E36C8E" w:rsidRDefault="00E70E94" w:rsidP="00E70E94">
            <w:pPr>
              <w:pStyle w:val="Tabletext"/>
              <w:tabs>
                <w:tab w:val="decimal" w:pos="1813"/>
              </w:tabs>
            </w:pPr>
            <w:r w:rsidRPr="00F2575A">
              <w:t>1</w:t>
            </w:r>
            <w:r>
              <w:t>81</w:t>
            </w:r>
            <w:r w:rsidRPr="00F2575A">
              <w:t>.</w:t>
            </w:r>
            <w:r>
              <w:t>0</w:t>
            </w:r>
          </w:p>
        </w:tc>
        <w:tc>
          <w:tcPr>
            <w:tcW w:w="2213" w:type="dxa"/>
            <w:tcBorders>
              <w:top w:val="single" w:sz="4" w:space="0" w:color="auto"/>
              <w:bottom w:val="single" w:sz="4" w:space="0" w:color="auto"/>
            </w:tcBorders>
            <w:shd w:val="clear" w:color="auto" w:fill="auto"/>
            <w:vAlign w:val="center"/>
          </w:tcPr>
          <w:p w14:paraId="0BF77657" w14:textId="1D73C3F6" w:rsidR="00E70E94" w:rsidRPr="00E70E94" w:rsidRDefault="00E70E94" w:rsidP="00E70E94">
            <w:pPr>
              <w:pStyle w:val="Tabletext"/>
              <w:tabs>
                <w:tab w:val="decimal" w:pos="1813"/>
              </w:tabs>
            </w:pPr>
            <w:r w:rsidRPr="00E70E94">
              <w:t>368.8</w:t>
            </w:r>
          </w:p>
        </w:tc>
      </w:tr>
      <w:tr w:rsidR="00E70E94" w14:paraId="6F31825B" w14:textId="77777777" w:rsidTr="00412C4E">
        <w:trPr>
          <w:trHeight w:val="301"/>
        </w:trPr>
        <w:tc>
          <w:tcPr>
            <w:tcW w:w="3686" w:type="dxa"/>
            <w:tcBorders>
              <w:top w:val="single" w:sz="4" w:space="0" w:color="auto"/>
              <w:bottom w:val="single" w:sz="4" w:space="0" w:color="auto"/>
            </w:tcBorders>
            <w:shd w:val="clear" w:color="auto" w:fill="auto"/>
            <w:vAlign w:val="center"/>
          </w:tcPr>
          <w:p w14:paraId="33C798ED" w14:textId="0E4F901E" w:rsidR="00E70E94" w:rsidRPr="009A0E69" w:rsidRDefault="00E70E94" w:rsidP="00E70E94">
            <w:pPr>
              <w:pStyle w:val="Tabletext"/>
            </w:pPr>
            <w:r>
              <w:t>Statutory profit before tax</w:t>
            </w:r>
            <w:r w:rsidRPr="00F2718C">
              <w:rPr>
                <w:vertAlign w:val="superscript"/>
              </w:rPr>
              <w:t>2</w:t>
            </w:r>
            <w:r w:rsidRPr="009A0E69">
              <w:t xml:space="preserve"> (£m)</w:t>
            </w:r>
          </w:p>
        </w:tc>
        <w:tc>
          <w:tcPr>
            <w:tcW w:w="1843" w:type="dxa"/>
            <w:tcBorders>
              <w:top w:val="single" w:sz="4" w:space="0" w:color="auto"/>
              <w:bottom w:val="single" w:sz="4" w:space="0" w:color="auto"/>
            </w:tcBorders>
            <w:shd w:val="clear" w:color="auto" w:fill="auto"/>
            <w:vAlign w:val="center"/>
          </w:tcPr>
          <w:p w14:paraId="0B42878E" w14:textId="6A38961D" w:rsidR="00E70E94" w:rsidRPr="005F0E7F" w:rsidDel="005651B6" w:rsidRDefault="004F12A1" w:rsidP="00E70E94">
            <w:pPr>
              <w:pStyle w:val="Tabletext"/>
              <w:tabs>
                <w:tab w:val="decimal" w:pos="1480"/>
              </w:tabs>
              <w:jc w:val="both"/>
            </w:pPr>
            <w:r w:rsidRPr="005F0E7F">
              <w:t>38.7</w:t>
            </w:r>
          </w:p>
        </w:tc>
        <w:tc>
          <w:tcPr>
            <w:tcW w:w="2297" w:type="dxa"/>
            <w:tcBorders>
              <w:top w:val="single" w:sz="4" w:space="0" w:color="auto"/>
              <w:bottom w:val="single" w:sz="4" w:space="0" w:color="auto"/>
            </w:tcBorders>
            <w:shd w:val="clear" w:color="auto" w:fill="auto"/>
            <w:vAlign w:val="center"/>
          </w:tcPr>
          <w:p w14:paraId="125702B1" w14:textId="504F8BFB" w:rsidR="00E70E94" w:rsidRPr="00632714" w:rsidRDefault="00E70E94" w:rsidP="00E70E94">
            <w:pPr>
              <w:pStyle w:val="Tabletext"/>
              <w:tabs>
                <w:tab w:val="decimal" w:pos="1813"/>
              </w:tabs>
            </w:pPr>
            <w:r w:rsidRPr="00F2575A">
              <w:t>34.8</w:t>
            </w:r>
          </w:p>
        </w:tc>
        <w:tc>
          <w:tcPr>
            <w:tcW w:w="2213" w:type="dxa"/>
            <w:tcBorders>
              <w:top w:val="single" w:sz="4" w:space="0" w:color="auto"/>
              <w:bottom w:val="single" w:sz="4" w:space="0" w:color="auto"/>
            </w:tcBorders>
            <w:shd w:val="clear" w:color="auto" w:fill="auto"/>
            <w:vAlign w:val="center"/>
          </w:tcPr>
          <w:p w14:paraId="2F0F0B4E" w14:textId="6E69189C" w:rsidR="00E70E94" w:rsidRPr="00E70E94" w:rsidRDefault="00E70E94" w:rsidP="00E70E94">
            <w:pPr>
              <w:pStyle w:val="Tabletext"/>
              <w:tabs>
                <w:tab w:val="decimal" w:pos="1813"/>
              </w:tabs>
            </w:pPr>
            <w:r w:rsidRPr="00E70E94">
              <w:t>9.4</w:t>
            </w:r>
          </w:p>
        </w:tc>
      </w:tr>
      <w:tr w:rsidR="00E70E94" w14:paraId="22BD121E" w14:textId="77777777" w:rsidTr="00412C4E">
        <w:trPr>
          <w:trHeight w:val="301"/>
        </w:trPr>
        <w:tc>
          <w:tcPr>
            <w:tcW w:w="3686" w:type="dxa"/>
            <w:tcBorders>
              <w:top w:val="single" w:sz="4" w:space="0" w:color="auto"/>
              <w:bottom w:val="single" w:sz="4" w:space="0" w:color="auto"/>
            </w:tcBorders>
            <w:shd w:val="clear" w:color="auto" w:fill="auto"/>
            <w:vAlign w:val="center"/>
          </w:tcPr>
          <w:p w14:paraId="32A0BA30" w14:textId="5948D914" w:rsidR="00E70E94" w:rsidRPr="009A0E69" w:rsidRDefault="00E70E94" w:rsidP="00E70E94">
            <w:pPr>
              <w:pStyle w:val="Tabletext"/>
            </w:pPr>
            <w:r w:rsidRPr="009A0E69">
              <w:t xml:space="preserve">Basic </w:t>
            </w:r>
            <w:r>
              <w:t>earnings per share (EPS)</w:t>
            </w:r>
            <w:r w:rsidRPr="00F2718C">
              <w:rPr>
                <w:vertAlign w:val="superscript"/>
              </w:rPr>
              <w:t>2</w:t>
            </w:r>
            <w:r w:rsidRPr="009A0E69">
              <w:t xml:space="preserve"> (p)</w:t>
            </w:r>
          </w:p>
        </w:tc>
        <w:tc>
          <w:tcPr>
            <w:tcW w:w="1843" w:type="dxa"/>
            <w:tcBorders>
              <w:top w:val="single" w:sz="4" w:space="0" w:color="auto"/>
              <w:bottom w:val="single" w:sz="4" w:space="0" w:color="auto"/>
            </w:tcBorders>
            <w:shd w:val="clear" w:color="auto" w:fill="auto"/>
            <w:vAlign w:val="center"/>
          </w:tcPr>
          <w:p w14:paraId="5B1395EF" w14:textId="17E3C50F" w:rsidR="00E70E94" w:rsidRPr="00E85F7E" w:rsidDel="005651B6" w:rsidRDefault="00120E16" w:rsidP="00E70E94">
            <w:pPr>
              <w:pStyle w:val="Tabletext"/>
              <w:tabs>
                <w:tab w:val="decimal" w:pos="1480"/>
              </w:tabs>
              <w:jc w:val="both"/>
              <w:rPr>
                <w:highlight w:val="yellow"/>
              </w:rPr>
            </w:pPr>
            <w:r w:rsidRPr="005F0E7F">
              <w:t>5.4</w:t>
            </w:r>
          </w:p>
        </w:tc>
        <w:tc>
          <w:tcPr>
            <w:tcW w:w="2297" w:type="dxa"/>
            <w:tcBorders>
              <w:top w:val="single" w:sz="4" w:space="0" w:color="auto"/>
              <w:bottom w:val="single" w:sz="4" w:space="0" w:color="auto"/>
            </w:tcBorders>
            <w:shd w:val="clear" w:color="auto" w:fill="auto"/>
            <w:vAlign w:val="center"/>
          </w:tcPr>
          <w:p w14:paraId="196BCB24" w14:textId="77DAED71" w:rsidR="00E70E94" w:rsidRPr="00632714" w:rsidRDefault="00E70E94" w:rsidP="00E70E94">
            <w:pPr>
              <w:pStyle w:val="Tabletext"/>
              <w:tabs>
                <w:tab w:val="decimal" w:pos="1813"/>
              </w:tabs>
            </w:pPr>
            <w:r>
              <w:t>4.6</w:t>
            </w:r>
          </w:p>
        </w:tc>
        <w:tc>
          <w:tcPr>
            <w:tcW w:w="2213" w:type="dxa"/>
            <w:tcBorders>
              <w:top w:val="single" w:sz="4" w:space="0" w:color="auto"/>
              <w:bottom w:val="single" w:sz="4" w:space="0" w:color="auto"/>
            </w:tcBorders>
            <w:shd w:val="clear" w:color="auto" w:fill="auto"/>
            <w:vAlign w:val="center"/>
          </w:tcPr>
          <w:p w14:paraId="575CEB55" w14:textId="08E788E8" w:rsidR="00E70E94" w:rsidRPr="00E70E94" w:rsidRDefault="00E70E94" w:rsidP="00E70E94">
            <w:pPr>
              <w:pStyle w:val="Tabletext"/>
              <w:tabs>
                <w:tab w:val="decimal" w:pos="1813"/>
              </w:tabs>
            </w:pPr>
            <w:r w:rsidRPr="00E70E94">
              <w:t>(2.5)</w:t>
            </w:r>
          </w:p>
        </w:tc>
      </w:tr>
      <w:tr w:rsidR="00E70E94" w14:paraId="5A05FF7B" w14:textId="77777777" w:rsidTr="00412C4E">
        <w:trPr>
          <w:trHeight w:val="301"/>
        </w:trPr>
        <w:tc>
          <w:tcPr>
            <w:tcW w:w="3686" w:type="dxa"/>
            <w:tcBorders>
              <w:top w:val="single" w:sz="4" w:space="0" w:color="auto"/>
              <w:bottom w:val="single" w:sz="4" w:space="0" w:color="auto"/>
            </w:tcBorders>
            <w:shd w:val="clear" w:color="auto" w:fill="auto"/>
            <w:vAlign w:val="center"/>
          </w:tcPr>
          <w:p w14:paraId="2323C3DA" w14:textId="6F3D9209" w:rsidR="00E70E94" w:rsidRDefault="00E70E94" w:rsidP="00E70E94">
            <w:pPr>
              <w:pStyle w:val="Tabletext"/>
            </w:pPr>
            <w:r w:rsidRPr="009A0E69">
              <w:t xml:space="preserve">Underlying </w:t>
            </w:r>
            <w:r>
              <w:t>profit before tax</w:t>
            </w:r>
            <w:r w:rsidRPr="009A0E69">
              <w:rPr>
                <w:vertAlign w:val="superscript"/>
              </w:rPr>
              <w:t>1</w:t>
            </w:r>
            <w:r w:rsidRPr="009A0E69">
              <w:t xml:space="preserve"> (£m)</w:t>
            </w:r>
          </w:p>
        </w:tc>
        <w:tc>
          <w:tcPr>
            <w:tcW w:w="1843" w:type="dxa"/>
            <w:tcBorders>
              <w:top w:val="single" w:sz="4" w:space="0" w:color="auto"/>
              <w:bottom w:val="single" w:sz="4" w:space="0" w:color="auto"/>
            </w:tcBorders>
            <w:shd w:val="clear" w:color="auto" w:fill="auto"/>
            <w:vAlign w:val="center"/>
          </w:tcPr>
          <w:p w14:paraId="2E1D3E5D" w14:textId="180B80DB" w:rsidR="00E70E94" w:rsidRPr="00E85F7E" w:rsidRDefault="00797E15" w:rsidP="00E70E94">
            <w:pPr>
              <w:pStyle w:val="Tabletext"/>
              <w:tabs>
                <w:tab w:val="decimal" w:pos="1480"/>
              </w:tabs>
              <w:jc w:val="both"/>
              <w:rPr>
                <w:highlight w:val="yellow"/>
              </w:rPr>
            </w:pPr>
            <w:r w:rsidRPr="005F0E7F">
              <w:t>4</w:t>
            </w:r>
            <w:r w:rsidR="000F4C2E" w:rsidRPr="005F0E7F">
              <w:t>7.9</w:t>
            </w:r>
          </w:p>
        </w:tc>
        <w:tc>
          <w:tcPr>
            <w:tcW w:w="2297" w:type="dxa"/>
            <w:tcBorders>
              <w:top w:val="single" w:sz="4" w:space="0" w:color="auto"/>
              <w:bottom w:val="single" w:sz="4" w:space="0" w:color="auto"/>
            </w:tcBorders>
            <w:shd w:val="clear" w:color="auto" w:fill="auto"/>
            <w:vAlign w:val="center"/>
          </w:tcPr>
          <w:p w14:paraId="32EE4A28" w14:textId="7556170B" w:rsidR="00E70E94" w:rsidRPr="005E7E90" w:rsidRDefault="00E70E94" w:rsidP="00E70E94">
            <w:pPr>
              <w:pStyle w:val="Tabletext"/>
              <w:tabs>
                <w:tab w:val="decimal" w:pos="1813"/>
              </w:tabs>
            </w:pPr>
            <w:r w:rsidRPr="00F2575A">
              <w:t>46.4</w:t>
            </w:r>
          </w:p>
        </w:tc>
        <w:tc>
          <w:tcPr>
            <w:tcW w:w="2213" w:type="dxa"/>
            <w:tcBorders>
              <w:top w:val="single" w:sz="4" w:space="0" w:color="auto"/>
              <w:bottom w:val="single" w:sz="4" w:space="0" w:color="auto"/>
            </w:tcBorders>
            <w:shd w:val="clear" w:color="auto" w:fill="auto"/>
            <w:vAlign w:val="center"/>
          </w:tcPr>
          <w:p w14:paraId="7A9FA83C" w14:textId="6D663A16" w:rsidR="00E70E94" w:rsidRPr="00E70E94" w:rsidRDefault="00E70E94" w:rsidP="00E70E94">
            <w:pPr>
              <w:pStyle w:val="Tabletext"/>
              <w:tabs>
                <w:tab w:val="decimal" w:pos="1813"/>
              </w:tabs>
            </w:pPr>
            <w:r w:rsidRPr="00E70E94">
              <w:t>105.2</w:t>
            </w:r>
          </w:p>
        </w:tc>
      </w:tr>
      <w:tr w:rsidR="00E70E94" w14:paraId="7CBCA564" w14:textId="77777777" w:rsidTr="00412C4E">
        <w:trPr>
          <w:trHeight w:val="301"/>
        </w:trPr>
        <w:tc>
          <w:tcPr>
            <w:tcW w:w="3686" w:type="dxa"/>
            <w:tcBorders>
              <w:top w:val="single" w:sz="4" w:space="0" w:color="auto"/>
              <w:bottom w:val="single" w:sz="4" w:space="0" w:color="auto"/>
            </w:tcBorders>
            <w:shd w:val="clear" w:color="auto" w:fill="auto"/>
            <w:vAlign w:val="center"/>
          </w:tcPr>
          <w:p w14:paraId="6F235D3A" w14:textId="72242125" w:rsidR="00E70E94" w:rsidRPr="009A0E69" w:rsidRDefault="00E70E94" w:rsidP="00E70E94">
            <w:pPr>
              <w:pStyle w:val="Tabletext"/>
            </w:pPr>
            <w:r w:rsidRPr="009A0E69">
              <w:t xml:space="preserve">Underlying </w:t>
            </w:r>
            <w:r>
              <w:t>EPS</w:t>
            </w:r>
            <w:r w:rsidRPr="009A0E69">
              <w:rPr>
                <w:vertAlign w:val="superscript"/>
              </w:rPr>
              <w:t>1</w:t>
            </w:r>
            <w:r w:rsidRPr="009A0E69">
              <w:t xml:space="preserve"> (p)</w:t>
            </w:r>
          </w:p>
        </w:tc>
        <w:tc>
          <w:tcPr>
            <w:tcW w:w="1843" w:type="dxa"/>
            <w:tcBorders>
              <w:top w:val="single" w:sz="4" w:space="0" w:color="auto"/>
              <w:bottom w:val="single" w:sz="4" w:space="0" w:color="auto"/>
            </w:tcBorders>
            <w:shd w:val="clear" w:color="auto" w:fill="auto"/>
            <w:vAlign w:val="center"/>
          </w:tcPr>
          <w:p w14:paraId="3ABC7315" w14:textId="0C5B1213" w:rsidR="00E70E94" w:rsidRPr="005F0E7F" w:rsidDel="0067656D" w:rsidRDefault="00714A87" w:rsidP="00E70E94">
            <w:pPr>
              <w:pStyle w:val="Tabletext"/>
              <w:tabs>
                <w:tab w:val="decimal" w:pos="1480"/>
              </w:tabs>
              <w:jc w:val="both"/>
            </w:pPr>
            <w:r w:rsidRPr="005F0E7F">
              <w:t>6.6</w:t>
            </w:r>
          </w:p>
        </w:tc>
        <w:tc>
          <w:tcPr>
            <w:tcW w:w="2297" w:type="dxa"/>
            <w:tcBorders>
              <w:top w:val="single" w:sz="4" w:space="0" w:color="auto"/>
              <w:bottom w:val="single" w:sz="4" w:space="0" w:color="auto"/>
            </w:tcBorders>
            <w:shd w:val="clear" w:color="auto" w:fill="auto"/>
            <w:vAlign w:val="center"/>
          </w:tcPr>
          <w:p w14:paraId="6A97AD97" w14:textId="74C8F168" w:rsidR="00E70E94" w:rsidRDefault="00E70E94" w:rsidP="00E70E94">
            <w:pPr>
              <w:pStyle w:val="Tabletext"/>
              <w:tabs>
                <w:tab w:val="decimal" w:pos="1813"/>
              </w:tabs>
            </w:pPr>
            <w:r w:rsidRPr="00F2575A">
              <w:t>6.</w:t>
            </w:r>
            <w:r>
              <w:t>7</w:t>
            </w:r>
          </w:p>
        </w:tc>
        <w:tc>
          <w:tcPr>
            <w:tcW w:w="2213" w:type="dxa"/>
            <w:tcBorders>
              <w:top w:val="single" w:sz="4" w:space="0" w:color="auto"/>
              <w:bottom w:val="single" w:sz="4" w:space="0" w:color="auto"/>
            </w:tcBorders>
            <w:shd w:val="clear" w:color="auto" w:fill="auto"/>
            <w:vAlign w:val="center"/>
          </w:tcPr>
          <w:p w14:paraId="57EB6633" w14:textId="7A69CF04" w:rsidR="00E70E94" w:rsidRPr="00E70E94" w:rsidRDefault="00E70E94" w:rsidP="00E70E94">
            <w:pPr>
              <w:pStyle w:val="Tabletext"/>
              <w:tabs>
                <w:tab w:val="decimal" w:pos="1813"/>
              </w:tabs>
            </w:pPr>
            <w:r w:rsidRPr="00E70E94">
              <w:t>14.8</w:t>
            </w:r>
          </w:p>
        </w:tc>
      </w:tr>
      <w:tr w:rsidR="00E70E94" w14:paraId="543C5D07" w14:textId="77777777" w:rsidTr="00412C4E">
        <w:trPr>
          <w:trHeight w:val="301"/>
        </w:trPr>
        <w:tc>
          <w:tcPr>
            <w:tcW w:w="3686" w:type="dxa"/>
            <w:tcBorders>
              <w:top w:val="single" w:sz="4" w:space="0" w:color="auto"/>
              <w:bottom w:val="single" w:sz="4" w:space="0" w:color="auto"/>
            </w:tcBorders>
            <w:shd w:val="clear" w:color="auto" w:fill="auto"/>
            <w:vAlign w:val="center"/>
          </w:tcPr>
          <w:p w14:paraId="73615565" w14:textId="4B967DD2" w:rsidR="00E70E94" w:rsidRPr="009A0E69" w:rsidRDefault="00E70E94" w:rsidP="00E70E94">
            <w:pPr>
              <w:pStyle w:val="Tabletext"/>
            </w:pPr>
            <w:r>
              <w:t>Total dividends per share</w:t>
            </w:r>
          </w:p>
        </w:tc>
        <w:tc>
          <w:tcPr>
            <w:tcW w:w="1843" w:type="dxa"/>
            <w:tcBorders>
              <w:top w:val="single" w:sz="4" w:space="0" w:color="auto"/>
              <w:bottom w:val="single" w:sz="4" w:space="0" w:color="auto"/>
            </w:tcBorders>
            <w:shd w:val="clear" w:color="auto" w:fill="auto"/>
            <w:vAlign w:val="center"/>
          </w:tcPr>
          <w:p w14:paraId="781604B7" w14:textId="3E3C5FDB" w:rsidR="00E70E94" w:rsidRPr="005F0E7F" w:rsidDel="005651B6" w:rsidRDefault="00F2491B" w:rsidP="00E70E94">
            <w:pPr>
              <w:pStyle w:val="Tabletext"/>
              <w:tabs>
                <w:tab w:val="decimal" w:pos="1480"/>
              </w:tabs>
              <w:jc w:val="both"/>
            </w:pPr>
            <w:r w:rsidRPr="00577845">
              <w:t>3.2</w:t>
            </w:r>
          </w:p>
        </w:tc>
        <w:tc>
          <w:tcPr>
            <w:tcW w:w="2297" w:type="dxa"/>
            <w:tcBorders>
              <w:top w:val="single" w:sz="4" w:space="0" w:color="auto"/>
              <w:bottom w:val="single" w:sz="4" w:space="0" w:color="auto"/>
            </w:tcBorders>
            <w:shd w:val="clear" w:color="auto" w:fill="auto"/>
            <w:vAlign w:val="center"/>
          </w:tcPr>
          <w:p w14:paraId="7FBFD896" w14:textId="0BE6B780" w:rsidR="00E70E94" w:rsidRPr="005F5F5A" w:rsidRDefault="00E70E94" w:rsidP="00E70E94">
            <w:pPr>
              <w:pStyle w:val="Tabletext"/>
              <w:tabs>
                <w:tab w:val="decimal" w:pos="1813"/>
              </w:tabs>
            </w:pPr>
            <w:r>
              <w:t>6.4</w:t>
            </w:r>
          </w:p>
        </w:tc>
        <w:tc>
          <w:tcPr>
            <w:tcW w:w="2213" w:type="dxa"/>
            <w:tcBorders>
              <w:top w:val="single" w:sz="4" w:space="0" w:color="auto"/>
              <w:bottom w:val="single" w:sz="4" w:space="0" w:color="auto"/>
            </w:tcBorders>
            <w:shd w:val="clear" w:color="auto" w:fill="auto"/>
            <w:vAlign w:val="center"/>
          </w:tcPr>
          <w:p w14:paraId="7DE4F949" w14:textId="1E1DCD17" w:rsidR="00E70E94" w:rsidRPr="00E70E94" w:rsidRDefault="00E70E94" w:rsidP="00E70E94">
            <w:pPr>
              <w:pStyle w:val="Tabletext"/>
              <w:tabs>
                <w:tab w:val="decimal" w:pos="1813"/>
              </w:tabs>
            </w:pPr>
            <w:r w:rsidRPr="00E70E94">
              <w:t>9.8</w:t>
            </w:r>
          </w:p>
        </w:tc>
      </w:tr>
      <w:tr w:rsidR="00E70E94" w14:paraId="058D3FA3" w14:textId="77777777" w:rsidTr="00412C4E">
        <w:trPr>
          <w:trHeight w:val="301"/>
        </w:trPr>
        <w:tc>
          <w:tcPr>
            <w:tcW w:w="3686" w:type="dxa"/>
            <w:tcBorders>
              <w:top w:val="single" w:sz="4" w:space="0" w:color="auto"/>
            </w:tcBorders>
            <w:shd w:val="clear" w:color="auto" w:fill="auto"/>
            <w:vAlign w:val="center"/>
          </w:tcPr>
          <w:p w14:paraId="5EA8C282" w14:textId="01D2CA5B" w:rsidR="00E70E94" w:rsidRPr="009A0E69" w:rsidRDefault="00E70E94" w:rsidP="00E70E94">
            <w:pPr>
              <w:pStyle w:val="Tabletext"/>
            </w:pPr>
            <w:r>
              <w:t>Cost:income ratio</w:t>
            </w:r>
            <w:r w:rsidRPr="009A0E69">
              <w:rPr>
                <w:vertAlign w:val="superscript"/>
              </w:rPr>
              <w:t>1</w:t>
            </w:r>
          </w:p>
        </w:tc>
        <w:tc>
          <w:tcPr>
            <w:tcW w:w="1843" w:type="dxa"/>
            <w:tcBorders>
              <w:top w:val="single" w:sz="4" w:space="0" w:color="auto"/>
            </w:tcBorders>
            <w:shd w:val="clear" w:color="auto" w:fill="auto"/>
            <w:vAlign w:val="center"/>
          </w:tcPr>
          <w:p w14:paraId="0B3AD537" w14:textId="1E961EEB" w:rsidR="00E70E94" w:rsidRPr="005F0E7F" w:rsidRDefault="00F2491B" w:rsidP="00E70E94">
            <w:pPr>
              <w:pStyle w:val="Tabletext"/>
              <w:tabs>
                <w:tab w:val="decimal" w:pos="1480"/>
              </w:tabs>
              <w:jc w:val="both"/>
            </w:pPr>
            <w:r w:rsidRPr="005F0E7F">
              <w:t>74%</w:t>
            </w:r>
          </w:p>
        </w:tc>
        <w:tc>
          <w:tcPr>
            <w:tcW w:w="2297" w:type="dxa"/>
            <w:tcBorders>
              <w:top w:val="single" w:sz="4" w:space="0" w:color="auto"/>
            </w:tcBorders>
            <w:shd w:val="clear" w:color="auto" w:fill="auto"/>
            <w:vAlign w:val="center"/>
          </w:tcPr>
          <w:p w14:paraId="6B12463E" w14:textId="68B285E0" w:rsidR="00E70E94" w:rsidRPr="00E36C8E" w:rsidRDefault="00E70E94" w:rsidP="00E70E94">
            <w:pPr>
              <w:pStyle w:val="Tabletext"/>
              <w:tabs>
                <w:tab w:val="decimal" w:pos="1813"/>
              </w:tabs>
            </w:pPr>
            <w:r w:rsidRPr="00F2575A">
              <w:t>71</w:t>
            </w:r>
            <w:r w:rsidRPr="00D34FE2">
              <w:t>%</w:t>
            </w:r>
          </w:p>
        </w:tc>
        <w:tc>
          <w:tcPr>
            <w:tcW w:w="2213" w:type="dxa"/>
            <w:tcBorders>
              <w:top w:val="single" w:sz="4" w:space="0" w:color="auto"/>
            </w:tcBorders>
            <w:shd w:val="clear" w:color="auto" w:fill="auto"/>
            <w:vAlign w:val="center"/>
          </w:tcPr>
          <w:p w14:paraId="371D9942" w14:textId="71242212" w:rsidR="00E70E94" w:rsidRPr="00E70E94" w:rsidRDefault="00E70E94" w:rsidP="00E70E94">
            <w:pPr>
              <w:pStyle w:val="Tabletext"/>
              <w:tabs>
                <w:tab w:val="decimal" w:pos="1813"/>
              </w:tabs>
            </w:pPr>
            <w:r w:rsidRPr="00E70E94">
              <w:t>73%</w:t>
            </w:r>
          </w:p>
        </w:tc>
      </w:tr>
    </w:tbl>
    <w:p w14:paraId="70C5EE2A" w14:textId="390C5EE0" w:rsidR="008D00C6" w:rsidRPr="0060578B" w:rsidRDefault="009A0E69" w:rsidP="0060578B">
      <w:pPr>
        <w:pStyle w:val="Footnote"/>
        <w:rPr>
          <w:rStyle w:val="BodytextChar0"/>
          <w:sz w:val="16"/>
        </w:rPr>
      </w:pPr>
      <w:r w:rsidRPr="0060578B">
        <w:t>1</w:t>
      </w:r>
      <w:r w:rsidR="0060578B">
        <w:t xml:space="preserve"> </w:t>
      </w:r>
      <w:r w:rsidRPr="0060578B">
        <w:rPr>
          <w:rStyle w:val="BodytextChar0"/>
          <w:sz w:val="16"/>
        </w:rPr>
        <w:t>The Group’s use of alternative performance measures</w:t>
      </w:r>
      <w:r w:rsidR="008F14E9">
        <w:rPr>
          <w:rStyle w:val="BodytextChar0"/>
          <w:sz w:val="16"/>
        </w:rPr>
        <w:t xml:space="preserve"> (APMs)</w:t>
      </w:r>
      <w:r w:rsidRPr="0060578B">
        <w:rPr>
          <w:rStyle w:val="BodytextChar0"/>
          <w:sz w:val="16"/>
        </w:rPr>
        <w:t xml:space="preserve"> is explained on </w:t>
      </w:r>
      <w:r w:rsidRPr="000E38DD">
        <w:rPr>
          <w:rStyle w:val="BodytextChar0"/>
          <w:sz w:val="16"/>
        </w:rPr>
        <w:t>page</w:t>
      </w:r>
      <w:r w:rsidR="00315341" w:rsidRPr="000E38DD">
        <w:rPr>
          <w:rStyle w:val="BodytextChar0"/>
          <w:sz w:val="16"/>
        </w:rPr>
        <w:t>s</w:t>
      </w:r>
      <w:r w:rsidR="0034440C" w:rsidRPr="000E38DD">
        <w:rPr>
          <w:rStyle w:val="BodytextChar0"/>
          <w:sz w:val="16"/>
        </w:rPr>
        <w:t xml:space="preserve"> </w:t>
      </w:r>
      <w:r w:rsidR="00DB6130" w:rsidRPr="00577845">
        <w:rPr>
          <w:rStyle w:val="BodytextChar0"/>
          <w:sz w:val="16"/>
        </w:rPr>
        <w:t>25</w:t>
      </w:r>
      <w:r w:rsidR="000505C5" w:rsidRPr="000E38DD">
        <w:rPr>
          <w:rStyle w:val="BodytextChar0"/>
          <w:sz w:val="16"/>
        </w:rPr>
        <w:t xml:space="preserve"> </w:t>
      </w:r>
      <w:r w:rsidR="00262985" w:rsidRPr="000E38DD">
        <w:rPr>
          <w:rStyle w:val="BodytextChar0"/>
          <w:sz w:val="16"/>
        </w:rPr>
        <w:t xml:space="preserve">to </w:t>
      </w:r>
      <w:r w:rsidR="00DB6130" w:rsidRPr="00577845">
        <w:rPr>
          <w:rStyle w:val="BodytextChar0"/>
          <w:sz w:val="16"/>
        </w:rPr>
        <w:t>28</w:t>
      </w:r>
      <w:r w:rsidRPr="000E38DD">
        <w:rPr>
          <w:rStyle w:val="BodytextChar0"/>
          <w:sz w:val="16"/>
        </w:rPr>
        <w:t>.</w:t>
      </w:r>
      <w:r w:rsidR="008938BD" w:rsidRPr="0060578B">
        <w:rPr>
          <w:rStyle w:val="BodytextChar0"/>
          <w:sz w:val="16"/>
        </w:rPr>
        <w:t xml:space="preserve"> </w:t>
      </w:r>
    </w:p>
    <w:p w14:paraId="364A18F6" w14:textId="43BD88B2" w:rsidR="006D45EE" w:rsidRPr="0060578B" w:rsidRDefault="006D45EE" w:rsidP="0060578B">
      <w:pPr>
        <w:pStyle w:val="Footnote"/>
        <w:rPr>
          <w:rStyle w:val="BodytextChar0"/>
          <w:sz w:val="16"/>
        </w:rPr>
      </w:pPr>
      <w:r w:rsidRPr="0060578B">
        <w:rPr>
          <w:rStyle w:val="BodytextChar0"/>
          <w:sz w:val="16"/>
        </w:rPr>
        <w:t>2</w:t>
      </w:r>
      <w:r w:rsidR="0060578B">
        <w:rPr>
          <w:rStyle w:val="BodytextChar0"/>
          <w:sz w:val="16"/>
        </w:rPr>
        <w:t xml:space="preserve"> </w:t>
      </w:r>
      <w:r w:rsidR="00A170A4">
        <w:rPr>
          <w:rStyle w:val="BodytextChar0"/>
          <w:sz w:val="16"/>
        </w:rPr>
        <w:t>I</w:t>
      </w:r>
      <w:r w:rsidRPr="0060578B">
        <w:rPr>
          <w:rStyle w:val="BodytextChar0"/>
          <w:sz w:val="16"/>
        </w:rPr>
        <w:t>FRS measures.</w:t>
      </w:r>
    </w:p>
    <w:p w14:paraId="7FE47A68" w14:textId="21B9A74C" w:rsidR="00B747A2" w:rsidRPr="00F2718C" w:rsidRDefault="006958FA" w:rsidP="004C5302">
      <w:pPr>
        <w:pStyle w:val="Subheading"/>
      </w:pPr>
      <w:bookmarkStart w:id="0" w:name="_Hlk14874174"/>
      <w:r w:rsidRPr="00F2718C">
        <w:t>Matthew Beesley</w:t>
      </w:r>
      <w:r w:rsidR="00B747A2" w:rsidRPr="00F2718C">
        <w:t>, Chief Executive</w:t>
      </w:r>
      <w:r w:rsidR="00BE58A4" w:rsidRPr="00F2718C">
        <w:t xml:space="preserve"> Officer</w:t>
      </w:r>
      <w:r w:rsidR="00B747A2" w:rsidRPr="00F2718C">
        <w:t>, commented:</w:t>
      </w:r>
    </w:p>
    <w:bookmarkEnd w:id="0"/>
    <w:p w14:paraId="54D3D185" w14:textId="534873A8" w:rsidR="00B4762A" w:rsidRPr="00577845" w:rsidRDefault="003F04EB" w:rsidP="00B4762A">
      <w:pPr>
        <w:rPr>
          <w:i/>
          <w:sz w:val="20"/>
          <w:szCs w:val="20"/>
          <w:lang w:eastAsia="en-GB"/>
        </w:rPr>
      </w:pPr>
      <w:r w:rsidRPr="00577845">
        <w:rPr>
          <w:i/>
          <w:sz w:val="20"/>
          <w:szCs w:val="20"/>
        </w:rPr>
        <w:t>“</w:t>
      </w:r>
      <w:r w:rsidR="00B4762A" w:rsidRPr="00577845">
        <w:rPr>
          <w:i/>
          <w:sz w:val="20"/>
          <w:szCs w:val="20"/>
          <w:lang w:eastAsia="en-GB"/>
        </w:rPr>
        <w:t>Jupiter delivered a solid financial performance during the first half of the year consistent with our expectations despite experiencing outflows, which were nearly all associated with changes in the Value team</w:t>
      </w:r>
      <w:r w:rsidR="004842D8" w:rsidRPr="00577845">
        <w:rPr>
          <w:i/>
          <w:sz w:val="20"/>
          <w:szCs w:val="20"/>
          <w:lang w:eastAsia="en-GB"/>
        </w:rPr>
        <w:t xml:space="preserve"> and to the management of the Chrysalis Investment Trust</w:t>
      </w:r>
      <w:r w:rsidR="00B4762A" w:rsidRPr="00577845">
        <w:rPr>
          <w:i/>
          <w:sz w:val="20"/>
          <w:szCs w:val="20"/>
          <w:lang w:eastAsia="en-GB"/>
        </w:rPr>
        <w:t xml:space="preserve">. Our underlying profit before tax increased by 3%, supported by a continuous focus on cost management which saw total operating costs continue to fall. I believe we have a business and a structure which positions us well for success given our </w:t>
      </w:r>
      <w:r w:rsidR="002871F7" w:rsidRPr="00577845">
        <w:rPr>
          <w:i/>
          <w:sz w:val="20"/>
          <w:szCs w:val="20"/>
          <w:lang w:eastAsia="en-GB"/>
        </w:rPr>
        <w:t>work to date</w:t>
      </w:r>
      <w:r w:rsidR="00B4762A" w:rsidRPr="00577845">
        <w:rPr>
          <w:i/>
          <w:sz w:val="20"/>
          <w:szCs w:val="20"/>
          <w:lang w:eastAsia="en-GB"/>
        </w:rPr>
        <w:t xml:space="preserve"> to right-size our business, invest in strategic growth drivers, and bring in highly regarded investment talent.</w:t>
      </w:r>
    </w:p>
    <w:p w14:paraId="5D19B681" w14:textId="77777777" w:rsidR="00B4762A" w:rsidRPr="00577845" w:rsidRDefault="00B4762A" w:rsidP="00B4762A">
      <w:pPr>
        <w:rPr>
          <w:i/>
          <w:sz w:val="20"/>
          <w:szCs w:val="20"/>
          <w:lang w:eastAsia="en-GB"/>
        </w:rPr>
      </w:pPr>
      <w:r w:rsidRPr="00577845">
        <w:rPr>
          <w:i/>
          <w:sz w:val="20"/>
          <w:szCs w:val="20"/>
          <w:lang w:eastAsia="en-GB"/>
        </w:rPr>
        <w:t xml:space="preserve">There are reasons to be cautiously optimistic. Our underlying outflows were small at just £0.2bn and we saw an increase in gross flows to £7.5bn, driven by an improvement in demand from retail clients. These positive flows were spread across a number of our capabilities, including Systematic equities and Asian &amp; Emerging Market equities. </w:t>
      </w:r>
    </w:p>
    <w:p w14:paraId="185FFF0F" w14:textId="508E9EC2" w:rsidR="000036DB" w:rsidRPr="00587D56" w:rsidRDefault="00B4762A" w:rsidP="00187315">
      <w:pPr>
        <w:pStyle w:val="Bodytext0"/>
        <w:spacing w:before="0" w:after="80" w:line="240" w:lineRule="auto"/>
        <w:rPr>
          <w:i/>
          <w:szCs w:val="20"/>
        </w:rPr>
      </w:pPr>
      <w:r w:rsidRPr="00577845">
        <w:rPr>
          <w:rFonts w:eastAsiaTheme="minorEastAsia"/>
          <w:i/>
          <w:szCs w:val="20"/>
          <w:lang w:val="en-US" w:eastAsia="en-GB"/>
        </w:rPr>
        <w:t xml:space="preserve">As we look forward, like other market participants, we are beginning to see early signs of client sentiment shifting more favourably </w:t>
      </w:r>
      <w:r w:rsidR="005F28C8" w:rsidRPr="00577845">
        <w:rPr>
          <w:rFonts w:eastAsiaTheme="minorEastAsia"/>
          <w:i/>
          <w:szCs w:val="20"/>
          <w:lang w:val="en-US" w:eastAsia="en-GB"/>
        </w:rPr>
        <w:t>in</w:t>
      </w:r>
      <w:r w:rsidRPr="00577845">
        <w:rPr>
          <w:rFonts w:eastAsiaTheme="minorEastAsia"/>
          <w:i/>
          <w:szCs w:val="20"/>
          <w:lang w:val="en-US" w:eastAsia="en-GB"/>
        </w:rPr>
        <w:t xml:space="preserve"> the UK where we have deep client relationships and leading investment capabilities.</w:t>
      </w:r>
      <w:r w:rsidR="00CD0484" w:rsidRPr="00577845">
        <w:rPr>
          <w:i/>
          <w:szCs w:val="20"/>
          <w:lang w:eastAsia="en-GB"/>
        </w:rPr>
        <w:t xml:space="preserve"> </w:t>
      </w:r>
      <w:r w:rsidRPr="00577845">
        <w:rPr>
          <w:i/>
          <w:szCs w:val="20"/>
          <w:lang w:eastAsia="en-GB"/>
        </w:rPr>
        <w:t xml:space="preserve">Markets have responded positively to the increased political stability in the UK that comes with </w:t>
      </w:r>
      <w:r w:rsidR="00622D67" w:rsidRPr="00577845">
        <w:rPr>
          <w:i/>
          <w:szCs w:val="20"/>
          <w:lang w:eastAsia="en-GB"/>
        </w:rPr>
        <w:t>the</w:t>
      </w:r>
      <w:r w:rsidRPr="00577845">
        <w:rPr>
          <w:i/>
          <w:szCs w:val="20"/>
          <w:lang w:eastAsia="en-GB"/>
        </w:rPr>
        <w:t xml:space="preserve"> incoming Government and if this improvement in sentiment is sustained, Jupiter is likely to be a strong beneficiary.</w:t>
      </w:r>
      <w:r w:rsidR="003F04EB" w:rsidRPr="00587D56">
        <w:rPr>
          <w:i/>
          <w:szCs w:val="20"/>
        </w:rPr>
        <w:t>”</w:t>
      </w:r>
    </w:p>
    <w:p w14:paraId="5A9D7BA3" w14:textId="77777777" w:rsidR="00400423" w:rsidRPr="00400423" w:rsidRDefault="00400423" w:rsidP="004C5302">
      <w:pPr>
        <w:pStyle w:val="Subheading"/>
      </w:pPr>
      <w:r w:rsidRPr="00400423">
        <w:lastRenderedPageBreak/>
        <w:t>Analyst presentation</w:t>
      </w:r>
    </w:p>
    <w:p w14:paraId="00EBCE3C" w14:textId="6A0FDDC2" w:rsidR="006D6E7B" w:rsidRPr="00423552" w:rsidRDefault="00400423" w:rsidP="00D96617">
      <w:pPr>
        <w:pStyle w:val="Bodytext0"/>
        <w:rPr>
          <w:rFonts w:eastAsia="Arial"/>
        </w:rPr>
      </w:pPr>
      <w:r w:rsidRPr="00423552">
        <w:t>There will be a</w:t>
      </w:r>
      <w:r w:rsidR="0097598C">
        <w:t xml:space="preserve"> virtual </w:t>
      </w:r>
      <w:r w:rsidRPr="00423552">
        <w:t xml:space="preserve">analyst presentation at </w:t>
      </w:r>
      <w:r w:rsidR="00BE58A4" w:rsidRPr="00CE181C">
        <w:t>1</w:t>
      </w:r>
      <w:r w:rsidR="00BA5291">
        <w:t>0</w:t>
      </w:r>
      <w:r w:rsidR="00B63BE4" w:rsidRPr="00CE181C">
        <w:t>:</w:t>
      </w:r>
      <w:r w:rsidR="006958FA" w:rsidRPr="00CE181C">
        <w:t>00</w:t>
      </w:r>
      <w:r w:rsidRPr="00CE181C">
        <w:t>am</w:t>
      </w:r>
      <w:r w:rsidRPr="00423552">
        <w:t xml:space="preserve"> </w:t>
      </w:r>
      <w:r w:rsidR="00AC4EEA" w:rsidRPr="00423552">
        <w:t xml:space="preserve">BST </w:t>
      </w:r>
      <w:r w:rsidRPr="00423552">
        <w:t xml:space="preserve">on </w:t>
      </w:r>
      <w:r w:rsidR="00376214">
        <w:t>2</w:t>
      </w:r>
      <w:r w:rsidR="00D4670F">
        <w:t>6</w:t>
      </w:r>
      <w:r w:rsidR="00376214">
        <w:t xml:space="preserve"> July</w:t>
      </w:r>
      <w:r w:rsidRPr="00423552">
        <w:t xml:space="preserve"> </w:t>
      </w:r>
      <w:r w:rsidR="00E85F7E">
        <w:t>2024</w:t>
      </w:r>
      <w:r w:rsidRPr="00423552">
        <w:t>.</w:t>
      </w:r>
      <w:bookmarkStart w:id="1" w:name="_Hlk14251126"/>
    </w:p>
    <w:p w14:paraId="7E35D6EB" w14:textId="40BF239B" w:rsidR="00303E18" w:rsidRPr="00423552" w:rsidRDefault="00303E18" w:rsidP="00303E18">
      <w:pPr>
        <w:pStyle w:val="Bodytext0"/>
      </w:pPr>
      <w:r w:rsidRPr="00423552">
        <w:t xml:space="preserve">The presentation </w:t>
      </w:r>
      <w:r w:rsidRPr="00423552">
        <w:rPr>
          <w:lang w:val="en-US"/>
        </w:rPr>
        <w:t xml:space="preserve">will be accessible via a </w:t>
      </w:r>
      <w:r w:rsidRPr="00F2718C">
        <w:rPr>
          <w:lang w:val="en-US"/>
        </w:rPr>
        <w:t>live webcast</w:t>
      </w:r>
      <w:r w:rsidR="00ED3924">
        <w:rPr>
          <w:lang w:val="en-US"/>
        </w:rPr>
        <w:t>, which will be</w:t>
      </w:r>
      <w:r w:rsidRPr="00F2718C">
        <w:rPr>
          <w:lang w:val="en-US"/>
        </w:rPr>
        <w:t xml:space="preserve"> av</w:t>
      </w:r>
      <w:r w:rsidRPr="00803805">
        <w:rPr>
          <w:lang w:val="en-US"/>
        </w:rPr>
        <w:t xml:space="preserve">ailable </w:t>
      </w:r>
      <w:r w:rsidRPr="00803805">
        <w:t>at</w:t>
      </w:r>
      <w:r w:rsidR="00E3590A" w:rsidRPr="00803805">
        <w:t>:</w:t>
      </w:r>
      <w:r w:rsidR="00085090" w:rsidRPr="00803805">
        <w:t xml:space="preserve"> </w:t>
      </w:r>
      <w:hyperlink r:id="rId11" w:history="1">
        <w:r w:rsidR="004541A3" w:rsidRPr="004541A3">
          <w:rPr>
            <w:rStyle w:val="Hyperlink"/>
            <w:szCs w:val="20"/>
          </w:rPr>
          <w:t>https://secure.emincote.c</w:t>
        </w:r>
        <w:bookmarkStart w:id="2" w:name="_Hlt171948700"/>
        <w:bookmarkStart w:id="3" w:name="_Hlt171948701"/>
        <w:r w:rsidR="004541A3" w:rsidRPr="004541A3">
          <w:rPr>
            <w:rStyle w:val="Hyperlink"/>
            <w:szCs w:val="20"/>
          </w:rPr>
          <w:t>o</w:t>
        </w:r>
        <w:bookmarkEnd w:id="2"/>
        <w:bookmarkEnd w:id="3"/>
        <w:r w:rsidR="004541A3" w:rsidRPr="004541A3">
          <w:rPr>
            <w:rStyle w:val="Hyperlink"/>
            <w:szCs w:val="20"/>
          </w:rPr>
          <w:t>m/client/jupiter/jfm039</w:t>
        </w:r>
      </w:hyperlink>
      <w:r w:rsidRPr="00803805">
        <w:rPr>
          <w:lang w:val="en-US"/>
        </w:rPr>
        <w:t>.</w:t>
      </w:r>
      <w:r w:rsidRPr="00F2718C">
        <w:rPr>
          <w:lang w:val="en-US"/>
        </w:rPr>
        <w:t xml:space="preserve"> Please note that questions</w:t>
      </w:r>
      <w:r w:rsidRPr="00423552">
        <w:rPr>
          <w:lang w:val="en-US"/>
        </w:rPr>
        <w:t xml:space="preserve"> can be asked via the webcast.</w:t>
      </w:r>
    </w:p>
    <w:p w14:paraId="7282E95B" w14:textId="77777777" w:rsidR="00303E18" w:rsidRPr="00423552" w:rsidRDefault="00303E18" w:rsidP="00303E18">
      <w:pPr>
        <w:pStyle w:val="Bodytext0"/>
      </w:pPr>
      <w:r w:rsidRPr="00423552">
        <w:t xml:space="preserve">The results announcement and the presentation will be available at </w:t>
      </w:r>
      <w:r w:rsidRPr="00423552">
        <w:rPr>
          <w:rStyle w:val="Hyperlink"/>
        </w:rPr>
        <w:t>https://www.jupiteram.com/investor-relations</w:t>
      </w:r>
      <w:r w:rsidRPr="00423552">
        <w:t xml:space="preserve">. Copies may also be obtained from the registered office of the Company at The Zig Zag Building, 70 Victoria Street, London, SW1E 6SQ. </w:t>
      </w:r>
    </w:p>
    <w:p w14:paraId="48D6AA9F" w14:textId="0586D9A3" w:rsidR="00400423" w:rsidRPr="00400423" w:rsidRDefault="00400423" w:rsidP="00400423">
      <w:pPr>
        <w:pStyle w:val="Bodytext0"/>
      </w:pPr>
      <w:r w:rsidRPr="00423552">
        <w:t>The interim report and accounts will be available on the Group’s website at:</w:t>
      </w:r>
      <w:r w:rsidR="000650F3" w:rsidRPr="00423552">
        <w:t xml:space="preserve"> </w:t>
      </w:r>
      <w:hyperlink r:id="rId12" w:history="1">
        <w:r w:rsidR="000650F3" w:rsidRPr="00423552">
          <w:rPr>
            <w:rStyle w:val="Hyperlink"/>
          </w:rPr>
          <w:t>https://www.jupiteram.com/investor-relations</w:t>
        </w:r>
      </w:hyperlink>
      <w:r w:rsidR="00E1000F" w:rsidRPr="00423552">
        <w:t>.</w:t>
      </w:r>
      <w:r w:rsidR="00E1000F">
        <w:t xml:space="preserve"> </w:t>
      </w:r>
    </w:p>
    <w:tbl>
      <w:tblPr>
        <w:tblW w:w="0" w:type="auto"/>
        <w:tblCellSpacing w:w="0" w:type="dxa"/>
        <w:tblCellMar>
          <w:left w:w="0" w:type="dxa"/>
          <w:right w:w="0" w:type="dxa"/>
        </w:tblCellMar>
        <w:tblLook w:val="04A0" w:firstRow="1" w:lastRow="0" w:firstColumn="1" w:lastColumn="0" w:noHBand="0" w:noVBand="1"/>
      </w:tblPr>
      <w:tblGrid>
        <w:gridCol w:w="3402"/>
        <w:gridCol w:w="2835"/>
        <w:gridCol w:w="3213"/>
      </w:tblGrid>
      <w:tr w:rsidR="00400423" w:rsidRPr="00400423" w14:paraId="3E3C86EB" w14:textId="77777777" w:rsidTr="009B73A6">
        <w:trPr>
          <w:tblCellSpacing w:w="0" w:type="dxa"/>
        </w:trPr>
        <w:tc>
          <w:tcPr>
            <w:tcW w:w="6237" w:type="dxa"/>
            <w:gridSpan w:val="2"/>
            <w:shd w:val="clear" w:color="auto" w:fill="auto"/>
          </w:tcPr>
          <w:p w14:paraId="6B0CDA4C" w14:textId="4CF36174" w:rsidR="00400423" w:rsidRPr="000650F3" w:rsidRDefault="00400423" w:rsidP="000650F3">
            <w:pPr>
              <w:pStyle w:val="Bodytext0"/>
            </w:pPr>
            <w:r w:rsidRPr="000650F3">
              <w:t>For further information please contact:</w:t>
            </w:r>
          </w:p>
        </w:tc>
        <w:tc>
          <w:tcPr>
            <w:tcW w:w="3213" w:type="dxa"/>
            <w:shd w:val="clear" w:color="auto" w:fill="auto"/>
          </w:tcPr>
          <w:p w14:paraId="671F7E48" w14:textId="77777777" w:rsidR="00400423" w:rsidRPr="000650F3" w:rsidRDefault="00400423" w:rsidP="000650F3">
            <w:pPr>
              <w:pStyle w:val="Bodytext0"/>
            </w:pPr>
          </w:p>
        </w:tc>
      </w:tr>
      <w:tr w:rsidR="00400423" w:rsidRPr="00400423" w14:paraId="64312D50" w14:textId="77777777" w:rsidTr="009B73A6">
        <w:trPr>
          <w:tblCellSpacing w:w="0" w:type="dxa"/>
        </w:trPr>
        <w:tc>
          <w:tcPr>
            <w:tcW w:w="3402" w:type="dxa"/>
            <w:shd w:val="clear" w:color="auto" w:fill="auto"/>
          </w:tcPr>
          <w:p w14:paraId="3310BB64" w14:textId="77777777" w:rsidR="00400423" w:rsidRPr="000650F3" w:rsidRDefault="00400423" w:rsidP="000650F3">
            <w:pPr>
              <w:pStyle w:val="Bodytext0"/>
            </w:pPr>
          </w:p>
        </w:tc>
        <w:tc>
          <w:tcPr>
            <w:tcW w:w="2835" w:type="dxa"/>
            <w:shd w:val="clear" w:color="auto" w:fill="auto"/>
          </w:tcPr>
          <w:p w14:paraId="23F1B2E3" w14:textId="77777777" w:rsidR="00400423" w:rsidRPr="000650F3" w:rsidRDefault="00400423" w:rsidP="000650F3">
            <w:pPr>
              <w:pStyle w:val="Bodytext0"/>
            </w:pPr>
            <w:r w:rsidRPr="000650F3">
              <w:t>Investors</w:t>
            </w:r>
          </w:p>
        </w:tc>
        <w:tc>
          <w:tcPr>
            <w:tcW w:w="3213" w:type="dxa"/>
            <w:shd w:val="clear" w:color="auto" w:fill="auto"/>
          </w:tcPr>
          <w:p w14:paraId="0A6873DA" w14:textId="77777777" w:rsidR="00400423" w:rsidRPr="000650F3" w:rsidRDefault="00400423" w:rsidP="000650F3">
            <w:pPr>
              <w:pStyle w:val="Bodytext0"/>
            </w:pPr>
            <w:r w:rsidRPr="000650F3">
              <w:t>Media</w:t>
            </w:r>
          </w:p>
        </w:tc>
      </w:tr>
      <w:tr w:rsidR="00E70E94" w:rsidRPr="00400423" w14:paraId="0FDC05CD" w14:textId="77777777" w:rsidTr="009B73A6">
        <w:trPr>
          <w:tblCellSpacing w:w="0" w:type="dxa"/>
        </w:trPr>
        <w:tc>
          <w:tcPr>
            <w:tcW w:w="3402" w:type="dxa"/>
            <w:shd w:val="clear" w:color="auto" w:fill="auto"/>
          </w:tcPr>
          <w:p w14:paraId="4DA43BF7" w14:textId="77777777" w:rsidR="00E70E94" w:rsidRPr="000650F3" w:rsidRDefault="00E70E94" w:rsidP="00E70E94">
            <w:pPr>
              <w:pStyle w:val="Bodytext0"/>
            </w:pPr>
            <w:r w:rsidRPr="000650F3">
              <w:t>Jupiter</w:t>
            </w:r>
          </w:p>
        </w:tc>
        <w:tc>
          <w:tcPr>
            <w:tcW w:w="2835" w:type="dxa"/>
            <w:shd w:val="clear" w:color="auto" w:fill="auto"/>
          </w:tcPr>
          <w:p w14:paraId="3E8D7520" w14:textId="77777777" w:rsidR="00E70E94" w:rsidRPr="002D2015" w:rsidRDefault="00E70E94" w:rsidP="002D2015">
            <w:pPr>
              <w:pStyle w:val="Bodytext0"/>
            </w:pPr>
            <w:r w:rsidRPr="002D2015">
              <w:t>Alex James</w:t>
            </w:r>
          </w:p>
          <w:p w14:paraId="1DBD4CA5" w14:textId="53D32EDB" w:rsidR="00E70E94" w:rsidRPr="000650F3" w:rsidRDefault="00E70E94" w:rsidP="00E70E94">
            <w:pPr>
              <w:pStyle w:val="Bodytext0"/>
            </w:pPr>
            <w:r w:rsidRPr="002D2015">
              <w:t>+44 (0)20 3817 1636</w:t>
            </w:r>
          </w:p>
        </w:tc>
        <w:tc>
          <w:tcPr>
            <w:tcW w:w="3213" w:type="dxa"/>
            <w:shd w:val="clear" w:color="auto" w:fill="auto"/>
          </w:tcPr>
          <w:p w14:paraId="023213C3" w14:textId="549C6C40" w:rsidR="00E70E94" w:rsidRPr="000650F3" w:rsidRDefault="007C3E7C" w:rsidP="00E70E94">
            <w:pPr>
              <w:pStyle w:val="Bodytext0"/>
            </w:pPr>
            <w:r>
              <w:t>Victoria Howley</w:t>
            </w:r>
          </w:p>
          <w:p w14:paraId="562CCDB2" w14:textId="0FF1B410" w:rsidR="00E70E94" w:rsidRPr="000650F3" w:rsidRDefault="00E70E94" w:rsidP="00E70E94">
            <w:pPr>
              <w:pStyle w:val="Bodytext0"/>
            </w:pPr>
            <w:r w:rsidRPr="000650F3">
              <w:t xml:space="preserve">+44 (0)20 3817 </w:t>
            </w:r>
            <w:r w:rsidR="007C3E7C" w:rsidRPr="000650F3">
              <w:t>1</w:t>
            </w:r>
            <w:r w:rsidR="007C3E7C">
              <w:t>657</w:t>
            </w:r>
          </w:p>
        </w:tc>
      </w:tr>
      <w:tr w:rsidR="00E70E94" w:rsidRPr="00400423" w14:paraId="5167528A" w14:textId="77777777" w:rsidTr="009B73A6">
        <w:trPr>
          <w:trHeight w:hRule="exact" w:val="113"/>
          <w:tblCellSpacing w:w="0" w:type="dxa"/>
        </w:trPr>
        <w:tc>
          <w:tcPr>
            <w:tcW w:w="3402" w:type="dxa"/>
            <w:shd w:val="clear" w:color="auto" w:fill="auto"/>
          </w:tcPr>
          <w:p w14:paraId="3763D4D7" w14:textId="77777777" w:rsidR="00E70E94" w:rsidRPr="000650F3" w:rsidRDefault="00E70E94" w:rsidP="00E70E94">
            <w:pPr>
              <w:pStyle w:val="Bodytext0"/>
            </w:pPr>
          </w:p>
        </w:tc>
        <w:tc>
          <w:tcPr>
            <w:tcW w:w="2835" w:type="dxa"/>
            <w:shd w:val="clear" w:color="auto" w:fill="auto"/>
          </w:tcPr>
          <w:p w14:paraId="0BE8FE32" w14:textId="77777777" w:rsidR="00E70E94" w:rsidRPr="000650F3" w:rsidRDefault="00E70E94" w:rsidP="00E70E94">
            <w:pPr>
              <w:pStyle w:val="Bodytext0"/>
            </w:pPr>
          </w:p>
        </w:tc>
        <w:tc>
          <w:tcPr>
            <w:tcW w:w="3213" w:type="dxa"/>
            <w:shd w:val="clear" w:color="auto" w:fill="auto"/>
          </w:tcPr>
          <w:p w14:paraId="046C7F96" w14:textId="77777777" w:rsidR="00E70E94" w:rsidRPr="000650F3" w:rsidRDefault="00E70E94" w:rsidP="00E70E94">
            <w:pPr>
              <w:pStyle w:val="Bodytext0"/>
            </w:pPr>
          </w:p>
        </w:tc>
      </w:tr>
      <w:tr w:rsidR="00E70E94" w:rsidRPr="00400423" w14:paraId="5A3F33B5" w14:textId="77777777" w:rsidTr="009B73A6">
        <w:trPr>
          <w:tblCellSpacing w:w="0" w:type="dxa"/>
        </w:trPr>
        <w:tc>
          <w:tcPr>
            <w:tcW w:w="3402" w:type="dxa"/>
            <w:shd w:val="clear" w:color="auto" w:fill="auto"/>
          </w:tcPr>
          <w:p w14:paraId="03D6690E" w14:textId="5CE60C96" w:rsidR="00E70E94" w:rsidRPr="00423552" w:rsidRDefault="00E70E94" w:rsidP="00E70E94">
            <w:pPr>
              <w:pStyle w:val="Bodytext0"/>
              <w:rPr>
                <w:highlight w:val="yellow"/>
              </w:rPr>
            </w:pPr>
            <w:r w:rsidRPr="00F2718C">
              <w:t>Edelman Smithfield</w:t>
            </w:r>
          </w:p>
        </w:tc>
        <w:tc>
          <w:tcPr>
            <w:tcW w:w="2835" w:type="dxa"/>
            <w:shd w:val="clear" w:color="auto" w:fill="auto"/>
          </w:tcPr>
          <w:p w14:paraId="461E24B4" w14:textId="5D940B73" w:rsidR="00E70E94" w:rsidRPr="00F2718C" w:rsidRDefault="00E70E94" w:rsidP="00E70E94">
            <w:pPr>
              <w:pStyle w:val="Bodytext0"/>
            </w:pPr>
          </w:p>
        </w:tc>
        <w:tc>
          <w:tcPr>
            <w:tcW w:w="3213" w:type="dxa"/>
            <w:shd w:val="clear" w:color="auto" w:fill="auto"/>
          </w:tcPr>
          <w:p w14:paraId="72D92FCA" w14:textId="77777777" w:rsidR="00EB77AE" w:rsidRPr="00F2718C" w:rsidRDefault="00EB77AE" w:rsidP="00EB77AE">
            <w:pPr>
              <w:pStyle w:val="Bodytext0"/>
            </w:pPr>
            <w:r w:rsidRPr="00F2718C">
              <w:t>Andrew Wilde</w:t>
            </w:r>
          </w:p>
          <w:p w14:paraId="0A6B87A3" w14:textId="110B58BD" w:rsidR="00E70E94" w:rsidRPr="00F2718C" w:rsidRDefault="00EB77AE" w:rsidP="00E70E94">
            <w:pPr>
              <w:pStyle w:val="Bodytext0"/>
            </w:pPr>
            <w:r w:rsidRPr="00F2718C">
              <w:t>+44 (0)7786 022 022</w:t>
            </w:r>
          </w:p>
        </w:tc>
      </w:tr>
      <w:tr w:rsidR="00E70E94" w:rsidRPr="00400423" w14:paraId="645535C2" w14:textId="77777777" w:rsidTr="009B73A6">
        <w:trPr>
          <w:tblCellSpacing w:w="0" w:type="dxa"/>
        </w:trPr>
        <w:tc>
          <w:tcPr>
            <w:tcW w:w="3402" w:type="dxa"/>
          </w:tcPr>
          <w:p w14:paraId="45AF8922" w14:textId="77777777" w:rsidR="00E70E94" w:rsidRPr="00400423" w:rsidRDefault="00E70E94" w:rsidP="00E70E94">
            <w:pPr>
              <w:pStyle w:val="Bodytext0"/>
              <w:rPr>
                <w:highlight w:val="yellow"/>
              </w:rPr>
            </w:pPr>
          </w:p>
        </w:tc>
        <w:tc>
          <w:tcPr>
            <w:tcW w:w="2835" w:type="dxa"/>
          </w:tcPr>
          <w:p w14:paraId="7A2CCA25" w14:textId="77777777" w:rsidR="00E70E94" w:rsidRPr="00400423" w:rsidRDefault="00E70E94" w:rsidP="00E70E94">
            <w:pPr>
              <w:pStyle w:val="Bodytext0"/>
              <w:rPr>
                <w:highlight w:val="yellow"/>
              </w:rPr>
            </w:pPr>
          </w:p>
        </w:tc>
        <w:tc>
          <w:tcPr>
            <w:tcW w:w="3213" w:type="dxa"/>
          </w:tcPr>
          <w:p w14:paraId="2353E3C1" w14:textId="77777777" w:rsidR="00E70E94" w:rsidRPr="00400423" w:rsidRDefault="00E70E94" w:rsidP="00E70E94">
            <w:pPr>
              <w:pStyle w:val="Bodytext0"/>
              <w:rPr>
                <w:highlight w:val="yellow"/>
              </w:rPr>
            </w:pPr>
          </w:p>
        </w:tc>
      </w:tr>
    </w:tbl>
    <w:bookmarkEnd w:id="1"/>
    <w:p w14:paraId="2612D06A" w14:textId="33FC3ABB" w:rsidR="00400423" w:rsidRDefault="00400423" w:rsidP="000650F3">
      <w:pPr>
        <w:pStyle w:val="Bodytext0"/>
      </w:pPr>
      <w:r w:rsidRPr="000650F3">
        <w:t>LEI Number: 5493003DJ1G01IMQ7S28</w:t>
      </w:r>
    </w:p>
    <w:p w14:paraId="735BF3B8" w14:textId="77777777" w:rsidR="000650F3" w:rsidRPr="000650F3" w:rsidRDefault="000650F3" w:rsidP="004C5302">
      <w:pPr>
        <w:pStyle w:val="Subheading"/>
      </w:pPr>
      <w:bookmarkStart w:id="4" w:name="_Hlk103783071"/>
      <w:r w:rsidRPr="000650F3">
        <w:t>Forward-looking statements</w:t>
      </w:r>
    </w:p>
    <w:p w14:paraId="407BF896" w14:textId="28CBF797" w:rsidR="000650F3" w:rsidRDefault="000650F3" w:rsidP="000650F3">
      <w:pPr>
        <w:pStyle w:val="Bodytext0"/>
      </w:pPr>
      <w:r w:rsidRPr="000650F3">
        <w:t>This announcement contains forward-looking statements with respect to the financial condition, results of operations and businesses of the Group. Such statements and forecasts involve risk and uncertainty because they relate to events and depend upon circumstances in the future. There are a number of factors that could cause actual results or developments to differ materially from those expressed or implied by forward-looking statements and forecasts. Forward-looking statements and forecasts are based on the Directors</w:t>
      </w:r>
      <w:r w:rsidR="00B5021C">
        <w:t>’</w:t>
      </w:r>
      <w:r w:rsidRPr="000650F3">
        <w:t xml:space="preserve"> current view and information known to them at the date of this announcement. The Directors do not make any undertaking to update or revise any forward-looking statements, whether as a result of new information, future events or otherwise. Nothing in this announcement should be construed as a profit forecast.</w:t>
      </w:r>
    </w:p>
    <w:bookmarkEnd w:id="4"/>
    <w:p w14:paraId="7D02049A" w14:textId="77777777" w:rsidR="000650F3" w:rsidRDefault="000650F3">
      <w:pPr>
        <w:rPr>
          <w:rFonts w:eastAsiaTheme="minorHAnsi"/>
          <w:sz w:val="20"/>
          <w:lang w:val="en-GB" w:eastAsia="en-US"/>
        </w:rPr>
      </w:pPr>
      <w:r>
        <w:br w:type="page"/>
      </w:r>
    </w:p>
    <w:tbl>
      <w:tblPr>
        <w:tblStyle w:val="TableGrid"/>
        <w:tblW w:w="0" w:type="auto"/>
        <w:tblLook w:val="04A0" w:firstRow="1" w:lastRow="0" w:firstColumn="1" w:lastColumn="0" w:noHBand="0" w:noVBand="1"/>
      </w:tblPr>
      <w:tblGrid>
        <w:gridCol w:w="9661"/>
        <w:gridCol w:w="544"/>
      </w:tblGrid>
      <w:tr w:rsidR="002042C7" w:rsidRPr="001520AE" w14:paraId="6BEB7F86" w14:textId="77777777" w:rsidTr="002143A8">
        <w:trPr>
          <w:gridAfter w:val="1"/>
          <w:wAfter w:w="544" w:type="dxa"/>
          <w:trHeight w:val="708"/>
        </w:trPr>
        <w:tc>
          <w:tcPr>
            <w:tcW w:w="9661" w:type="dxa"/>
          </w:tcPr>
          <w:p w14:paraId="6FB18E55" w14:textId="77777777" w:rsidR="00C13590" w:rsidRPr="001520AE" w:rsidRDefault="00C13590" w:rsidP="00A97AF6">
            <w:pPr>
              <w:pStyle w:val="Heading"/>
              <w:spacing w:after="120"/>
              <w:rPr>
                <w:sz w:val="52"/>
                <w:szCs w:val="40"/>
              </w:rPr>
            </w:pPr>
            <w:bookmarkStart w:id="5" w:name="_Hlk14874189"/>
            <w:r w:rsidRPr="00423552">
              <w:rPr>
                <w:sz w:val="52"/>
                <w:szCs w:val="40"/>
              </w:rPr>
              <w:lastRenderedPageBreak/>
              <w:t>Management statement</w:t>
            </w:r>
          </w:p>
        </w:tc>
      </w:tr>
      <w:tr w:rsidR="002042C7" w:rsidRPr="00A517F6" w14:paraId="16F239F8" w14:textId="77777777" w:rsidTr="00A97AF6">
        <w:trPr>
          <w:trHeight w:hRule="exact" w:val="284"/>
        </w:trPr>
        <w:tc>
          <w:tcPr>
            <w:tcW w:w="10205" w:type="dxa"/>
            <w:gridSpan w:val="2"/>
            <w:shd w:val="clear" w:color="auto" w:fill="16293F" w:themeFill="text1"/>
          </w:tcPr>
          <w:p w14:paraId="7DD613E5" w14:textId="77777777" w:rsidR="00C13590" w:rsidRPr="00A517F6" w:rsidRDefault="00C13590" w:rsidP="00A97AF6">
            <w:pPr>
              <w:pStyle w:val="Bodytext0"/>
              <w:spacing w:before="0" w:line="240" w:lineRule="auto"/>
              <w:rPr>
                <w:sz w:val="16"/>
                <w:szCs w:val="18"/>
              </w:rPr>
            </w:pPr>
          </w:p>
        </w:tc>
      </w:tr>
    </w:tbl>
    <w:p w14:paraId="309D8D9B" w14:textId="0D23BE65" w:rsidR="00B50956" w:rsidRDefault="00FE2C5E" w:rsidP="002143A8">
      <w:pPr>
        <w:pStyle w:val="Bodytext0"/>
      </w:pPr>
      <w:r>
        <w:t xml:space="preserve">We are pleased to </w:t>
      </w:r>
      <w:r w:rsidR="00021012">
        <w:t>report a</w:t>
      </w:r>
      <w:r>
        <w:t xml:space="preserve"> </w:t>
      </w:r>
      <w:r w:rsidR="00051AD9">
        <w:t>solid start</w:t>
      </w:r>
      <w:r w:rsidR="009C5351">
        <w:t xml:space="preserve"> to </w:t>
      </w:r>
      <w:r w:rsidR="008D587F">
        <w:t xml:space="preserve">2024, with </w:t>
      </w:r>
      <w:r w:rsidR="0047795A">
        <w:t xml:space="preserve">continued progress against our strategic objectives and financial results that are in line </w:t>
      </w:r>
      <w:r w:rsidR="0044057A">
        <w:t xml:space="preserve">with </w:t>
      </w:r>
      <w:r w:rsidR="0047795A">
        <w:t xml:space="preserve">or, in some cases, </w:t>
      </w:r>
      <w:r w:rsidR="008A26DD">
        <w:t>ahead of our expectations.</w:t>
      </w:r>
    </w:p>
    <w:p w14:paraId="0375F7CA" w14:textId="06E66247" w:rsidR="00B57BA1" w:rsidRDefault="006E0040" w:rsidP="002143A8">
      <w:pPr>
        <w:pStyle w:val="Bodytext0"/>
      </w:pPr>
      <w:r>
        <w:t xml:space="preserve">We saw total net outflows of £3.4bn, </w:t>
      </w:r>
      <w:r w:rsidR="00E2353B">
        <w:t>with</w:t>
      </w:r>
      <w:r>
        <w:t xml:space="preserve"> </w:t>
      </w:r>
      <w:r w:rsidR="00604546">
        <w:t>£0.8</w:t>
      </w:r>
      <w:r w:rsidR="00A27FBE">
        <w:t>bn</w:t>
      </w:r>
      <w:r w:rsidR="00D548CE">
        <w:t xml:space="preserve"> due to the change in management of the Chrysalis Investment </w:t>
      </w:r>
      <w:r w:rsidR="00C35298">
        <w:t>T</w:t>
      </w:r>
      <w:r w:rsidR="00D548CE">
        <w:t>rus</w:t>
      </w:r>
      <w:r w:rsidR="00E50062">
        <w:t>t and £2.4bn</w:t>
      </w:r>
      <w:r w:rsidR="00FF0EB1">
        <w:t xml:space="preserve"> </w:t>
      </w:r>
      <w:r w:rsidR="009017BC">
        <w:t>from</w:t>
      </w:r>
      <w:r w:rsidR="00FF0EB1">
        <w:t xml:space="preserve"> strategies managed by the Value desk. There were total underlying net outflows (</w:t>
      </w:r>
      <w:r w:rsidR="005E05BE">
        <w:t xml:space="preserve">i.e. </w:t>
      </w:r>
      <w:r w:rsidR="00FF0EB1">
        <w:t xml:space="preserve">excluding the impact of these two </w:t>
      </w:r>
      <w:r w:rsidR="00A4190D">
        <w:t>changes) of £0.2bn</w:t>
      </w:r>
      <w:r w:rsidR="00750A44">
        <w:t xml:space="preserve">, broadly in line with our expectation of flat underlying flows for the full year. </w:t>
      </w:r>
    </w:p>
    <w:p w14:paraId="47FBAA27" w14:textId="16A930D6" w:rsidR="006E0040" w:rsidRDefault="00B0070A" w:rsidP="002143A8">
      <w:pPr>
        <w:pStyle w:val="Bodytext0"/>
      </w:pPr>
      <w:r>
        <w:t xml:space="preserve">On this underlying basis, we saw </w:t>
      </w:r>
      <w:r w:rsidR="007968F0">
        <w:t>small</w:t>
      </w:r>
      <w:r>
        <w:t xml:space="preserve"> net positive flows in the retail, wholesale and </w:t>
      </w:r>
      <w:r w:rsidR="00E30D14">
        <w:t>investment</w:t>
      </w:r>
      <w:r>
        <w:t xml:space="preserve"> trust channel, driven by demand for Indian equities, </w:t>
      </w:r>
      <w:r w:rsidR="00FA0BD8">
        <w:t>Asian Income</w:t>
      </w:r>
      <w:r w:rsidR="00E30D14">
        <w:t xml:space="preserve"> and both equity and fixed income absolute return strategies. Although </w:t>
      </w:r>
      <w:r w:rsidR="00D9568B">
        <w:t>underlying</w:t>
      </w:r>
      <w:r w:rsidR="009A5C53">
        <w:t xml:space="preserve"> flows from the </w:t>
      </w:r>
      <w:r w:rsidR="00B12EAE">
        <w:t>Institutional</w:t>
      </w:r>
      <w:r w:rsidR="009A5C53">
        <w:t xml:space="preserve"> channel were net negative in terms of AUM, </w:t>
      </w:r>
      <w:r w:rsidR="00B57BA1">
        <w:t>they</w:t>
      </w:r>
      <w:r w:rsidR="009A5C53">
        <w:t xml:space="preserve"> were </w:t>
      </w:r>
      <w:r w:rsidR="00B12EAE">
        <w:t xml:space="preserve">net positive in </w:t>
      </w:r>
      <w:r w:rsidR="00B57BA1">
        <w:t xml:space="preserve">terms of </w:t>
      </w:r>
      <w:r w:rsidR="00B12EAE">
        <w:t xml:space="preserve">revenue </w:t>
      </w:r>
      <w:r w:rsidR="00B57BA1">
        <w:t>contribution</w:t>
      </w:r>
      <w:r w:rsidR="43611EC0">
        <w:t xml:space="preserve"> on a run-rate basis</w:t>
      </w:r>
      <w:r w:rsidR="00B12EAE">
        <w:t>, with gross inflows into higher margin areas.</w:t>
      </w:r>
    </w:p>
    <w:p w14:paraId="444FC20B" w14:textId="4C7CA34E" w:rsidR="00C46C46" w:rsidRPr="00CE181C" w:rsidRDefault="00180D3A" w:rsidP="002143A8">
      <w:pPr>
        <w:pStyle w:val="Bodytext0"/>
      </w:pPr>
      <w:r>
        <w:t>Although interest rates remain high and valuations of UK</w:t>
      </w:r>
      <w:r w:rsidR="00E20664">
        <w:t xml:space="preserve">-listed companies are </w:t>
      </w:r>
      <w:r w:rsidR="00C61774">
        <w:t>low relative to both their own history and other developed markets</w:t>
      </w:r>
      <w:r w:rsidR="00E20664">
        <w:t>,</w:t>
      </w:r>
      <w:r>
        <w:t xml:space="preserve"> </w:t>
      </w:r>
      <w:r w:rsidR="00514A39">
        <w:t>there are reasons to be cautio</w:t>
      </w:r>
      <w:r w:rsidR="00947136">
        <w:t xml:space="preserve">usly optimistic and there are early signs of an improvement in </w:t>
      </w:r>
      <w:r w:rsidR="00E833BB">
        <w:t>UK investor sentiment, particularly in the retail and wholesale channel.</w:t>
      </w:r>
    </w:p>
    <w:p w14:paraId="34C122FC" w14:textId="5CB76B0B" w:rsidR="0050001B" w:rsidRDefault="00683E94" w:rsidP="002143A8">
      <w:pPr>
        <w:pStyle w:val="Bodytext0"/>
      </w:pPr>
      <w:r>
        <w:t xml:space="preserve">We </w:t>
      </w:r>
      <w:r w:rsidR="00182B41">
        <w:t xml:space="preserve">remain resolutely focused on the aspects of the business that we can control and employ a thoughtful, strategic approach to our </w:t>
      </w:r>
      <w:r w:rsidR="00536731">
        <w:t>resource allocation.</w:t>
      </w:r>
      <w:r w:rsidR="00FF0755">
        <w:t xml:space="preserve"> As a result of this discipline, and not withstanding some seasonality, total operating costs </w:t>
      </w:r>
      <w:r w:rsidR="00B61103">
        <w:t xml:space="preserve">in the first half were lower than </w:t>
      </w:r>
      <w:r w:rsidR="001B671E">
        <w:t>market expectations</w:t>
      </w:r>
      <w:r w:rsidR="00A476F6">
        <w:t>, leading to a 3% increase in u</w:t>
      </w:r>
      <w:r w:rsidR="00A476F6" w:rsidRPr="00A476F6">
        <w:t xml:space="preserve">nderlying profit before tax </w:t>
      </w:r>
      <w:r w:rsidR="00A476F6">
        <w:t>of</w:t>
      </w:r>
      <w:r w:rsidR="00A476F6" w:rsidRPr="00A476F6">
        <w:t xml:space="preserve"> £47.9m (</w:t>
      </w:r>
      <w:r w:rsidR="00A476F6">
        <w:t>H1 2023</w:t>
      </w:r>
      <w:r w:rsidR="00A476F6" w:rsidRPr="00A476F6">
        <w:t>: £46.4m)</w:t>
      </w:r>
      <w:r w:rsidR="00A476F6">
        <w:t>.</w:t>
      </w:r>
    </w:p>
    <w:p w14:paraId="54B8F4C5" w14:textId="077C83F8" w:rsidR="0050001B" w:rsidRDefault="009C0EE4" w:rsidP="002143A8">
      <w:pPr>
        <w:pStyle w:val="Bodytext0"/>
      </w:pPr>
      <w:r>
        <w:t xml:space="preserve">Our capital base remains very strong and </w:t>
      </w:r>
      <w:r w:rsidR="00E6001E">
        <w:t xml:space="preserve">we have today announced </w:t>
      </w:r>
      <w:r w:rsidR="00E6001E" w:rsidRPr="00CE181C">
        <w:t xml:space="preserve">an ordinary dividend </w:t>
      </w:r>
      <w:r w:rsidR="00E6001E" w:rsidRPr="000E38DD">
        <w:t xml:space="preserve">of </w:t>
      </w:r>
      <w:r w:rsidR="007D3375" w:rsidRPr="00577845">
        <w:t>3.2</w:t>
      </w:r>
      <w:r w:rsidR="00E6001E" w:rsidRPr="00577845">
        <w:t xml:space="preserve">p </w:t>
      </w:r>
      <w:r w:rsidR="00E6001E" w:rsidRPr="000E38DD">
        <w:t>per</w:t>
      </w:r>
      <w:r w:rsidR="00E6001E" w:rsidRPr="00CE181C">
        <w:t xml:space="preserve"> share, in line with our capital allocation policy of returning 50% of pre-performance fee earnings</w:t>
      </w:r>
      <w:r w:rsidR="00452C94">
        <w:t xml:space="preserve"> per share</w:t>
      </w:r>
      <w:r w:rsidR="00E6001E" w:rsidRPr="00CE181C">
        <w:t>.</w:t>
      </w:r>
      <w:r w:rsidR="00E6001E">
        <w:t xml:space="preserve"> </w:t>
      </w:r>
    </w:p>
    <w:p w14:paraId="75E861C4" w14:textId="127DF9C7" w:rsidR="00083AB1" w:rsidRPr="00CE181C" w:rsidRDefault="00083AB1" w:rsidP="00083AB1">
      <w:pPr>
        <w:pStyle w:val="Subheading"/>
      </w:pPr>
      <w:r w:rsidRPr="00CE181C">
        <w:t>Progres</w:t>
      </w:r>
      <w:r w:rsidR="00E833BB" w:rsidRPr="00CE181C">
        <w:t>s</w:t>
      </w:r>
      <w:r w:rsidRPr="00CE181C">
        <w:t xml:space="preserve"> against our strategic objectives</w:t>
      </w:r>
    </w:p>
    <w:p w14:paraId="6BB918C3" w14:textId="5FAAB3E6" w:rsidR="00021012" w:rsidRDefault="00021012" w:rsidP="00021012">
      <w:pPr>
        <w:pStyle w:val="Bodytext0"/>
      </w:pPr>
      <w:r>
        <w:t xml:space="preserve">We continue to manage our business with focus on our four key objectives of increasing scale, decreasing undue complexity, broadening </w:t>
      </w:r>
      <w:r w:rsidR="003B7C29">
        <w:t xml:space="preserve">our </w:t>
      </w:r>
      <w:r>
        <w:t>appeal to client</w:t>
      </w:r>
      <w:r w:rsidR="00792E3A">
        <w:t>s</w:t>
      </w:r>
      <w:r>
        <w:t xml:space="preserve"> and deepening relationships with all stakeholders.</w:t>
      </w:r>
    </w:p>
    <w:p w14:paraId="36F7D10C" w14:textId="7BC38070" w:rsidR="00021012" w:rsidRDefault="00021012" w:rsidP="00021012">
      <w:pPr>
        <w:pStyle w:val="Bodytext0"/>
      </w:pPr>
      <w:r>
        <w:t xml:space="preserve">Although there were short-term specific challenges, we continue to see </w:t>
      </w:r>
      <w:r w:rsidR="00792E3A">
        <w:t xml:space="preserve">strong </w:t>
      </w:r>
      <w:r>
        <w:t xml:space="preserve">momentum as we look to increase scale in the Institutional channel. The majority of the £1.6bn of net outflows </w:t>
      </w:r>
      <w:r w:rsidR="00247CB4">
        <w:t>in this channel</w:t>
      </w:r>
      <w:r w:rsidR="00C80119">
        <w:t xml:space="preserve"> </w:t>
      </w:r>
      <w:r>
        <w:t>were from strategies managed by the Value team</w:t>
      </w:r>
      <w:r w:rsidR="007A6704">
        <w:t>. A</w:t>
      </w:r>
      <w:r>
        <w:t>lthough the</w:t>
      </w:r>
      <w:r w:rsidR="00C9014A">
        <w:t>re</w:t>
      </w:r>
      <w:r>
        <w:t xml:space="preserve"> were £0.3bn of underlying outflows</w:t>
      </w:r>
      <w:r w:rsidR="0044665C">
        <w:t xml:space="preserve"> from institutional clients</w:t>
      </w:r>
      <w:r>
        <w:t>, the</w:t>
      </w:r>
      <w:r w:rsidR="3BBC2FCD">
        <w:t>se</w:t>
      </w:r>
      <w:r>
        <w:t xml:space="preserve"> movements </w:t>
      </w:r>
      <w:r w:rsidR="00477B97">
        <w:t>resulted</w:t>
      </w:r>
      <w:r w:rsidR="00424CD8">
        <w:t xml:space="preserve"> in</w:t>
      </w:r>
      <w:r>
        <w:t xml:space="preserve"> net positive revenue contribution </w:t>
      </w:r>
      <w:r w:rsidR="001B62B4">
        <w:t>on a run-rate</w:t>
      </w:r>
      <w:r>
        <w:t xml:space="preserve"> basis. Our international business remains strong and well-diversified, with inflows from clients based in Asia and Latin America almost offsetting outflows from unconstrained fixed income strategies from clients based in continental Europe.</w:t>
      </w:r>
    </w:p>
    <w:p w14:paraId="5C1B9BE4" w14:textId="77B6EC76" w:rsidR="00021012" w:rsidRDefault="00021012" w:rsidP="00021012">
      <w:pPr>
        <w:pStyle w:val="Bodytext0"/>
      </w:pPr>
      <w:r>
        <w:t xml:space="preserve">We have continued to remove undue complexity from the business, through both careful and disciplined management of our cost base and direct management actions. Although the discrete programme of fund rationalisation is largely complete, ongoing curation of the product range will see a net reduction in the total number of funds by the year end. </w:t>
      </w:r>
      <w:r w:rsidR="005B0259">
        <w:t xml:space="preserve">Our </w:t>
      </w:r>
      <w:r w:rsidR="00EE7870">
        <w:t>focus remains on ensuring we have differentiated investment capabilities and considering whether evolving client needs present us with an opportunity to allow them to access these capabilities through different structures or constructs</w:t>
      </w:r>
      <w:r w:rsidR="000238D6">
        <w:t>.</w:t>
      </w:r>
      <w:r w:rsidR="005B0259">
        <w:t xml:space="preserve"> </w:t>
      </w:r>
      <w:r>
        <w:t xml:space="preserve">We have also continued to invest in data and technology, most notably around </w:t>
      </w:r>
      <w:r w:rsidR="00163597">
        <w:t>enhancing</w:t>
      </w:r>
      <w:r w:rsidR="0065262D">
        <w:t xml:space="preserve"> our</w:t>
      </w:r>
      <w:r>
        <w:t xml:space="preserve"> scalable platform</w:t>
      </w:r>
      <w:r w:rsidR="0082549E">
        <w:t>, with the aim</w:t>
      </w:r>
      <w:r>
        <w:t xml:space="preserve"> </w:t>
      </w:r>
      <w:r w:rsidR="00FE7045">
        <w:t>of delivering</w:t>
      </w:r>
      <w:r>
        <w:t xml:space="preserve"> </w:t>
      </w:r>
      <w:r w:rsidR="00FF7647">
        <w:t>on that</w:t>
      </w:r>
      <w:r>
        <w:t xml:space="preserve"> operational leverage</w:t>
      </w:r>
      <w:r w:rsidR="00FF7647">
        <w:t xml:space="preserve"> opportunity</w:t>
      </w:r>
      <w:r>
        <w:t>.</w:t>
      </w:r>
    </w:p>
    <w:p w14:paraId="2A384E33" w14:textId="1D807FC7" w:rsidR="00021012" w:rsidRDefault="00021012" w:rsidP="00021012">
      <w:pPr>
        <w:pStyle w:val="Bodytext0"/>
      </w:pPr>
      <w:r>
        <w:t xml:space="preserve">This </w:t>
      </w:r>
      <w:r w:rsidR="00C33688">
        <w:t>focus</w:t>
      </w:r>
      <w:r>
        <w:t xml:space="preserve"> will allow us to remove undue complexity, automating formerly manual processes and delivering increasingly bespoke, personalised levels of client service and reporting. In turn, along with </w:t>
      </w:r>
      <w:r w:rsidR="001E75FA">
        <w:t>strengthening our</w:t>
      </w:r>
      <w:r>
        <w:t xml:space="preserve"> ability to provide customised solutions, </w:t>
      </w:r>
      <w:r w:rsidR="008E23DF">
        <w:t xml:space="preserve">this approach </w:t>
      </w:r>
      <w:r>
        <w:t xml:space="preserve">will </w:t>
      </w:r>
      <w:r w:rsidR="004C112D">
        <w:t xml:space="preserve">enable us </w:t>
      </w:r>
      <w:r w:rsidR="004002D5">
        <w:t>to</w:t>
      </w:r>
      <w:r>
        <w:t xml:space="preserve"> broaden our appeal to clients. </w:t>
      </w:r>
    </w:p>
    <w:p w14:paraId="4D1CC23C" w14:textId="65351202" w:rsidR="00021012" w:rsidRDefault="00021012" w:rsidP="00021012">
      <w:pPr>
        <w:pStyle w:val="Bodytext0"/>
      </w:pPr>
      <w:r>
        <w:t xml:space="preserve">Finally, </w:t>
      </w:r>
      <w:r w:rsidRPr="00481A96">
        <w:t>we continue to deepen relationships with all our stakeholders</w:t>
      </w:r>
      <w:r>
        <w:t>, including our clients, with whom we will continu</w:t>
      </w:r>
      <w:r w:rsidR="00D83A3D">
        <w:t>e to</w:t>
      </w:r>
      <w:r>
        <w:t xml:space="preserve"> active</w:t>
      </w:r>
      <w:r w:rsidR="00D83A3D">
        <w:t>ly</w:t>
      </w:r>
      <w:r>
        <w:t xml:space="preserve"> engage to ensure that we understand their evolving needs. Our people are another key stakeholder and I am pleased to report that our latest opinion survey showed an engagement score of 76%, </w:t>
      </w:r>
      <w:r w:rsidR="00E328CB">
        <w:t>higher, once more, than</w:t>
      </w:r>
      <w:r>
        <w:t xml:space="preserve"> the financial services benchmark</w:t>
      </w:r>
      <w:r w:rsidR="007D2829" w:rsidRPr="00187315">
        <w:rPr>
          <w:vertAlign w:val="superscript"/>
        </w:rPr>
        <w:t>1</w:t>
      </w:r>
      <w:r>
        <w:t>. With regards to our shareholders, our ordinary dividend announced today is in line with our capital allocation policy and we will continue to build a business that deliver</w:t>
      </w:r>
      <w:r w:rsidR="00CA1902">
        <w:t>s</w:t>
      </w:r>
      <w:r>
        <w:t xml:space="preserve"> consistent shareholder value.</w:t>
      </w:r>
    </w:p>
    <w:p w14:paraId="6D412C6B" w14:textId="77777777" w:rsidR="00FD5437" w:rsidRDefault="00FD5437" w:rsidP="00021012">
      <w:pPr>
        <w:pStyle w:val="Bodytext0"/>
      </w:pPr>
    </w:p>
    <w:p w14:paraId="28E15904" w14:textId="339E8CF9" w:rsidR="00A20728" w:rsidRPr="00187315" w:rsidRDefault="00A20728" w:rsidP="00187315">
      <w:pPr>
        <w:pStyle w:val="Footer"/>
        <w:numPr>
          <w:ilvl w:val="0"/>
          <w:numId w:val="41"/>
        </w:numPr>
        <w:ind w:left="284"/>
        <w:rPr>
          <w:color w:val="7B91A7" w:themeColor="accent4"/>
        </w:rPr>
      </w:pPr>
      <w:r w:rsidRPr="00187315">
        <w:rPr>
          <w:color w:val="7B91A7" w:themeColor="accent4"/>
        </w:rPr>
        <w:t>Engagement score of 76% is based upon our most recent employee ‘pulse’ opinion survey, conducted in May 2024. The benchmark of 74% is provided by People Insight and comprises engagement scores of all financial services who provide data to them.</w:t>
      </w:r>
    </w:p>
    <w:p w14:paraId="243EC192" w14:textId="77777777" w:rsidR="00B61B99" w:rsidRDefault="00B61B99" w:rsidP="00C87079">
      <w:pPr>
        <w:pStyle w:val="Bodytext0"/>
      </w:pPr>
    </w:p>
    <w:p w14:paraId="193440B1" w14:textId="7520072C" w:rsidR="005000C5" w:rsidRPr="001B647A" w:rsidRDefault="00940B9B" w:rsidP="005000C5">
      <w:pPr>
        <w:pStyle w:val="Bodytext0"/>
      </w:pPr>
      <w:r w:rsidRPr="00CE181C">
        <w:rPr>
          <w:rFonts w:ascii="Source Sans Pro Semibold" w:hAnsi="Source Sans Pro Semibold"/>
          <w:color w:val="16293F" w:themeColor="text1"/>
          <w:sz w:val="24"/>
        </w:rPr>
        <w:t xml:space="preserve">Improving </w:t>
      </w:r>
      <w:r w:rsidR="00CA1902">
        <w:rPr>
          <w:rFonts w:ascii="Source Sans Pro Semibold" w:hAnsi="Source Sans Pro Semibold"/>
          <w:color w:val="16293F" w:themeColor="text1"/>
          <w:sz w:val="24"/>
        </w:rPr>
        <w:t xml:space="preserve">gross </w:t>
      </w:r>
      <w:r w:rsidRPr="00CE181C">
        <w:rPr>
          <w:rFonts w:ascii="Source Sans Pro Semibold" w:hAnsi="Source Sans Pro Semibold"/>
          <w:color w:val="16293F" w:themeColor="text1"/>
          <w:sz w:val="24"/>
        </w:rPr>
        <w:t>flow</w:t>
      </w:r>
      <w:r w:rsidR="00CA1902">
        <w:rPr>
          <w:rFonts w:ascii="Source Sans Pro Semibold" w:hAnsi="Source Sans Pro Semibold"/>
          <w:color w:val="16293F" w:themeColor="text1"/>
          <w:sz w:val="24"/>
        </w:rPr>
        <w:t>s</w:t>
      </w:r>
      <w:r>
        <w:rPr>
          <w:rFonts w:ascii="Source Sans Pro Semibold" w:hAnsi="Source Sans Pro Semibold"/>
          <w:color w:val="16293F" w:themeColor="text1"/>
          <w:sz w:val="24"/>
        </w:rPr>
        <w:t xml:space="preserve"> </w:t>
      </w:r>
      <w:r w:rsidR="008F42EB">
        <w:rPr>
          <w:rFonts w:ascii="Source Sans Pro Semibold" w:hAnsi="Source Sans Pro Semibold"/>
          <w:color w:val="16293F" w:themeColor="text1"/>
          <w:sz w:val="24"/>
        </w:rPr>
        <w:t>and underlying net flows</w:t>
      </w:r>
    </w:p>
    <w:p w14:paraId="479D5575" w14:textId="6949C8CA" w:rsidR="00F3721B" w:rsidRPr="00CE181C" w:rsidRDefault="00A975FA" w:rsidP="00F408B7">
      <w:pPr>
        <w:pStyle w:val="Bodytext0"/>
      </w:pPr>
      <w:r>
        <w:t xml:space="preserve">Following market weakness in the second </w:t>
      </w:r>
      <w:r w:rsidR="00A21828">
        <w:t>half</w:t>
      </w:r>
      <w:r>
        <w:t xml:space="preserve"> of last year, g</w:t>
      </w:r>
      <w:r w:rsidR="00B25C67" w:rsidRPr="00CE181C">
        <w:t>ross flows saw a</w:t>
      </w:r>
      <w:r w:rsidR="00CA1745" w:rsidRPr="00CE181C">
        <w:t xml:space="preserve">n improvement in </w:t>
      </w:r>
      <w:r>
        <w:t>the first half of</w:t>
      </w:r>
      <w:r w:rsidR="00CA1745">
        <w:t xml:space="preserve"> 2024 </w:t>
      </w:r>
      <w:r w:rsidR="00CA1745" w:rsidRPr="00CE181C">
        <w:t>to £7.5bn</w:t>
      </w:r>
      <w:r w:rsidR="00082C5A">
        <w:t xml:space="preserve"> (H2 2023: £5.5bn)</w:t>
      </w:r>
      <w:r w:rsidR="00CA1745" w:rsidRPr="00CE181C">
        <w:t xml:space="preserve">, driven by an increase in demand from </w:t>
      </w:r>
      <w:r w:rsidR="00F76F78" w:rsidRPr="00CE181C">
        <w:t>retail clients.</w:t>
      </w:r>
    </w:p>
    <w:p w14:paraId="03600C85" w14:textId="0E911041" w:rsidR="00F3721B" w:rsidRDefault="009971BE" w:rsidP="00F408B7">
      <w:pPr>
        <w:pStyle w:val="Bodytext0"/>
      </w:pPr>
      <w:r w:rsidRPr="00CE181C">
        <w:t>We saw total net outflows of £3.4bn in the first half of 2024</w:t>
      </w:r>
      <w:r>
        <w:t xml:space="preserve">. This was </w:t>
      </w:r>
      <w:r w:rsidR="0085209D">
        <w:t xml:space="preserve">driven by £2.4bn of </w:t>
      </w:r>
      <w:r w:rsidR="00EC28FD">
        <w:t xml:space="preserve">net </w:t>
      </w:r>
      <w:r w:rsidR="0085209D">
        <w:t xml:space="preserve">outflows </w:t>
      </w:r>
      <w:r w:rsidR="00E07C56">
        <w:t xml:space="preserve">from </w:t>
      </w:r>
      <w:r w:rsidR="00695D0A">
        <w:t>strategies</w:t>
      </w:r>
      <w:r w:rsidR="00545082">
        <w:t xml:space="preserve"> managed by the Value </w:t>
      </w:r>
      <w:r w:rsidR="005A48B9">
        <w:t xml:space="preserve">team and £0.8bn following the </w:t>
      </w:r>
      <w:r w:rsidR="00467BCF">
        <w:t xml:space="preserve">change in </w:t>
      </w:r>
      <w:r w:rsidR="00D61A35" w:rsidRPr="00D61A35">
        <w:t>arrangements of the management of the Chrysalis Investment Trust.</w:t>
      </w:r>
      <w:r w:rsidR="00D74DD4">
        <w:t xml:space="preserve"> Excluding the impact of these two factors, we saw total underlying net outflows of £0.2bn.</w:t>
      </w:r>
    </w:p>
    <w:p w14:paraId="5AA560EB" w14:textId="6F693F49" w:rsidR="00D61A35" w:rsidRDefault="00EC28FD" w:rsidP="00F408B7">
      <w:pPr>
        <w:pStyle w:val="Bodytext0"/>
      </w:pPr>
      <w:r>
        <w:t>The net redemptions from strategies managed b</w:t>
      </w:r>
      <w:r w:rsidR="000F500A">
        <w:t xml:space="preserve">y the Value team included £1.3bn from </w:t>
      </w:r>
      <w:r w:rsidR="00771BAE">
        <w:t>i</w:t>
      </w:r>
      <w:r w:rsidR="000F500A">
        <w:t>nstitutional clients and £1.1</w:t>
      </w:r>
      <w:r w:rsidR="00204903">
        <w:t>bn fr</w:t>
      </w:r>
      <w:r w:rsidR="00CA51C8">
        <w:t xml:space="preserve">om retail and wholesale clients. The team now manage </w:t>
      </w:r>
      <w:r w:rsidR="00544BFB">
        <w:t>£6.3bn of externally</w:t>
      </w:r>
      <w:r w:rsidR="00165715">
        <w:t xml:space="preserve"> </w:t>
      </w:r>
      <w:r w:rsidR="00544BFB">
        <w:t xml:space="preserve">managed assets, </w:t>
      </w:r>
      <w:r w:rsidR="00803D01">
        <w:t>£4.6bn of which is on behalf of institutional clients</w:t>
      </w:r>
      <w:r w:rsidR="009E26DC">
        <w:t xml:space="preserve"> and £</w:t>
      </w:r>
      <w:r w:rsidR="007B771E">
        <w:t>1.7bn</w:t>
      </w:r>
      <w:r w:rsidR="00207999">
        <w:t xml:space="preserve"> in retail funds. </w:t>
      </w:r>
      <w:r w:rsidR="009E26DC">
        <w:t>£3.8bn</w:t>
      </w:r>
      <w:r w:rsidR="00374972">
        <w:t xml:space="preserve"> of the </w:t>
      </w:r>
      <w:r w:rsidR="00CF73DE">
        <w:t>managed assets are held</w:t>
      </w:r>
      <w:r w:rsidR="009E26DC">
        <w:t xml:space="preserve"> in </w:t>
      </w:r>
      <w:r w:rsidR="00380EBD">
        <w:t>segregated mandates</w:t>
      </w:r>
      <w:r w:rsidR="00803D01">
        <w:t>.</w:t>
      </w:r>
    </w:p>
    <w:p w14:paraId="162C8C9B" w14:textId="001C7D61" w:rsidR="003F2B65" w:rsidRDefault="00264D70" w:rsidP="00F408B7">
      <w:pPr>
        <w:pStyle w:val="Bodytext0"/>
      </w:pPr>
      <w:r>
        <w:t>Encouragingly, w</w:t>
      </w:r>
      <w:r w:rsidR="008B39B8">
        <w:t xml:space="preserve">e generated </w:t>
      </w:r>
      <w:r w:rsidR="00D8290B">
        <w:t xml:space="preserve">slightly </w:t>
      </w:r>
      <w:r w:rsidR="00F667D2">
        <w:t xml:space="preserve">net </w:t>
      </w:r>
      <w:r w:rsidR="001557D7">
        <w:t xml:space="preserve">positive </w:t>
      </w:r>
      <w:r w:rsidR="00D8290B">
        <w:t xml:space="preserve">underlying flows in the </w:t>
      </w:r>
      <w:r w:rsidR="00EB7DF2">
        <w:t>r</w:t>
      </w:r>
      <w:r w:rsidR="00D8290B">
        <w:t xml:space="preserve">etail, </w:t>
      </w:r>
      <w:r w:rsidR="00EB7DF2">
        <w:t>w</w:t>
      </w:r>
      <w:r w:rsidR="00D8290B">
        <w:t xml:space="preserve">holesale and </w:t>
      </w:r>
      <w:r w:rsidR="00EB7DF2">
        <w:t>i</w:t>
      </w:r>
      <w:r w:rsidR="00D8290B">
        <w:t xml:space="preserve">nvestment </w:t>
      </w:r>
      <w:r w:rsidR="00EB7DF2">
        <w:t>t</w:t>
      </w:r>
      <w:r w:rsidR="00D8290B">
        <w:t>rust channel</w:t>
      </w:r>
      <w:r>
        <w:t xml:space="preserve">. This was driven by strong demand for our </w:t>
      </w:r>
      <w:r w:rsidR="00AF4548">
        <w:t xml:space="preserve">Asian and </w:t>
      </w:r>
      <w:r w:rsidR="00775445">
        <w:t>Emerging</w:t>
      </w:r>
      <w:r w:rsidR="00AF4548">
        <w:t xml:space="preserve"> Market equit</w:t>
      </w:r>
      <w:r w:rsidR="00775445">
        <w:t>ies</w:t>
      </w:r>
      <w:r w:rsidR="00AF4548">
        <w:t xml:space="preserve"> capability, </w:t>
      </w:r>
      <w:r w:rsidR="000E0304">
        <w:t xml:space="preserve">most notably our </w:t>
      </w:r>
      <w:r>
        <w:t xml:space="preserve">Indian equity </w:t>
      </w:r>
      <w:r w:rsidR="00775445">
        <w:t>and</w:t>
      </w:r>
      <w:r>
        <w:t xml:space="preserve"> wider Asian Incom</w:t>
      </w:r>
      <w:r w:rsidR="00AF4548">
        <w:t xml:space="preserve">e strategies. </w:t>
      </w:r>
      <w:r w:rsidR="00775445">
        <w:t xml:space="preserve">Our Systematic equities capability also saw inflows, driven by strong investment performance and </w:t>
      </w:r>
      <w:r w:rsidR="00AF4548">
        <w:t xml:space="preserve">ongoing </w:t>
      </w:r>
      <w:r w:rsidR="00775445">
        <w:t xml:space="preserve">client </w:t>
      </w:r>
      <w:r w:rsidR="00AF4548">
        <w:t>demand for the Global Equity Absolute Return Fund</w:t>
      </w:r>
      <w:r w:rsidR="00775445">
        <w:t>.</w:t>
      </w:r>
    </w:p>
    <w:p w14:paraId="1AE8FB9D" w14:textId="4F9A9BA4" w:rsidR="00F76F78" w:rsidRDefault="003F2B65" w:rsidP="00F408B7">
      <w:pPr>
        <w:pStyle w:val="Bodytext0"/>
      </w:pPr>
      <w:r>
        <w:t xml:space="preserve">Institutional flows, which are </w:t>
      </w:r>
      <w:r w:rsidR="00C50030">
        <w:t>a</w:t>
      </w:r>
      <w:r w:rsidR="00384629">
        <w:t xml:space="preserve">lways </w:t>
      </w:r>
      <w:proofErr w:type="gramStart"/>
      <w:r w:rsidR="00384629">
        <w:t xml:space="preserve">more </w:t>
      </w:r>
      <w:r w:rsidR="00D06ADA">
        <w:t>lumpy</w:t>
      </w:r>
      <w:proofErr w:type="gramEnd"/>
      <w:r w:rsidR="00384629">
        <w:t xml:space="preserve"> in nature, </w:t>
      </w:r>
      <w:r w:rsidR="0043519D">
        <w:t>were more muted in the first half and saw small net outflows</w:t>
      </w:r>
      <w:r w:rsidR="006A0F6D">
        <w:t>,</w:t>
      </w:r>
      <w:r w:rsidR="0043519D">
        <w:t xml:space="preserve"> </w:t>
      </w:r>
      <w:r w:rsidR="002261FD">
        <w:t>which</w:t>
      </w:r>
      <w:r w:rsidR="0043519D">
        <w:t xml:space="preserve"> was almost all d</w:t>
      </w:r>
      <w:r w:rsidR="00CF2B07">
        <w:t>ue</w:t>
      </w:r>
      <w:r w:rsidR="0043519D">
        <w:t xml:space="preserve"> to </w:t>
      </w:r>
      <w:r w:rsidR="00580FD7">
        <w:t xml:space="preserve">the </w:t>
      </w:r>
      <w:r w:rsidR="00A67256">
        <w:t xml:space="preserve">expected </w:t>
      </w:r>
      <w:r w:rsidR="00580FD7">
        <w:t xml:space="preserve">redemption of </w:t>
      </w:r>
      <w:r w:rsidR="00F00E63">
        <w:t xml:space="preserve">a </w:t>
      </w:r>
      <w:r w:rsidR="0043519D">
        <w:t>lower margin</w:t>
      </w:r>
      <w:r w:rsidR="00580FD7">
        <w:t xml:space="preserve"> mandate</w:t>
      </w:r>
      <w:r w:rsidR="00E52FEC">
        <w:t>. On an underlying basis</w:t>
      </w:r>
      <w:r w:rsidR="008D677F">
        <w:t xml:space="preserve">, although </w:t>
      </w:r>
      <w:r w:rsidR="00B95CAB">
        <w:t>Institutional</w:t>
      </w:r>
      <w:r w:rsidR="008D677F">
        <w:t xml:space="preserve"> flows were net negative in terms of AUM, they were net positive in terms of revenue contribution</w:t>
      </w:r>
      <w:r w:rsidR="00332757">
        <w:t xml:space="preserve"> on a run-rate basis</w:t>
      </w:r>
      <w:r w:rsidR="008D677F">
        <w:t>.</w:t>
      </w:r>
    </w:p>
    <w:p w14:paraId="58AF065A" w14:textId="27E02F8D" w:rsidR="005016AA" w:rsidRPr="00EE6E37" w:rsidRDefault="00285ED1" w:rsidP="005016AA">
      <w:pPr>
        <w:pStyle w:val="Bodytext0"/>
      </w:pPr>
      <w:r w:rsidRPr="00CE181C">
        <w:t>Although these net outflows were partially offset by positive market and other</w:t>
      </w:r>
      <w:r w:rsidR="00E44BFF" w:rsidRPr="009B0B4E">
        <w:t xml:space="preserve"> movements </w:t>
      </w:r>
      <w:r w:rsidRPr="00CE181C">
        <w:t>of £</w:t>
      </w:r>
      <w:r w:rsidR="00332757">
        <w:t>2.5</w:t>
      </w:r>
      <w:r w:rsidRPr="00CE181C">
        <w:t>bn,</w:t>
      </w:r>
      <w:r w:rsidR="00C93516">
        <w:t xml:space="preserve"> </w:t>
      </w:r>
      <w:r w:rsidRPr="00CE181C">
        <w:t>t</w:t>
      </w:r>
      <w:r w:rsidR="005016AA" w:rsidRPr="005F0E7F">
        <w:t>otal</w:t>
      </w:r>
      <w:r w:rsidR="005016AA" w:rsidRPr="00285ED1">
        <w:t xml:space="preserve"> </w:t>
      </w:r>
      <w:r w:rsidR="008C5792">
        <w:t>closing</w:t>
      </w:r>
      <w:r w:rsidR="005016AA" w:rsidRPr="005F0E7F">
        <w:t xml:space="preserve"> AUM </w:t>
      </w:r>
      <w:r w:rsidR="001E044A">
        <w:t>de</w:t>
      </w:r>
      <w:r w:rsidR="005016AA" w:rsidRPr="005F0E7F">
        <w:t xml:space="preserve">creased by 2% to </w:t>
      </w:r>
      <w:r w:rsidR="007A0C0A" w:rsidRPr="005F0E7F">
        <w:t>£51.3</w:t>
      </w:r>
      <w:r w:rsidR="005016AA" w:rsidRPr="005F0E7F">
        <w:t>bn</w:t>
      </w:r>
      <w:r w:rsidR="005016AA">
        <w:t xml:space="preserve"> (31 December </w:t>
      </w:r>
      <w:r w:rsidR="00E85F7E">
        <w:t>2023</w:t>
      </w:r>
      <w:r w:rsidR="005016AA">
        <w:t>: £5</w:t>
      </w:r>
      <w:r w:rsidR="00BC3C61">
        <w:rPr>
          <w:rFonts w:eastAsia="SimSun" w:hint="eastAsia"/>
          <w:lang w:eastAsia="zh-CN"/>
        </w:rPr>
        <w:t>2</w:t>
      </w:r>
      <w:r w:rsidR="005016AA">
        <w:t>.2bn)</w:t>
      </w:r>
      <w:r w:rsidR="005016AA" w:rsidRPr="00CE181C">
        <w:t>.</w:t>
      </w:r>
    </w:p>
    <w:p w14:paraId="69124E5C" w14:textId="77777777" w:rsidR="005000C5" w:rsidRPr="000650F3" w:rsidRDefault="005000C5" w:rsidP="005000C5">
      <w:pPr>
        <w:pStyle w:val="Bodytext0"/>
      </w:pPr>
    </w:p>
    <w:tbl>
      <w:tblPr>
        <w:tblStyle w:val="TableGrid"/>
        <w:tblW w:w="10297" w:type="dxa"/>
        <w:tblBorders>
          <w:bottom w:val="single" w:sz="2" w:space="0" w:color="16293F" w:themeColor="accent1"/>
          <w:insideH w:val="single" w:sz="2" w:space="0" w:color="16293F" w:themeColor="accent1"/>
        </w:tblBorders>
        <w:tblLayout w:type="fixed"/>
        <w:tblCellMar>
          <w:top w:w="57" w:type="dxa"/>
          <w:left w:w="85" w:type="dxa"/>
          <w:bottom w:w="57" w:type="dxa"/>
          <w:right w:w="85" w:type="dxa"/>
        </w:tblCellMar>
        <w:tblLook w:val="04A0" w:firstRow="1" w:lastRow="0" w:firstColumn="1" w:lastColumn="0" w:noHBand="0" w:noVBand="1"/>
      </w:tblPr>
      <w:tblGrid>
        <w:gridCol w:w="1843"/>
        <w:gridCol w:w="1701"/>
        <w:gridCol w:w="1219"/>
        <w:gridCol w:w="1384"/>
        <w:gridCol w:w="1383"/>
        <w:gridCol w:w="1383"/>
        <w:gridCol w:w="1384"/>
      </w:tblGrid>
      <w:tr w:rsidR="005000C5" w14:paraId="7166DFCA" w14:textId="77777777" w:rsidTr="00B9668B">
        <w:trPr>
          <w:trHeight w:val="546"/>
        </w:trPr>
        <w:tc>
          <w:tcPr>
            <w:tcW w:w="1843" w:type="dxa"/>
            <w:vAlign w:val="bottom"/>
          </w:tcPr>
          <w:p w14:paraId="7E550027" w14:textId="77777777" w:rsidR="005000C5" w:rsidRPr="00632714" w:rsidRDefault="005000C5" w:rsidP="00B9668B">
            <w:pPr>
              <w:pStyle w:val="Tableheading"/>
              <w:jc w:val="right"/>
            </w:pPr>
          </w:p>
        </w:tc>
        <w:tc>
          <w:tcPr>
            <w:tcW w:w="1701" w:type="dxa"/>
            <w:vAlign w:val="bottom"/>
          </w:tcPr>
          <w:p w14:paraId="1DF3C51E" w14:textId="38E05E8A" w:rsidR="005000C5" w:rsidRPr="00B31740" w:rsidRDefault="005000C5" w:rsidP="00B9668B">
            <w:pPr>
              <w:pStyle w:val="Tableheading"/>
              <w:jc w:val="right"/>
            </w:pPr>
            <w:r w:rsidRPr="00B31740">
              <w:t xml:space="preserve">31 December </w:t>
            </w:r>
            <w:r w:rsidR="00E85F7E">
              <w:t>2023</w:t>
            </w:r>
          </w:p>
          <w:p w14:paraId="2BDDC792" w14:textId="77777777" w:rsidR="005000C5" w:rsidRPr="00B31740" w:rsidRDefault="005000C5" w:rsidP="00B9668B">
            <w:pPr>
              <w:pStyle w:val="Tableheading"/>
              <w:jc w:val="right"/>
            </w:pPr>
            <w:r w:rsidRPr="00B31740">
              <w:t>£bn</w:t>
            </w:r>
          </w:p>
        </w:tc>
        <w:tc>
          <w:tcPr>
            <w:tcW w:w="1219" w:type="dxa"/>
            <w:shd w:val="clear" w:color="auto" w:fill="E4E8ED" w:themeFill="accent4" w:themeFillTint="33"/>
            <w:vAlign w:val="bottom"/>
          </w:tcPr>
          <w:p w14:paraId="763E044D" w14:textId="77777777" w:rsidR="005000C5" w:rsidRPr="00632714" w:rsidRDefault="005000C5" w:rsidP="00B9668B">
            <w:pPr>
              <w:pStyle w:val="Tableheading"/>
              <w:jc w:val="right"/>
            </w:pPr>
            <w:r w:rsidRPr="00632714">
              <w:t>Q1 net flows</w:t>
            </w:r>
          </w:p>
          <w:p w14:paraId="4437FD20" w14:textId="77777777" w:rsidR="005000C5" w:rsidRPr="00632714" w:rsidRDefault="005000C5" w:rsidP="00B9668B">
            <w:pPr>
              <w:pStyle w:val="Tableheading"/>
              <w:jc w:val="right"/>
            </w:pPr>
            <w:r w:rsidRPr="00632714">
              <w:t>£bn</w:t>
            </w:r>
          </w:p>
        </w:tc>
        <w:tc>
          <w:tcPr>
            <w:tcW w:w="1384" w:type="dxa"/>
            <w:shd w:val="clear" w:color="auto" w:fill="E4E8ED" w:themeFill="accent4" w:themeFillTint="33"/>
            <w:vAlign w:val="bottom"/>
          </w:tcPr>
          <w:p w14:paraId="32F697E8" w14:textId="77777777" w:rsidR="005000C5" w:rsidRPr="00632714" w:rsidRDefault="005000C5" w:rsidP="00B9668B">
            <w:pPr>
              <w:pStyle w:val="Tableheading"/>
              <w:jc w:val="right"/>
            </w:pPr>
            <w:r w:rsidRPr="00632714">
              <w:t>Q2 net flows</w:t>
            </w:r>
          </w:p>
          <w:p w14:paraId="392E6C9C" w14:textId="77777777" w:rsidR="005000C5" w:rsidRPr="00632714" w:rsidRDefault="005000C5" w:rsidP="00B9668B">
            <w:pPr>
              <w:pStyle w:val="Tableheading"/>
              <w:jc w:val="right"/>
            </w:pPr>
            <w:r w:rsidRPr="00632714">
              <w:t>£bn</w:t>
            </w:r>
          </w:p>
        </w:tc>
        <w:tc>
          <w:tcPr>
            <w:tcW w:w="1383" w:type="dxa"/>
            <w:vAlign w:val="bottom"/>
          </w:tcPr>
          <w:p w14:paraId="45096188" w14:textId="77777777" w:rsidR="005000C5" w:rsidRPr="00632714" w:rsidRDefault="005000C5" w:rsidP="00B9668B">
            <w:pPr>
              <w:pStyle w:val="Tableheading"/>
              <w:jc w:val="right"/>
            </w:pPr>
            <w:r w:rsidRPr="00632714">
              <w:t>H1 net flows</w:t>
            </w:r>
          </w:p>
          <w:p w14:paraId="13EF757A" w14:textId="77777777" w:rsidR="005000C5" w:rsidRPr="00632714" w:rsidRDefault="005000C5" w:rsidP="00B9668B">
            <w:pPr>
              <w:pStyle w:val="Tableheading"/>
              <w:jc w:val="right"/>
            </w:pPr>
            <w:r w:rsidRPr="00632714">
              <w:t>£bn</w:t>
            </w:r>
          </w:p>
        </w:tc>
        <w:tc>
          <w:tcPr>
            <w:tcW w:w="1383" w:type="dxa"/>
            <w:vAlign w:val="bottom"/>
          </w:tcPr>
          <w:p w14:paraId="647A7F57" w14:textId="5A0500E1" w:rsidR="005000C5" w:rsidRPr="00632714" w:rsidRDefault="005000C5" w:rsidP="00B9668B">
            <w:pPr>
              <w:pStyle w:val="Tableheading"/>
              <w:jc w:val="right"/>
            </w:pPr>
            <w:r w:rsidRPr="240F9F21">
              <w:t>Market</w:t>
            </w:r>
            <w:r w:rsidR="061B759E" w:rsidRPr="240F9F21">
              <w:t xml:space="preserve"> and other</w:t>
            </w:r>
            <w:r w:rsidRPr="240F9F21">
              <w:t xml:space="preserve"> </w:t>
            </w:r>
            <w:r w:rsidR="00E97E51" w:rsidRPr="240F9F21">
              <w:t>movements</w:t>
            </w:r>
          </w:p>
          <w:p w14:paraId="4A742B62" w14:textId="77777777" w:rsidR="005000C5" w:rsidRPr="00632714" w:rsidRDefault="005000C5" w:rsidP="00B9668B">
            <w:pPr>
              <w:pStyle w:val="Tableheading"/>
              <w:jc w:val="right"/>
            </w:pPr>
            <w:r w:rsidRPr="00632714">
              <w:t>£bn</w:t>
            </w:r>
          </w:p>
        </w:tc>
        <w:tc>
          <w:tcPr>
            <w:tcW w:w="1384" w:type="dxa"/>
            <w:vAlign w:val="bottom"/>
          </w:tcPr>
          <w:p w14:paraId="65B13554" w14:textId="365D04C5" w:rsidR="005000C5" w:rsidRPr="00632714" w:rsidRDefault="005000C5" w:rsidP="00B9668B">
            <w:pPr>
              <w:pStyle w:val="Tableheading"/>
              <w:jc w:val="right"/>
            </w:pPr>
            <w:r w:rsidRPr="00632714">
              <w:t xml:space="preserve">30 June </w:t>
            </w:r>
            <w:r w:rsidR="00E85F7E">
              <w:t>2024</w:t>
            </w:r>
          </w:p>
          <w:p w14:paraId="5A57B27A" w14:textId="77777777" w:rsidR="005000C5" w:rsidRPr="00632714" w:rsidRDefault="005000C5" w:rsidP="00B9668B">
            <w:pPr>
              <w:pStyle w:val="Tableheading"/>
              <w:jc w:val="right"/>
            </w:pPr>
            <w:r w:rsidRPr="00632714">
              <w:t>£bn</w:t>
            </w:r>
          </w:p>
        </w:tc>
      </w:tr>
      <w:tr w:rsidR="005000C5" w14:paraId="5F944184" w14:textId="77777777" w:rsidTr="240F9F21">
        <w:trPr>
          <w:trHeight w:val="273"/>
        </w:trPr>
        <w:tc>
          <w:tcPr>
            <w:tcW w:w="1843" w:type="dxa"/>
            <w:shd w:val="clear" w:color="auto" w:fill="auto"/>
            <w:vAlign w:val="center"/>
          </w:tcPr>
          <w:p w14:paraId="12A430B0" w14:textId="77777777" w:rsidR="005000C5" w:rsidRPr="00632714" w:rsidRDefault="005000C5">
            <w:pPr>
              <w:pStyle w:val="Tabletext"/>
              <w:rPr>
                <w:sz w:val="16"/>
              </w:rPr>
            </w:pPr>
            <w:r w:rsidRPr="00632714">
              <w:rPr>
                <w:sz w:val="16"/>
              </w:rPr>
              <w:t>Retail</w:t>
            </w:r>
            <w:r>
              <w:rPr>
                <w:sz w:val="16"/>
              </w:rPr>
              <w:t>,</w:t>
            </w:r>
            <w:r w:rsidRPr="00632714">
              <w:rPr>
                <w:sz w:val="16"/>
              </w:rPr>
              <w:t xml:space="preserve"> wholesale</w:t>
            </w:r>
            <w:r>
              <w:rPr>
                <w:sz w:val="16"/>
              </w:rPr>
              <w:t xml:space="preserve"> &amp; investment trusts</w:t>
            </w:r>
          </w:p>
        </w:tc>
        <w:tc>
          <w:tcPr>
            <w:tcW w:w="1701" w:type="dxa"/>
            <w:shd w:val="clear" w:color="auto" w:fill="auto"/>
          </w:tcPr>
          <w:p w14:paraId="3FEC7D6B" w14:textId="30B96BF4" w:rsidR="005000C5" w:rsidRPr="000805A2" w:rsidRDefault="005000C5" w:rsidP="00B9668B">
            <w:pPr>
              <w:pStyle w:val="Tabletext"/>
              <w:tabs>
                <w:tab w:val="decimal" w:pos="1338"/>
              </w:tabs>
              <w:rPr>
                <w:rFonts w:eastAsia="SimSun"/>
                <w:sz w:val="16"/>
                <w:lang w:eastAsia="zh-CN"/>
              </w:rPr>
            </w:pPr>
            <w:r w:rsidRPr="00B31740">
              <w:rPr>
                <w:sz w:val="16"/>
              </w:rPr>
              <w:t>4</w:t>
            </w:r>
            <w:r w:rsidR="000805A2">
              <w:rPr>
                <w:rFonts w:eastAsia="SimSun" w:hint="eastAsia"/>
                <w:sz w:val="16"/>
                <w:lang w:eastAsia="zh-CN"/>
              </w:rPr>
              <w:t>2</w:t>
            </w:r>
            <w:r w:rsidRPr="00B31740">
              <w:rPr>
                <w:sz w:val="16"/>
              </w:rPr>
              <w:t>.</w:t>
            </w:r>
            <w:r w:rsidR="000805A2">
              <w:rPr>
                <w:rFonts w:eastAsia="SimSun" w:hint="eastAsia"/>
                <w:sz w:val="16"/>
                <w:lang w:eastAsia="zh-CN"/>
              </w:rPr>
              <w:t>2</w:t>
            </w:r>
          </w:p>
        </w:tc>
        <w:tc>
          <w:tcPr>
            <w:tcW w:w="1219" w:type="dxa"/>
            <w:shd w:val="clear" w:color="auto" w:fill="E4E8ED" w:themeFill="accent4" w:themeFillTint="33"/>
          </w:tcPr>
          <w:p w14:paraId="6E945586" w14:textId="4AB8A8A2" w:rsidR="005000C5" w:rsidRPr="005F0E7F" w:rsidRDefault="005000C5" w:rsidP="00B9668B">
            <w:pPr>
              <w:pStyle w:val="Tabletext"/>
              <w:tabs>
                <w:tab w:val="decimal" w:pos="860"/>
              </w:tabs>
              <w:rPr>
                <w:sz w:val="16"/>
              </w:rPr>
            </w:pPr>
            <w:r w:rsidRPr="005F0E7F">
              <w:rPr>
                <w:sz w:val="16"/>
              </w:rPr>
              <w:t>(</w:t>
            </w:r>
            <w:r w:rsidR="000B416A" w:rsidRPr="005F0E7F">
              <w:rPr>
                <w:sz w:val="16"/>
              </w:rPr>
              <w:t>0.8</w:t>
            </w:r>
            <w:r w:rsidRPr="005F0E7F">
              <w:rPr>
                <w:sz w:val="16"/>
              </w:rPr>
              <w:t>)</w:t>
            </w:r>
          </w:p>
        </w:tc>
        <w:tc>
          <w:tcPr>
            <w:tcW w:w="1384" w:type="dxa"/>
            <w:shd w:val="clear" w:color="auto" w:fill="E4E8ED" w:themeFill="accent4" w:themeFillTint="33"/>
          </w:tcPr>
          <w:p w14:paraId="4BA1E5D9" w14:textId="292A31D5" w:rsidR="005000C5" w:rsidRPr="005F0E7F" w:rsidRDefault="005000C5" w:rsidP="00B9668B">
            <w:pPr>
              <w:pStyle w:val="Tabletext"/>
              <w:tabs>
                <w:tab w:val="decimal" w:pos="1063"/>
              </w:tabs>
              <w:rPr>
                <w:sz w:val="16"/>
              </w:rPr>
            </w:pPr>
            <w:r w:rsidRPr="005F0E7F">
              <w:rPr>
                <w:rFonts w:eastAsiaTheme="minorEastAsia"/>
                <w:sz w:val="16"/>
              </w:rPr>
              <w:t>(</w:t>
            </w:r>
            <w:r w:rsidR="004B2471" w:rsidRPr="005F0E7F">
              <w:rPr>
                <w:rFonts w:eastAsiaTheme="minorEastAsia"/>
                <w:sz w:val="16"/>
              </w:rPr>
              <w:t>1.0</w:t>
            </w:r>
            <w:r w:rsidRPr="005F0E7F">
              <w:rPr>
                <w:rFonts w:eastAsiaTheme="minorEastAsia"/>
                <w:sz w:val="16"/>
              </w:rPr>
              <w:t>)</w:t>
            </w:r>
          </w:p>
        </w:tc>
        <w:tc>
          <w:tcPr>
            <w:tcW w:w="1383" w:type="dxa"/>
          </w:tcPr>
          <w:p w14:paraId="1CFB8C87" w14:textId="52C69032" w:rsidR="005000C5" w:rsidRPr="005F0E7F" w:rsidRDefault="005000C5" w:rsidP="00B9668B">
            <w:pPr>
              <w:pStyle w:val="Tabletext"/>
              <w:tabs>
                <w:tab w:val="decimal" w:pos="1010"/>
              </w:tabs>
              <w:rPr>
                <w:sz w:val="16"/>
              </w:rPr>
            </w:pPr>
            <w:r w:rsidRPr="005F0E7F">
              <w:rPr>
                <w:sz w:val="16"/>
              </w:rPr>
              <w:t>(</w:t>
            </w:r>
            <w:r w:rsidR="00DE3307" w:rsidRPr="005F0E7F">
              <w:rPr>
                <w:sz w:val="16"/>
              </w:rPr>
              <w:t>1.8</w:t>
            </w:r>
            <w:r w:rsidRPr="005F0E7F">
              <w:rPr>
                <w:sz w:val="16"/>
              </w:rPr>
              <w:t>)</w:t>
            </w:r>
          </w:p>
        </w:tc>
        <w:tc>
          <w:tcPr>
            <w:tcW w:w="1383" w:type="dxa"/>
          </w:tcPr>
          <w:p w14:paraId="794AD096" w14:textId="2696A382" w:rsidR="005000C5" w:rsidRPr="005F0E7F" w:rsidRDefault="00206DD8" w:rsidP="00B9668B">
            <w:pPr>
              <w:pStyle w:val="Tabletext"/>
              <w:tabs>
                <w:tab w:val="decimal" w:pos="1028"/>
              </w:tabs>
              <w:rPr>
                <w:sz w:val="16"/>
              </w:rPr>
            </w:pPr>
            <w:r w:rsidRPr="005F0E7F">
              <w:rPr>
                <w:sz w:val="16"/>
              </w:rPr>
              <w:t>2.0</w:t>
            </w:r>
          </w:p>
        </w:tc>
        <w:tc>
          <w:tcPr>
            <w:tcW w:w="1384" w:type="dxa"/>
          </w:tcPr>
          <w:p w14:paraId="4630F783" w14:textId="7C0B87CB" w:rsidR="005000C5" w:rsidRPr="005F0E7F" w:rsidRDefault="00206DD8" w:rsidP="00B9668B">
            <w:pPr>
              <w:pStyle w:val="Tabletext"/>
              <w:tabs>
                <w:tab w:val="decimal" w:pos="1070"/>
              </w:tabs>
              <w:rPr>
                <w:sz w:val="16"/>
              </w:rPr>
            </w:pPr>
            <w:r w:rsidRPr="005F0E7F">
              <w:rPr>
                <w:sz w:val="16"/>
              </w:rPr>
              <w:t>42.4</w:t>
            </w:r>
          </w:p>
        </w:tc>
      </w:tr>
      <w:tr w:rsidR="005000C5" w14:paraId="5DB643A5" w14:textId="77777777" w:rsidTr="240F9F21">
        <w:trPr>
          <w:trHeight w:val="273"/>
        </w:trPr>
        <w:tc>
          <w:tcPr>
            <w:tcW w:w="1843" w:type="dxa"/>
            <w:shd w:val="clear" w:color="auto" w:fill="auto"/>
            <w:vAlign w:val="center"/>
          </w:tcPr>
          <w:p w14:paraId="55A2587E" w14:textId="77777777" w:rsidR="005000C5" w:rsidRPr="00632714" w:rsidRDefault="005000C5">
            <w:pPr>
              <w:pStyle w:val="Tabletext"/>
              <w:rPr>
                <w:sz w:val="16"/>
              </w:rPr>
            </w:pPr>
            <w:r w:rsidRPr="00632714">
              <w:rPr>
                <w:sz w:val="16"/>
              </w:rPr>
              <w:t xml:space="preserve">Institutional </w:t>
            </w:r>
          </w:p>
        </w:tc>
        <w:tc>
          <w:tcPr>
            <w:tcW w:w="1701" w:type="dxa"/>
            <w:shd w:val="clear" w:color="auto" w:fill="auto"/>
          </w:tcPr>
          <w:p w14:paraId="5029B70F" w14:textId="54CC19CE" w:rsidR="005000C5" w:rsidRPr="000805A2" w:rsidRDefault="000805A2" w:rsidP="00B9668B">
            <w:pPr>
              <w:pStyle w:val="Tabletext"/>
              <w:tabs>
                <w:tab w:val="decimal" w:pos="1338"/>
              </w:tabs>
              <w:rPr>
                <w:rFonts w:eastAsia="SimSun"/>
                <w:sz w:val="16"/>
                <w:lang w:eastAsia="zh-CN"/>
              </w:rPr>
            </w:pPr>
            <w:r>
              <w:rPr>
                <w:rFonts w:eastAsia="SimSun" w:hint="eastAsia"/>
                <w:sz w:val="16"/>
                <w:lang w:eastAsia="zh-CN"/>
              </w:rPr>
              <w:t>10.0</w:t>
            </w:r>
          </w:p>
        </w:tc>
        <w:tc>
          <w:tcPr>
            <w:tcW w:w="1219" w:type="dxa"/>
            <w:shd w:val="clear" w:color="auto" w:fill="E4E8ED" w:themeFill="accent4" w:themeFillTint="33"/>
          </w:tcPr>
          <w:p w14:paraId="6B6099C1" w14:textId="61656138" w:rsidR="005000C5" w:rsidRPr="005F0E7F" w:rsidRDefault="00C25EAC" w:rsidP="00B9668B">
            <w:pPr>
              <w:pStyle w:val="Tabletext"/>
              <w:tabs>
                <w:tab w:val="decimal" w:pos="860"/>
              </w:tabs>
              <w:rPr>
                <w:sz w:val="16"/>
              </w:rPr>
            </w:pPr>
            <w:r w:rsidRPr="005F0E7F">
              <w:rPr>
                <w:sz w:val="16"/>
              </w:rPr>
              <w:t>(0.8)</w:t>
            </w:r>
          </w:p>
        </w:tc>
        <w:tc>
          <w:tcPr>
            <w:tcW w:w="1384" w:type="dxa"/>
            <w:shd w:val="clear" w:color="auto" w:fill="E4E8ED" w:themeFill="accent4" w:themeFillTint="33"/>
          </w:tcPr>
          <w:p w14:paraId="73F7831C" w14:textId="094F7F88" w:rsidR="005000C5" w:rsidRPr="005F0E7F" w:rsidRDefault="004B2471" w:rsidP="00B9668B">
            <w:pPr>
              <w:pStyle w:val="Tabletext"/>
              <w:tabs>
                <w:tab w:val="decimal" w:pos="1063"/>
              </w:tabs>
              <w:spacing w:line="259" w:lineRule="auto"/>
              <w:rPr>
                <w:sz w:val="16"/>
              </w:rPr>
            </w:pPr>
            <w:r w:rsidRPr="005F0E7F">
              <w:rPr>
                <w:sz w:val="16"/>
              </w:rPr>
              <w:t>(0.8)</w:t>
            </w:r>
          </w:p>
        </w:tc>
        <w:tc>
          <w:tcPr>
            <w:tcW w:w="1383" w:type="dxa"/>
          </w:tcPr>
          <w:p w14:paraId="796DCF11" w14:textId="49DC443F" w:rsidR="005000C5" w:rsidRPr="005F0E7F" w:rsidRDefault="00DE3307" w:rsidP="00B9668B">
            <w:pPr>
              <w:pStyle w:val="Tabletext"/>
              <w:tabs>
                <w:tab w:val="decimal" w:pos="1010"/>
              </w:tabs>
              <w:rPr>
                <w:sz w:val="16"/>
              </w:rPr>
            </w:pPr>
            <w:r w:rsidRPr="005F0E7F">
              <w:rPr>
                <w:sz w:val="16"/>
              </w:rPr>
              <w:t>(1.6)</w:t>
            </w:r>
          </w:p>
        </w:tc>
        <w:tc>
          <w:tcPr>
            <w:tcW w:w="1383" w:type="dxa"/>
          </w:tcPr>
          <w:p w14:paraId="04ADAFCC" w14:textId="2232F570" w:rsidR="005000C5" w:rsidRPr="005F0E7F" w:rsidRDefault="00206DD8" w:rsidP="00B9668B">
            <w:pPr>
              <w:pStyle w:val="Tabletext"/>
              <w:tabs>
                <w:tab w:val="decimal" w:pos="1028"/>
              </w:tabs>
              <w:rPr>
                <w:sz w:val="16"/>
              </w:rPr>
            </w:pPr>
            <w:r w:rsidRPr="005F0E7F">
              <w:rPr>
                <w:sz w:val="16"/>
              </w:rPr>
              <w:t>0.5</w:t>
            </w:r>
          </w:p>
        </w:tc>
        <w:tc>
          <w:tcPr>
            <w:tcW w:w="1384" w:type="dxa"/>
          </w:tcPr>
          <w:p w14:paraId="163DD8E3" w14:textId="17FE8748" w:rsidR="005000C5" w:rsidRPr="005F0E7F" w:rsidRDefault="00206DD8" w:rsidP="00B9668B">
            <w:pPr>
              <w:pStyle w:val="Tabletext"/>
              <w:tabs>
                <w:tab w:val="decimal" w:pos="1070"/>
              </w:tabs>
              <w:rPr>
                <w:sz w:val="16"/>
              </w:rPr>
            </w:pPr>
            <w:r w:rsidRPr="005F0E7F">
              <w:rPr>
                <w:sz w:val="16"/>
              </w:rPr>
              <w:t>8.9</w:t>
            </w:r>
          </w:p>
        </w:tc>
      </w:tr>
      <w:tr w:rsidR="005000C5" w14:paraId="774B57D1" w14:textId="77777777" w:rsidTr="240F9F21">
        <w:trPr>
          <w:trHeight w:val="286"/>
        </w:trPr>
        <w:tc>
          <w:tcPr>
            <w:tcW w:w="1843" w:type="dxa"/>
            <w:shd w:val="clear" w:color="auto" w:fill="auto"/>
            <w:vAlign w:val="center"/>
          </w:tcPr>
          <w:p w14:paraId="344E0036" w14:textId="77777777" w:rsidR="005000C5" w:rsidRPr="00632714" w:rsidRDefault="005000C5">
            <w:pPr>
              <w:pStyle w:val="Tabletext"/>
              <w:rPr>
                <w:b/>
                <w:sz w:val="16"/>
              </w:rPr>
            </w:pPr>
            <w:r w:rsidRPr="00632714">
              <w:rPr>
                <w:b/>
                <w:sz w:val="16"/>
              </w:rPr>
              <w:t>Total</w:t>
            </w:r>
          </w:p>
        </w:tc>
        <w:tc>
          <w:tcPr>
            <w:tcW w:w="1701" w:type="dxa"/>
            <w:shd w:val="clear" w:color="auto" w:fill="auto"/>
          </w:tcPr>
          <w:p w14:paraId="2F6AE758" w14:textId="64A50E22" w:rsidR="005000C5" w:rsidRPr="00B31740" w:rsidRDefault="005000C5" w:rsidP="00B9668B">
            <w:pPr>
              <w:pStyle w:val="Tabletext"/>
              <w:tabs>
                <w:tab w:val="decimal" w:pos="1338"/>
              </w:tabs>
              <w:rPr>
                <w:b/>
                <w:sz w:val="16"/>
              </w:rPr>
            </w:pPr>
            <w:r w:rsidRPr="000B1ABF">
              <w:rPr>
                <w:b/>
                <w:sz w:val="16"/>
              </w:rPr>
              <w:t>5</w:t>
            </w:r>
            <w:r w:rsidR="000805A2">
              <w:rPr>
                <w:rFonts w:eastAsia="SimSun" w:hint="eastAsia"/>
                <w:b/>
                <w:sz w:val="16"/>
                <w:lang w:eastAsia="zh-CN"/>
              </w:rPr>
              <w:t>2</w:t>
            </w:r>
            <w:r w:rsidRPr="00B31740">
              <w:rPr>
                <w:b/>
                <w:sz w:val="16"/>
              </w:rPr>
              <w:t>.</w:t>
            </w:r>
            <w:r w:rsidRPr="000B1ABF">
              <w:rPr>
                <w:b/>
                <w:sz w:val="16"/>
              </w:rPr>
              <w:t>2</w:t>
            </w:r>
          </w:p>
        </w:tc>
        <w:tc>
          <w:tcPr>
            <w:tcW w:w="1219" w:type="dxa"/>
            <w:shd w:val="clear" w:color="auto" w:fill="E4E8ED" w:themeFill="accent4" w:themeFillTint="33"/>
          </w:tcPr>
          <w:p w14:paraId="3339D8A3" w14:textId="1A989479" w:rsidR="005000C5" w:rsidRPr="005F0E7F" w:rsidRDefault="005000C5" w:rsidP="00B9668B">
            <w:pPr>
              <w:pStyle w:val="Tabletext"/>
              <w:tabs>
                <w:tab w:val="decimal" w:pos="860"/>
              </w:tabs>
              <w:rPr>
                <w:b/>
                <w:sz w:val="16"/>
              </w:rPr>
            </w:pPr>
            <w:r w:rsidRPr="005F0E7F">
              <w:rPr>
                <w:b/>
                <w:sz w:val="16"/>
              </w:rPr>
              <w:t>(</w:t>
            </w:r>
            <w:r w:rsidR="00C25EAC" w:rsidRPr="005F0E7F">
              <w:rPr>
                <w:b/>
                <w:sz w:val="16"/>
              </w:rPr>
              <w:t>1.6</w:t>
            </w:r>
            <w:r w:rsidRPr="005F0E7F">
              <w:rPr>
                <w:b/>
                <w:sz w:val="16"/>
              </w:rPr>
              <w:t>)</w:t>
            </w:r>
          </w:p>
        </w:tc>
        <w:tc>
          <w:tcPr>
            <w:tcW w:w="1384" w:type="dxa"/>
            <w:shd w:val="clear" w:color="auto" w:fill="E4E8ED" w:themeFill="accent4" w:themeFillTint="33"/>
          </w:tcPr>
          <w:p w14:paraId="4D38AB7F" w14:textId="6A84AC16" w:rsidR="005000C5" w:rsidRPr="005F0E7F" w:rsidRDefault="004B2471" w:rsidP="00B9668B">
            <w:pPr>
              <w:pStyle w:val="Tabletext"/>
              <w:tabs>
                <w:tab w:val="decimal" w:pos="1063"/>
              </w:tabs>
              <w:rPr>
                <w:b/>
                <w:sz w:val="16"/>
              </w:rPr>
            </w:pPr>
            <w:r w:rsidRPr="005F0E7F">
              <w:rPr>
                <w:b/>
                <w:sz w:val="16"/>
              </w:rPr>
              <w:t>(1.8)</w:t>
            </w:r>
          </w:p>
        </w:tc>
        <w:tc>
          <w:tcPr>
            <w:tcW w:w="1383" w:type="dxa"/>
          </w:tcPr>
          <w:p w14:paraId="12180F84" w14:textId="4485F6CD" w:rsidR="005000C5" w:rsidRPr="005F0E7F" w:rsidRDefault="00206DD8" w:rsidP="00B9668B">
            <w:pPr>
              <w:pStyle w:val="Tabletext"/>
              <w:tabs>
                <w:tab w:val="decimal" w:pos="1010"/>
              </w:tabs>
              <w:rPr>
                <w:b/>
                <w:sz w:val="16"/>
              </w:rPr>
            </w:pPr>
            <w:r w:rsidRPr="005F0E7F">
              <w:rPr>
                <w:b/>
                <w:sz w:val="16"/>
              </w:rPr>
              <w:t>(3.4)</w:t>
            </w:r>
          </w:p>
        </w:tc>
        <w:tc>
          <w:tcPr>
            <w:tcW w:w="1383" w:type="dxa"/>
          </w:tcPr>
          <w:p w14:paraId="4017EF67" w14:textId="6259F568" w:rsidR="005000C5" w:rsidRPr="005F0E7F" w:rsidRDefault="00206DD8" w:rsidP="00B9668B">
            <w:pPr>
              <w:pStyle w:val="Tabletext"/>
              <w:tabs>
                <w:tab w:val="decimal" w:pos="1028"/>
              </w:tabs>
              <w:rPr>
                <w:b/>
                <w:sz w:val="16"/>
              </w:rPr>
            </w:pPr>
            <w:r w:rsidRPr="005F0E7F">
              <w:rPr>
                <w:b/>
                <w:sz w:val="16"/>
              </w:rPr>
              <w:t>2.5</w:t>
            </w:r>
          </w:p>
        </w:tc>
        <w:tc>
          <w:tcPr>
            <w:tcW w:w="1384" w:type="dxa"/>
          </w:tcPr>
          <w:p w14:paraId="714821F3" w14:textId="302875F1" w:rsidR="005000C5" w:rsidRPr="005F0E7F" w:rsidRDefault="005000C5" w:rsidP="00B9668B">
            <w:pPr>
              <w:pStyle w:val="Tabletext"/>
              <w:tabs>
                <w:tab w:val="decimal" w:pos="1070"/>
              </w:tabs>
              <w:rPr>
                <w:b/>
                <w:sz w:val="16"/>
              </w:rPr>
            </w:pPr>
            <w:r w:rsidRPr="005F0E7F">
              <w:rPr>
                <w:b/>
                <w:sz w:val="16"/>
              </w:rPr>
              <w:t>51.</w:t>
            </w:r>
            <w:r w:rsidR="00206DD8" w:rsidRPr="005F0E7F">
              <w:rPr>
                <w:b/>
                <w:sz w:val="16"/>
              </w:rPr>
              <w:t>3</w:t>
            </w:r>
          </w:p>
        </w:tc>
      </w:tr>
      <w:tr w:rsidR="005000C5" w14:paraId="1FE61F30" w14:textId="77777777" w:rsidTr="240F9F21">
        <w:trPr>
          <w:trHeight w:val="286"/>
        </w:trPr>
        <w:tc>
          <w:tcPr>
            <w:tcW w:w="1843" w:type="dxa"/>
            <w:shd w:val="clear" w:color="auto" w:fill="auto"/>
            <w:vAlign w:val="center"/>
          </w:tcPr>
          <w:p w14:paraId="2074E689" w14:textId="77777777" w:rsidR="005000C5" w:rsidRPr="00632714" w:rsidRDefault="005000C5">
            <w:pPr>
              <w:pStyle w:val="Tabletext"/>
              <w:rPr>
                <w:i/>
                <w:sz w:val="16"/>
              </w:rPr>
            </w:pPr>
            <w:r w:rsidRPr="00632714">
              <w:rPr>
                <w:i/>
                <w:sz w:val="16"/>
              </w:rPr>
              <w:t>of which is invested in mutual funds</w:t>
            </w:r>
          </w:p>
        </w:tc>
        <w:tc>
          <w:tcPr>
            <w:tcW w:w="1701" w:type="dxa"/>
            <w:shd w:val="clear" w:color="auto" w:fill="auto"/>
          </w:tcPr>
          <w:p w14:paraId="3FBCE81E" w14:textId="2C1D0C4D" w:rsidR="005000C5" w:rsidRPr="000805A2" w:rsidDel="00E91443" w:rsidRDefault="005000C5" w:rsidP="00B9668B">
            <w:pPr>
              <w:pStyle w:val="Tabletext"/>
              <w:tabs>
                <w:tab w:val="decimal" w:pos="1338"/>
              </w:tabs>
              <w:rPr>
                <w:rFonts w:eastAsia="SimSun"/>
                <w:i/>
                <w:sz w:val="16"/>
                <w:lang w:eastAsia="zh-CN"/>
              </w:rPr>
            </w:pPr>
            <w:r w:rsidRPr="000B1ABF">
              <w:rPr>
                <w:i/>
                <w:sz w:val="16"/>
              </w:rPr>
              <w:t>3</w:t>
            </w:r>
            <w:r w:rsidR="000805A2">
              <w:rPr>
                <w:rFonts w:eastAsia="SimSun" w:hint="eastAsia"/>
                <w:i/>
                <w:sz w:val="16"/>
                <w:lang w:eastAsia="zh-CN"/>
              </w:rPr>
              <w:t>8</w:t>
            </w:r>
            <w:r w:rsidRPr="00B31740">
              <w:rPr>
                <w:i/>
                <w:sz w:val="16"/>
              </w:rPr>
              <w:t>.</w:t>
            </w:r>
            <w:r w:rsidR="000805A2">
              <w:rPr>
                <w:rFonts w:eastAsia="SimSun" w:hint="eastAsia"/>
                <w:i/>
                <w:sz w:val="16"/>
                <w:lang w:eastAsia="zh-CN"/>
              </w:rPr>
              <w:t>1</w:t>
            </w:r>
          </w:p>
        </w:tc>
        <w:tc>
          <w:tcPr>
            <w:tcW w:w="1219" w:type="dxa"/>
            <w:shd w:val="clear" w:color="auto" w:fill="E4E8ED" w:themeFill="accent4" w:themeFillTint="33"/>
          </w:tcPr>
          <w:p w14:paraId="4D219247" w14:textId="1B416C41" w:rsidR="005000C5" w:rsidRPr="005F0E7F" w:rsidRDefault="005000C5" w:rsidP="00B9668B">
            <w:pPr>
              <w:pStyle w:val="Tabletext"/>
              <w:tabs>
                <w:tab w:val="decimal" w:pos="860"/>
              </w:tabs>
              <w:rPr>
                <w:i/>
                <w:sz w:val="16"/>
              </w:rPr>
            </w:pPr>
            <w:r w:rsidRPr="005F0E7F">
              <w:rPr>
                <w:i/>
                <w:sz w:val="16"/>
              </w:rPr>
              <w:t>(</w:t>
            </w:r>
            <w:r w:rsidR="00C25EAC" w:rsidRPr="005F0E7F">
              <w:rPr>
                <w:i/>
                <w:sz w:val="16"/>
              </w:rPr>
              <w:t>0.3</w:t>
            </w:r>
            <w:r w:rsidRPr="005F0E7F">
              <w:rPr>
                <w:i/>
                <w:sz w:val="16"/>
              </w:rPr>
              <w:t>)</w:t>
            </w:r>
          </w:p>
        </w:tc>
        <w:tc>
          <w:tcPr>
            <w:tcW w:w="1384" w:type="dxa"/>
            <w:shd w:val="clear" w:color="auto" w:fill="E4E8ED" w:themeFill="accent4" w:themeFillTint="33"/>
          </w:tcPr>
          <w:p w14:paraId="1BF57D4B" w14:textId="77777777" w:rsidR="005000C5" w:rsidRPr="005F0E7F" w:rsidRDefault="005000C5" w:rsidP="00B9668B">
            <w:pPr>
              <w:pStyle w:val="Tabletext"/>
              <w:tabs>
                <w:tab w:val="decimal" w:pos="1063"/>
              </w:tabs>
              <w:rPr>
                <w:i/>
                <w:sz w:val="16"/>
              </w:rPr>
            </w:pPr>
            <w:r w:rsidRPr="005F0E7F">
              <w:rPr>
                <w:i/>
                <w:sz w:val="16"/>
              </w:rPr>
              <w:t>(0.6)</w:t>
            </w:r>
          </w:p>
        </w:tc>
        <w:tc>
          <w:tcPr>
            <w:tcW w:w="1383" w:type="dxa"/>
          </w:tcPr>
          <w:p w14:paraId="33D4755F" w14:textId="37E2BAF4" w:rsidR="005000C5" w:rsidRPr="005F0E7F" w:rsidRDefault="005000C5" w:rsidP="00B9668B">
            <w:pPr>
              <w:pStyle w:val="Tabletext"/>
              <w:tabs>
                <w:tab w:val="decimal" w:pos="1010"/>
              </w:tabs>
              <w:rPr>
                <w:i/>
                <w:sz w:val="16"/>
              </w:rPr>
            </w:pPr>
            <w:r w:rsidRPr="005F0E7F">
              <w:rPr>
                <w:i/>
                <w:sz w:val="16"/>
              </w:rPr>
              <w:t>(</w:t>
            </w:r>
            <w:r w:rsidR="00206DD8" w:rsidRPr="005F0E7F">
              <w:rPr>
                <w:i/>
                <w:sz w:val="16"/>
              </w:rPr>
              <w:t>0.9</w:t>
            </w:r>
            <w:r w:rsidRPr="005F0E7F">
              <w:rPr>
                <w:i/>
                <w:sz w:val="16"/>
              </w:rPr>
              <w:t>)</w:t>
            </w:r>
          </w:p>
        </w:tc>
        <w:tc>
          <w:tcPr>
            <w:tcW w:w="1383" w:type="dxa"/>
          </w:tcPr>
          <w:p w14:paraId="78A79028" w14:textId="102AE51B" w:rsidR="005000C5" w:rsidRPr="005F0E7F" w:rsidRDefault="00206DD8" w:rsidP="00B9668B">
            <w:pPr>
              <w:pStyle w:val="Tabletext"/>
              <w:tabs>
                <w:tab w:val="decimal" w:pos="1028"/>
              </w:tabs>
              <w:rPr>
                <w:i/>
                <w:sz w:val="16"/>
              </w:rPr>
            </w:pPr>
            <w:r w:rsidRPr="005F0E7F">
              <w:rPr>
                <w:i/>
                <w:sz w:val="16"/>
              </w:rPr>
              <w:t>1.7</w:t>
            </w:r>
          </w:p>
        </w:tc>
        <w:tc>
          <w:tcPr>
            <w:tcW w:w="1384" w:type="dxa"/>
          </w:tcPr>
          <w:p w14:paraId="4F5235C8" w14:textId="58A3F4B4" w:rsidR="005000C5" w:rsidRPr="005F0E7F" w:rsidRDefault="005000C5" w:rsidP="00B9668B">
            <w:pPr>
              <w:pStyle w:val="Tabletext"/>
              <w:tabs>
                <w:tab w:val="decimal" w:pos="1070"/>
              </w:tabs>
              <w:rPr>
                <w:i/>
                <w:sz w:val="16"/>
              </w:rPr>
            </w:pPr>
            <w:r w:rsidRPr="005F0E7F">
              <w:rPr>
                <w:i/>
                <w:sz w:val="16"/>
              </w:rPr>
              <w:t>38.</w:t>
            </w:r>
            <w:r w:rsidR="00206DD8" w:rsidRPr="005F0E7F">
              <w:rPr>
                <w:i/>
                <w:sz w:val="16"/>
              </w:rPr>
              <w:t>9</w:t>
            </w:r>
          </w:p>
        </w:tc>
      </w:tr>
    </w:tbl>
    <w:p w14:paraId="00AD76EF" w14:textId="6002A962" w:rsidR="00C13590" w:rsidRPr="00CE181C" w:rsidRDefault="001719FF" w:rsidP="00931FB1">
      <w:pPr>
        <w:pStyle w:val="Subheading"/>
      </w:pPr>
      <w:r>
        <w:t>Solid</w:t>
      </w:r>
      <w:r w:rsidRPr="00CE181C">
        <w:t xml:space="preserve"> </w:t>
      </w:r>
      <w:r w:rsidR="00643A03" w:rsidRPr="00CE181C">
        <w:t>financial performance</w:t>
      </w:r>
    </w:p>
    <w:p w14:paraId="7928EE72" w14:textId="5E8CFC9A" w:rsidR="00CF6D72" w:rsidRPr="00CE181C" w:rsidRDefault="00CF6D72" w:rsidP="00EA3A2E">
      <w:pPr>
        <w:pStyle w:val="Bodytext0"/>
      </w:pPr>
      <w:r w:rsidRPr="00CE181C">
        <w:t xml:space="preserve">Despite the well-known headwinds and an ongoing uncertain market backdrop, we delivered </w:t>
      </w:r>
      <w:r w:rsidR="000E6A7D">
        <w:t>solid</w:t>
      </w:r>
      <w:r w:rsidRPr="00CE181C">
        <w:t xml:space="preserve"> financial performance in the first half of 2024</w:t>
      </w:r>
      <w:r w:rsidR="00672DD9" w:rsidRPr="00CE181C">
        <w:t>.</w:t>
      </w:r>
    </w:p>
    <w:p w14:paraId="1C0295C1" w14:textId="3D7CA5B1" w:rsidR="00D14C0F" w:rsidRPr="00344570" w:rsidRDefault="00672DD9" w:rsidP="00D14C0F">
      <w:pPr>
        <w:pStyle w:val="Bodytext0"/>
      </w:pPr>
      <w:r w:rsidRPr="00CE181C">
        <w:t xml:space="preserve">Underlying profit before tax and exceptional items </w:t>
      </w:r>
      <w:r w:rsidR="00344570" w:rsidRPr="00CE181C">
        <w:t>increased</w:t>
      </w:r>
      <w:r w:rsidRPr="00CE181C">
        <w:t xml:space="preserve"> by </w:t>
      </w:r>
      <w:r w:rsidR="00D14C0F" w:rsidRPr="00CE181C">
        <w:t xml:space="preserve">3% to </w:t>
      </w:r>
      <w:r w:rsidR="00D14C0F" w:rsidRPr="00344570">
        <w:t>£47.9m (</w:t>
      </w:r>
      <w:r w:rsidR="008C5792">
        <w:t xml:space="preserve">H1 </w:t>
      </w:r>
      <w:r w:rsidR="00D14C0F" w:rsidRPr="00344570">
        <w:t xml:space="preserve">2023: £46.4m), with statutory profit before tax </w:t>
      </w:r>
      <w:r w:rsidR="00344570" w:rsidRPr="00344570">
        <w:t>up 11% to</w:t>
      </w:r>
      <w:r w:rsidR="00D14C0F" w:rsidRPr="00344570">
        <w:t xml:space="preserve"> £38.7m (</w:t>
      </w:r>
      <w:r w:rsidR="008C5792">
        <w:t xml:space="preserve">H1 </w:t>
      </w:r>
      <w:r w:rsidR="00D14C0F" w:rsidRPr="00344570">
        <w:t xml:space="preserve">2023: £34.8m). </w:t>
      </w:r>
      <w:r w:rsidR="00344570" w:rsidRPr="00344570">
        <w:t>Excluding the impact of net performance fees, underlying profit before tax and exceptional items was £46.6m (</w:t>
      </w:r>
      <w:r w:rsidR="008C5792">
        <w:t xml:space="preserve">H1 </w:t>
      </w:r>
      <w:r w:rsidR="00344570" w:rsidRPr="00344570">
        <w:t>2023: £49.5m).</w:t>
      </w:r>
    </w:p>
    <w:p w14:paraId="5897C3F8" w14:textId="0FA0F599" w:rsidR="00344570" w:rsidRPr="000A74B8" w:rsidRDefault="00344570" w:rsidP="00344570">
      <w:pPr>
        <w:pStyle w:val="Bodytext0"/>
      </w:pPr>
      <w:r w:rsidRPr="00CE181C">
        <w:t xml:space="preserve">Including net performance fees, underlying EPS was </w:t>
      </w:r>
      <w:r w:rsidR="00455410" w:rsidRPr="00CE181C">
        <w:t>6.6</w:t>
      </w:r>
      <w:r w:rsidRPr="00CE181C">
        <w:t>p</w:t>
      </w:r>
      <w:r w:rsidRPr="00344570">
        <w:t xml:space="preserve"> (</w:t>
      </w:r>
      <w:r w:rsidR="008C5792">
        <w:t xml:space="preserve">H1 </w:t>
      </w:r>
      <w:r w:rsidRPr="00344570">
        <w:t xml:space="preserve">2023: 6.7p) </w:t>
      </w:r>
      <w:r w:rsidRPr="00CE181C">
        <w:t xml:space="preserve">and basic statutory EPS was </w:t>
      </w:r>
      <w:r w:rsidR="00742EEB">
        <w:t>5.4</w:t>
      </w:r>
      <w:r w:rsidRPr="00CE181C">
        <w:t>p</w:t>
      </w:r>
      <w:r w:rsidRPr="00344570">
        <w:t xml:space="preserve"> (</w:t>
      </w:r>
      <w:r w:rsidR="008C5792">
        <w:t xml:space="preserve">H1 </w:t>
      </w:r>
      <w:r w:rsidRPr="00344570">
        <w:t xml:space="preserve">2023: 4.6p). </w:t>
      </w:r>
      <w:r w:rsidRPr="00CE181C">
        <w:t>Underlying EPS, excluding the impact of net performance fees, was</w:t>
      </w:r>
      <w:r>
        <w:t xml:space="preserve"> </w:t>
      </w:r>
      <w:r w:rsidR="0070223D">
        <w:t>6.4p</w:t>
      </w:r>
      <w:r w:rsidRPr="00344570">
        <w:t xml:space="preserve"> (</w:t>
      </w:r>
      <w:r w:rsidR="008C5792">
        <w:t xml:space="preserve">H1 </w:t>
      </w:r>
      <w:r w:rsidRPr="00344570">
        <w:t>2023: 7.</w:t>
      </w:r>
      <w:r>
        <w:t>1</w:t>
      </w:r>
      <w:r w:rsidRPr="000A74B8">
        <w:t xml:space="preserve">p). </w:t>
      </w:r>
    </w:p>
    <w:p w14:paraId="73C15EE3" w14:textId="1750AD8A" w:rsidR="008C5792" w:rsidRDefault="006026F9" w:rsidP="00DB7C8B">
      <w:pPr>
        <w:pStyle w:val="Bodytext0"/>
      </w:pPr>
      <w:r>
        <w:t xml:space="preserve">Driven by </w:t>
      </w:r>
      <w:r w:rsidR="00A12322">
        <w:t xml:space="preserve">market gains, </w:t>
      </w:r>
      <w:r w:rsidR="005D631D">
        <w:t>ave</w:t>
      </w:r>
      <w:r w:rsidR="005F49C0">
        <w:t xml:space="preserve">rage </w:t>
      </w:r>
      <w:r w:rsidR="0075305A">
        <w:t>AUM incre</w:t>
      </w:r>
      <w:r w:rsidR="00F90B4E">
        <w:t>ased to £52.</w:t>
      </w:r>
      <w:r w:rsidR="00554009">
        <w:t>1</w:t>
      </w:r>
      <w:r w:rsidR="00F90B4E">
        <w:t xml:space="preserve">bn (H1 2023: </w:t>
      </w:r>
      <w:r w:rsidR="004D08E2">
        <w:t xml:space="preserve">£50.9bn). However, </w:t>
      </w:r>
      <w:r w:rsidR="00850BB5">
        <w:t xml:space="preserve">with the strategic introduction of tiered pricing on our UK-domiciled fund ranges and the </w:t>
      </w:r>
      <w:r w:rsidR="00DD35C2">
        <w:t xml:space="preserve">evolution of the business </w:t>
      </w:r>
      <w:r w:rsidR="00576584">
        <w:t xml:space="preserve">towards institutional clients, </w:t>
      </w:r>
      <w:r w:rsidR="00854D77">
        <w:t>the average fee margin</w:t>
      </w:r>
      <w:r w:rsidR="009320BB">
        <w:t xml:space="preserve"> in the first half was 65bps (FY 2023:</w:t>
      </w:r>
      <w:r w:rsidR="00854D77">
        <w:t xml:space="preserve"> </w:t>
      </w:r>
      <w:r w:rsidR="00ED5CC5">
        <w:t>70bps).</w:t>
      </w:r>
      <w:r w:rsidR="00A66264">
        <w:t xml:space="preserve"> This is slightly lower</w:t>
      </w:r>
      <w:r w:rsidR="00991090">
        <w:t xml:space="preserve"> than guidance for the full year, </w:t>
      </w:r>
      <w:r w:rsidR="00B92361">
        <w:t xml:space="preserve">but </w:t>
      </w:r>
      <w:r w:rsidR="00314B1B">
        <w:t xml:space="preserve">is a result of </w:t>
      </w:r>
      <w:r w:rsidR="00384A66">
        <w:t xml:space="preserve">the </w:t>
      </w:r>
      <w:r w:rsidR="00314B1B">
        <w:t>timing of flows, which we expect to drive up net revenue margins in the second half. The guidance of 66bps for the full</w:t>
      </w:r>
      <w:r w:rsidR="0067364E">
        <w:t>-</w:t>
      </w:r>
      <w:r w:rsidR="00314B1B">
        <w:t xml:space="preserve">year 2024 </w:t>
      </w:r>
      <w:r w:rsidR="00E17A15">
        <w:t>net revenue margin remains unchanged.</w:t>
      </w:r>
      <w:r w:rsidR="00EF5B1A">
        <w:t xml:space="preserve"> </w:t>
      </w:r>
    </w:p>
    <w:p w14:paraId="1E8F1D6B" w14:textId="12F59E2A" w:rsidR="00DB7C8B" w:rsidRDefault="00EF5B1A" w:rsidP="00DB7C8B">
      <w:pPr>
        <w:pStyle w:val="Bodytext0"/>
      </w:pPr>
      <w:r>
        <w:t xml:space="preserve">As a result of these changes, net revenue was </w:t>
      </w:r>
      <w:r w:rsidRPr="005F0E7F">
        <w:t>4% lower at £173.7m</w:t>
      </w:r>
      <w:r w:rsidRPr="000A74B8">
        <w:t xml:space="preserve"> (</w:t>
      </w:r>
      <w:r w:rsidR="00DB7C8B">
        <w:t xml:space="preserve">H1 </w:t>
      </w:r>
      <w:r>
        <w:t>2023</w:t>
      </w:r>
      <w:r w:rsidRPr="000A74B8">
        <w:t>: £</w:t>
      </w:r>
      <w:r>
        <w:rPr>
          <w:rFonts w:eastAsia="SimSun" w:hint="eastAsia"/>
          <w:lang w:eastAsia="zh-CN"/>
        </w:rPr>
        <w:t>181</w:t>
      </w:r>
      <w:r w:rsidRPr="000A74B8">
        <w:t>.</w:t>
      </w:r>
      <w:r>
        <w:rPr>
          <w:rFonts w:eastAsia="SimSun" w:hint="eastAsia"/>
          <w:lang w:eastAsia="zh-CN"/>
        </w:rPr>
        <w:t>0</w:t>
      </w:r>
      <w:r w:rsidRPr="000A74B8">
        <w:t>m)</w:t>
      </w:r>
      <w:r>
        <w:t xml:space="preserve">, including </w:t>
      </w:r>
      <w:r w:rsidR="00DB7C8B" w:rsidRPr="005F0E7F">
        <w:t>£3.9m of performance fees</w:t>
      </w:r>
      <w:r w:rsidR="00DB7C8B" w:rsidRPr="00FB66D6">
        <w:t xml:space="preserve"> (</w:t>
      </w:r>
      <w:r w:rsidR="00DB7C8B">
        <w:t xml:space="preserve">H1 </w:t>
      </w:r>
      <w:r w:rsidR="00DB7C8B" w:rsidRPr="00FB66D6">
        <w:t>2023: £0.</w:t>
      </w:r>
      <w:r w:rsidR="00DB7C8B" w:rsidRPr="00FB66D6">
        <w:rPr>
          <w:rFonts w:eastAsia="SimSun" w:hint="eastAsia"/>
          <w:lang w:eastAsia="zh-CN"/>
        </w:rPr>
        <w:t>4m</w:t>
      </w:r>
      <w:r w:rsidR="00DB7C8B" w:rsidRPr="00FB66D6">
        <w:t>).</w:t>
      </w:r>
    </w:p>
    <w:p w14:paraId="0F9BF163" w14:textId="582638CE" w:rsidR="00B5168A" w:rsidRDefault="00AA4742" w:rsidP="00DB7C8B">
      <w:pPr>
        <w:pStyle w:val="Bodytext0"/>
      </w:pPr>
      <w:r>
        <w:lastRenderedPageBreak/>
        <w:t xml:space="preserve">Thoughtful and strategic allocation of costs </w:t>
      </w:r>
      <w:r w:rsidR="00762067">
        <w:t>remains a key focus at Jupiter. Althoug</w:t>
      </w:r>
      <w:r w:rsidR="00D33140">
        <w:t>h there is some seasonality in our cost base,</w:t>
      </w:r>
      <w:r w:rsidR="000B5F59">
        <w:t xml:space="preserve"> </w:t>
      </w:r>
      <w:r w:rsidR="0067569D">
        <w:t xml:space="preserve">with a greater weighting towards the second half, </w:t>
      </w:r>
      <w:r w:rsidR="00B72EFE">
        <w:t>cost</w:t>
      </w:r>
      <w:r w:rsidR="00800C8E">
        <w:t>s are</w:t>
      </w:r>
      <w:r w:rsidR="000B5F59">
        <w:t xml:space="preserve"> largely as we expected</w:t>
      </w:r>
      <w:r w:rsidR="0011516F">
        <w:t xml:space="preserve"> for the period</w:t>
      </w:r>
      <w:r w:rsidR="000B5F59">
        <w:t>.</w:t>
      </w:r>
    </w:p>
    <w:p w14:paraId="14EA3A3F" w14:textId="727EC8BD" w:rsidR="0067569D" w:rsidRDefault="0051023A" w:rsidP="00DB7C8B">
      <w:pPr>
        <w:pStyle w:val="Bodytext0"/>
      </w:pPr>
      <w:r>
        <w:t xml:space="preserve">Fixed staff costs of </w:t>
      </w:r>
      <w:r w:rsidR="005960F8">
        <w:t>£38.8m (H1 2023: £37.0m) were in line with guidance</w:t>
      </w:r>
      <w:r w:rsidR="00686EEB">
        <w:t xml:space="preserve">. </w:t>
      </w:r>
      <w:r w:rsidR="0007319A">
        <w:t xml:space="preserve">Variable staff costs of </w:t>
      </w:r>
      <w:r w:rsidR="00A67053">
        <w:t>£</w:t>
      </w:r>
      <w:r w:rsidR="0007319A" w:rsidRPr="005F0E7F">
        <w:t>41.0m</w:t>
      </w:r>
      <w:r w:rsidR="0007319A">
        <w:t xml:space="preserve"> (</w:t>
      </w:r>
      <w:r w:rsidR="009A5CE8">
        <w:t xml:space="preserve">H1 </w:t>
      </w:r>
      <w:r w:rsidR="0007319A">
        <w:t>202</w:t>
      </w:r>
      <w:r w:rsidR="009A5CE8">
        <w:t>3</w:t>
      </w:r>
      <w:r w:rsidR="0007319A">
        <w:t xml:space="preserve">: £41.4m) reflect a </w:t>
      </w:r>
      <w:r w:rsidR="00747C2F">
        <w:t>45% total compensation ratio (excluding the net impact of performance fees</w:t>
      </w:r>
      <w:r w:rsidR="00875FAB">
        <w:t xml:space="preserve">), which is two percentage points lower than our guidance for the full year. Although there is some seasonality in these costs, it </w:t>
      </w:r>
      <w:r w:rsidR="001A5EBC">
        <w:t xml:space="preserve">is possible that </w:t>
      </w:r>
      <w:r w:rsidR="00FC0A20">
        <w:t>we will now be able to deliver a full</w:t>
      </w:r>
      <w:r w:rsidR="00014C05">
        <w:t>-</w:t>
      </w:r>
      <w:r w:rsidR="00FC0A20">
        <w:t xml:space="preserve">year compensation ratio </w:t>
      </w:r>
      <w:r w:rsidR="00014C05">
        <w:t xml:space="preserve">in the region </w:t>
      </w:r>
      <w:r w:rsidR="00FC0A20">
        <w:t>of 46%.</w:t>
      </w:r>
    </w:p>
    <w:p w14:paraId="529DA49F" w14:textId="4D5E171E" w:rsidR="00FC0A20" w:rsidRDefault="00122BBA" w:rsidP="00DB7C8B">
      <w:pPr>
        <w:pStyle w:val="Bodytext0"/>
      </w:pPr>
      <w:r>
        <w:t xml:space="preserve">Non-compensation costs also continue to be </w:t>
      </w:r>
      <w:r w:rsidR="00CB458D">
        <w:t>carefully</w:t>
      </w:r>
      <w:r>
        <w:t xml:space="preserve"> managed </w:t>
      </w:r>
      <w:r w:rsidR="00CB458D">
        <w:t xml:space="preserve">at </w:t>
      </w:r>
      <w:r w:rsidR="00CB458D" w:rsidRPr="005F0E7F">
        <w:t>£49.3m</w:t>
      </w:r>
      <w:r w:rsidR="00CB458D" w:rsidRPr="000A74B8">
        <w:t xml:space="preserve"> (</w:t>
      </w:r>
      <w:r w:rsidR="00CB458D">
        <w:t>H1 2023</w:t>
      </w:r>
      <w:r w:rsidR="00CB458D" w:rsidRPr="000A74B8">
        <w:t>: £</w:t>
      </w:r>
      <w:r w:rsidR="00CB458D">
        <w:t>53.8</w:t>
      </w:r>
      <w:r w:rsidR="00CB458D" w:rsidRPr="000A74B8">
        <w:t>m</w:t>
      </w:r>
      <w:r w:rsidR="00CB458D">
        <w:t xml:space="preserve">). Again, there is some seasonality </w:t>
      </w:r>
      <w:r w:rsidR="008D472D">
        <w:t xml:space="preserve">here and we would expect </w:t>
      </w:r>
      <w:r w:rsidR="00770ED2">
        <w:t>non-compensation costs to be higher in the second half. N</w:t>
      </w:r>
      <w:r w:rsidR="0098118F">
        <w:t>onetheless, through direct management actions we now reasonably expect full</w:t>
      </w:r>
      <w:r w:rsidR="00B75EBE">
        <w:t>-</w:t>
      </w:r>
      <w:r w:rsidR="0098118F">
        <w:t>year non-compensation costs to be £109m, £2m lower than previous guidance.</w:t>
      </w:r>
    </w:p>
    <w:p w14:paraId="02A787EF" w14:textId="5D214A2D" w:rsidR="00FC0A20" w:rsidRDefault="00483FDC" w:rsidP="00DB7C8B">
      <w:pPr>
        <w:pStyle w:val="Bodytext0"/>
      </w:pPr>
      <w:r>
        <w:t xml:space="preserve">Our </w:t>
      </w:r>
      <w:r w:rsidR="007316A8">
        <w:t>discipline</w:t>
      </w:r>
      <w:r w:rsidR="007C51FE">
        <w:t>d</w:t>
      </w:r>
      <w:r w:rsidR="007316A8">
        <w:t xml:space="preserve"> </w:t>
      </w:r>
      <w:r>
        <w:t xml:space="preserve">approach towards our cost base </w:t>
      </w:r>
      <w:r w:rsidR="007316A8">
        <w:t xml:space="preserve">remains unchanged. Our investments are </w:t>
      </w:r>
      <w:r w:rsidR="00C67E02">
        <w:t>focused</w:t>
      </w:r>
      <w:r w:rsidR="007316A8">
        <w:t xml:space="preserve"> on areas which will either realise growth </w:t>
      </w:r>
      <w:r w:rsidR="00C67E02">
        <w:t>opportunities</w:t>
      </w:r>
      <w:r w:rsidR="00B24C82">
        <w:t xml:space="preserve"> </w:t>
      </w:r>
      <w:r w:rsidR="00C67E02">
        <w:t>which</w:t>
      </w:r>
      <w:r w:rsidR="00B24C82">
        <w:t xml:space="preserve"> </w:t>
      </w:r>
      <w:r w:rsidR="00C67E02">
        <w:t>will add scale to</w:t>
      </w:r>
      <w:r w:rsidR="00121FF6">
        <w:t xml:space="preserve"> the revenue base</w:t>
      </w:r>
      <w:r w:rsidR="008F7726">
        <w:t>,</w:t>
      </w:r>
      <w:r w:rsidR="00C74977">
        <w:t xml:space="preserve"> build </w:t>
      </w:r>
      <w:r w:rsidR="00157AB6">
        <w:t xml:space="preserve">further efficiencies </w:t>
      </w:r>
      <w:r w:rsidR="004F2439">
        <w:t>in our</w:t>
      </w:r>
      <w:r w:rsidR="00C74977">
        <w:t xml:space="preserve"> scalable </w:t>
      </w:r>
      <w:r w:rsidR="00C67E02">
        <w:t>platform</w:t>
      </w:r>
      <w:r w:rsidR="00C74977">
        <w:t xml:space="preserve"> that will deliver operational leverage or </w:t>
      </w:r>
      <w:r w:rsidR="00C543D9">
        <w:t xml:space="preserve">drive </w:t>
      </w:r>
      <w:r w:rsidR="00C67E02">
        <w:t>value for money from existing mandatory spend.</w:t>
      </w:r>
    </w:p>
    <w:p w14:paraId="32BE2903" w14:textId="612908D1" w:rsidR="0019308E" w:rsidRPr="000A74B8" w:rsidRDefault="0019308E" w:rsidP="0019308E">
      <w:pPr>
        <w:pStyle w:val="Bodytext0"/>
      </w:pPr>
      <w:r w:rsidRPr="005F0E7F">
        <w:t>Total expenses before exceptional items were 2% lower than the first half of 2023 at £129.1m</w:t>
      </w:r>
      <w:r w:rsidRPr="00BA7365">
        <w:t xml:space="preserve"> (</w:t>
      </w:r>
      <w:r>
        <w:t xml:space="preserve">H1 </w:t>
      </w:r>
      <w:r w:rsidRPr="00BA7365">
        <w:t>2023: £132.2m).</w:t>
      </w:r>
      <w:r>
        <w:t xml:space="preserve"> </w:t>
      </w:r>
      <w:r w:rsidRPr="005F0E7F">
        <w:t>Excluding the impact of performance fee-related pay and exceptional items, the Group’s total administrative expenses were £126.5m</w:t>
      </w:r>
      <w:r w:rsidRPr="00BA7365">
        <w:t xml:space="preserve"> (</w:t>
      </w:r>
      <w:r w:rsidR="00EB3AE7">
        <w:t xml:space="preserve">H1 </w:t>
      </w:r>
      <w:r w:rsidRPr="00BA7365">
        <w:t>2023: £128.7m).</w:t>
      </w:r>
    </w:p>
    <w:p w14:paraId="44381BE6" w14:textId="2A87C2E1" w:rsidR="0019308E" w:rsidRPr="000A74B8" w:rsidRDefault="0019308E" w:rsidP="0019308E">
      <w:pPr>
        <w:pStyle w:val="Bodytext0"/>
      </w:pPr>
      <w:r w:rsidRPr="005F0E7F">
        <w:t>There were exceptional items of £9.2m</w:t>
      </w:r>
      <w:r w:rsidRPr="00AF5A38">
        <w:t xml:space="preserve"> (</w:t>
      </w:r>
      <w:r>
        <w:t xml:space="preserve">H1 </w:t>
      </w:r>
      <w:r w:rsidRPr="00AF5A38">
        <w:t>2023: £11.6m)</w:t>
      </w:r>
      <w:r w:rsidRPr="005F0E7F">
        <w:t>, which solely comprised amortisation of intangible assets relating to the 2020 Merian acquisition.</w:t>
      </w:r>
      <w:r>
        <w:t xml:space="preserve"> No further exceptional items are expected </w:t>
      </w:r>
      <w:r w:rsidR="008E74F2">
        <w:t>in the second half of the year.</w:t>
      </w:r>
    </w:p>
    <w:p w14:paraId="3DA7B951" w14:textId="3351B699" w:rsidR="002509FE" w:rsidRDefault="002509FE">
      <w:pPr>
        <w:rPr>
          <w:rFonts w:eastAsiaTheme="minorHAnsi"/>
          <w:sz w:val="20"/>
          <w:lang w:val="en-GB" w:eastAsia="en-US"/>
        </w:rPr>
      </w:pPr>
    </w:p>
    <w:tbl>
      <w:tblPr>
        <w:tblW w:w="10080" w:type="dxa"/>
        <w:shd w:val="clear" w:color="auto" w:fill="EBEEFF"/>
        <w:tblLayout w:type="fixed"/>
        <w:tblCellMar>
          <w:left w:w="0" w:type="dxa"/>
          <w:right w:w="0" w:type="dxa"/>
        </w:tblCellMar>
        <w:tblLook w:val="01E0" w:firstRow="1" w:lastRow="1" w:firstColumn="1" w:lastColumn="1" w:noHBand="0" w:noVBand="0"/>
      </w:tblPr>
      <w:tblGrid>
        <w:gridCol w:w="2345"/>
        <w:gridCol w:w="368"/>
        <w:gridCol w:w="1247"/>
        <w:gridCol w:w="1247"/>
        <w:gridCol w:w="1258"/>
        <w:gridCol w:w="12"/>
        <w:gridCol w:w="1237"/>
        <w:gridCol w:w="10"/>
        <w:gridCol w:w="1075"/>
        <w:gridCol w:w="10"/>
        <w:gridCol w:w="1215"/>
        <w:gridCol w:w="56"/>
      </w:tblGrid>
      <w:tr w:rsidR="003B5237" w:rsidRPr="006D1589" w14:paraId="21AEA6FF" w14:textId="77777777" w:rsidTr="00577845">
        <w:trPr>
          <w:gridAfter w:val="1"/>
          <w:wAfter w:w="56" w:type="dxa"/>
          <w:cantSplit/>
          <w:trHeight w:val="340"/>
        </w:trPr>
        <w:tc>
          <w:tcPr>
            <w:tcW w:w="2345" w:type="dxa"/>
            <w:tcBorders>
              <w:bottom w:val="single" w:sz="6" w:space="0" w:color="0964A7"/>
            </w:tcBorders>
            <w:shd w:val="clear" w:color="auto" w:fill="auto"/>
            <w:vAlign w:val="bottom"/>
          </w:tcPr>
          <w:p w14:paraId="384C5EF7" w14:textId="77777777" w:rsidR="003B5237" w:rsidRPr="006D1589" w:rsidRDefault="003B5237" w:rsidP="00B9668B">
            <w:pPr>
              <w:pStyle w:val="Tableheading"/>
              <w:jc w:val="center"/>
            </w:pPr>
          </w:p>
        </w:tc>
        <w:tc>
          <w:tcPr>
            <w:tcW w:w="368" w:type="dxa"/>
            <w:tcBorders>
              <w:bottom w:val="single" w:sz="6" w:space="0" w:color="0964A7"/>
            </w:tcBorders>
            <w:shd w:val="clear" w:color="auto" w:fill="auto"/>
            <w:vAlign w:val="center"/>
          </w:tcPr>
          <w:p w14:paraId="64E3FC26" w14:textId="77777777" w:rsidR="003B5237" w:rsidRPr="006D1589" w:rsidRDefault="003B5237" w:rsidP="00B9668B">
            <w:pPr>
              <w:pStyle w:val="Tableheading"/>
              <w:jc w:val="center"/>
            </w:pPr>
          </w:p>
        </w:tc>
        <w:tc>
          <w:tcPr>
            <w:tcW w:w="3764" w:type="dxa"/>
            <w:gridSpan w:val="4"/>
            <w:tcBorders>
              <w:bottom w:val="single" w:sz="6" w:space="0" w:color="0964A7"/>
            </w:tcBorders>
            <w:shd w:val="clear" w:color="auto" w:fill="auto"/>
            <w:vAlign w:val="bottom"/>
          </w:tcPr>
          <w:p w14:paraId="743E5960" w14:textId="1AE78AD6" w:rsidR="003B5237" w:rsidRPr="006D1589" w:rsidRDefault="003B5237" w:rsidP="00B9668B">
            <w:pPr>
              <w:pStyle w:val="Tableheading"/>
              <w:jc w:val="center"/>
            </w:pPr>
            <w:r>
              <w:t xml:space="preserve">Six months ended 30 June </w:t>
            </w:r>
            <w:r w:rsidR="00E85F7E">
              <w:t>2024</w:t>
            </w:r>
          </w:p>
        </w:tc>
        <w:tc>
          <w:tcPr>
            <w:tcW w:w="3547" w:type="dxa"/>
            <w:gridSpan w:val="5"/>
            <w:tcBorders>
              <w:bottom w:val="single" w:sz="6" w:space="0" w:color="0964A7"/>
            </w:tcBorders>
            <w:shd w:val="clear" w:color="auto" w:fill="auto"/>
            <w:vAlign w:val="bottom"/>
          </w:tcPr>
          <w:p w14:paraId="62D1B236" w14:textId="17ADE071" w:rsidR="003B5237" w:rsidRPr="00C87079" w:rsidRDefault="003B5237" w:rsidP="00B9668B">
            <w:pPr>
              <w:pStyle w:val="Tableheading"/>
              <w:jc w:val="center"/>
            </w:pPr>
            <w:r w:rsidRPr="00C87079">
              <w:t xml:space="preserve">Six months ended 30 June </w:t>
            </w:r>
            <w:r w:rsidR="00E85F7E">
              <w:t>2023</w:t>
            </w:r>
          </w:p>
        </w:tc>
      </w:tr>
      <w:tr w:rsidR="00834B50" w:rsidRPr="006D1589" w14:paraId="3F00E1CB" w14:textId="77777777" w:rsidTr="00577845">
        <w:trPr>
          <w:gridAfter w:val="1"/>
          <w:wAfter w:w="56" w:type="dxa"/>
          <w:cantSplit/>
          <w:trHeight w:val="340"/>
        </w:trPr>
        <w:tc>
          <w:tcPr>
            <w:tcW w:w="2345" w:type="dxa"/>
            <w:tcBorders>
              <w:bottom w:val="single" w:sz="6" w:space="0" w:color="0964A7"/>
            </w:tcBorders>
            <w:shd w:val="clear" w:color="auto" w:fill="auto"/>
            <w:vAlign w:val="bottom"/>
          </w:tcPr>
          <w:p w14:paraId="4C00EE50" w14:textId="77777777" w:rsidR="00C13590" w:rsidRPr="006D1589" w:rsidRDefault="00C13590" w:rsidP="00B9668B">
            <w:pPr>
              <w:pStyle w:val="Tableheading"/>
            </w:pPr>
            <w:r w:rsidRPr="006D1589">
              <w:t>£m</w:t>
            </w:r>
          </w:p>
        </w:tc>
        <w:tc>
          <w:tcPr>
            <w:tcW w:w="368" w:type="dxa"/>
            <w:tcBorders>
              <w:bottom w:val="single" w:sz="6" w:space="0" w:color="0964A7"/>
            </w:tcBorders>
            <w:shd w:val="clear" w:color="auto" w:fill="auto"/>
            <w:vAlign w:val="bottom"/>
          </w:tcPr>
          <w:p w14:paraId="5AC35704" w14:textId="77777777" w:rsidR="00C13590" w:rsidRPr="006D1589" w:rsidRDefault="00C13590" w:rsidP="00B9668B">
            <w:pPr>
              <w:pStyle w:val="Tableheading"/>
              <w:jc w:val="right"/>
            </w:pPr>
          </w:p>
        </w:tc>
        <w:tc>
          <w:tcPr>
            <w:tcW w:w="1247" w:type="dxa"/>
            <w:tcBorders>
              <w:bottom w:val="single" w:sz="6" w:space="0" w:color="0964A7"/>
            </w:tcBorders>
            <w:shd w:val="clear" w:color="auto" w:fill="auto"/>
            <w:vAlign w:val="bottom"/>
          </w:tcPr>
          <w:p w14:paraId="3BBCC7CA" w14:textId="558C7CE1" w:rsidR="00916B68" w:rsidRDefault="00C13590" w:rsidP="006B2984">
            <w:pPr>
              <w:pStyle w:val="Tableheading"/>
              <w:tabs>
                <w:tab w:val="right" w:pos="1155"/>
              </w:tabs>
              <w:jc w:val="right"/>
            </w:pPr>
            <w:r w:rsidRPr="006D1589">
              <w:t>Before net</w:t>
            </w:r>
          </w:p>
          <w:p w14:paraId="0F3D70B8" w14:textId="23C3AA3C" w:rsidR="00004944" w:rsidRDefault="00B0628C" w:rsidP="006B2984">
            <w:pPr>
              <w:pStyle w:val="Tableheading"/>
              <w:tabs>
                <w:tab w:val="right" w:pos="1155"/>
              </w:tabs>
              <w:jc w:val="right"/>
            </w:pPr>
            <w:r>
              <w:t>p</w:t>
            </w:r>
            <w:r w:rsidR="00C13590" w:rsidRPr="006D1589">
              <w:t>erformance</w:t>
            </w:r>
          </w:p>
          <w:p w14:paraId="12EE1A22" w14:textId="246672D3" w:rsidR="00C13590" w:rsidRPr="006D1589" w:rsidRDefault="00C13590" w:rsidP="006B2984">
            <w:pPr>
              <w:pStyle w:val="Tableheading"/>
              <w:tabs>
                <w:tab w:val="right" w:pos="1155"/>
              </w:tabs>
              <w:jc w:val="right"/>
            </w:pPr>
            <w:r w:rsidRPr="006D1589">
              <w:t>fees</w:t>
            </w:r>
          </w:p>
        </w:tc>
        <w:tc>
          <w:tcPr>
            <w:tcW w:w="1247" w:type="dxa"/>
            <w:tcBorders>
              <w:bottom w:val="single" w:sz="6" w:space="0" w:color="0964A7"/>
            </w:tcBorders>
            <w:shd w:val="clear" w:color="auto" w:fill="auto"/>
            <w:vAlign w:val="bottom"/>
          </w:tcPr>
          <w:p w14:paraId="536D507C" w14:textId="401EB782" w:rsidR="00C13590" w:rsidRPr="00363776" w:rsidRDefault="00116481" w:rsidP="00B9668B">
            <w:pPr>
              <w:pStyle w:val="Tableheading"/>
              <w:jc w:val="right"/>
            </w:pPr>
            <w:r w:rsidRPr="00412C4E">
              <w:t>Net performance fees</w:t>
            </w:r>
            <w:r w:rsidRPr="00363776" w:rsidDel="001E33CD">
              <w:t xml:space="preserve"> </w:t>
            </w:r>
          </w:p>
        </w:tc>
        <w:tc>
          <w:tcPr>
            <w:tcW w:w="1270" w:type="dxa"/>
            <w:gridSpan w:val="2"/>
            <w:tcBorders>
              <w:bottom w:val="single" w:sz="6" w:space="0" w:color="0964A7"/>
            </w:tcBorders>
            <w:shd w:val="clear" w:color="auto" w:fill="auto"/>
            <w:vAlign w:val="bottom"/>
          </w:tcPr>
          <w:p w14:paraId="23B57F7D" w14:textId="574EC21A" w:rsidR="00C13590" w:rsidRPr="006D1589" w:rsidRDefault="00C13590" w:rsidP="004F12A1">
            <w:pPr>
              <w:pStyle w:val="Tableheading"/>
              <w:jc w:val="right"/>
            </w:pPr>
            <w:r w:rsidRPr="006D1589">
              <w:t>Total</w:t>
            </w:r>
          </w:p>
        </w:tc>
        <w:tc>
          <w:tcPr>
            <w:tcW w:w="1247" w:type="dxa"/>
            <w:gridSpan w:val="2"/>
            <w:tcBorders>
              <w:bottom w:val="single" w:sz="6" w:space="0" w:color="0964A7"/>
            </w:tcBorders>
            <w:shd w:val="clear" w:color="auto" w:fill="auto"/>
            <w:vAlign w:val="bottom"/>
          </w:tcPr>
          <w:p w14:paraId="04E89B1B" w14:textId="3561EFD3" w:rsidR="00C13590" w:rsidRPr="006D1589" w:rsidRDefault="0099111D" w:rsidP="00916B68">
            <w:pPr>
              <w:pStyle w:val="Tableheading"/>
              <w:tabs>
                <w:tab w:val="right" w:pos="1080"/>
              </w:tabs>
              <w:rPr>
                <w:bCs/>
              </w:rPr>
            </w:pPr>
            <w:r>
              <w:rPr>
                <w:bCs/>
              </w:rPr>
              <w:tab/>
            </w:r>
            <w:r w:rsidR="00C13590" w:rsidRPr="006D1589">
              <w:rPr>
                <w:bCs/>
              </w:rPr>
              <w:t>Before net</w:t>
            </w:r>
            <w:r>
              <w:rPr>
                <w:bCs/>
              </w:rPr>
              <w:tab/>
            </w:r>
            <w:r w:rsidR="00C13590" w:rsidRPr="006D1589">
              <w:rPr>
                <w:bCs/>
              </w:rPr>
              <w:t>performance</w:t>
            </w:r>
            <w:r>
              <w:rPr>
                <w:bCs/>
              </w:rPr>
              <w:tab/>
            </w:r>
            <w:r w:rsidR="00C13590" w:rsidRPr="006D1589">
              <w:rPr>
                <w:bCs/>
              </w:rPr>
              <w:t>fees</w:t>
            </w:r>
          </w:p>
        </w:tc>
        <w:tc>
          <w:tcPr>
            <w:tcW w:w="1085" w:type="dxa"/>
            <w:gridSpan w:val="2"/>
            <w:tcBorders>
              <w:bottom w:val="single" w:sz="6" w:space="0" w:color="0964A7"/>
            </w:tcBorders>
            <w:shd w:val="clear" w:color="auto" w:fill="auto"/>
            <w:vAlign w:val="bottom"/>
          </w:tcPr>
          <w:p w14:paraId="6A93133A" w14:textId="093A43C7" w:rsidR="00C13590" w:rsidRPr="006D1589" w:rsidRDefault="00AC316A" w:rsidP="00916B68">
            <w:pPr>
              <w:pStyle w:val="Tableheading"/>
              <w:tabs>
                <w:tab w:val="right" w:pos="915"/>
              </w:tabs>
              <w:rPr>
                <w:bCs/>
              </w:rPr>
            </w:pPr>
            <w:r>
              <w:rPr>
                <w:bCs/>
              </w:rPr>
              <w:tab/>
            </w:r>
            <w:r w:rsidR="001E33CD">
              <w:rPr>
                <w:bCs/>
              </w:rPr>
              <w:t>Net</w:t>
            </w:r>
            <w:r>
              <w:rPr>
                <w:bCs/>
              </w:rPr>
              <w:tab/>
            </w:r>
            <w:r w:rsidR="001E33CD">
              <w:rPr>
                <w:bCs/>
              </w:rPr>
              <w:t>p</w:t>
            </w:r>
            <w:r w:rsidR="00C13590" w:rsidRPr="006D1589">
              <w:rPr>
                <w:bCs/>
              </w:rPr>
              <w:t>erformance</w:t>
            </w:r>
            <w:r w:rsidR="00345E74">
              <w:rPr>
                <w:bCs/>
              </w:rPr>
              <w:t xml:space="preserve"> </w:t>
            </w:r>
            <w:r>
              <w:rPr>
                <w:bCs/>
              </w:rPr>
              <w:tab/>
            </w:r>
            <w:r w:rsidR="00C13590" w:rsidRPr="006D1589">
              <w:rPr>
                <w:bCs/>
              </w:rPr>
              <w:t>fee</w:t>
            </w:r>
            <w:r w:rsidR="002F63D9">
              <w:rPr>
                <w:bCs/>
              </w:rPr>
              <w:t>s</w:t>
            </w:r>
          </w:p>
        </w:tc>
        <w:tc>
          <w:tcPr>
            <w:tcW w:w="1215" w:type="dxa"/>
            <w:tcBorders>
              <w:bottom w:val="single" w:sz="6" w:space="0" w:color="0964A7"/>
            </w:tcBorders>
            <w:shd w:val="clear" w:color="auto" w:fill="auto"/>
            <w:vAlign w:val="bottom"/>
          </w:tcPr>
          <w:p w14:paraId="27558FA8" w14:textId="7A79A401" w:rsidR="00C13590" w:rsidRPr="006D1589" w:rsidRDefault="00C13590" w:rsidP="00B9668B">
            <w:pPr>
              <w:pStyle w:val="Tableheading"/>
              <w:jc w:val="right"/>
              <w:rPr>
                <w:bCs/>
              </w:rPr>
            </w:pPr>
            <w:r w:rsidRPr="006D1589">
              <w:rPr>
                <w:bCs/>
              </w:rPr>
              <w:t>Total</w:t>
            </w:r>
          </w:p>
        </w:tc>
      </w:tr>
      <w:tr w:rsidR="00B23B4A" w:rsidRPr="004F7CA5" w14:paraId="13C043B1" w14:textId="77777777" w:rsidTr="00577845">
        <w:trPr>
          <w:cantSplit/>
          <w:trHeight w:val="365"/>
        </w:trPr>
        <w:tc>
          <w:tcPr>
            <w:tcW w:w="2345" w:type="dxa"/>
            <w:tcBorders>
              <w:top w:val="single" w:sz="4" w:space="0" w:color="0964A7"/>
              <w:bottom w:val="single" w:sz="4" w:space="0" w:color="0964A7"/>
            </w:tcBorders>
            <w:shd w:val="clear" w:color="auto" w:fill="auto"/>
            <w:vAlign w:val="center"/>
          </w:tcPr>
          <w:p w14:paraId="5A0D3868" w14:textId="3E970242" w:rsidR="004F12A1" w:rsidRPr="000B3903" w:rsidRDefault="004F12A1" w:rsidP="004F12A1">
            <w:pPr>
              <w:spacing w:after="0"/>
              <w:rPr>
                <w:rFonts w:eastAsia="Times New Roman"/>
                <w:b/>
                <w:bCs/>
                <w:noProof/>
                <w:sz w:val="16"/>
                <w:lang w:eastAsia="en-GB"/>
              </w:rPr>
            </w:pPr>
            <w:r w:rsidRPr="000B3903">
              <w:rPr>
                <w:rFonts w:eastAsia="Times New Roman"/>
                <w:b/>
                <w:bCs/>
                <w:noProof/>
                <w:sz w:val="16"/>
                <w:lang w:eastAsia="en-GB"/>
              </w:rPr>
              <w:t>Net revenue</w:t>
            </w:r>
          </w:p>
        </w:tc>
        <w:tc>
          <w:tcPr>
            <w:tcW w:w="368" w:type="dxa"/>
            <w:tcBorders>
              <w:top w:val="single" w:sz="4" w:space="0" w:color="0964A7"/>
              <w:bottom w:val="single" w:sz="4" w:space="0" w:color="0964A7"/>
            </w:tcBorders>
            <w:shd w:val="clear" w:color="auto" w:fill="auto"/>
            <w:vAlign w:val="center"/>
          </w:tcPr>
          <w:p w14:paraId="4839DDA6" w14:textId="77777777" w:rsidR="004F12A1" w:rsidRPr="000B3903" w:rsidRDefault="004F12A1" w:rsidP="004F12A1">
            <w:pPr>
              <w:spacing w:after="0"/>
              <w:ind w:left="127" w:right="103"/>
              <w:jc w:val="right"/>
              <w:rPr>
                <w:rFonts w:eastAsia="Times New Roman"/>
                <w:b/>
                <w:bCs/>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6EF90A69" w14:textId="3EF5E198" w:rsidR="004F12A1" w:rsidRPr="002D2015" w:rsidRDefault="00D842CD" w:rsidP="00577845">
            <w:pPr>
              <w:tabs>
                <w:tab w:val="decimal" w:pos="981"/>
                <w:tab w:val="decimal" w:pos="2073"/>
              </w:tabs>
              <w:spacing w:after="0"/>
              <w:ind w:right="103"/>
              <w:rPr>
                <w:rFonts w:eastAsia="Times New Roman"/>
                <w:b/>
                <w:sz w:val="16"/>
                <w:highlight w:val="yellow"/>
                <w:lang w:eastAsia="en-GB"/>
              </w:rPr>
            </w:pPr>
            <w:r>
              <w:rPr>
                <w:b/>
                <w:bCs/>
                <w:sz w:val="16"/>
              </w:rPr>
              <w:tab/>
            </w:r>
            <w:r w:rsidR="004F12A1">
              <w:rPr>
                <w:b/>
                <w:bCs/>
                <w:sz w:val="16"/>
              </w:rPr>
              <w:t>169.8</w:t>
            </w:r>
          </w:p>
        </w:tc>
        <w:tc>
          <w:tcPr>
            <w:tcW w:w="1247" w:type="dxa"/>
            <w:tcBorders>
              <w:top w:val="single" w:sz="4" w:space="0" w:color="0964A7"/>
              <w:bottom w:val="single" w:sz="4" w:space="0" w:color="0964A7"/>
            </w:tcBorders>
            <w:shd w:val="clear" w:color="auto" w:fill="E4E8ED" w:themeFill="accent4" w:themeFillTint="33"/>
            <w:vAlign w:val="center"/>
          </w:tcPr>
          <w:p w14:paraId="63114791" w14:textId="10355A69" w:rsidR="004F12A1" w:rsidRPr="002D2015" w:rsidRDefault="004F12A1" w:rsidP="004F12A1">
            <w:pPr>
              <w:tabs>
                <w:tab w:val="decimal" w:pos="997"/>
              </w:tabs>
              <w:spacing w:after="0"/>
              <w:ind w:right="103"/>
              <w:rPr>
                <w:rFonts w:eastAsia="Times New Roman"/>
                <w:b/>
                <w:sz w:val="16"/>
                <w:highlight w:val="yellow"/>
                <w:lang w:eastAsia="en-GB"/>
              </w:rPr>
            </w:pPr>
            <w:r>
              <w:rPr>
                <w:b/>
                <w:sz w:val="16"/>
              </w:rPr>
              <w:t>3.9</w:t>
            </w:r>
          </w:p>
        </w:tc>
        <w:tc>
          <w:tcPr>
            <w:tcW w:w="1258" w:type="dxa"/>
            <w:tcBorders>
              <w:top w:val="single" w:sz="4" w:space="0" w:color="0964A7"/>
              <w:bottom w:val="single" w:sz="4" w:space="0" w:color="0964A7"/>
            </w:tcBorders>
            <w:shd w:val="clear" w:color="auto" w:fill="E4E8ED" w:themeFill="accent4" w:themeFillTint="33"/>
            <w:vAlign w:val="center"/>
          </w:tcPr>
          <w:p w14:paraId="28F37565" w14:textId="1F17192A" w:rsidR="004F12A1" w:rsidRPr="002D2015" w:rsidRDefault="004F12A1" w:rsidP="004F12A1">
            <w:pPr>
              <w:tabs>
                <w:tab w:val="decimal" w:pos="887"/>
              </w:tabs>
              <w:spacing w:after="0"/>
              <w:ind w:right="103"/>
              <w:rPr>
                <w:rFonts w:eastAsia="Times New Roman"/>
                <w:b/>
                <w:sz w:val="16"/>
                <w:highlight w:val="yellow"/>
                <w:lang w:eastAsia="en-GB"/>
              </w:rPr>
            </w:pPr>
            <w:r>
              <w:rPr>
                <w:b/>
                <w:bCs/>
                <w:sz w:val="16"/>
              </w:rPr>
              <w:t>173.7</w:t>
            </w:r>
          </w:p>
        </w:tc>
        <w:tc>
          <w:tcPr>
            <w:tcW w:w="1249" w:type="dxa"/>
            <w:gridSpan w:val="2"/>
            <w:tcBorders>
              <w:top w:val="single" w:sz="4" w:space="0" w:color="0964A7"/>
              <w:bottom w:val="single" w:sz="4" w:space="0" w:color="0964A7"/>
            </w:tcBorders>
            <w:shd w:val="clear" w:color="auto" w:fill="auto"/>
            <w:vAlign w:val="center"/>
          </w:tcPr>
          <w:p w14:paraId="1EEB76DD" w14:textId="0BA01996" w:rsidR="004F12A1" w:rsidRPr="000B3903" w:rsidRDefault="004F12A1" w:rsidP="004F12A1">
            <w:pPr>
              <w:tabs>
                <w:tab w:val="decimal" w:pos="922"/>
              </w:tabs>
              <w:spacing w:after="0"/>
              <w:ind w:right="103"/>
              <w:rPr>
                <w:rFonts w:eastAsia="Times New Roman"/>
                <w:b/>
                <w:bCs/>
                <w:noProof/>
                <w:sz w:val="16"/>
                <w:lang w:eastAsia="en-GB"/>
              </w:rPr>
            </w:pPr>
            <w:r w:rsidRPr="00F2575A">
              <w:rPr>
                <w:b/>
                <w:bCs/>
                <w:sz w:val="16"/>
              </w:rPr>
              <w:t>180.6</w:t>
            </w:r>
          </w:p>
        </w:tc>
        <w:tc>
          <w:tcPr>
            <w:tcW w:w="1085" w:type="dxa"/>
            <w:gridSpan w:val="2"/>
            <w:tcBorders>
              <w:top w:val="single" w:sz="4" w:space="0" w:color="0964A7"/>
              <w:bottom w:val="single" w:sz="4" w:space="0" w:color="0964A7"/>
            </w:tcBorders>
            <w:shd w:val="clear" w:color="auto" w:fill="auto"/>
            <w:vAlign w:val="center"/>
          </w:tcPr>
          <w:p w14:paraId="4A3BC796" w14:textId="550CA912" w:rsidR="004F12A1" w:rsidRPr="00260697" w:rsidRDefault="004F12A1" w:rsidP="004F12A1">
            <w:pPr>
              <w:tabs>
                <w:tab w:val="decimal" w:pos="789"/>
              </w:tabs>
              <w:spacing w:after="0"/>
              <w:ind w:right="103"/>
              <w:rPr>
                <w:rFonts w:eastAsia="Times New Roman"/>
                <w:b/>
                <w:bCs/>
                <w:noProof/>
                <w:sz w:val="16"/>
                <w:lang w:eastAsia="en-GB"/>
              </w:rPr>
            </w:pPr>
            <w:r w:rsidRPr="00F2575A">
              <w:rPr>
                <w:b/>
                <w:sz w:val="16"/>
              </w:rPr>
              <w:t>0.4</w:t>
            </w:r>
          </w:p>
        </w:tc>
        <w:tc>
          <w:tcPr>
            <w:tcW w:w="1281" w:type="dxa"/>
            <w:gridSpan w:val="3"/>
            <w:tcBorders>
              <w:top w:val="single" w:sz="4" w:space="0" w:color="0964A7"/>
              <w:bottom w:val="single" w:sz="4" w:space="0" w:color="0964A7"/>
            </w:tcBorders>
            <w:shd w:val="clear" w:color="auto" w:fill="auto"/>
            <w:vAlign w:val="center"/>
          </w:tcPr>
          <w:p w14:paraId="7264B462" w14:textId="766CC5CB" w:rsidR="004F12A1" w:rsidRPr="000B3903" w:rsidRDefault="004F12A1" w:rsidP="004F12A1">
            <w:pPr>
              <w:tabs>
                <w:tab w:val="decimal" w:pos="970"/>
              </w:tabs>
              <w:spacing w:after="0"/>
              <w:ind w:right="103"/>
              <w:rPr>
                <w:rFonts w:eastAsia="Times New Roman"/>
                <w:b/>
                <w:bCs/>
                <w:noProof/>
                <w:sz w:val="16"/>
                <w:lang w:eastAsia="en-GB"/>
              </w:rPr>
            </w:pPr>
            <w:r w:rsidRPr="00F2575A">
              <w:rPr>
                <w:b/>
                <w:bCs/>
                <w:sz w:val="16"/>
              </w:rPr>
              <w:t>181.0</w:t>
            </w:r>
          </w:p>
        </w:tc>
      </w:tr>
      <w:tr w:rsidR="006936C3" w:rsidRPr="004F7CA5" w14:paraId="69C05184" w14:textId="77777777" w:rsidTr="00577845">
        <w:trPr>
          <w:cantSplit/>
          <w:trHeight w:hRule="exact" w:val="368"/>
        </w:trPr>
        <w:tc>
          <w:tcPr>
            <w:tcW w:w="2345" w:type="dxa"/>
            <w:tcBorders>
              <w:top w:val="single" w:sz="6" w:space="0" w:color="0964A7"/>
              <w:bottom w:val="single" w:sz="4" w:space="0" w:color="0964A7"/>
            </w:tcBorders>
            <w:shd w:val="clear" w:color="auto" w:fill="auto"/>
            <w:vAlign w:val="center"/>
          </w:tcPr>
          <w:p w14:paraId="700E2843" w14:textId="7A531E44" w:rsidR="004F12A1" w:rsidRPr="004F7CA5" w:rsidRDefault="00EA26FB" w:rsidP="004F12A1">
            <w:pPr>
              <w:spacing w:after="0"/>
              <w:rPr>
                <w:rFonts w:eastAsia="Times New Roman"/>
                <w:noProof/>
                <w:sz w:val="16"/>
                <w:lang w:eastAsia="en-GB"/>
              </w:rPr>
            </w:pPr>
            <w:r>
              <w:rPr>
                <w:rFonts w:eastAsia="Times New Roman"/>
                <w:noProof/>
                <w:sz w:val="16"/>
                <w:lang w:eastAsia="en-GB"/>
              </w:rPr>
              <w:t>Compensation costs</w:t>
            </w:r>
          </w:p>
        </w:tc>
        <w:tc>
          <w:tcPr>
            <w:tcW w:w="368" w:type="dxa"/>
            <w:tcBorders>
              <w:top w:val="single" w:sz="6" w:space="0" w:color="0964A7"/>
              <w:bottom w:val="single" w:sz="4" w:space="0" w:color="0964A7"/>
            </w:tcBorders>
            <w:shd w:val="clear" w:color="auto" w:fill="auto"/>
            <w:vAlign w:val="center"/>
          </w:tcPr>
          <w:p w14:paraId="6A2B7F35" w14:textId="77777777" w:rsidR="004F12A1" w:rsidRPr="004F7CA5" w:rsidRDefault="004F12A1" w:rsidP="004F12A1">
            <w:pPr>
              <w:spacing w:after="0"/>
              <w:ind w:right="103"/>
              <w:jc w:val="right"/>
              <w:rPr>
                <w:rFonts w:eastAsia="Times New Roman"/>
                <w:noProof/>
                <w:sz w:val="16"/>
                <w:lang w:eastAsia="en-GB"/>
              </w:rPr>
            </w:pPr>
          </w:p>
        </w:tc>
        <w:tc>
          <w:tcPr>
            <w:tcW w:w="1247" w:type="dxa"/>
            <w:tcBorders>
              <w:top w:val="single" w:sz="6" w:space="0" w:color="0964A7"/>
              <w:bottom w:val="single" w:sz="4" w:space="0" w:color="0964A7"/>
            </w:tcBorders>
            <w:shd w:val="clear" w:color="auto" w:fill="E4E8ED" w:themeFill="accent4" w:themeFillTint="33"/>
            <w:vAlign w:val="center"/>
          </w:tcPr>
          <w:p w14:paraId="21BC119C" w14:textId="672021EA" w:rsidR="004F12A1" w:rsidRPr="002D2015" w:rsidRDefault="00D842CD" w:rsidP="00577845">
            <w:pPr>
              <w:tabs>
                <w:tab w:val="decimal" w:pos="981"/>
                <w:tab w:val="decimal" w:pos="2073"/>
              </w:tabs>
              <w:spacing w:after="0"/>
              <w:ind w:right="103"/>
              <w:rPr>
                <w:rFonts w:eastAsia="Times New Roman"/>
                <w:sz w:val="16"/>
                <w:highlight w:val="yellow"/>
                <w:lang w:eastAsia="en-GB"/>
              </w:rPr>
            </w:pPr>
            <w:r>
              <w:rPr>
                <w:sz w:val="16"/>
              </w:rPr>
              <w:tab/>
            </w:r>
            <w:r w:rsidR="004F12A1" w:rsidRPr="00F2575A">
              <w:rPr>
                <w:sz w:val="16"/>
              </w:rPr>
              <w:t>(</w:t>
            </w:r>
            <w:r w:rsidR="00F4348D">
              <w:rPr>
                <w:sz w:val="16"/>
              </w:rPr>
              <w:t>77</w:t>
            </w:r>
            <w:r w:rsidR="004F12A1" w:rsidRPr="00F2575A">
              <w:rPr>
                <w:sz w:val="16"/>
              </w:rPr>
              <w:t>.</w:t>
            </w:r>
            <w:r w:rsidR="00F4348D">
              <w:rPr>
                <w:sz w:val="16"/>
              </w:rPr>
              <w:t>2</w:t>
            </w:r>
            <w:r w:rsidR="004F12A1" w:rsidRPr="00F2575A">
              <w:rPr>
                <w:sz w:val="16"/>
              </w:rPr>
              <w:t>)</w:t>
            </w:r>
          </w:p>
        </w:tc>
        <w:tc>
          <w:tcPr>
            <w:tcW w:w="1247" w:type="dxa"/>
            <w:tcBorders>
              <w:top w:val="single" w:sz="6" w:space="0" w:color="0964A7"/>
              <w:bottom w:val="single" w:sz="4" w:space="0" w:color="0964A7"/>
            </w:tcBorders>
            <w:shd w:val="clear" w:color="auto" w:fill="E4E8ED" w:themeFill="accent4" w:themeFillTint="33"/>
            <w:vAlign w:val="center"/>
          </w:tcPr>
          <w:p w14:paraId="46FC6317" w14:textId="63DCCD52" w:rsidR="004F12A1" w:rsidRPr="002D2015" w:rsidRDefault="004F12A1" w:rsidP="004F12A1">
            <w:pPr>
              <w:tabs>
                <w:tab w:val="decimal" w:pos="1005"/>
              </w:tabs>
              <w:spacing w:after="0"/>
              <w:ind w:right="103"/>
              <w:rPr>
                <w:rFonts w:eastAsia="Times New Roman"/>
                <w:sz w:val="16"/>
                <w:highlight w:val="yellow"/>
                <w:lang w:eastAsia="en-GB"/>
              </w:rPr>
            </w:pPr>
            <w:r w:rsidRPr="00F2575A">
              <w:rPr>
                <w:rFonts w:eastAsia="Times New Roman"/>
                <w:noProof/>
                <w:sz w:val="16"/>
                <w:lang w:eastAsia="en-GB"/>
              </w:rPr>
              <w:t>(</w:t>
            </w:r>
            <w:r w:rsidR="00247800">
              <w:rPr>
                <w:rFonts w:eastAsia="Times New Roman"/>
                <w:noProof/>
                <w:sz w:val="16"/>
                <w:lang w:eastAsia="en-GB"/>
              </w:rPr>
              <w:t>2.6</w:t>
            </w:r>
            <w:r w:rsidRPr="00F2575A">
              <w:rPr>
                <w:rFonts w:eastAsia="Times New Roman"/>
                <w:noProof/>
                <w:sz w:val="16"/>
                <w:lang w:eastAsia="en-GB"/>
              </w:rPr>
              <w:t>)</w:t>
            </w:r>
          </w:p>
        </w:tc>
        <w:tc>
          <w:tcPr>
            <w:tcW w:w="1258" w:type="dxa"/>
            <w:tcBorders>
              <w:top w:val="single" w:sz="6" w:space="0" w:color="0964A7"/>
              <w:bottom w:val="single" w:sz="4" w:space="0" w:color="0964A7"/>
            </w:tcBorders>
            <w:shd w:val="clear" w:color="auto" w:fill="E4E8ED" w:themeFill="accent4" w:themeFillTint="33"/>
            <w:vAlign w:val="center"/>
          </w:tcPr>
          <w:p w14:paraId="5B7245E4" w14:textId="08AEC23B" w:rsidR="004F12A1" w:rsidRPr="002D2015" w:rsidRDefault="004F12A1" w:rsidP="004F12A1">
            <w:pPr>
              <w:tabs>
                <w:tab w:val="decimal" w:pos="887"/>
              </w:tabs>
              <w:spacing w:after="0"/>
              <w:ind w:right="103"/>
              <w:rPr>
                <w:rFonts w:eastAsia="Times New Roman"/>
                <w:sz w:val="16"/>
                <w:highlight w:val="yellow"/>
                <w:lang w:eastAsia="en-GB"/>
              </w:rPr>
            </w:pPr>
            <w:r w:rsidRPr="00F2575A">
              <w:rPr>
                <w:sz w:val="16"/>
              </w:rPr>
              <w:t>(</w:t>
            </w:r>
            <w:r w:rsidR="00F4348D">
              <w:rPr>
                <w:sz w:val="16"/>
              </w:rPr>
              <w:t>79</w:t>
            </w:r>
            <w:r w:rsidRPr="00F2575A">
              <w:rPr>
                <w:sz w:val="16"/>
              </w:rPr>
              <w:t>.</w:t>
            </w:r>
            <w:r w:rsidR="00F4348D">
              <w:rPr>
                <w:sz w:val="16"/>
              </w:rPr>
              <w:t>8</w:t>
            </w:r>
            <w:r w:rsidRPr="00F2575A">
              <w:rPr>
                <w:sz w:val="16"/>
              </w:rPr>
              <w:t>)</w:t>
            </w:r>
          </w:p>
        </w:tc>
        <w:tc>
          <w:tcPr>
            <w:tcW w:w="1249" w:type="dxa"/>
            <w:gridSpan w:val="2"/>
            <w:tcBorders>
              <w:top w:val="single" w:sz="6" w:space="0" w:color="0964A7"/>
              <w:bottom w:val="single" w:sz="4" w:space="0" w:color="0964A7"/>
            </w:tcBorders>
            <w:shd w:val="clear" w:color="auto" w:fill="auto"/>
            <w:vAlign w:val="center"/>
          </w:tcPr>
          <w:p w14:paraId="49F0222E" w14:textId="61BD1F39" w:rsidR="004F12A1" w:rsidRPr="009836EC" w:rsidRDefault="004F12A1" w:rsidP="004F12A1">
            <w:pPr>
              <w:tabs>
                <w:tab w:val="decimal" w:pos="922"/>
              </w:tabs>
              <w:spacing w:after="0"/>
              <w:ind w:right="103"/>
              <w:rPr>
                <w:rFonts w:eastAsia="Times New Roman"/>
                <w:noProof/>
                <w:sz w:val="16"/>
                <w:lang w:eastAsia="en-GB"/>
              </w:rPr>
            </w:pPr>
            <w:r w:rsidRPr="00F2575A">
              <w:rPr>
                <w:sz w:val="16"/>
              </w:rPr>
              <w:t>(</w:t>
            </w:r>
            <w:r w:rsidR="00974A83">
              <w:rPr>
                <w:sz w:val="16"/>
              </w:rPr>
              <w:t>74</w:t>
            </w:r>
            <w:r w:rsidRPr="00F2575A">
              <w:rPr>
                <w:sz w:val="16"/>
              </w:rPr>
              <w:t>.9)</w:t>
            </w:r>
          </w:p>
        </w:tc>
        <w:tc>
          <w:tcPr>
            <w:tcW w:w="1085" w:type="dxa"/>
            <w:gridSpan w:val="2"/>
            <w:tcBorders>
              <w:top w:val="single" w:sz="6" w:space="0" w:color="0964A7"/>
              <w:bottom w:val="single" w:sz="4" w:space="0" w:color="0964A7"/>
            </w:tcBorders>
            <w:shd w:val="clear" w:color="auto" w:fill="auto"/>
            <w:vAlign w:val="center"/>
          </w:tcPr>
          <w:p w14:paraId="1C5C1D33" w14:textId="75478B6B" w:rsidR="004F12A1" w:rsidRPr="00260697" w:rsidRDefault="004F12A1" w:rsidP="004F12A1">
            <w:pPr>
              <w:tabs>
                <w:tab w:val="decimal" w:pos="789"/>
              </w:tabs>
              <w:spacing w:after="0"/>
              <w:ind w:right="103"/>
              <w:rPr>
                <w:rFonts w:eastAsia="Times New Roman"/>
                <w:noProof/>
                <w:sz w:val="16"/>
                <w:lang w:eastAsia="en-GB"/>
              </w:rPr>
            </w:pPr>
            <w:r w:rsidRPr="00F2575A">
              <w:rPr>
                <w:rFonts w:eastAsia="Times New Roman"/>
                <w:noProof/>
                <w:sz w:val="16"/>
                <w:lang w:eastAsia="en-GB"/>
              </w:rPr>
              <w:t>(3.5)</w:t>
            </w:r>
          </w:p>
        </w:tc>
        <w:tc>
          <w:tcPr>
            <w:tcW w:w="1281" w:type="dxa"/>
            <w:gridSpan w:val="3"/>
            <w:tcBorders>
              <w:top w:val="single" w:sz="6" w:space="0" w:color="0964A7"/>
              <w:bottom w:val="single" w:sz="4" w:space="0" w:color="0964A7"/>
            </w:tcBorders>
            <w:shd w:val="clear" w:color="auto" w:fill="auto"/>
            <w:vAlign w:val="center"/>
          </w:tcPr>
          <w:p w14:paraId="14D8E2E1" w14:textId="2F63A5C0" w:rsidR="004F12A1" w:rsidRPr="009836EC" w:rsidRDefault="004F12A1" w:rsidP="004F12A1">
            <w:pPr>
              <w:tabs>
                <w:tab w:val="decimal" w:pos="970"/>
              </w:tabs>
              <w:spacing w:after="0"/>
              <w:ind w:right="103"/>
              <w:rPr>
                <w:rFonts w:eastAsia="Times New Roman"/>
                <w:noProof/>
                <w:sz w:val="16"/>
                <w:lang w:eastAsia="en-GB"/>
              </w:rPr>
            </w:pPr>
            <w:r w:rsidRPr="00F2575A">
              <w:rPr>
                <w:sz w:val="16"/>
              </w:rPr>
              <w:t>(</w:t>
            </w:r>
            <w:r w:rsidR="00974A83">
              <w:rPr>
                <w:sz w:val="16"/>
              </w:rPr>
              <w:t>78</w:t>
            </w:r>
            <w:r w:rsidRPr="00F2575A">
              <w:rPr>
                <w:sz w:val="16"/>
              </w:rPr>
              <w:t>.4)</w:t>
            </w:r>
          </w:p>
        </w:tc>
      </w:tr>
      <w:tr w:rsidR="00B23B4A" w:rsidRPr="004F7CA5" w14:paraId="71B826FB" w14:textId="77777777" w:rsidTr="00577845">
        <w:trPr>
          <w:cantSplit/>
          <w:trHeight w:hRule="exact" w:val="359"/>
        </w:trPr>
        <w:tc>
          <w:tcPr>
            <w:tcW w:w="2345" w:type="dxa"/>
            <w:tcBorders>
              <w:top w:val="single" w:sz="4" w:space="0" w:color="0964A7"/>
            </w:tcBorders>
            <w:shd w:val="clear" w:color="auto" w:fill="auto"/>
            <w:vAlign w:val="center"/>
          </w:tcPr>
          <w:p w14:paraId="7BDA4AEC" w14:textId="77777777" w:rsidR="004F12A1" w:rsidRPr="004F7CA5" w:rsidRDefault="004F12A1" w:rsidP="004F12A1">
            <w:pPr>
              <w:spacing w:after="0"/>
              <w:rPr>
                <w:rFonts w:eastAsia="Times New Roman"/>
                <w:noProof/>
                <w:sz w:val="16"/>
                <w:lang w:eastAsia="en-GB"/>
              </w:rPr>
            </w:pPr>
            <w:r>
              <w:rPr>
                <w:rFonts w:eastAsia="Times New Roman"/>
                <w:noProof/>
                <w:sz w:val="16"/>
                <w:lang w:eastAsia="en-GB"/>
              </w:rPr>
              <w:t>Non-compensation costs</w:t>
            </w:r>
          </w:p>
        </w:tc>
        <w:tc>
          <w:tcPr>
            <w:tcW w:w="368" w:type="dxa"/>
            <w:tcBorders>
              <w:top w:val="single" w:sz="4" w:space="0" w:color="0964A7"/>
            </w:tcBorders>
            <w:shd w:val="clear" w:color="auto" w:fill="auto"/>
            <w:vAlign w:val="center"/>
          </w:tcPr>
          <w:p w14:paraId="00793DB1" w14:textId="77777777" w:rsidR="004F12A1" w:rsidRPr="004F7CA5" w:rsidRDefault="004F12A1" w:rsidP="004F12A1">
            <w:pPr>
              <w:spacing w:after="0"/>
              <w:ind w:right="103"/>
              <w:jc w:val="right"/>
              <w:rPr>
                <w:rFonts w:eastAsia="Times New Roman"/>
                <w:noProof/>
                <w:sz w:val="16"/>
                <w:lang w:eastAsia="en-GB"/>
              </w:rPr>
            </w:pPr>
          </w:p>
        </w:tc>
        <w:tc>
          <w:tcPr>
            <w:tcW w:w="1247" w:type="dxa"/>
            <w:tcBorders>
              <w:top w:val="single" w:sz="4" w:space="0" w:color="0964A7"/>
            </w:tcBorders>
            <w:shd w:val="clear" w:color="auto" w:fill="E4E8ED" w:themeFill="accent4" w:themeFillTint="33"/>
            <w:vAlign w:val="center"/>
          </w:tcPr>
          <w:p w14:paraId="46406FD0" w14:textId="572FFFB0" w:rsidR="004F12A1" w:rsidRPr="002D2015" w:rsidRDefault="00D842CD" w:rsidP="00577845">
            <w:pPr>
              <w:tabs>
                <w:tab w:val="decimal" w:pos="981"/>
                <w:tab w:val="decimal" w:pos="2073"/>
              </w:tabs>
              <w:spacing w:after="0"/>
              <w:ind w:right="103"/>
              <w:rPr>
                <w:rFonts w:eastAsia="Times New Roman"/>
                <w:sz w:val="16"/>
                <w:highlight w:val="yellow"/>
                <w:lang w:eastAsia="en-GB"/>
              </w:rPr>
            </w:pPr>
            <w:r>
              <w:rPr>
                <w:sz w:val="16"/>
              </w:rPr>
              <w:tab/>
            </w:r>
            <w:r w:rsidR="004F12A1" w:rsidRPr="00F2575A">
              <w:rPr>
                <w:sz w:val="16"/>
              </w:rPr>
              <w:t>(</w:t>
            </w:r>
            <w:r w:rsidR="006F596D">
              <w:rPr>
                <w:sz w:val="16"/>
              </w:rPr>
              <w:t>49.3</w:t>
            </w:r>
            <w:r w:rsidR="004F12A1" w:rsidRPr="00F2575A">
              <w:rPr>
                <w:sz w:val="16"/>
              </w:rPr>
              <w:t>)</w:t>
            </w:r>
          </w:p>
        </w:tc>
        <w:tc>
          <w:tcPr>
            <w:tcW w:w="1247" w:type="dxa"/>
            <w:tcBorders>
              <w:top w:val="single" w:sz="4" w:space="0" w:color="0964A7"/>
            </w:tcBorders>
            <w:shd w:val="clear" w:color="auto" w:fill="E4E8ED" w:themeFill="accent4" w:themeFillTint="33"/>
            <w:vAlign w:val="center"/>
          </w:tcPr>
          <w:p w14:paraId="310E6777" w14:textId="5818440D" w:rsidR="004F12A1" w:rsidRPr="002D2015" w:rsidRDefault="004F12A1" w:rsidP="004F12A1">
            <w:pPr>
              <w:tabs>
                <w:tab w:val="decimal" w:pos="1005"/>
              </w:tabs>
              <w:spacing w:after="0"/>
              <w:ind w:right="103"/>
              <w:rPr>
                <w:rFonts w:eastAsia="Times New Roman"/>
                <w:sz w:val="16"/>
                <w:highlight w:val="yellow"/>
                <w:lang w:eastAsia="en-GB"/>
              </w:rPr>
            </w:pPr>
            <w:r w:rsidRPr="005F03A6">
              <w:rPr>
                <w:sz w:val="16"/>
              </w:rPr>
              <w:t>-</w:t>
            </w:r>
          </w:p>
        </w:tc>
        <w:tc>
          <w:tcPr>
            <w:tcW w:w="1258" w:type="dxa"/>
            <w:tcBorders>
              <w:top w:val="single" w:sz="4" w:space="0" w:color="0964A7"/>
            </w:tcBorders>
            <w:shd w:val="clear" w:color="auto" w:fill="E4E8ED" w:themeFill="accent4" w:themeFillTint="33"/>
            <w:vAlign w:val="center"/>
          </w:tcPr>
          <w:p w14:paraId="10A40A90" w14:textId="50BD9C6E" w:rsidR="004F12A1" w:rsidRPr="002D2015" w:rsidRDefault="004F12A1" w:rsidP="004F12A1">
            <w:pPr>
              <w:tabs>
                <w:tab w:val="decimal" w:pos="887"/>
              </w:tabs>
              <w:spacing w:after="0"/>
              <w:ind w:right="103"/>
              <w:rPr>
                <w:rFonts w:eastAsia="Times New Roman"/>
                <w:sz w:val="16"/>
                <w:highlight w:val="yellow"/>
                <w:lang w:eastAsia="en-GB"/>
              </w:rPr>
            </w:pPr>
            <w:r w:rsidRPr="00F2575A">
              <w:rPr>
                <w:sz w:val="16"/>
              </w:rPr>
              <w:t>(</w:t>
            </w:r>
            <w:r w:rsidR="006F596D">
              <w:rPr>
                <w:sz w:val="16"/>
              </w:rPr>
              <w:t>49.3</w:t>
            </w:r>
            <w:r w:rsidRPr="00F2575A">
              <w:rPr>
                <w:sz w:val="16"/>
              </w:rPr>
              <w:t>)</w:t>
            </w:r>
          </w:p>
        </w:tc>
        <w:tc>
          <w:tcPr>
            <w:tcW w:w="1249" w:type="dxa"/>
            <w:gridSpan w:val="2"/>
            <w:tcBorders>
              <w:top w:val="single" w:sz="4" w:space="0" w:color="0964A7"/>
            </w:tcBorders>
            <w:shd w:val="clear" w:color="auto" w:fill="auto"/>
            <w:vAlign w:val="center"/>
          </w:tcPr>
          <w:p w14:paraId="0035F0FC" w14:textId="0A4FB866" w:rsidR="004F12A1" w:rsidRPr="000B3903" w:rsidRDefault="004F12A1" w:rsidP="004F12A1">
            <w:pPr>
              <w:tabs>
                <w:tab w:val="decimal" w:pos="922"/>
              </w:tabs>
              <w:spacing w:after="0"/>
              <w:ind w:right="103"/>
              <w:rPr>
                <w:rFonts w:eastAsia="Times New Roman"/>
                <w:noProof/>
                <w:sz w:val="16"/>
                <w:lang w:eastAsia="en-GB"/>
              </w:rPr>
            </w:pPr>
            <w:r w:rsidRPr="00F2575A">
              <w:rPr>
                <w:sz w:val="16"/>
              </w:rPr>
              <w:t>(53.</w:t>
            </w:r>
            <w:r>
              <w:rPr>
                <w:sz w:val="16"/>
              </w:rPr>
              <w:t>8</w:t>
            </w:r>
            <w:r w:rsidRPr="00F2575A">
              <w:rPr>
                <w:sz w:val="16"/>
              </w:rPr>
              <w:t>)</w:t>
            </w:r>
          </w:p>
        </w:tc>
        <w:tc>
          <w:tcPr>
            <w:tcW w:w="1085" w:type="dxa"/>
            <w:gridSpan w:val="2"/>
            <w:tcBorders>
              <w:top w:val="single" w:sz="4" w:space="0" w:color="0964A7"/>
            </w:tcBorders>
            <w:shd w:val="clear" w:color="auto" w:fill="auto"/>
            <w:vAlign w:val="center"/>
          </w:tcPr>
          <w:p w14:paraId="306AAFA4" w14:textId="2577DA67" w:rsidR="004F12A1" w:rsidRPr="00260697" w:rsidRDefault="004F12A1" w:rsidP="004F12A1">
            <w:pPr>
              <w:tabs>
                <w:tab w:val="decimal" w:pos="789"/>
              </w:tabs>
              <w:spacing w:after="0"/>
              <w:ind w:right="103"/>
              <w:rPr>
                <w:rFonts w:eastAsia="Times New Roman"/>
                <w:noProof/>
                <w:sz w:val="16"/>
                <w:lang w:eastAsia="en-GB"/>
              </w:rPr>
            </w:pPr>
            <w:r w:rsidRPr="005F03A6">
              <w:rPr>
                <w:sz w:val="16"/>
              </w:rPr>
              <w:t>-</w:t>
            </w:r>
          </w:p>
        </w:tc>
        <w:tc>
          <w:tcPr>
            <w:tcW w:w="1281" w:type="dxa"/>
            <w:gridSpan w:val="3"/>
            <w:tcBorders>
              <w:top w:val="single" w:sz="4" w:space="0" w:color="0964A7"/>
            </w:tcBorders>
            <w:shd w:val="clear" w:color="auto" w:fill="auto"/>
            <w:vAlign w:val="center"/>
          </w:tcPr>
          <w:p w14:paraId="07E0F3FC" w14:textId="33289132" w:rsidR="004F12A1" w:rsidRPr="009836EC" w:rsidRDefault="004F12A1" w:rsidP="004F12A1">
            <w:pPr>
              <w:tabs>
                <w:tab w:val="decimal" w:pos="970"/>
              </w:tabs>
              <w:spacing w:after="0"/>
              <w:ind w:right="103"/>
              <w:rPr>
                <w:rFonts w:eastAsia="Times New Roman"/>
                <w:noProof/>
                <w:sz w:val="16"/>
                <w:lang w:eastAsia="en-GB"/>
              </w:rPr>
            </w:pPr>
            <w:r w:rsidRPr="00F2575A">
              <w:rPr>
                <w:sz w:val="16"/>
              </w:rPr>
              <w:t>(53.</w:t>
            </w:r>
            <w:r>
              <w:rPr>
                <w:sz w:val="16"/>
              </w:rPr>
              <w:t>8</w:t>
            </w:r>
            <w:r w:rsidRPr="00F2575A">
              <w:rPr>
                <w:sz w:val="16"/>
              </w:rPr>
              <w:t>)</w:t>
            </w:r>
          </w:p>
        </w:tc>
      </w:tr>
      <w:tr w:rsidR="00B23B4A" w:rsidRPr="004F7CA5" w14:paraId="21272E8C" w14:textId="77777777" w:rsidTr="00577845">
        <w:trPr>
          <w:cantSplit/>
          <w:trHeight w:hRule="exact" w:val="359"/>
        </w:trPr>
        <w:tc>
          <w:tcPr>
            <w:tcW w:w="2345" w:type="dxa"/>
            <w:tcBorders>
              <w:top w:val="single" w:sz="4" w:space="0" w:color="0964A7"/>
            </w:tcBorders>
            <w:shd w:val="clear" w:color="auto" w:fill="auto"/>
            <w:vAlign w:val="center"/>
          </w:tcPr>
          <w:p w14:paraId="0A211D35" w14:textId="6A22984F" w:rsidR="004F12A1" w:rsidRPr="000B3903" w:rsidRDefault="004F12A1" w:rsidP="004F12A1">
            <w:pPr>
              <w:spacing w:after="0"/>
              <w:rPr>
                <w:rFonts w:eastAsia="Times New Roman"/>
                <w:b/>
                <w:bCs/>
                <w:noProof/>
                <w:sz w:val="16"/>
                <w:lang w:eastAsia="en-GB"/>
              </w:rPr>
            </w:pPr>
            <w:r w:rsidRPr="000B3903">
              <w:rPr>
                <w:rFonts w:eastAsia="Times New Roman"/>
                <w:b/>
                <w:bCs/>
                <w:noProof/>
                <w:sz w:val="16"/>
                <w:lang w:eastAsia="en-GB"/>
              </w:rPr>
              <w:t>Administrative expenses</w:t>
            </w:r>
            <w:r w:rsidRPr="00433FEC">
              <w:rPr>
                <w:rFonts w:eastAsia="Times New Roman"/>
                <w:b/>
                <w:bCs/>
                <w:noProof/>
                <w:sz w:val="16"/>
                <w:vertAlign w:val="superscript"/>
                <w:lang w:eastAsia="en-GB"/>
              </w:rPr>
              <w:t>1</w:t>
            </w:r>
          </w:p>
        </w:tc>
        <w:tc>
          <w:tcPr>
            <w:tcW w:w="368" w:type="dxa"/>
            <w:tcBorders>
              <w:top w:val="single" w:sz="4" w:space="0" w:color="0964A7"/>
            </w:tcBorders>
            <w:shd w:val="clear" w:color="auto" w:fill="auto"/>
            <w:vAlign w:val="center"/>
          </w:tcPr>
          <w:p w14:paraId="336A3F0A" w14:textId="77777777" w:rsidR="004F12A1" w:rsidRPr="000B3903" w:rsidRDefault="004F12A1" w:rsidP="004F12A1">
            <w:pPr>
              <w:spacing w:after="0"/>
              <w:ind w:right="103"/>
              <w:jc w:val="right"/>
              <w:rPr>
                <w:rFonts w:eastAsia="Times New Roman"/>
                <w:b/>
                <w:bCs/>
                <w:noProof/>
                <w:sz w:val="16"/>
                <w:lang w:eastAsia="en-GB"/>
              </w:rPr>
            </w:pPr>
          </w:p>
        </w:tc>
        <w:tc>
          <w:tcPr>
            <w:tcW w:w="1247" w:type="dxa"/>
            <w:tcBorders>
              <w:top w:val="single" w:sz="4" w:space="0" w:color="0964A7"/>
            </w:tcBorders>
            <w:shd w:val="clear" w:color="auto" w:fill="E4E8ED" w:themeFill="accent4" w:themeFillTint="33"/>
            <w:vAlign w:val="center"/>
          </w:tcPr>
          <w:p w14:paraId="0E0132BC" w14:textId="2A54405E" w:rsidR="004F12A1" w:rsidRPr="002D2015" w:rsidRDefault="00D842CD" w:rsidP="00577845">
            <w:pPr>
              <w:tabs>
                <w:tab w:val="decimal" w:pos="981"/>
                <w:tab w:val="decimal" w:pos="2073"/>
              </w:tabs>
              <w:spacing w:after="0"/>
              <w:ind w:right="103"/>
              <w:rPr>
                <w:rFonts w:eastAsia="Times New Roman"/>
                <w:b/>
                <w:sz w:val="16"/>
                <w:highlight w:val="yellow"/>
                <w:lang w:eastAsia="en-GB"/>
              </w:rPr>
            </w:pPr>
            <w:r>
              <w:rPr>
                <w:b/>
                <w:sz w:val="16"/>
              </w:rPr>
              <w:tab/>
            </w:r>
            <w:r w:rsidR="004F12A1" w:rsidRPr="005F03A6" w:rsidDel="0094071A">
              <w:rPr>
                <w:b/>
                <w:sz w:val="16"/>
              </w:rPr>
              <w:t>(</w:t>
            </w:r>
            <w:r w:rsidR="004F12A1">
              <w:rPr>
                <w:b/>
                <w:sz w:val="16"/>
              </w:rPr>
              <w:t>12</w:t>
            </w:r>
            <w:r w:rsidR="006F596D">
              <w:rPr>
                <w:b/>
                <w:sz w:val="16"/>
              </w:rPr>
              <w:t>6.5</w:t>
            </w:r>
            <w:r w:rsidR="004F12A1">
              <w:rPr>
                <w:b/>
                <w:sz w:val="16"/>
              </w:rPr>
              <w:t>)</w:t>
            </w:r>
          </w:p>
        </w:tc>
        <w:tc>
          <w:tcPr>
            <w:tcW w:w="1247" w:type="dxa"/>
            <w:tcBorders>
              <w:top w:val="single" w:sz="4" w:space="0" w:color="0964A7"/>
            </w:tcBorders>
            <w:shd w:val="clear" w:color="auto" w:fill="E4E8ED" w:themeFill="accent4" w:themeFillTint="33"/>
            <w:vAlign w:val="center"/>
          </w:tcPr>
          <w:p w14:paraId="5F041071" w14:textId="099154F1" w:rsidR="004F12A1" w:rsidRPr="002D2015" w:rsidRDefault="00247800" w:rsidP="004F12A1">
            <w:pPr>
              <w:tabs>
                <w:tab w:val="decimal" w:pos="1005"/>
              </w:tabs>
              <w:spacing w:after="0"/>
              <w:ind w:right="103"/>
              <w:rPr>
                <w:rFonts w:eastAsia="Times New Roman"/>
                <w:b/>
                <w:sz w:val="16"/>
                <w:highlight w:val="yellow"/>
                <w:lang w:eastAsia="en-GB"/>
              </w:rPr>
            </w:pPr>
            <w:r>
              <w:rPr>
                <w:rFonts w:eastAsia="Times New Roman"/>
                <w:b/>
                <w:bCs/>
                <w:noProof/>
                <w:sz w:val="16"/>
                <w:lang w:eastAsia="en-GB"/>
              </w:rPr>
              <w:t>(2.6)</w:t>
            </w:r>
          </w:p>
        </w:tc>
        <w:tc>
          <w:tcPr>
            <w:tcW w:w="1258" w:type="dxa"/>
            <w:tcBorders>
              <w:top w:val="single" w:sz="4" w:space="0" w:color="0964A7"/>
            </w:tcBorders>
            <w:shd w:val="clear" w:color="auto" w:fill="E4E8ED" w:themeFill="accent4" w:themeFillTint="33"/>
            <w:vAlign w:val="center"/>
          </w:tcPr>
          <w:p w14:paraId="39F79718" w14:textId="5C62E096" w:rsidR="004F12A1" w:rsidRPr="002D2015" w:rsidRDefault="004F12A1" w:rsidP="004F12A1">
            <w:pPr>
              <w:tabs>
                <w:tab w:val="decimal" w:pos="887"/>
              </w:tabs>
              <w:spacing w:after="0"/>
              <w:ind w:right="103"/>
              <w:rPr>
                <w:rFonts w:eastAsia="Times New Roman"/>
                <w:b/>
                <w:bCs/>
                <w:noProof/>
                <w:sz w:val="16"/>
                <w:highlight w:val="yellow"/>
                <w:lang w:eastAsia="en-GB"/>
              </w:rPr>
            </w:pPr>
            <w:r>
              <w:rPr>
                <w:b/>
                <w:sz w:val="16"/>
              </w:rPr>
              <w:t>(12</w:t>
            </w:r>
            <w:r w:rsidR="006F596D">
              <w:rPr>
                <w:b/>
                <w:sz w:val="16"/>
              </w:rPr>
              <w:t>9</w:t>
            </w:r>
            <w:r>
              <w:rPr>
                <w:b/>
                <w:sz w:val="16"/>
              </w:rPr>
              <w:t>.</w:t>
            </w:r>
            <w:r w:rsidR="006F596D">
              <w:rPr>
                <w:b/>
                <w:sz w:val="16"/>
              </w:rPr>
              <w:t>1</w:t>
            </w:r>
            <w:r>
              <w:rPr>
                <w:b/>
                <w:sz w:val="16"/>
              </w:rPr>
              <w:t>)</w:t>
            </w:r>
          </w:p>
        </w:tc>
        <w:tc>
          <w:tcPr>
            <w:tcW w:w="1249" w:type="dxa"/>
            <w:gridSpan w:val="2"/>
            <w:tcBorders>
              <w:top w:val="single" w:sz="4" w:space="0" w:color="0964A7"/>
            </w:tcBorders>
            <w:shd w:val="clear" w:color="auto" w:fill="auto"/>
            <w:vAlign w:val="center"/>
          </w:tcPr>
          <w:p w14:paraId="6A6C379A" w14:textId="2F61D6A1" w:rsidR="004F12A1" w:rsidRPr="000B3903" w:rsidRDefault="004F12A1" w:rsidP="004F12A1">
            <w:pPr>
              <w:tabs>
                <w:tab w:val="decimal" w:pos="922"/>
              </w:tabs>
              <w:spacing w:after="0"/>
              <w:ind w:right="103"/>
              <w:rPr>
                <w:rFonts w:eastAsia="Times New Roman"/>
                <w:b/>
                <w:bCs/>
                <w:noProof/>
                <w:sz w:val="16"/>
                <w:highlight w:val="yellow"/>
                <w:lang w:eastAsia="en-GB"/>
              </w:rPr>
            </w:pPr>
            <w:r w:rsidRPr="005F03A6" w:rsidDel="0094071A">
              <w:rPr>
                <w:b/>
                <w:sz w:val="16"/>
              </w:rPr>
              <w:t>(</w:t>
            </w:r>
            <w:r>
              <w:rPr>
                <w:b/>
                <w:sz w:val="16"/>
              </w:rPr>
              <w:t>128.7)</w:t>
            </w:r>
          </w:p>
        </w:tc>
        <w:tc>
          <w:tcPr>
            <w:tcW w:w="1085" w:type="dxa"/>
            <w:gridSpan w:val="2"/>
            <w:tcBorders>
              <w:top w:val="single" w:sz="4" w:space="0" w:color="0964A7"/>
            </w:tcBorders>
            <w:shd w:val="clear" w:color="auto" w:fill="auto"/>
            <w:vAlign w:val="center"/>
          </w:tcPr>
          <w:p w14:paraId="549DFE83" w14:textId="64BA2B9D" w:rsidR="004F12A1" w:rsidRPr="00433FEC" w:rsidRDefault="004F12A1" w:rsidP="004F12A1">
            <w:pPr>
              <w:tabs>
                <w:tab w:val="decimal" w:pos="789"/>
              </w:tabs>
              <w:spacing w:after="0"/>
              <w:ind w:right="103"/>
              <w:rPr>
                <w:rFonts w:eastAsia="Times New Roman"/>
                <w:b/>
                <w:bCs/>
                <w:noProof/>
                <w:sz w:val="16"/>
                <w:lang w:eastAsia="en-GB"/>
              </w:rPr>
            </w:pPr>
            <w:r w:rsidRPr="00F2575A">
              <w:rPr>
                <w:rFonts w:eastAsia="Times New Roman"/>
                <w:b/>
                <w:bCs/>
                <w:noProof/>
                <w:sz w:val="16"/>
                <w:lang w:eastAsia="en-GB"/>
              </w:rPr>
              <w:t>(3.</w:t>
            </w:r>
            <w:r>
              <w:rPr>
                <w:rFonts w:eastAsia="Times New Roman"/>
                <w:b/>
                <w:bCs/>
                <w:noProof/>
                <w:sz w:val="16"/>
                <w:lang w:eastAsia="en-GB"/>
              </w:rPr>
              <w:t>5</w:t>
            </w:r>
            <w:r w:rsidRPr="00F2575A">
              <w:rPr>
                <w:rFonts w:eastAsia="Times New Roman"/>
                <w:b/>
                <w:bCs/>
                <w:noProof/>
                <w:sz w:val="16"/>
                <w:lang w:eastAsia="en-GB"/>
              </w:rPr>
              <w:t>)</w:t>
            </w:r>
          </w:p>
        </w:tc>
        <w:tc>
          <w:tcPr>
            <w:tcW w:w="1281" w:type="dxa"/>
            <w:gridSpan w:val="3"/>
            <w:tcBorders>
              <w:top w:val="single" w:sz="4" w:space="0" w:color="0964A7"/>
            </w:tcBorders>
            <w:shd w:val="clear" w:color="auto" w:fill="auto"/>
            <w:vAlign w:val="center"/>
          </w:tcPr>
          <w:p w14:paraId="4C39D330" w14:textId="7D1F688F" w:rsidR="004F12A1" w:rsidRPr="000B3903" w:rsidRDefault="004F12A1" w:rsidP="004F12A1">
            <w:pPr>
              <w:tabs>
                <w:tab w:val="decimal" w:pos="970"/>
              </w:tabs>
              <w:spacing w:after="0"/>
              <w:ind w:right="103"/>
              <w:rPr>
                <w:rFonts w:eastAsia="Times New Roman"/>
                <w:b/>
                <w:bCs/>
                <w:noProof/>
                <w:sz w:val="16"/>
                <w:lang w:eastAsia="en-GB"/>
              </w:rPr>
            </w:pPr>
            <w:r>
              <w:rPr>
                <w:b/>
                <w:sz w:val="16"/>
              </w:rPr>
              <w:t>(132.2)</w:t>
            </w:r>
          </w:p>
        </w:tc>
      </w:tr>
      <w:tr w:rsidR="00B23B4A" w:rsidRPr="004F7CA5" w14:paraId="6CD18CAE" w14:textId="77777777" w:rsidTr="00577845">
        <w:trPr>
          <w:cantSplit/>
          <w:trHeight w:hRule="exact" w:val="359"/>
        </w:trPr>
        <w:tc>
          <w:tcPr>
            <w:tcW w:w="2345" w:type="dxa"/>
            <w:tcBorders>
              <w:top w:val="single" w:sz="4" w:space="0" w:color="0964A7"/>
            </w:tcBorders>
            <w:shd w:val="clear" w:color="auto" w:fill="auto"/>
            <w:vAlign w:val="center"/>
          </w:tcPr>
          <w:p w14:paraId="613DAA54" w14:textId="77415C77" w:rsidR="004F12A1" w:rsidRPr="00054006" w:rsidRDefault="004F12A1" w:rsidP="004F12A1">
            <w:pPr>
              <w:spacing w:after="0"/>
              <w:rPr>
                <w:rFonts w:eastAsia="Times New Roman"/>
                <w:noProof/>
                <w:sz w:val="16"/>
                <w:lang w:eastAsia="en-GB"/>
              </w:rPr>
            </w:pPr>
            <w:r w:rsidRPr="00054006">
              <w:rPr>
                <w:rFonts w:eastAsia="Times New Roman"/>
                <w:noProof/>
                <w:sz w:val="16"/>
                <w:lang w:eastAsia="en-GB"/>
              </w:rPr>
              <w:t xml:space="preserve">Other </w:t>
            </w:r>
            <w:r>
              <w:rPr>
                <w:rFonts w:eastAsia="Times New Roman"/>
                <w:noProof/>
                <w:sz w:val="16"/>
                <w:lang w:eastAsia="en-GB"/>
              </w:rPr>
              <w:t>gains</w:t>
            </w:r>
          </w:p>
        </w:tc>
        <w:tc>
          <w:tcPr>
            <w:tcW w:w="368" w:type="dxa"/>
            <w:tcBorders>
              <w:top w:val="single" w:sz="4" w:space="0" w:color="0964A7"/>
            </w:tcBorders>
            <w:shd w:val="clear" w:color="auto" w:fill="auto"/>
            <w:vAlign w:val="center"/>
          </w:tcPr>
          <w:p w14:paraId="15BC32CF" w14:textId="77777777" w:rsidR="004F12A1" w:rsidRPr="00054006" w:rsidRDefault="004F12A1" w:rsidP="004F12A1">
            <w:pPr>
              <w:spacing w:after="0"/>
              <w:ind w:right="103"/>
              <w:jc w:val="right"/>
              <w:rPr>
                <w:rFonts w:eastAsia="Times New Roman"/>
                <w:noProof/>
                <w:sz w:val="16"/>
                <w:lang w:eastAsia="en-GB"/>
              </w:rPr>
            </w:pPr>
          </w:p>
        </w:tc>
        <w:tc>
          <w:tcPr>
            <w:tcW w:w="1247" w:type="dxa"/>
            <w:tcBorders>
              <w:top w:val="single" w:sz="4" w:space="0" w:color="0964A7"/>
            </w:tcBorders>
            <w:shd w:val="clear" w:color="auto" w:fill="E4E8ED" w:themeFill="accent4" w:themeFillTint="33"/>
            <w:vAlign w:val="center"/>
          </w:tcPr>
          <w:p w14:paraId="6FF5DDF4" w14:textId="2DEC84FD" w:rsidR="004F12A1" w:rsidRPr="002D2015" w:rsidRDefault="00D842CD" w:rsidP="00577845">
            <w:pPr>
              <w:tabs>
                <w:tab w:val="decimal" w:pos="981"/>
                <w:tab w:val="decimal" w:pos="2073"/>
              </w:tabs>
              <w:spacing w:after="0"/>
              <w:ind w:right="103"/>
              <w:rPr>
                <w:rFonts w:eastAsia="Times New Roman"/>
                <w:sz w:val="16"/>
                <w:highlight w:val="yellow"/>
                <w:lang w:eastAsia="en-GB"/>
              </w:rPr>
            </w:pPr>
            <w:r>
              <w:rPr>
                <w:sz w:val="16"/>
              </w:rPr>
              <w:tab/>
            </w:r>
            <w:r w:rsidR="00247800">
              <w:rPr>
                <w:sz w:val="16"/>
              </w:rPr>
              <w:t>3.5</w:t>
            </w:r>
          </w:p>
        </w:tc>
        <w:tc>
          <w:tcPr>
            <w:tcW w:w="1247" w:type="dxa"/>
            <w:tcBorders>
              <w:top w:val="single" w:sz="4" w:space="0" w:color="0964A7"/>
            </w:tcBorders>
            <w:shd w:val="clear" w:color="auto" w:fill="E4E8ED" w:themeFill="accent4" w:themeFillTint="33"/>
            <w:vAlign w:val="center"/>
          </w:tcPr>
          <w:p w14:paraId="4650C0AB" w14:textId="6AC06C3E" w:rsidR="004F12A1" w:rsidRPr="002D2015" w:rsidRDefault="004F12A1" w:rsidP="004F12A1">
            <w:pPr>
              <w:tabs>
                <w:tab w:val="decimal" w:pos="1005"/>
              </w:tabs>
              <w:spacing w:after="0"/>
              <w:ind w:right="103"/>
              <w:rPr>
                <w:rFonts w:eastAsia="Times New Roman"/>
                <w:sz w:val="16"/>
                <w:highlight w:val="yellow"/>
                <w:lang w:eastAsia="en-GB"/>
              </w:rPr>
            </w:pPr>
            <w:r w:rsidRPr="005F03A6">
              <w:rPr>
                <w:sz w:val="16"/>
              </w:rPr>
              <w:t>-</w:t>
            </w:r>
          </w:p>
        </w:tc>
        <w:tc>
          <w:tcPr>
            <w:tcW w:w="1258" w:type="dxa"/>
            <w:tcBorders>
              <w:top w:val="single" w:sz="4" w:space="0" w:color="0964A7"/>
            </w:tcBorders>
            <w:shd w:val="clear" w:color="auto" w:fill="E4E8ED" w:themeFill="accent4" w:themeFillTint="33"/>
            <w:vAlign w:val="center"/>
          </w:tcPr>
          <w:p w14:paraId="22FC30AC" w14:textId="459142C1" w:rsidR="004F12A1" w:rsidRPr="002D2015" w:rsidRDefault="00247800" w:rsidP="004F12A1">
            <w:pPr>
              <w:tabs>
                <w:tab w:val="decimal" w:pos="887"/>
              </w:tabs>
              <w:spacing w:after="0"/>
              <w:ind w:right="103"/>
              <w:rPr>
                <w:rFonts w:eastAsia="Times New Roman"/>
                <w:sz w:val="16"/>
                <w:highlight w:val="yellow"/>
                <w:lang w:eastAsia="en-GB"/>
              </w:rPr>
            </w:pPr>
            <w:r>
              <w:rPr>
                <w:sz w:val="16"/>
              </w:rPr>
              <w:t>3.5</w:t>
            </w:r>
          </w:p>
        </w:tc>
        <w:tc>
          <w:tcPr>
            <w:tcW w:w="1249" w:type="dxa"/>
            <w:gridSpan w:val="2"/>
            <w:tcBorders>
              <w:top w:val="single" w:sz="4" w:space="0" w:color="0964A7"/>
            </w:tcBorders>
            <w:shd w:val="clear" w:color="auto" w:fill="auto"/>
            <w:vAlign w:val="center"/>
          </w:tcPr>
          <w:p w14:paraId="3FE3F413" w14:textId="5773B375" w:rsidR="004F12A1" w:rsidRPr="00054006" w:rsidRDefault="004F12A1" w:rsidP="004F12A1">
            <w:pPr>
              <w:tabs>
                <w:tab w:val="decimal" w:pos="922"/>
              </w:tabs>
              <w:spacing w:after="0"/>
              <w:ind w:right="103"/>
              <w:rPr>
                <w:rFonts w:eastAsia="Times New Roman"/>
                <w:noProof/>
                <w:sz w:val="16"/>
                <w:lang w:eastAsia="en-GB"/>
              </w:rPr>
            </w:pPr>
            <w:r w:rsidRPr="00F2575A">
              <w:rPr>
                <w:sz w:val="16"/>
              </w:rPr>
              <w:t>0.4</w:t>
            </w:r>
          </w:p>
        </w:tc>
        <w:tc>
          <w:tcPr>
            <w:tcW w:w="1085" w:type="dxa"/>
            <w:gridSpan w:val="2"/>
            <w:tcBorders>
              <w:top w:val="single" w:sz="4" w:space="0" w:color="0964A7"/>
            </w:tcBorders>
            <w:shd w:val="clear" w:color="auto" w:fill="auto"/>
            <w:vAlign w:val="center"/>
          </w:tcPr>
          <w:p w14:paraId="27176295" w14:textId="46E657F0" w:rsidR="004F12A1" w:rsidRPr="00260697" w:rsidRDefault="004F12A1" w:rsidP="004F12A1">
            <w:pPr>
              <w:tabs>
                <w:tab w:val="decimal" w:pos="789"/>
              </w:tabs>
              <w:spacing w:after="0"/>
              <w:ind w:right="103"/>
              <w:rPr>
                <w:rFonts w:eastAsia="Times New Roman"/>
                <w:noProof/>
                <w:sz w:val="16"/>
                <w:lang w:eastAsia="en-GB"/>
              </w:rPr>
            </w:pPr>
            <w:r w:rsidRPr="005F03A6">
              <w:rPr>
                <w:sz w:val="16"/>
              </w:rPr>
              <w:t>-</w:t>
            </w:r>
          </w:p>
        </w:tc>
        <w:tc>
          <w:tcPr>
            <w:tcW w:w="1281" w:type="dxa"/>
            <w:gridSpan w:val="3"/>
            <w:tcBorders>
              <w:top w:val="single" w:sz="4" w:space="0" w:color="0964A7"/>
            </w:tcBorders>
            <w:shd w:val="clear" w:color="auto" w:fill="auto"/>
            <w:vAlign w:val="center"/>
          </w:tcPr>
          <w:p w14:paraId="472DB443" w14:textId="5EC5249E" w:rsidR="004F12A1" w:rsidRPr="00054006" w:rsidRDefault="004F12A1" w:rsidP="004F12A1">
            <w:pPr>
              <w:tabs>
                <w:tab w:val="decimal" w:pos="970"/>
              </w:tabs>
              <w:spacing w:after="0"/>
              <w:ind w:right="103"/>
              <w:rPr>
                <w:rFonts w:eastAsia="Times New Roman"/>
                <w:noProof/>
                <w:sz w:val="16"/>
                <w:lang w:eastAsia="en-GB"/>
              </w:rPr>
            </w:pPr>
            <w:r w:rsidRPr="00F2575A">
              <w:rPr>
                <w:sz w:val="16"/>
              </w:rPr>
              <w:t>0.4</w:t>
            </w:r>
          </w:p>
        </w:tc>
      </w:tr>
      <w:tr w:rsidR="00B23B4A" w:rsidRPr="004F7CA5" w14:paraId="4CE12212" w14:textId="77777777" w:rsidTr="00577845">
        <w:trPr>
          <w:cantSplit/>
          <w:trHeight w:hRule="exact" w:val="469"/>
        </w:trPr>
        <w:tc>
          <w:tcPr>
            <w:tcW w:w="2345" w:type="dxa"/>
            <w:tcBorders>
              <w:top w:val="single" w:sz="4" w:space="0" w:color="0964A7"/>
            </w:tcBorders>
            <w:shd w:val="clear" w:color="auto" w:fill="auto"/>
            <w:vAlign w:val="center"/>
          </w:tcPr>
          <w:p w14:paraId="4519DD59" w14:textId="4A0D496D" w:rsidR="004F12A1" w:rsidRPr="00054006" w:rsidRDefault="004F12A1" w:rsidP="004F12A1">
            <w:pPr>
              <w:spacing w:after="0"/>
              <w:rPr>
                <w:rFonts w:eastAsia="Times New Roman"/>
                <w:noProof/>
                <w:sz w:val="16"/>
                <w:lang w:eastAsia="en-GB"/>
              </w:rPr>
            </w:pPr>
            <w:r w:rsidRPr="00054006">
              <w:rPr>
                <w:rFonts w:eastAsia="Times New Roman"/>
                <w:noProof/>
                <w:sz w:val="16"/>
                <w:lang w:eastAsia="en-GB"/>
              </w:rPr>
              <w:t>Amortisation of intangible assets</w:t>
            </w:r>
            <w:r w:rsidRPr="00433FEC">
              <w:rPr>
                <w:rFonts w:eastAsia="Times New Roman"/>
                <w:noProof/>
                <w:sz w:val="16"/>
                <w:vertAlign w:val="superscript"/>
                <w:lang w:eastAsia="en-GB"/>
              </w:rPr>
              <w:t>2</w:t>
            </w:r>
          </w:p>
        </w:tc>
        <w:tc>
          <w:tcPr>
            <w:tcW w:w="368" w:type="dxa"/>
            <w:tcBorders>
              <w:top w:val="single" w:sz="4" w:space="0" w:color="0964A7"/>
            </w:tcBorders>
            <w:shd w:val="clear" w:color="auto" w:fill="auto"/>
            <w:vAlign w:val="center"/>
          </w:tcPr>
          <w:p w14:paraId="0C4D7E1F" w14:textId="77777777" w:rsidR="004F12A1" w:rsidRPr="00054006" w:rsidRDefault="004F12A1" w:rsidP="004F12A1">
            <w:pPr>
              <w:spacing w:after="0"/>
              <w:ind w:right="103"/>
              <w:jc w:val="right"/>
              <w:rPr>
                <w:rFonts w:eastAsia="Times New Roman"/>
                <w:noProof/>
                <w:sz w:val="16"/>
                <w:lang w:eastAsia="en-GB"/>
              </w:rPr>
            </w:pPr>
          </w:p>
        </w:tc>
        <w:tc>
          <w:tcPr>
            <w:tcW w:w="1247" w:type="dxa"/>
            <w:tcBorders>
              <w:top w:val="single" w:sz="4" w:space="0" w:color="0964A7"/>
            </w:tcBorders>
            <w:shd w:val="clear" w:color="auto" w:fill="E4E8ED" w:themeFill="accent4" w:themeFillTint="33"/>
            <w:vAlign w:val="center"/>
          </w:tcPr>
          <w:p w14:paraId="13EC1620" w14:textId="68C8AB64" w:rsidR="004F12A1" w:rsidRPr="002D2015" w:rsidRDefault="00D842CD" w:rsidP="00577845">
            <w:pPr>
              <w:tabs>
                <w:tab w:val="decimal" w:pos="981"/>
                <w:tab w:val="decimal" w:pos="2073"/>
              </w:tabs>
              <w:spacing w:after="0"/>
              <w:ind w:right="103"/>
              <w:rPr>
                <w:rFonts w:eastAsia="Times New Roman"/>
                <w:sz w:val="16"/>
                <w:highlight w:val="yellow"/>
                <w:lang w:eastAsia="en-GB"/>
              </w:rPr>
            </w:pPr>
            <w:r>
              <w:rPr>
                <w:sz w:val="16"/>
              </w:rPr>
              <w:tab/>
            </w:r>
            <w:r w:rsidR="004F12A1" w:rsidRPr="00F2575A">
              <w:rPr>
                <w:sz w:val="16"/>
              </w:rPr>
              <w:t>(1.</w:t>
            </w:r>
            <w:r w:rsidR="006F596D">
              <w:rPr>
                <w:sz w:val="16"/>
              </w:rPr>
              <w:t>2</w:t>
            </w:r>
            <w:r w:rsidR="004F12A1" w:rsidRPr="00F2575A">
              <w:rPr>
                <w:sz w:val="16"/>
              </w:rPr>
              <w:t>)</w:t>
            </w:r>
          </w:p>
        </w:tc>
        <w:tc>
          <w:tcPr>
            <w:tcW w:w="1247" w:type="dxa"/>
            <w:tcBorders>
              <w:top w:val="single" w:sz="4" w:space="0" w:color="0964A7"/>
            </w:tcBorders>
            <w:shd w:val="clear" w:color="auto" w:fill="E4E8ED" w:themeFill="accent4" w:themeFillTint="33"/>
            <w:vAlign w:val="center"/>
          </w:tcPr>
          <w:p w14:paraId="63197934" w14:textId="5131868D" w:rsidR="004F12A1" w:rsidRPr="002D2015" w:rsidRDefault="004F12A1" w:rsidP="004F12A1">
            <w:pPr>
              <w:tabs>
                <w:tab w:val="decimal" w:pos="1005"/>
              </w:tabs>
              <w:spacing w:after="0"/>
              <w:ind w:right="103"/>
              <w:rPr>
                <w:rFonts w:eastAsia="Times New Roman"/>
                <w:sz w:val="16"/>
                <w:highlight w:val="yellow"/>
                <w:lang w:eastAsia="en-GB"/>
              </w:rPr>
            </w:pPr>
            <w:r w:rsidRPr="005F03A6">
              <w:rPr>
                <w:sz w:val="16"/>
              </w:rPr>
              <w:t>-</w:t>
            </w:r>
          </w:p>
        </w:tc>
        <w:tc>
          <w:tcPr>
            <w:tcW w:w="1258" w:type="dxa"/>
            <w:tcBorders>
              <w:top w:val="single" w:sz="4" w:space="0" w:color="0964A7"/>
            </w:tcBorders>
            <w:shd w:val="clear" w:color="auto" w:fill="E4E8ED" w:themeFill="accent4" w:themeFillTint="33"/>
            <w:vAlign w:val="center"/>
          </w:tcPr>
          <w:p w14:paraId="634BA6D7" w14:textId="3E3E4A99" w:rsidR="004F12A1" w:rsidRPr="002D2015" w:rsidRDefault="004F12A1" w:rsidP="004F12A1">
            <w:pPr>
              <w:tabs>
                <w:tab w:val="decimal" w:pos="887"/>
              </w:tabs>
              <w:spacing w:after="0"/>
              <w:ind w:right="103"/>
              <w:rPr>
                <w:rFonts w:eastAsia="Times New Roman"/>
                <w:sz w:val="16"/>
                <w:highlight w:val="yellow"/>
                <w:lang w:eastAsia="en-GB"/>
              </w:rPr>
            </w:pPr>
            <w:r w:rsidRPr="00F2575A">
              <w:rPr>
                <w:sz w:val="16"/>
              </w:rPr>
              <w:t>(1.</w:t>
            </w:r>
            <w:r w:rsidR="006F596D">
              <w:rPr>
                <w:sz w:val="16"/>
              </w:rPr>
              <w:t>2</w:t>
            </w:r>
            <w:r w:rsidRPr="00F2575A">
              <w:rPr>
                <w:sz w:val="16"/>
              </w:rPr>
              <w:t>)</w:t>
            </w:r>
          </w:p>
        </w:tc>
        <w:tc>
          <w:tcPr>
            <w:tcW w:w="1249" w:type="dxa"/>
            <w:gridSpan w:val="2"/>
            <w:tcBorders>
              <w:top w:val="single" w:sz="4" w:space="0" w:color="0964A7"/>
            </w:tcBorders>
            <w:shd w:val="clear" w:color="auto" w:fill="auto"/>
            <w:vAlign w:val="center"/>
          </w:tcPr>
          <w:p w14:paraId="684C75F9" w14:textId="0CB86899" w:rsidR="004F12A1" w:rsidRPr="00054006" w:rsidRDefault="004F12A1" w:rsidP="004F12A1">
            <w:pPr>
              <w:tabs>
                <w:tab w:val="decimal" w:pos="922"/>
              </w:tabs>
              <w:spacing w:after="0"/>
              <w:ind w:right="103"/>
              <w:rPr>
                <w:rFonts w:eastAsia="Times New Roman"/>
                <w:noProof/>
                <w:sz w:val="16"/>
                <w:lang w:eastAsia="en-GB"/>
              </w:rPr>
            </w:pPr>
            <w:r w:rsidRPr="00F2575A">
              <w:rPr>
                <w:sz w:val="16"/>
              </w:rPr>
              <w:t>(1.0)</w:t>
            </w:r>
          </w:p>
        </w:tc>
        <w:tc>
          <w:tcPr>
            <w:tcW w:w="1085" w:type="dxa"/>
            <w:gridSpan w:val="2"/>
            <w:tcBorders>
              <w:top w:val="single" w:sz="4" w:space="0" w:color="0964A7"/>
            </w:tcBorders>
            <w:shd w:val="clear" w:color="auto" w:fill="auto"/>
            <w:vAlign w:val="center"/>
          </w:tcPr>
          <w:p w14:paraId="5856B290" w14:textId="3DB4C0DC" w:rsidR="004F12A1" w:rsidRPr="00260697" w:rsidRDefault="004F12A1" w:rsidP="004F12A1">
            <w:pPr>
              <w:tabs>
                <w:tab w:val="decimal" w:pos="789"/>
              </w:tabs>
              <w:spacing w:after="0"/>
              <w:ind w:right="103"/>
              <w:rPr>
                <w:rFonts w:eastAsia="Times New Roman"/>
                <w:noProof/>
                <w:sz w:val="16"/>
                <w:lang w:eastAsia="en-GB"/>
              </w:rPr>
            </w:pPr>
            <w:r w:rsidRPr="005F03A6">
              <w:rPr>
                <w:sz w:val="16"/>
              </w:rPr>
              <w:t>-</w:t>
            </w:r>
          </w:p>
        </w:tc>
        <w:tc>
          <w:tcPr>
            <w:tcW w:w="1281" w:type="dxa"/>
            <w:gridSpan w:val="3"/>
            <w:tcBorders>
              <w:top w:val="single" w:sz="4" w:space="0" w:color="0964A7"/>
            </w:tcBorders>
            <w:shd w:val="clear" w:color="auto" w:fill="auto"/>
            <w:vAlign w:val="center"/>
          </w:tcPr>
          <w:p w14:paraId="110D27BD" w14:textId="6E710123" w:rsidR="004F12A1" w:rsidRPr="00054006" w:rsidRDefault="004F12A1" w:rsidP="004F12A1">
            <w:pPr>
              <w:tabs>
                <w:tab w:val="decimal" w:pos="970"/>
              </w:tabs>
              <w:spacing w:after="0"/>
              <w:ind w:right="103"/>
              <w:rPr>
                <w:rFonts w:eastAsia="Times New Roman"/>
                <w:noProof/>
                <w:sz w:val="16"/>
                <w:lang w:eastAsia="en-GB"/>
              </w:rPr>
            </w:pPr>
            <w:r w:rsidRPr="00F2575A">
              <w:rPr>
                <w:sz w:val="16"/>
              </w:rPr>
              <w:t>(1.0)</w:t>
            </w:r>
          </w:p>
        </w:tc>
      </w:tr>
      <w:tr w:rsidR="00B23B4A" w:rsidRPr="004F7CA5" w14:paraId="3F60FA2B" w14:textId="77777777" w:rsidTr="00577845">
        <w:trPr>
          <w:cantSplit/>
          <w:trHeight w:hRule="exact" w:val="531"/>
        </w:trPr>
        <w:tc>
          <w:tcPr>
            <w:tcW w:w="2345" w:type="dxa"/>
            <w:tcBorders>
              <w:top w:val="single" w:sz="4" w:space="0" w:color="0964A7"/>
              <w:bottom w:val="single" w:sz="4" w:space="0" w:color="0964A7"/>
            </w:tcBorders>
            <w:shd w:val="clear" w:color="auto" w:fill="auto"/>
            <w:vAlign w:val="center"/>
          </w:tcPr>
          <w:p w14:paraId="454057C1" w14:textId="77777777" w:rsidR="004F12A1" w:rsidRPr="000B3903" w:rsidRDefault="004F12A1" w:rsidP="004F12A1">
            <w:pPr>
              <w:spacing w:after="0"/>
              <w:rPr>
                <w:rFonts w:eastAsia="Times New Roman"/>
                <w:b/>
                <w:bCs/>
                <w:noProof/>
                <w:sz w:val="16"/>
                <w:lang w:eastAsia="en-GB"/>
              </w:rPr>
            </w:pPr>
            <w:r w:rsidRPr="000B3903">
              <w:rPr>
                <w:rFonts w:eastAsia="Times New Roman"/>
                <w:b/>
                <w:bCs/>
                <w:noProof/>
                <w:sz w:val="16"/>
                <w:lang w:eastAsia="en-GB"/>
              </w:rPr>
              <w:t>Operating profit before exceptional items</w:t>
            </w:r>
          </w:p>
        </w:tc>
        <w:tc>
          <w:tcPr>
            <w:tcW w:w="368" w:type="dxa"/>
            <w:tcBorders>
              <w:top w:val="single" w:sz="4" w:space="0" w:color="0964A7"/>
              <w:bottom w:val="single" w:sz="4" w:space="0" w:color="0964A7"/>
            </w:tcBorders>
            <w:shd w:val="clear" w:color="auto" w:fill="auto"/>
            <w:vAlign w:val="center"/>
          </w:tcPr>
          <w:p w14:paraId="50735689" w14:textId="77777777" w:rsidR="004F12A1" w:rsidRPr="000B3903" w:rsidRDefault="004F12A1" w:rsidP="004F12A1">
            <w:pPr>
              <w:spacing w:after="0"/>
              <w:ind w:right="103"/>
              <w:jc w:val="right"/>
              <w:rPr>
                <w:rFonts w:eastAsia="Times New Roman"/>
                <w:b/>
                <w:bCs/>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73CBB449" w14:textId="64E00EC2" w:rsidR="004F12A1" w:rsidRPr="002D2015" w:rsidRDefault="00D842CD" w:rsidP="00577845">
            <w:pPr>
              <w:tabs>
                <w:tab w:val="decimal" w:pos="981"/>
                <w:tab w:val="decimal" w:pos="2073"/>
              </w:tabs>
              <w:spacing w:after="0"/>
              <w:ind w:right="103"/>
              <w:rPr>
                <w:rFonts w:eastAsia="Times New Roman"/>
                <w:b/>
                <w:bCs/>
                <w:noProof/>
                <w:sz w:val="16"/>
                <w:highlight w:val="yellow"/>
                <w:lang w:eastAsia="en-GB"/>
              </w:rPr>
            </w:pPr>
            <w:r>
              <w:rPr>
                <w:b/>
                <w:bCs/>
                <w:sz w:val="16"/>
              </w:rPr>
              <w:tab/>
            </w:r>
            <w:r w:rsidR="006F596D">
              <w:rPr>
                <w:b/>
                <w:bCs/>
                <w:sz w:val="16"/>
              </w:rPr>
              <w:t>45.6</w:t>
            </w:r>
          </w:p>
        </w:tc>
        <w:tc>
          <w:tcPr>
            <w:tcW w:w="1247" w:type="dxa"/>
            <w:tcBorders>
              <w:top w:val="single" w:sz="4" w:space="0" w:color="0964A7"/>
              <w:bottom w:val="single" w:sz="4" w:space="0" w:color="0964A7"/>
            </w:tcBorders>
            <w:shd w:val="clear" w:color="auto" w:fill="E4E8ED" w:themeFill="accent4" w:themeFillTint="33"/>
            <w:vAlign w:val="center"/>
          </w:tcPr>
          <w:p w14:paraId="68D051A6" w14:textId="42B4F874" w:rsidR="004F12A1" w:rsidRPr="002D2015" w:rsidRDefault="00247800" w:rsidP="004F12A1">
            <w:pPr>
              <w:tabs>
                <w:tab w:val="decimal" w:pos="1005"/>
              </w:tabs>
              <w:spacing w:after="0"/>
              <w:ind w:right="103"/>
              <w:rPr>
                <w:rFonts w:eastAsia="Times New Roman"/>
                <w:b/>
                <w:sz w:val="16"/>
                <w:highlight w:val="yellow"/>
                <w:lang w:eastAsia="en-GB"/>
              </w:rPr>
            </w:pPr>
            <w:r>
              <w:rPr>
                <w:rFonts w:eastAsia="Times New Roman"/>
                <w:b/>
                <w:sz w:val="16"/>
                <w:lang w:eastAsia="en-GB"/>
              </w:rPr>
              <w:t>1.3</w:t>
            </w:r>
          </w:p>
        </w:tc>
        <w:tc>
          <w:tcPr>
            <w:tcW w:w="1258" w:type="dxa"/>
            <w:tcBorders>
              <w:top w:val="single" w:sz="4" w:space="0" w:color="0964A7"/>
              <w:bottom w:val="single" w:sz="4" w:space="0" w:color="0964A7"/>
            </w:tcBorders>
            <w:shd w:val="clear" w:color="auto" w:fill="E4E8ED" w:themeFill="accent4" w:themeFillTint="33"/>
            <w:vAlign w:val="center"/>
          </w:tcPr>
          <w:p w14:paraId="1AD93455" w14:textId="68A20D7E" w:rsidR="004F12A1" w:rsidRPr="002D2015" w:rsidRDefault="006F596D" w:rsidP="004F12A1">
            <w:pPr>
              <w:tabs>
                <w:tab w:val="decimal" w:pos="887"/>
              </w:tabs>
              <w:spacing w:after="0"/>
              <w:ind w:right="103"/>
              <w:rPr>
                <w:rFonts w:eastAsia="Times New Roman"/>
                <w:b/>
                <w:bCs/>
                <w:noProof/>
                <w:sz w:val="16"/>
                <w:highlight w:val="yellow"/>
                <w:lang w:eastAsia="en-GB"/>
              </w:rPr>
            </w:pPr>
            <w:r>
              <w:rPr>
                <w:b/>
                <w:bCs/>
                <w:sz w:val="16"/>
              </w:rPr>
              <w:t>46.9</w:t>
            </w:r>
          </w:p>
        </w:tc>
        <w:tc>
          <w:tcPr>
            <w:tcW w:w="1249" w:type="dxa"/>
            <w:gridSpan w:val="2"/>
            <w:tcBorders>
              <w:top w:val="single" w:sz="4" w:space="0" w:color="0964A7"/>
              <w:bottom w:val="single" w:sz="4" w:space="0" w:color="0964A7"/>
            </w:tcBorders>
            <w:shd w:val="clear" w:color="auto" w:fill="auto"/>
            <w:vAlign w:val="center"/>
          </w:tcPr>
          <w:p w14:paraId="19B9715B" w14:textId="199167F0" w:rsidR="004F12A1" w:rsidRPr="007E4108" w:rsidRDefault="004F12A1" w:rsidP="004F12A1">
            <w:pPr>
              <w:tabs>
                <w:tab w:val="decimal" w:pos="922"/>
              </w:tabs>
              <w:spacing w:after="0"/>
              <w:ind w:right="103"/>
              <w:rPr>
                <w:rFonts w:eastAsia="Times New Roman"/>
                <w:b/>
                <w:bCs/>
                <w:noProof/>
                <w:sz w:val="16"/>
                <w:highlight w:val="yellow"/>
                <w:lang w:eastAsia="en-GB"/>
              </w:rPr>
            </w:pPr>
            <w:r w:rsidRPr="00F2575A">
              <w:rPr>
                <w:b/>
                <w:bCs/>
                <w:sz w:val="16"/>
              </w:rPr>
              <w:t>51.3</w:t>
            </w:r>
          </w:p>
        </w:tc>
        <w:tc>
          <w:tcPr>
            <w:tcW w:w="1085" w:type="dxa"/>
            <w:gridSpan w:val="2"/>
            <w:tcBorders>
              <w:top w:val="single" w:sz="4" w:space="0" w:color="0964A7"/>
              <w:bottom w:val="single" w:sz="4" w:space="0" w:color="0964A7"/>
            </w:tcBorders>
            <w:shd w:val="clear" w:color="auto" w:fill="auto"/>
            <w:vAlign w:val="center"/>
          </w:tcPr>
          <w:p w14:paraId="7A3E66AE" w14:textId="2EAB3380" w:rsidR="004F12A1" w:rsidRPr="00433FEC" w:rsidRDefault="004F12A1" w:rsidP="004F12A1">
            <w:pPr>
              <w:tabs>
                <w:tab w:val="decimal" w:pos="789"/>
              </w:tabs>
              <w:spacing w:after="0"/>
              <w:ind w:right="103"/>
              <w:rPr>
                <w:rFonts w:eastAsia="Times New Roman"/>
                <w:b/>
                <w:bCs/>
                <w:noProof/>
                <w:sz w:val="16"/>
                <w:lang w:eastAsia="en-GB"/>
              </w:rPr>
            </w:pPr>
            <w:r w:rsidRPr="00F2575A">
              <w:rPr>
                <w:rFonts w:eastAsia="Times New Roman"/>
                <w:b/>
                <w:sz w:val="16"/>
                <w:lang w:eastAsia="en-GB"/>
              </w:rPr>
              <w:t>(3.1)</w:t>
            </w:r>
          </w:p>
        </w:tc>
        <w:tc>
          <w:tcPr>
            <w:tcW w:w="1281" w:type="dxa"/>
            <w:gridSpan w:val="3"/>
            <w:tcBorders>
              <w:top w:val="single" w:sz="4" w:space="0" w:color="0964A7"/>
              <w:bottom w:val="single" w:sz="4" w:space="0" w:color="0964A7"/>
            </w:tcBorders>
            <w:shd w:val="clear" w:color="auto" w:fill="auto"/>
            <w:vAlign w:val="center"/>
          </w:tcPr>
          <w:p w14:paraId="46F60B02" w14:textId="4C9752EF" w:rsidR="004F12A1" w:rsidRPr="000B3903" w:rsidRDefault="004F12A1" w:rsidP="004F12A1">
            <w:pPr>
              <w:tabs>
                <w:tab w:val="decimal" w:pos="970"/>
              </w:tabs>
              <w:spacing w:after="0"/>
              <w:ind w:right="103"/>
              <w:rPr>
                <w:rFonts w:eastAsia="Times New Roman"/>
                <w:b/>
                <w:bCs/>
                <w:noProof/>
                <w:sz w:val="16"/>
                <w:lang w:eastAsia="en-GB"/>
              </w:rPr>
            </w:pPr>
            <w:r w:rsidRPr="00F2575A">
              <w:rPr>
                <w:b/>
                <w:bCs/>
                <w:sz w:val="16"/>
              </w:rPr>
              <w:t>48.2</w:t>
            </w:r>
          </w:p>
        </w:tc>
      </w:tr>
      <w:tr w:rsidR="00B23B4A" w:rsidRPr="004F7CA5" w14:paraId="490B7109" w14:textId="77777777" w:rsidTr="00577845">
        <w:trPr>
          <w:cantSplit/>
          <w:trHeight w:hRule="exact" w:val="359"/>
        </w:trPr>
        <w:tc>
          <w:tcPr>
            <w:tcW w:w="2345" w:type="dxa"/>
            <w:tcBorders>
              <w:top w:val="single" w:sz="4" w:space="0" w:color="0964A7"/>
              <w:bottom w:val="single" w:sz="4" w:space="0" w:color="0964A7"/>
            </w:tcBorders>
            <w:shd w:val="clear" w:color="auto" w:fill="auto"/>
            <w:vAlign w:val="center"/>
          </w:tcPr>
          <w:p w14:paraId="77985DCA" w14:textId="21853B24" w:rsidR="004F12A1" w:rsidRPr="004F7CA5" w:rsidRDefault="004F12A1" w:rsidP="004F12A1">
            <w:pPr>
              <w:spacing w:after="0"/>
              <w:rPr>
                <w:rFonts w:eastAsia="Times New Roman"/>
                <w:noProof/>
                <w:sz w:val="16"/>
                <w:lang w:eastAsia="en-GB"/>
              </w:rPr>
            </w:pPr>
            <w:r>
              <w:rPr>
                <w:sz w:val="16"/>
              </w:rPr>
              <w:t>Net f</w:t>
            </w:r>
            <w:r w:rsidRPr="009836EC">
              <w:rPr>
                <w:sz w:val="16"/>
              </w:rPr>
              <w:t xml:space="preserve">inance </w:t>
            </w:r>
            <w:r w:rsidR="00BC5068">
              <w:rPr>
                <w:sz w:val="16"/>
              </w:rPr>
              <w:t>income</w:t>
            </w:r>
            <w:r w:rsidR="00896D4E">
              <w:rPr>
                <w:sz w:val="16"/>
              </w:rPr>
              <w:t>/</w:t>
            </w:r>
            <w:r w:rsidR="00BC5068">
              <w:rPr>
                <w:sz w:val="16"/>
              </w:rPr>
              <w:t>(</w:t>
            </w:r>
            <w:r w:rsidRPr="009836EC">
              <w:rPr>
                <w:sz w:val="16"/>
              </w:rPr>
              <w:t>costs</w:t>
            </w:r>
            <w:r w:rsidR="00BC5068">
              <w:rPr>
                <w:sz w:val="16"/>
              </w:rPr>
              <w:t>)</w:t>
            </w:r>
          </w:p>
        </w:tc>
        <w:tc>
          <w:tcPr>
            <w:tcW w:w="368" w:type="dxa"/>
            <w:tcBorders>
              <w:top w:val="single" w:sz="4" w:space="0" w:color="0964A7"/>
              <w:bottom w:val="single" w:sz="4" w:space="0" w:color="0964A7"/>
            </w:tcBorders>
            <w:shd w:val="clear" w:color="auto" w:fill="auto"/>
            <w:vAlign w:val="center"/>
          </w:tcPr>
          <w:p w14:paraId="2B53060B" w14:textId="77777777" w:rsidR="004F12A1" w:rsidRPr="004F7CA5" w:rsidRDefault="004F12A1" w:rsidP="004F12A1">
            <w:pPr>
              <w:spacing w:after="0"/>
              <w:ind w:right="103"/>
              <w:jc w:val="right"/>
              <w:rPr>
                <w:rFonts w:eastAsia="Times New Roman"/>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2B1BB0FC" w14:textId="75F9B680" w:rsidR="004F12A1" w:rsidRPr="002D2015" w:rsidRDefault="00D842CD" w:rsidP="00577845">
            <w:pPr>
              <w:tabs>
                <w:tab w:val="decimal" w:pos="981"/>
                <w:tab w:val="decimal" w:pos="2073"/>
              </w:tabs>
              <w:spacing w:after="0"/>
              <w:ind w:right="103"/>
              <w:rPr>
                <w:rFonts w:eastAsia="Times New Roman"/>
                <w:sz w:val="16"/>
                <w:highlight w:val="yellow"/>
                <w:lang w:eastAsia="en-GB"/>
              </w:rPr>
            </w:pPr>
            <w:r>
              <w:rPr>
                <w:sz w:val="16"/>
              </w:rPr>
              <w:tab/>
            </w:r>
            <w:r w:rsidR="004F12A1" w:rsidRPr="00F2575A">
              <w:rPr>
                <w:sz w:val="16"/>
              </w:rPr>
              <w:t>1.</w:t>
            </w:r>
            <w:r w:rsidR="00BC5068">
              <w:rPr>
                <w:sz w:val="16"/>
              </w:rPr>
              <w:t>0</w:t>
            </w:r>
          </w:p>
        </w:tc>
        <w:tc>
          <w:tcPr>
            <w:tcW w:w="1247" w:type="dxa"/>
            <w:tcBorders>
              <w:top w:val="single" w:sz="4" w:space="0" w:color="0964A7"/>
              <w:bottom w:val="single" w:sz="4" w:space="0" w:color="0964A7"/>
            </w:tcBorders>
            <w:shd w:val="clear" w:color="auto" w:fill="E4E8ED" w:themeFill="accent4" w:themeFillTint="33"/>
            <w:vAlign w:val="center"/>
          </w:tcPr>
          <w:p w14:paraId="606176FB" w14:textId="5BCEBA23" w:rsidR="004F12A1" w:rsidRPr="002D2015" w:rsidRDefault="004F12A1" w:rsidP="004F12A1">
            <w:pPr>
              <w:tabs>
                <w:tab w:val="decimal" w:pos="1005"/>
              </w:tabs>
              <w:spacing w:after="0"/>
              <w:ind w:right="103"/>
              <w:rPr>
                <w:rFonts w:eastAsia="Times New Roman"/>
                <w:sz w:val="16"/>
                <w:highlight w:val="yellow"/>
                <w:lang w:eastAsia="en-GB"/>
              </w:rPr>
            </w:pPr>
            <w:r w:rsidRPr="005F03A6">
              <w:rPr>
                <w:sz w:val="16"/>
              </w:rPr>
              <w:t>-</w:t>
            </w:r>
          </w:p>
        </w:tc>
        <w:tc>
          <w:tcPr>
            <w:tcW w:w="1258" w:type="dxa"/>
            <w:tcBorders>
              <w:top w:val="single" w:sz="4" w:space="0" w:color="0964A7"/>
              <w:bottom w:val="single" w:sz="4" w:space="0" w:color="0964A7"/>
            </w:tcBorders>
            <w:shd w:val="clear" w:color="auto" w:fill="E4E8ED" w:themeFill="accent4" w:themeFillTint="33"/>
            <w:vAlign w:val="center"/>
          </w:tcPr>
          <w:p w14:paraId="161E674F" w14:textId="0B3DBC0D" w:rsidR="004F12A1" w:rsidRPr="002D2015" w:rsidRDefault="004F12A1" w:rsidP="004F12A1">
            <w:pPr>
              <w:tabs>
                <w:tab w:val="decimal" w:pos="887"/>
              </w:tabs>
              <w:spacing w:after="0"/>
              <w:ind w:right="103"/>
              <w:rPr>
                <w:rFonts w:eastAsia="Times New Roman"/>
                <w:sz w:val="16"/>
                <w:highlight w:val="yellow"/>
                <w:lang w:eastAsia="en-GB"/>
              </w:rPr>
            </w:pPr>
            <w:r w:rsidRPr="00F2575A">
              <w:rPr>
                <w:sz w:val="16"/>
              </w:rPr>
              <w:t>1.</w:t>
            </w:r>
            <w:r w:rsidR="00BC5068">
              <w:rPr>
                <w:sz w:val="16"/>
              </w:rPr>
              <w:t>0</w:t>
            </w:r>
          </w:p>
        </w:tc>
        <w:tc>
          <w:tcPr>
            <w:tcW w:w="1249" w:type="dxa"/>
            <w:gridSpan w:val="2"/>
            <w:tcBorders>
              <w:top w:val="single" w:sz="4" w:space="0" w:color="0964A7"/>
              <w:bottom w:val="single" w:sz="4" w:space="0" w:color="0964A7"/>
            </w:tcBorders>
            <w:shd w:val="clear" w:color="auto" w:fill="auto"/>
            <w:vAlign w:val="center"/>
          </w:tcPr>
          <w:p w14:paraId="276DF94C" w14:textId="7A4D180F" w:rsidR="004F12A1" w:rsidRPr="009836EC" w:rsidRDefault="004F12A1" w:rsidP="004F12A1">
            <w:pPr>
              <w:tabs>
                <w:tab w:val="decimal" w:pos="922"/>
              </w:tabs>
              <w:spacing w:after="0"/>
              <w:ind w:right="103"/>
              <w:rPr>
                <w:rFonts w:eastAsia="Times New Roman"/>
                <w:noProof/>
                <w:sz w:val="16"/>
                <w:lang w:eastAsia="en-GB"/>
              </w:rPr>
            </w:pPr>
            <w:r w:rsidRPr="00F2575A">
              <w:rPr>
                <w:sz w:val="16"/>
              </w:rPr>
              <w:t>(1.8)</w:t>
            </w:r>
          </w:p>
        </w:tc>
        <w:tc>
          <w:tcPr>
            <w:tcW w:w="1085" w:type="dxa"/>
            <w:gridSpan w:val="2"/>
            <w:tcBorders>
              <w:top w:val="single" w:sz="4" w:space="0" w:color="0964A7"/>
              <w:bottom w:val="single" w:sz="4" w:space="0" w:color="0964A7"/>
            </w:tcBorders>
            <w:shd w:val="clear" w:color="auto" w:fill="auto"/>
            <w:vAlign w:val="center"/>
          </w:tcPr>
          <w:p w14:paraId="4101A9E8" w14:textId="41A4C452" w:rsidR="004F12A1" w:rsidRPr="00260697" w:rsidRDefault="004F12A1" w:rsidP="004F12A1">
            <w:pPr>
              <w:tabs>
                <w:tab w:val="decimal" w:pos="789"/>
              </w:tabs>
              <w:spacing w:after="0"/>
              <w:ind w:right="103"/>
              <w:rPr>
                <w:rFonts w:eastAsia="Times New Roman"/>
                <w:noProof/>
                <w:sz w:val="16"/>
                <w:lang w:eastAsia="en-GB"/>
              </w:rPr>
            </w:pPr>
            <w:r w:rsidRPr="005F03A6">
              <w:rPr>
                <w:sz w:val="16"/>
              </w:rPr>
              <w:t>-</w:t>
            </w:r>
          </w:p>
        </w:tc>
        <w:tc>
          <w:tcPr>
            <w:tcW w:w="1281" w:type="dxa"/>
            <w:gridSpan w:val="3"/>
            <w:tcBorders>
              <w:top w:val="single" w:sz="4" w:space="0" w:color="0964A7"/>
              <w:bottom w:val="single" w:sz="4" w:space="0" w:color="0964A7"/>
            </w:tcBorders>
            <w:shd w:val="clear" w:color="auto" w:fill="auto"/>
            <w:vAlign w:val="center"/>
          </w:tcPr>
          <w:p w14:paraId="77E00630" w14:textId="1AEEFD20" w:rsidR="004F12A1" w:rsidRPr="009836EC" w:rsidRDefault="004F12A1" w:rsidP="004F12A1">
            <w:pPr>
              <w:tabs>
                <w:tab w:val="decimal" w:pos="970"/>
              </w:tabs>
              <w:spacing w:after="0"/>
              <w:ind w:right="103"/>
              <w:rPr>
                <w:rFonts w:eastAsia="Times New Roman"/>
                <w:noProof/>
                <w:sz w:val="16"/>
                <w:lang w:eastAsia="en-GB"/>
              </w:rPr>
            </w:pPr>
            <w:r w:rsidRPr="00F2575A">
              <w:rPr>
                <w:sz w:val="16"/>
              </w:rPr>
              <w:t>(1.8)</w:t>
            </w:r>
          </w:p>
        </w:tc>
      </w:tr>
      <w:tr w:rsidR="00B23B4A" w:rsidRPr="004F7CA5" w14:paraId="5CA9B839" w14:textId="77777777" w:rsidTr="00577845">
        <w:trPr>
          <w:cantSplit/>
          <w:trHeight w:hRule="exact" w:val="487"/>
        </w:trPr>
        <w:tc>
          <w:tcPr>
            <w:tcW w:w="2345" w:type="dxa"/>
            <w:tcBorders>
              <w:top w:val="single" w:sz="4" w:space="0" w:color="0964A7"/>
              <w:bottom w:val="single" w:sz="4" w:space="0" w:color="0964A7"/>
            </w:tcBorders>
            <w:shd w:val="clear" w:color="auto" w:fill="auto"/>
            <w:vAlign w:val="center"/>
          </w:tcPr>
          <w:p w14:paraId="6F6CD8CE" w14:textId="71656371" w:rsidR="004F12A1" w:rsidRPr="000B3903" w:rsidRDefault="004F12A1" w:rsidP="004F12A1">
            <w:pPr>
              <w:spacing w:after="0"/>
              <w:rPr>
                <w:b/>
                <w:bCs/>
                <w:sz w:val="16"/>
              </w:rPr>
            </w:pPr>
            <w:r w:rsidRPr="000B3903">
              <w:rPr>
                <w:b/>
                <w:bCs/>
                <w:sz w:val="16"/>
              </w:rPr>
              <w:t>Profit before taxation and exceptional items</w:t>
            </w:r>
          </w:p>
        </w:tc>
        <w:tc>
          <w:tcPr>
            <w:tcW w:w="368" w:type="dxa"/>
            <w:tcBorders>
              <w:top w:val="single" w:sz="4" w:space="0" w:color="0964A7"/>
              <w:bottom w:val="single" w:sz="4" w:space="0" w:color="0964A7"/>
            </w:tcBorders>
            <w:shd w:val="clear" w:color="auto" w:fill="auto"/>
            <w:vAlign w:val="center"/>
          </w:tcPr>
          <w:p w14:paraId="3DC63B64" w14:textId="77777777" w:rsidR="004F12A1" w:rsidRPr="000B3903" w:rsidRDefault="004F12A1" w:rsidP="004F12A1">
            <w:pPr>
              <w:spacing w:after="0"/>
              <w:ind w:right="103"/>
              <w:jc w:val="right"/>
              <w:rPr>
                <w:rFonts w:eastAsia="Times New Roman"/>
                <w:b/>
                <w:bCs/>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78E13C2C" w14:textId="79872F56" w:rsidR="004F12A1" w:rsidRPr="002D2015" w:rsidRDefault="00D842CD" w:rsidP="00577845">
            <w:pPr>
              <w:tabs>
                <w:tab w:val="decimal" w:pos="981"/>
                <w:tab w:val="decimal" w:pos="2073"/>
              </w:tabs>
              <w:spacing w:after="0"/>
              <w:ind w:right="103"/>
              <w:rPr>
                <w:rFonts w:eastAsia="Times New Roman"/>
                <w:b/>
                <w:sz w:val="16"/>
                <w:highlight w:val="yellow"/>
                <w:lang w:eastAsia="en-GB"/>
              </w:rPr>
            </w:pPr>
            <w:r>
              <w:rPr>
                <w:b/>
                <w:bCs/>
                <w:sz w:val="16"/>
              </w:rPr>
              <w:tab/>
            </w:r>
            <w:r w:rsidR="004F12A1" w:rsidRPr="00F2575A">
              <w:rPr>
                <w:b/>
                <w:bCs/>
                <w:sz w:val="16"/>
              </w:rPr>
              <w:t>4</w:t>
            </w:r>
            <w:r w:rsidR="00BC5068">
              <w:rPr>
                <w:b/>
                <w:bCs/>
                <w:sz w:val="16"/>
              </w:rPr>
              <w:t>6</w:t>
            </w:r>
            <w:r w:rsidR="004F12A1" w:rsidRPr="00F2575A">
              <w:rPr>
                <w:b/>
                <w:bCs/>
                <w:sz w:val="16"/>
              </w:rPr>
              <w:t>.</w:t>
            </w:r>
            <w:r w:rsidR="00BC5068">
              <w:rPr>
                <w:b/>
                <w:bCs/>
                <w:sz w:val="16"/>
              </w:rPr>
              <w:t>6</w:t>
            </w:r>
          </w:p>
        </w:tc>
        <w:tc>
          <w:tcPr>
            <w:tcW w:w="1247" w:type="dxa"/>
            <w:tcBorders>
              <w:top w:val="single" w:sz="4" w:space="0" w:color="0964A7"/>
              <w:bottom w:val="single" w:sz="4" w:space="0" w:color="0964A7"/>
            </w:tcBorders>
            <w:shd w:val="clear" w:color="auto" w:fill="E4E8ED" w:themeFill="accent4" w:themeFillTint="33"/>
            <w:vAlign w:val="center"/>
          </w:tcPr>
          <w:p w14:paraId="73CE63CF" w14:textId="4D1D2760" w:rsidR="004F12A1" w:rsidRPr="002D2015" w:rsidRDefault="00247800" w:rsidP="004F12A1">
            <w:pPr>
              <w:tabs>
                <w:tab w:val="decimal" w:pos="1005"/>
              </w:tabs>
              <w:spacing w:after="0"/>
              <w:ind w:right="103"/>
              <w:rPr>
                <w:rFonts w:eastAsia="Times New Roman"/>
                <w:b/>
                <w:sz w:val="16"/>
                <w:highlight w:val="yellow"/>
                <w:lang w:eastAsia="en-GB"/>
              </w:rPr>
            </w:pPr>
            <w:r>
              <w:rPr>
                <w:rFonts w:eastAsia="Times New Roman"/>
                <w:b/>
                <w:bCs/>
                <w:noProof/>
                <w:sz w:val="16"/>
                <w:lang w:eastAsia="en-GB"/>
              </w:rPr>
              <w:t>1.3</w:t>
            </w:r>
          </w:p>
        </w:tc>
        <w:tc>
          <w:tcPr>
            <w:tcW w:w="1258" w:type="dxa"/>
            <w:tcBorders>
              <w:top w:val="single" w:sz="4" w:space="0" w:color="0964A7"/>
              <w:bottom w:val="single" w:sz="4" w:space="0" w:color="0964A7"/>
            </w:tcBorders>
            <w:shd w:val="clear" w:color="auto" w:fill="E4E8ED" w:themeFill="accent4" w:themeFillTint="33"/>
            <w:vAlign w:val="center"/>
          </w:tcPr>
          <w:p w14:paraId="4FD7F7E8" w14:textId="6A3BE9B6" w:rsidR="004F12A1" w:rsidRPr="002D2015" w:rsidRDefault="004F12A1" w:rsidP="004F12A1">
            <w:pPr>
              <w:tabs>
                <w:tab w:val="decimal" w:pos="887"/>
              </w:tabs>
              <w:spacing w:after="0"/>
              <w:ind w:right="103"/>
              <w:rPr>
                <w:rFonts w:eastAsia="Times New Roman"/>
                <w:b/>
                <w:sz w:val="16"/>
                <w:highlight w:val="yellow"/>
                <w:lang w:eastAsia="en-GB"/>
              </w:rPr>
            </w:pPr>
            <w:r w:rsidRPr="00F2575A">
              <w:rPr>
                <w:b/>
                <w:bCs/>
                <w:sz w:val="16"/>
              </w:rPr>
              <w:t>4</w:t>
            </w:r>
            <w:r w:rsidR="00BC5068">
              <w:rPr>
                <w:b/>
                <w:bCs/>
                <w:sz w:val="16"/>
              </w:rPr>
              <w:t>7</w:t>
            </w:r>
            <w:r w:rsidRPr="00F2575A">
              <w:rPr>
                <w:b/>
                <w:bCs/>
                <w:sz w:val="16"/>
              </w:rPr>
              <w:t>.</w:t>
            </w:r>
            <w:r w:rsidR="00BC5068">
              <w:rPr>
                <w:b/>
                <w:bCs/>
                <w:sz w:val="16"/>
              </w:rPr>
              <w:t>9</w:t>
            </w:r>
          </w:p>
        </w:tc>
        <w:tc>
          <w:tcPr>
            <w:tcW w:w="1249" w:type="dxa"/>
            <w:gridSpan w:val="2"/>
            <w:tcBorders>
              <w:top w:val="single" w:sz="4" w:space="0" w:color="0964A7"/>
              <w:bottom w:val="single" w:sz="4" w:space="0" w:color="0964A7"/>
            </w:tcBorders>
            <w:shd w:val="clear" w:color="auto" w:fill="auto"/>
            <w:vAlign w:val="center"/>
          </w:tcPr>
          <w:p w14:paraId="2B4E54ED" w14:textId="7AA0E84A" w:rsidR="004F12A1" w:rsidRPr="000B3903" w:rsidRDefault="004F12A1" w:rsidP="004F12A1">
            <w:pPr>
              <w:tabs>
                <w:tab w:val="decimal" w:pos="922"/>
              </w:tabs>
              <w:spacing w:after="0"/>
              <w:ind w:right="103"/>
              <w:rPr>
                <w:rFonts w:eastAsia="Times New Roman"/>
                <w:b/>
                <w:bCs/>
                <w:noProof/>
                <w:sz w:val="16"/>
                <w:lang w:eastAsia="en-GB"/>
              </w:rPr>
            </w:pPr>
            <w:r w:rsidRPr="00F2575A">
              <w:rPr>
                <w:b/>
                <w:bCs/>
                <w:sz w:val="16"/>
              </w:rPr>
              <w:t>49.5</w:t>
            </w:r>
          </w:p>
        </w:tc>
        <w:tc>
          <w:tcPr>
            <w:tcW w:w="1085" w:type="dxa"/>
            <w:gridSpan w:val="2"/>
            <w:tcBorders>
              <w:top w:val="single" w:sz="4" w:space="0" w:color="0964A7"/>
              <w:bottom w:val="single" w:sz="4" w:space="0" w:color="0964A7"/>
            </w:tcBorders>
            <w:shd w:val="clear" w:color="auto" w:fill="auto"/>
            <w:vAlign w:val="center"/>
          </w:tcPr>
          <w:p w14:paraId="771CD32C" w14:textId="3019B975" w:rsidR="004F12A1" w:rsidRPr="00433FEC" w:rsidRDefault="004F12A1" w:rsidP="004F12A1">
            <w:pPr>
              <w:tabs>
                <w:tab w:val="decimal" w:pos="789"/>
              </w:tabs>
              <w:spacing w:after="0"/>
              <w:ind w:right="103"/>
              <w:rPr>
                <w:rFonts w:eastAsia="Times New Roman"/>
                <w:noProof/>
                <w:sz w:val="16"/>
                <w:lang w:eastAsia="en-GB"/>
              </w:rPr>
            </w:pPr>
            <w:r>
              <w:rPr>
                <w:rFonts w:eastAsia="Times New Roman"/>
                <w:b/>
                <w:bCs/>
                <w:noProof/>
                <w:sz w:val="16"/>
                <w:lang w:eastAsia="en-GB"/>
              </w:rPr>
              <w:t>(3.1)</w:t>
            </w:r>
          </w:p>
        </w:tc>
        <w:tc>
          <w:tcPr>
            <w:tcW w:w="1281" w:type="dxa"/>
            <w:gridSpan w:val="3"/>
            <w:tcBorders>
              <w:top w:val="single" w:sz="4" w:space="0" w:color="0964A7"/>
              <w:bottom w:val="single" w:sz="4" w:space="0" w:color="0964A7"/>
            </w:tcBorders>
            <w:shd w:val="clear" w:color="auto" w:fill="auto"/>
            <w:vAlign w:val="center"/>
          </w:tcPr>
          <w:p w14:paraId="27DE3F57" w14:textId="3C1B8ED2" w:rsidR="004F12A1" w:rsidRPr="000B3903" w:rsidRDefault="004F12A1" w:rsidP="004F12A1">
            <w:pPr>
              <w:tabs>
                <w:tab w:val="decimal" w:pos="970"/>
              </w:tabs>
              <w:spacing w:after="0"/>
              <w:ind w:right="103"/>
              <w:rPr>
                <w:rFonts w:eastAsia="Times New Roman"/>
                <w:b/>
                <w:bCs/>
                <w:noProof/>
                <w:sz w:val="16"/>
                <w:lang w:eastAsia="en-GB"/>
              </w:rPr>
            </w:pPr>
            <w:r w:rsidRPr="00F2575A">
              <w:rPr>
                <w:b/>
                <w:bCs/>
                <w:sz w:val="16"/>
              </w:rPr>
              <w:t>46.4</w:t>
            </w:r>
          </w:p>
        </w:tc>
      </w:tr>
      <w:tr w:rsidR="00B23B4A" w:rsidRPr="004F7CA5" w14:paraId="19B7CC7E" w14:textId="77777777" w:rsidTr="00577845">
        <w:trPr>
          <w:cantSplit/>
          <w:trHeight w:hRule="exact" w:val="359"/>
        </w:trPr>
        <w:tc>
          <w:tcPr>
            <w:tcW w:w="2345" w:type="dxa"/>
            <w:tcBorders>
              <w:top w:val="single" w:sz="4" w:space="0" w:color="0964A7"/>
              <w:bottom w:val="single" w:sz="4" w:space="0" w:color="0964A7"/>
            </w:tcBorders>
            <w:shd w:val="clear" w:color="auto" w:fill="auto"/>
            <w:vAlign w:val="center"/>
          </w:tcPr>
          <w:p w14:paraId="52E1288D" w14:textId="6BBFD529" w:rsidR="004F12A1" w:rsidRPr="00433FEC" w:rsidRDefault="004F12A1" w:rsidP="004F12A1">
            <w:pPr>
              <w:spacing w:after="0"/>
              <w:rPr>
                <w:sz w:val="16"/>
              </w:rPr>
            </w:pPr>
            <w:r w:rsidRPr="00433FEC">
              <w:rPr>
                <w:sz w:val="16"/>
              </w:rPr>
              <w:t>Exceptional items</w:t>
            </w:r>
          </w:p>
        </w:tc>
        <w:tc>
          <w:tcPr>
            <w:tcW w:w="368" w:type="dxa"/>
            <w:tcBorders>
              <w:top w:val="single" w:sz="4" w:space="0" w:color="0964A7"/>
              <w:bottom w:val="single" w:sz="4" w:space="0" w:color="0964A7"/>
            </w:tcBorders>
            <w:shd w:val="clear" w:color="auto" w:fill="auto"/>
            <w:vAlign w:val="center"/>
          </w:tcPr>
          <w:p w14:paraId="22DD8829" w14:textId="77777777" w:rsidR="004F12A1" w:rsidRPr="000B3903" w:rsidRDefault="004F12A1" w:rsidP="004F12A1">
            <w:pPr>
              <w:spacing w:after="0"/>
              <w:ind w:right="103"/>
              <w:jc w:val="right"/>
              <w:rPr>
                <w:rFonts w:eastAsia="Times New Roman"/>
                <w:b/>
                <w:bCs/>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27BD45B1" w14:textId="1EC8D92C" w:rsidR="004F12A1" w:rsidRPr="002D2015" w:rsidRDefault="00D842CD" w:rsidP="00577845">
            <w:pPr>
              <w:tabs>
                <w:tab w:val="decimal" w:pos="981"/>
                <w:tab w:val="decimal" w:pos="2073"/>
              </w:tabs>
              <w:spacing w:after="0"/>
              <w:ind w:right="103" w:firstLine="275"/>
              <w:rPr>
                <w:rFonts w:eastAsia="Times New Roman"/>
                <w:sz w:val="16"/>
                <w:highlight w:val="yellow"/>
                <w:lang w:eastAsia="en-GB"/>
              </w:rPr>
            </w:pPr>
            <w:r>
              <w:rPr>
                <w:rFonts w:eastAsia="Times New Roman"/>
                <w:sz w:val="16"/>
                <w:lang w:eastAsia="en-GB"/>
              </w:rPr>
              <w:tab/>
            </w:r>
            <w:r w:rsidR="004F12A1">
              <w:rPr>
                <w:rFonts w:eastAsia="Times New Roman"/>
                <w:sz w:val="16"/>
                <w:lang w:eastAsia="en-GB"/>
              </w:rPr>
              <w:t>(</w:t>
            </w:r>
            <w:r w:rsidR="00BC5068">
              <w:rPr>
                <w:rFonts w:eastAsia="Times New Roman"/>
                <w:sz w:val="16"/>
                <w:lang w:eastAsia="en-GB"/>
              </w:rPr>
              <w:t>9.2</w:t>
            </w:r>
            <w:r w:rsidR="004F12A1">
              <w:rPr>
                <w:rFonts w:eastAsia="Times New Roman"/>
                <w:sz w:val="16"/>
                <w:lang w:eastAsia="en-GB"/>
              </w:rPr>
              <w:t>)</w:t>
            </w:r>
          </w:p>
        </w:tc>
        <w:tc>
          <w:tcPr>
            <w:tcW w:w="1247" w:type="dxa"/>
            <w:tcBorders>
              <w:top w:val="single" w:sz="4" w:space="0" w:color="0964A7"/>
              <w:bottom w:val="single" w:sz="4" w:space="0" w:color="0964A7"/>
            </w:tcBorders>
            <w:shd w:val="clear" w:color="auto" w:fill="E4E8ED" w:themeFill="accent4" w:themeFillTint="33"/>
            <w:vAlign w:val="center"/>
          </w:tcPr>
          <w:p w14:paraId="23276501" w14:textId="71E4566E" w:rsidR="004F12A1" w:rsidRPr="002D2015" w:rsidRDefault="004F12A1" w:rsidP="004F12A1">
            <w:pPr>
              <w:tabs>
                <w:tab w:val="decimal" w:pos="1005"/>
              </w:tabs>
              <w:spacing w:after="0"/>
              <w:ind w:right="103"/>
              <w:rPr>
                <w:rFonts w:eastAsia="Times New Roman"/>
                <w:sz w:val="16"/>
                <w:highlight w:val="yellow"/>
                <w:lang w:eastAsia="en-GB"/>
              </w:rPr>
            </w:pPr>
            <w:r>
              <w:rPr>
                <w:bCs/>
                <w:sz w:val="16"/>
              </w:rPr>
              <w:t>-</w:t>
            </w:r>
          </w:p>
        </w:tc>
        <w:tc>
          <w:tcPr>
            <w:tcW w:w="1258" w:type="dxa"/>
            <w:tcBorders>
              <w:top w:val="single" w:sz="4" w:space="0" w:color="0964A7"/>
              <w:bottom w:val="single" w:sz="4" w:space="0" w:color="0964A7"/>
            </w:tcBorders>
            <w:shd w:val="clear" w:color="auto" w:fill="E4E8ED" w:themeFill="accent4" w:themeFillTint="33"/>
            <w:vAlign w:val="center"/>
          </w:tcPr>
          <w:p w14:paraId="395A98B4" w14:textId="368E4B67" w:rsidR="004F12A1" w:rsidRPr="002D2015" w:rsidRDefault="004F12A1" w:rsidP="004F12A1">
            <w:pPr>
              <w:tabs>
                <w:tab w:val="decimal" w:pos="887"/>
              </w:tabs>
              <w:spacing w:after="0"/>
              <w:ind w:right="103"/>
              <w:rPr>
                <w:rFonts w:eastAsia="Times New Roman"/>
                <w:sz w:val="16"/>
                <w:highlight w:val="yellow"/>
                <w:lang w:eastAsia="en-GB"/>
              </w:rPr>
            </w:pPr>
            <w:r w:rsidRPr="00F2575A">
              <w:rPr>
                <w:rFonts w:eastAsia="Times New Roman"/>
                <w:sz w:val="16"/>
                <w:lang w:eastAsia="en-GB"/>
              </w:rPr>
              <w:t>(</w:t>
            </w:r>
            <w:r w:rsidR="00BC5068">
              <w:rPr>
                <w:rFonts w:eastAsia="Times New Roman"/>
                <w:sz w:val="16"/>
                <w:lang w:eastAsia="en-GB"/>
              </w:rPr>
              <w:t>9.2</w:t>
            </w:r>
            <w:r w:rsidRPr="00F2575A">
              <w:rPr>
                <w:rFonts w:eastAsia="Times New Roman"/>
                <w:sz w:val="16"/>
                <w:lang w:eastAsia="en-GB"/>
              </w:rPr>
              <w:t>)</w:t>
            </w:r>
          </w:p>
        </w:tc>
        <w:tc>
          <w:tcPr>
            <w:tcW w:w="1249" w:type="dxa"/>
            <w:gridSpan w:val="2"/>
            <w:tcBorders>
              <w:top w:val="single" w:sz="4" w:space="0" w:color="0964A7"/>
              <w:bottom w:val="single" w:sz="4" w:space="0" w:color="0964A7"/>
            </w:tcBorders>
            <w:shd w:val="clear" w:color="auto" w:fill="auto"/>
            <w:vAlign w:val="center"/>
          </w:tcPr>
          <w:p w14:paraId="63A0F3DA" w14:textId="09FC4E01" w:rsidR="004F12A1" w:rsidRPr="00433FEC" w:rsidRDefault="004F12A1" w:rsidP="004F12A1">
            <w:pPr>
              <w:tabs>
                <w:tab w:val="decimal" w:pos="922"/>
              </w:tabs>
              <w:spacing w:after="0"/>
              <w:ind w:right="103"/>
              <w:rPr>
                <w:rFonts w:eastAsia="Times New Roman"/>
                <w:noProof/>
                <w:sz w:val="16"/>
                <w:lang w:eastAsia="en-GB"/>
              </w:rPr>
            </w:pPr>
            <w:r>
              <w:rPr>
                <w:rFonts w:eastAsia="Times New Roman"/>
                <w:sz w:val="16"/>
                <w:lang w:eastAsia="en-GB"/>
              </w:rPr>
              <w:t>(11.6)</w:t>
            </w:r>
          </w:p>
        </w:tc>
        <w:tc>
          <w:tcPr>
            <w:tcW w:w="1085" w:type="dxa"/>
            <w:gridSpan w:val="2"/>
            <w:tcBorders>
              <w:top w:val="single" w:sz="4" w:space="0" w:color="0964A7"/>
              <w:bottom w:val="single" w:sz="4" w:space="0" w:color="0964A7"/>
            </w:tcBorders>
            <w:shd w:val="clear" w:color="auto" w:fill="auto"/>
            <w:vAlign w:val="center"/>
          </w:tcPr>
          <w:p w14:paraId="30B7D075" w14:textId="735B49C6" w:rsidR="004F12A1" w:rsidRPr="00433FEC" w:rsidRDefault="004F12A1" w:rsidP="004F12A1">
            <w:pPr>
              <w:tabs>
                <w:tab w:val="decimal" w:pos="789"/>
              </w:tabs>
              <w:spacing w:after="0"/>
              <w:ind w:right="103"/>
              <w:rPr>
                <w:rFonts w:eastAsia="Times New Roman"/>
                <w:noProof/>
                <w:sz w:val="16"/>
                <w:lang w:eastAsia="en-GB"/>
              </w:rPr>
            </w:pPr>
            <w:r>
              <w:rPr>
                <w:bCs/>
                <w:sz w:val="16"/>
              </w:rPr>
              <w:t>-</w:t>
            </w:r>
          </w:p>
        </w:tc>
        <w:tc>
          <w:tcPr>
            <w:tcW w:w="1281" w:type="dxa"/>
            <w:gridSpan w:val="3"/>
            <w:tcBorders>
              <w:top w:val="single" w:sz="4" w:space="0" w:color="0964A7"/>
              <w:bottom w:val="single" w:sz="4" w:space="0" w:color="0964A7"/>
            </w:tcBorders>
            <w:shd w:val="clear" w:color="auto" w:fill="auto"/>
            <w:vAlign w:val="center"/>
          </w:tcPr>
          <w:p w14:paraId="16C4DF50" w14:textId="394AA989" w:rsidR="004F12A1" w:rsidRPr="00433FEC" w:rsidRDefault="004F12A1" w:rsidP="004F12A1">
            <w:pPr>
              <w:tabs>
                <w:tab w:val="decimal" w:pos="970"/>
              </w:tabs>
              <w:spacing w:after="0"/>
              <w:ind w:right="103"/>
              <w:rPr>
                <w:rFonts w:eastAsia="Times New Roman"/>
                <w:noProof/>
                <w:sz w:val="16"/>
                <w:lang w:eastAsia="en-GB"/>
              </w:rPr>
            </w:pPr>
            <w:r w:rsidRPr="00F2575A">
              <w:rPr>
                <w:rFonts w:eastAsia="Times New Roman"/>
                <w:sz w:val="16"/>
                <w:lang w:eastAsia="en-GB"/>
              </w:rPr>
              <w:t>(11.6)</w:t>
            </w:r>
          </w:p>
        </w:tc>
      </w:tr>
      <w:tr w:rsidR="00B23B4A" w:rsidRPr="004F7CA5" w14:paraId="256223F3" w14:textId="77777777" w:rsidTr="00577845">
        <w:trPr>
          <w:cantSplit/>
          <w:trHeight w:hRule="exact" w:val="359"/>
        </w:trPr>
        <w:tc>
          <w:tcPr>
            <w:tcW w:w="2345" w:type="dxa"/>
            <w:tcBorders>
              <w:top w:val="single" w:sz="4" w:space="0" w:color="0964A7"/>
              <w:bottom w:val="single" w:sz="4" w:space="0" w:color="0964A7"/>
            </w:tcBorders>
            <w:shd w:val="clear" w:color="auto" w:fill="auto"/>
            <w:vAlign w:val="center"/>
          </w:tcPr>
          <w:p w14:paraId="295A4D37" w14:textId="1BBB239E" w:rsidR="004F12A1" w:rsidRPr="000B3903" w:rsidRDefault="004F12A1" w:rsidP="004F12A1">
            <w:pPr>
              <w:spacing w:after="0"/>
              <w:rPr>
                <w:b/>
                <w:bCs/>
                <w:sz w:val="16"/>
              </w:rPr>
            </w:pPr>
            <w:r>
              <w:rPr>
                <w:b/>
                <w:bCs/>
                <w:sz w:val="16"/>
              </w:rPr>
              <w:t>Statutory p</w:t>
            </w:r>
            <w:r w:rsidRPr="000B3903">
              <w:rPr>
                <w:b/>
                <w:bCs/>
                <w:sz w:val="16"/>
              </w:rPr>
              <w:t>rofit before tax</w:t>
            </w:r>
          </w:p>
        </w:tc>
        <w:tc>
          <w:tcPr>
            <w:tcW w:w="368" w:type="dxa"/>
            <w:tcBorders>
              <w:top w:val="single" w:sz="4" w:space="0" w:color="0964A7"/>
              <w:bottom w:val="single" w:sz="4" w:space="0" w:color="0964A7"/>
            </w:tcBorders>
            <w:shd w:val="clear" w:color="auto" w:fill="auto"/>
            <w:vAlign w:val="center"/>
          </w:tcPr>
          <w:p w14:paraId="085101D6" w14:textId="77777777" w:rsidR="004F12A1" w:rsidRPr="000B3903" w:rsidRDefault="004F12A1" w:rsidP="004F12A1">
            <w:pPr>
              <w:spacing w:after="0"/>
              <w:ind w:right="103"/>
              <w:jc w:val="right"/>
              <w:rPr>
                <w:rFonts w:eastAsia="Times New Roman"/>
                <w:b/>
                <w:bCs/>
                <w:noProof/>
                <w:sz w:val="16"/>
                <w:lang w:eastAsia="en-GB"/>
              </w:rPr>
            </w:pPr>
          </w:p>
        </w:tc>
        <w:tc>
          <w:tcPr>
            <w:tcW w:w="1247" w:type="dxa"/>
            <w:tcBorders>
              <w:top w:val="single" w:sz="4" w:space="0" w:color="0964A7"/>
              <w:bottom w:val="single" w:sz="4" w:space="0" w:color="0964A7"/>
            </w:tcBorders>
            <w:shd w:val="clear" w:color="auto" w:fill="E4E8ED" w:themeFill="accent4" w:themeFillTint="33"/>
            <w:vAlign w:val="center"/>
          </w:tcPr>
          <w:p w14:paraId="26C033D4" w14:textId="75D48282" w:rsidR="004F12A1" w:rsidRPr="002D2015" w:rsidRDefault="00D842CD" w:rsidP="00577845">
            <w:pPr>
              <w:tabs>
                <w:tab w:val="decimal" w:pos="981"/>
                <w:tab w:val="decimal" w:pos="2073"/>
              </w:tabs>
              <w:spacing w:after="0"/>
              <w:ind w:right="103"/>
              <w:rPr>
                <w:rFonts w:eastAsia="Times New Roman"/>
                <w:b/>
                <w:bCs/>
                <w:noProof/>
                <w:sz w:val="16"/>
                <w:highlight w:val="yellow"/>
                <w:lang w:eastAsia="en-GB"/>
              </w:rPr>
            </w:pPr>
            <w:r>
              <w:rPr>
                <w:rFonts w:eastAsia="Times New Roman"/>
                <w:b/>
                <w:bCs/>
                <w:noProof/>
                <w:sz w:val="16"/>
                <w:lang w:eastAsia="en-GB"/>
              </w:rPr>
              <w:tab/>
            </w:r>
            <w:r w:rsidR="00247800">
              <w:rPr>
                <w:rFonts w:eastAsia="Times New Roman"/>
                <w:b/>
                <w:bCs/>
                <w:noProof/>
                <w:sz w:val="16"/>
                <w:lang w:eastAsia="en-GB"/>
              </w:rPr>
              <w:t>37.4</w:t>
            </w:r>
          </w:p>
        </w:tc>
        <w:tc>
          <w:tcPr>
            <w:tcW w:w="1247" w:type="dxa"/>
            <w:tcBorders>
              <w:top w:val="single" w:sz="4" w:space="0" w:color="0964A7"/>
              <w:bottom w:val="single" w:sz="4" w:space="0" w:color="0964A7"/>
            </w:tcBorders>
            <w:shd w:val="clear" w:color="auto" w:fill="E4E8ED" w:themeFill="accent4" w:themeFillTint="33"/>
            <w:vAlign w:val="center"/>
          </w:tcPr>
          <w:p w14:paraId="369111A0" w14:textId="2B8CB377" w:rsidR="004F12A1" w:rsidRPr="002D2015" w:rsidRDefault="00247800" w:rsidP="004F12A1">
            <w:pPr>
              <w:tabs>
                <w:tab w:val="decimal" w:pos="1005"/>
              </w:tabs>
              <w:spacing w:after="0"/>
              <w:ind w:right="103"/>
              <w:rPr>
                <w:rFonts w:eastAsia="Times New Roman"/>
                <w:b/>
                <w:sz w:val="16"/>
                <w:highlight w:val="yellow"/>
                <w:lang w:eastAsia="en-GB"/>
              </w:rPr>
            </w:pPr>
            <w:r>
              <w:rPr>
                <w:rFonts w:eastAsia="Times New Roman"/>
                <w:b/>
                <w:sz w:val="16"/>
                <w:lang w:eastAsia="en-GB"/>
              </w:rPr>
              <w:t>1.3</w:t>
            </w:r>
          </w:p>
        </w:tc>
        <w:tc>
          <w:tcPr>
            <w:tcW w:w="1258" w:type="dxa"/>
            <w:tcBorders>
              <w:top w:val="single" w:sz="4" w:space="0" w:color="0964A7"/>
              <w:bottom w:val="single" w:sz="4" w:space="0" w:color="0964A7"/>
            </w:tcBorders>
            <w:shd w:val="clear" w:color="auto" w:fill="E4E8ED" w:themeFill="accent4" w:themeFillTint="33"/>
            <w:vAlign w:val="center"/>
          </w:tcPr>
          <w:p w14:paraId="765DF725" w14:textId="1D8D8160" w:rsidR="004F12A1" w:rsidRPr="002D2015" w:rsidRDefault="00247800" w:rsidP="004F12A1">
            <w:pPr>
              <w:tabs>
                <w:tab w:val="decimal" w:pos="887"/>
              </w:tabs>
              <w:spacing w:after="0"/>
              <w:ind w:right="103"/>
              <w:rPr>
                <w:rFonts w:eastAsia="Times New Roman"/>
                <w:b/>
                <w:bCs/>
                <w:noProof/>
                <w:sz w:val="16"/>
                <w:highlight w:val="yellow"/>
                <w:lang w:eastAsia="en-GB"/>
              </w:rPr>
            </w:pPr>
            <w:r>
              <w:rPr>
                <w:rFonts w:eastAsia="Times New Roman"/>
                <w:b/>
                <w:bCs/>
                <w:noProof/>
                <w:sz w:val="16"/>
                <w:lang w:eastAsia="en-GB"/>
              </w:rPr>
              <w:t>38.7</w:t>
            </w:r>
          </w:p>
        </w:tc>
        <w:tc>
          <w:tcPr>
            <w:tcW w:w="1249" w:type="dxa"/>
            <w:gridSpan w:val="2"/>
            <w:tcBorders>
              <w:top w:val="single" w:sz="4" w:space="0" w:color="0964A7"/>
              <w:bottom w:val="single" w:sz="4" w:space="0" w:color="0964A7"/>
            </w:tcBorders>
            <w:shd w:val="clear" w:color="auto" w:fill="auto"/>
            <w:vAlign w:val="center"/>
          </w:tcPr>
          <w:p w14:paraId="0DDF4659" w14:textId="2F493E3A" w:rsidR="004F12A1" w:rsidRPr="000B3903" w:rsidRDefault="004F12A1" w:rsidP="004F12A1">
            <w:pPr>
              <w:tabs>
                <w:tab w:val="decimal" w:pos="922"/>
              </w:tabs>
              <w:spacing w:after="0"/>
              <w:ind w:right="103"/>
              <w:rPr>
                <w:rFonts w:eastAsia="Times New Roman"/>
                <w:b/>
                <w:bCs/>
                <w:noProof/>
                <w:sz w:val="16"/>
                <w:lang w:eastAsia="en-GB"/>
              </w:rPr>
            </w:pPr>
            <w:r w:rsidRPr="00F2575A">
              <w:rPr>
                <w:rFonts w:eastAsia="Times New Roman"/>
                <w:b/>
                <w:bCs/>
                <w:noProof/>
                <w:sz w:val="16"/>
                <w:lang w:eastAsia="en-GB"/>
              </w:rPr>
              <w:t>37.9</w:t>
            </w:r>
          </w:p>
        </w:tc>
        <w:tc>
          <w:tcPr>
            <w:tcW w:w="1085" w:type="dxa"/>
            <w:gridSpan w:val="2"/>
            <w:tcBorders>
              <w:top w:val="single" w:sz="4" w:space="0" w:color="0964A7"/>
              <w:bottom w:val="single" w:sz="4" w:space="0" w:color="0964A7"/>
            </w:tcBorders>
            <w:shd w:val="clear" w:color="auto" w:fill="auto"/>
            <w:vAlign w:val="center"/>
          </w:tcPr>
          <w:p w14:paraId="499A7A35" w14:textId="127361BA" w:rsidR="004F12A1" w:rsidRPr="00260697" w:rsidRDefault="004F12A1" w:rsidP="004F12A1">
            <w:pPr>
              <w:tabs>
                <w:tab w:val="decimal" w:pos="789"/>
              </w:tabs>
              <w:spacing w:after="0"/>
              <w:ind w:right="103"/>
              <w:rPr>
                <w:rFonts w:eastAsia="Times New Roman"/>
                <w:b/>
                <w:bCs/>
                <w:noProof/>
                <w:sz w:val="16"/>
                <w:lang w:eastAsia="en-GB"/>
              </w:rPr>
            </w:pPr>
            <w:r w:rsidRPr="006B2BB6">
              <w:rPr>
                <w:rFonts w:eastAsia="Times New Roman"/>
                <w:b/>
                <w:sz w:val="16"/>
                <w:lang w:eastAsia="en-GB"/>
              </w:rPr>
              <w:t>(3.1)</w:t>
            </w:r>
          </w:p>
        </w:tc>
        <w:tc>
          <w:tcPr>
            <w:tcW w:w="1281" w:type="dxa"/>
            <w:gridSpan w:val="3"/>
            <w:tcBorders>
              <w:top w:val="single" w:sz="4" w:space="0" w:color="0964A7"/>
              <w:bottom w:val="single" w:sz="4" w:space="0" w:color="0964A7"/>
            </w:tcBorders>
            <w:shd w:val="clear" w:color="auto" w:fill="auto"/>
            <w:vAlign w:val="center"/>
          </w:tcPr>
          <w:p w14:paraId="464F0DBC" w14:textId="0B926E5A" w:rsidR="004F12A1" w:rsidRPr="000B3903" w:rsidRDefault="004F12A1" w:rsidP="004F12A1">
            <w:pPr>
              <w:tabs>
                <w:tab w:val="decimal" w:pos="970"/>
              </w:tabs>
              <w:spacing w:after="0"/>
              <w:ind w:right="103"/>
              <w:rPr>
                <w:rFonts w:eastAsia="Times New Roman"/>
                <w:b/>
                <w:bCs/>
                <w:noProof/>
                <w:sz w:val="16"/>
                <w:lang w:eastAsia="en-GB"/>
              </w:rPr>
            </w:pPr>
            <w:r w:rsidRPr="00F2575A">
              <w:rPr>
                <w:rFonts w:eastAsia="Times New Roman"/>
                <w:b/>
                <w:bCs/>
                <w:noProof/>
                <w:sz w:val="16"/>
                <w:lang w:eastAsia="en-GB"/>
              </w:rPr>
              <w:t>34.8</w:t>
            </w:r>
          </w:p>
        </w:tc>
      </w:tr>
    </w:tbl>
    <w:p w14:paraId="7B1F5380" w14:textId="194BFDBE" w:rsidR="00C13590" w:rsidRPr="00B9668B" w:rsidRDefault="00BD67DA" w:rsidP="00B9668B">
      <w:pPr>
        <w:pStyle w:val="Footnote"/>
      </w:pPr>
      <w:r>
        <w:t>1</w:t>
      </w:r>
      <w:r w:rsidR="00C13590">
        <w:t xml:space="preserve"> Administrative </w:t>
      </w:r>
      <w:proofErr w:type="gramStart"/>
      <w:r w:rsidR="00C13590">
        <w:t>expenses</w:t>
      </w:r>
      <w:proofErr w:type="gramEnd"/>
      <w:r w:rsidR="00C13590">
        <w:t xml:space="preserve"> </w:t>
      </w:r>
      <w:r w:rsidR="1CA2967F">
        <w:t xml:space="preserve">in </w:t>
      </w:r>
      <w:r w:rsidR="1191AD3A">
        <w:t xml:space="preserve">H1 </w:t>
      </w:r>
      <w:r w:rsidR="1CA2967F">
        <w:t xml:space="preserve">2023 </w:t>
      </w:r>
      <w:r w:rsidR="00C13590">
        <w:t>exclude</w:t>
      </w:r>
      <w:r w:rsidR="72349D04">
        <w:t>d</w:t>
      </w:r>
      <w:r w:rsidR="00C13590">
        <w:t xml:space="preserve"> </w:t>
      </w:r>
      <w:r w:rsidR="00C13590" w:rsidRPr="005F0E7F">
        <w:t>£</w:t>
      </w:r>
      <w:r w:rsidR="69BEE3BB">
        <w:t>2.2m</w:t>
      </w:r>
      <w:r w:rsidR="00C13590" w:rsidRPr="005F0E7F">
        <w:t xml:space="preserve"> </w:t>
      </w:r>
      <w:r w:rsidR="00834E74">
        <w:t xml:space="preserve">of variable staff costs </w:t>
      </w:r>
      <w:r w:rsidR="00C13590">
        <w:t>classified as exceptional.</w:t>
      </w:r>
    </w:p>
    <w:p w14:paraId="7845FB6F" w14:textId="6F2EA953" w:rsidR="001B647A" w:rsidRPr="000B3903" w:rsidRDefault="00BD67DA" w:rsidP="00CE181C">
      <w:pPr>
        <w:pStyle w:val="Footnote"/>
        <w:rPr>
          <w:szCs w:val="18"/>
        </w:rPr>
      </w:pPr>
      <w:r w:rsidRPr="00B9668B">
        <w:t>2</w:t>
      </w:r>
      <w:r w:rsidR="00C13590" w:rsidRPr="00B9668B">
        <w:t xml:space="preserve"> Amortisation of intangible assets excludes </w:t>
      </w:r>
      <w:r w:rsidR="006F596D" w:rsidRPr="005F0E7F">
        <w:t>£9.</w:t>
      </w:r>
      <w:r w:rsidR="006F596D">
        <w:t>2</w:t>
      </w:r>
      <w:r w:rsidR="00C13590" w:rsidRPr="005F0E7F">
        <w:t>m</w:t>
      </w:r>
      <w:r w:rsidR="00C13590" w:rsidRPr="00B9668B">
        <w:t xml:space="preserve"> classified as exceptional (</w:t>
      </w:r>
      <w:r w:rsidR="00E85F7E">
        <w:t>2023</w:t>
      </w:r>
      <w:r w:rsidR="00085F71" w:rsidRPr="00B9668B">
        <w:t xml:space="preserve"> H1</w:t>
      </w:r>
      <w:r w:rsidR="00C13590" w:rsidRPr="00B9668B">
        <w:t>: £9.4m).</w:t>
      </w:r>
    </w:p>
    <w:bookmarkEnd w:id="5"/>
    <w:p w14:paraId="172EBE68" w14:textId="22AA6230" w:rsidR="362D54DD" w:rsidRDefault="005E73FF" w:rsidP="00BA56DB">
      <w:pPr>
        <w:pStyle w:val="Subheading"/>
      </w:pPr>
      <w:r w:rsidRPr="00CE181C">
        <w:t xml:space="preserve">Active, high-conviction </w:t>
      </w:r>
      <w:r w:rsidR="00B55589" w:rsidRPr="00CE181C">
        <w:t>investment</w:t>
      </w:r>
    </w:p>
    <w:p w14:paraId="4D368B17" w14:textId="3D6A6BB0" w:rsidR="00487101" w:rsidRPr="00CE181C" w:rsidRDefault="00487101" w:rsidP="00C67612">
      <w:pPr>
        <w:pStyle w:val="Bodytext0"/>
      </w:pPr>
      <w:r w:rsidRPr="00CE181C">
        <w:t>Market dynamics have continued to create a challenging backdrop for</w:t>
      </w:r>
      <w:r w:rsidR="00861896" w:rsidRPr="00CE181C">
        <w:t xml:space="preserve"> our range </w:t>
      </w:r>
      <w:r w:rsidR="003859FB" w:rsidRPr="00CE181C">
        <w:t xml:space="preserve">of investment </w:t>
      </w:r>
      <w:r w:rsidR="00C32A74" w:rsidRPr="00CE181C">
        <w:t>capabilities</w:t>
      </w:r>
      <w:r w:rsidR="003859FB" w:rsidRPr="00CE181C">
        <w:t xml:space="preserve"> </w:t>
      </w:r>
      <w:r w:rsidR="00881281" w:rsidRPr="00CE181C">
        <w:t xml:space="preserve">and, as a </w:t>
      </w:r>
      <w:r w:rsidR="00C32A74" w:rsidRPr="00CE181C">
        <w:t>result</w:t>
      </w:r>
      <w:r w:rsidR="00881281" w:rsidRPr="00CE181C">
        <w:t xml:space="preserve">, our aggregate </w:t>
      </w:r>
      <w:r w:rsidR="00C32A74" w:rsidRPr="00CE181C">
        <w:t>investment</w:t>
      </w:r>
      <w:r w:rsidR="00881281" w:rsidRPr="00CE181C">
        <w:t xml:space="preserve"> performance measures are lower than we</w:t>
      </w:r>
      <w:r w:rsidR="00881281">
        <w:t xml:space="preserve"> </w:t>
      </w:r>
      <w:r w:rsidR="00F449CB">
        <w:t>would</w:t>
      </w:r>
      <w:r w:rsidR="00881281" w:rsidRPr="00CE181C">
        <w:t xml:space="preserve"> typically expect.</w:t>
      </w:r>
    </w:p>
    <w:p w14:paraId="316B553F" w14:textId="3BA7F478" w:rsidR="00B75533" w:rsidRPr="0048043D" w:rsidRDefault="00B75533" w:rsidP="00B75533">
      <w:pPr>
        <w:pStyle w:val="Bodytext0"/>
      </w:pPr>
      <w:r w:rsidRPr="005F0E7F">
        <w:t xml:space="preserve">At 30 June </w:t>
      </w:r>
      <w:r w:rsidR="00E85F7E" w:rsidRPr="005F0E7F">
        <w:t>2024</w:t>
      </w:r>
      <w:r w:rsidRPr="005F0E7F">
        <w:t xml:space="preserve">, </w:t>
      </w:r>
      <w:r w:rsidR="003B3120" w:rsidRPr="005F0E7F">
        <w:t xml:space="preserve">55% </w:t>
      </w:r>
      <w:r w:rsidRPr="005F0E7F">
        <w:t>of our mutual fund AUM had delivered above-median performance against their peer group over three years</w:t>
      </w:r>
      <w:r w:rsidRPr="003B3120">
        <w:t xml:space="preserve"> (31 December </w:t>
      </w:r>
      <w:r w:rsidR="00E85F7E" w:rsidRPr="003B3120">
        <w:t>2023</w:t>
      </w:r>
      <w:r w:rsidRPr="003B3120">
        <w:t>: 5</w:t>
      </w:r>
      <w:r w:rsidR="007756EA" w:rsidRPr="003B3120">
        <w:t>9</w:t>
      </w:r>
      <w:r w:rsidRPr="003B3120">
        <w:t>% of mutual fund AUM</w:t>
      </w:r>
      <w:r w:rsidRPr="005F0E7F">
        <w:t xml:space="preserve">), of which </w:t>
      </w:r>
      <w:r w:rsidR="003B3120" w:rsidRPr="005F0E7F">
        <w:t xml:space="preserve">43% </w:t>
      </w:r>
      <w:r w:rsidRPr="005F0E7F">
        <w:t>of mutual fund AUM had delivered first quartile performance</w:t>
      </w:r>
      <w:r w:rsidRPr="003B3120">
        <w:t xml:space="preserve"> (31 December </w:t>
      </w:r>
      <w:r w:rsidR="00E85F7E" w:rsidRPr="003B3120">
        <w:t>2023</w:t>
      </w:r>
      <w:r w:rsidRPr="003B3120">
        <w:t>: 4</w:t>
      </w:r>
      <w:r w:rsidR="007756EA" w:rsidRPr="003B3120">
        <w:t>1</w:t>
      </w:r>
      <w:r w:rsidRPr="003B3120">
        <w:t>% of mutual fund AUM).</w:t>
      </w:r>
      <w:r w:rsidRPr="0048043D">
        <w:t xml:space="preserve"> </w:t>
      </w:r>
    </w:p>
    <w:p w14:paraId="2326C3AA" w14:textId="16547701" w:rsidR="00881281" w:rsidRDefault="00881281" w:rsidP="00B75533">
      <w:pPr>
        <w:pStyle w:val="Bodytext0"/>
      </w:pPr>
      <w:r>
        <w:t>Measure</w:t>
      </w:r>
      <w:r w:rsidR="000A4984">
        <w:t>d</w:t>
      </w:r>
      <w:r>
        <w:t xml:space="preserve"> over five </w:t>
      </w:r>
      <w:r w:rsidRPr="005F0E7F">
        <w:t>years</w:t>
      </w:r>
      <w:r w:rsidR="00A52C4E">
        <w:t xml:space="preserve">, </w:t>
      </w:r>
      <w:r w:rsidRPr="005F0E7F">
        <w:t>57% of mutual fund AUM</w:t>
      </w:r>
      <w:r w:rsidRPr="0060301C">
        <w:t xml:space="preserve"> (31 December 2023: 66% of mutual fund AUM</w:t>
      </w:r>
      <w:r w:rsidR="00A12900">
        <w:t>)</w:t>
      </w:r>
      <w:r>
        <w:t xml:space="preserve"> </w:t>
      </w:r>
      <w:r w:rsidRPr="005F0E7F">
        <w:t>delivered above-median performance, whereas over</w:t>
      </w:r>
      <w:r>
        <w:t xml:space="preserve"> one year, this was 43</w:t>
      </w:r>
      <w:r w:rsidRPr="005F0E7F">
        <w:t>% of mutual fund AUM</w:t>
      </w:r>
      <w:r w:rsidRPr="0060301C">
        <w:t xml:space="preserve"> (31 December 2023: 65% of mutual fund AUM)</w:t>
      </w:r>
      <w:r>
        <w:t>.</w:t>
      </w:r>
    </w:p>
    <w:p w14:paraId="32CBB639" w14:textId="0C3DE409" w:rsidR="00881281" w:rsidRDefault="00454FA3" w:rsidP="00CE181C">
      <w:pPr>
        <w:pStyle w:val="Bodytext0"/>
      </w:pPr>
      <w:r>
        <w:lastRenderedPageBreak/>
        <w:t>The decline over our key three</w:t>
      </w:r>
      <w:r w:rsidR="00FE402B">
        <w:t>-</w:t>
      </w:r>
      <w:r>
        <w:t xml:space="preserve">year metric was driven by a small number of larger funds moving below their median, including the European Growth fund, Japanese equity and some </w:t>
      </w:r>
      <w:r w:rsidR="002378D0">
        <w:t xml:space="preserve">of our </w:t>
      </w:r>
      <w:r>
        <w:t xml:space="preserve">Merlin </w:t>
      </w:r>
      <w:r w:rsidR="002378D0">
        <w:t>fund of fund</w:t>
      </w:r>
      <w:r>
        <w:t xml:space="preserve"> strategies.</w:t>
      </w:r>
    </w:p>
    <w:p w14:paraId="09FE6FC2" w14:textId="3F217422" w:rsidR="00E96793" w:rsidRDefault="00E96793" w:rsidP="00B75533">
      <w:pPr>
        <w:pStyle w:val="Bodytext0"/>
      </w:pPr>
      <w:r>
        <w:t xml:space="preserve">However, </w:t>
      </w:r>
      <w:r w:rsidR="00B34913">
        <w:t xml:space="preserve">of our 13 funds that have over £1bn of AUM, </w:t>
      </w:r>
      <w:r w:rsidR="00E763FF">
        <w:t>nine</w:t>
      </w:r>
      <w:r w:rsidR="00B34913">
        <w:t xml:space="preserve"> are above their median over three and five years. We h</w:t>
      </w:r>
      <w:r w:rsidR="00C73637">
        <w:t>ave also seen some exceptionally strong performance in smaller funds</w:t>
      </w:r>
      <w:r w:rsidR="00F84B62">
        <w:t xml:space="preserve"> that are</w:t>
      </w:r>
      <w:r w:rsidR="00C73637">
        <w:t xml:space="preserve"> in areas of strong client demand. Of the 21 funds which are in the top quartile</w:t>
      </w:r>
      <w:r w:rsidR="46A0EC38">
        <w:t xml:space="preserve"> over three years</w:t>
      </w:r>
      <w:r w:rsidR="00C73637">
        <w:t>, over half of these are also top decile, including Strategic Absolute Return Bond fund, Indian equity strategies, Global High Yield and Asian Income.</w:t>
      </w:r>
    </w:p>
    <w:p w14:paraId="62F73D6D" w14:textId="29840802" w:rsidR="00B75533" w:rsidRDefault="00B75533" w:rsidP="00B75533">
      <w:pPr>
        <w:pStyle w:val="Bodytext0"/>
      </w:pPr>
      <w:r w:rsidRPr="005F0E7F">
        <w:t>Segregated mandates and investment trusts now make up £</w:t>
      </w:r>
      <w:r w:rsidR="006F1F06" w:rsidRPr="005F0E7F">
        <w:t>12.4</w:t>
      </w:r>
      <w:r w:rsidRPr="005F0E7F">
        <w:t>bn</w:t>
      </w:r>
      <w:r w:rsidR="004C10D2" w:rsidRPr="005F0E7F">
        <w:t>,</w:t>
      </w:r>
      <w:r w:rsidRPr="005F0E7F">
        <w:t xml:space="preserve"> or </w:t>
      </w:r>
      <w:r w:rsidR="005A3DC4" w:rsidRPr="005F0E7F">
        <w:t>24</w:t>
      </w:r>
      <w:r w:rsidRPr="005F0E7F">
        <w:t xml:space="preserve">% of our AUM (31 December </w:t>
      </w:r>
      <w:r w:rsidR="00E85F7E" w:rsidRPr="005F0E7F">
        <w:t>2023</w:t>
      </w:r>
      <w:r w:rsidRPr="005F0E7F">
        <w:t>: £1</w:t>
      </w:r>
      <w:r w:rsidR="00010587" w:rsidRPr="005F0E7F">
        <w:t>0.9</w:t>
      </w:r>
      <w:r w:rsidRPr="005F0E7F">
        <w:t>bn</w:t>
      </w:r>
      <w:r w:rsidR="004C10D2" w:rsidRPr="005F0E7F">
        <w:t>,</w:t>
      </w:r>
      <w:r w:rsidRPr="005F0E7F">
        <w:t xml:space="preserve"> or 2</w:t>
      </w:r>
      <w:r w:rsidR="001968AA">
        <w:t>1</w:t>
      </w:r>
      <w:r w:rsidRPr="005F0E7F">
        <w:t>% of our AUM). At the period end,</w:t>
      </w:r>
      <w:r w:rsidR="00FC652B" w:rsidRPr="005F0E7F">
        <w:t xml:space="preserve"> </w:t>
      </w:r>
      <w:r w:rsidR="0060301C" w:rsidRPr="005F0E7F">
        <w:t>64</w:t>
      </w:r>
      <w:r w:rsidRPr="005F0E7F">
        <w:t xml:space="preserve">% of AUM in </w:t>
      </w:r>
      <w:r w:rsidR="00B61D2B">
        <w:t>this category</w:t>
      </w:r>
      <w:r w:rsidRPr="005F0E7F">
        <w:t xml:space="preserve"> were above their benchmarks over three years (31 December </w:t>
      </w:r>
      <w:r w:rsidR="00E85F7E" w:rsidRPr="005F0E7F">
        <w:t>2023</w:t>
      </w:r>
      <w:r w:rsidRPr="005F0E7F">
        <w:t>:</w:t>
      </w:r>
      <w:r w:rsidR="00FC652B" w:rsidRPr="005F0E7F">
        <w:t xml:space="preserve"> 59</w:t>
      </w:r>
      <w:r w:rsidRPr="005F0E7F">
        <w:t>%).</w:t>
      </w:r>
      <w:r w:rsidRPr="00F55660">
        <w:t xml:space="preserve"> </w:t>
      </w:r>
    </w:p>
    <w:p w14:paraId="13F613E3" w14:textId="30A13AE9" w:rsidR="00C13590" w:rsidRPr="00CE181C" w:rsidRDefault="00790D43" w:rsidP="00C13590">
      <w:pPr>
        <w:pStyle w:val="Subheading"/>
      </w:pPr>
      <w:r w:rsidRPr="00CE181C">
        <w:t>A strong capital base</w:t>
      </w:r>
    </w:p>
    <w:p w14:paraId="422C3EE8" w14:textId="09B4B380" w:rsidR="00AC5FB8" w:rsidRPr="00CE181C" w:rsidRDefault="00AC5FB8" w:rsidP="00681B82">
      <w:pPr>
        <w:pStyle w:val="Bodytext0"/>
      </w:pPr>
      <w:r w:rsidRPr="00CE181C">
        <w:t xml:space="preserve">The Group continues to maintain a strong capital base. </w:t>
      </w:r>
    </w:p>
    <w:p w14:paraId="7EB4395F" w14:textId="14AD9F6D" w:rsidR="00E93576" w:rsidRPr="00CE181C" w:rsidRDefault="00E93576" w:rsidP="00681B82">
      <w:pPr>
        <w:pStyle w:val="Bodytext0"/>
      </w:pPr>
      <w:r w:rsidRPr="00CE181C">
        <w:t>Our</w:t>
      </w:r>
      <w:r w:rsidR="00D572D6" w:rsidRPr="00CE181C">
        <w:t xml:space="preserve"> expected capital surplus has increased to £198.</w:t>
      </w:r>
      <w:r w:rsidR="24837193">
        <w:t>5</w:t>
      </w:r>
      <w:r w:rsidR="00D572D6">
        <w:t>m</w:t>
      </w:r>
      <w:r w:rsidR="00D572D6" w:rsidRPr="00CE181C">
        <w:t xml:space="preserve"> at end June 2024, </w:t>
      </w:r>
      <w:r w:rsidR="00592EEC" w:rsidRPr="00CE181C">
        <w:t xml:space="preserve">which is around </w:t>
      </w:r>
      <w:r w:rsidR="7A71ABCD">
        <w:t>3</w:t>
      </w:r>
      <w:r w:rsidR="00592EEC" w:rsidRPr="00CE181C">
        <w:t xml:space="preserve">.75 times </w:t>
      </w:r>
      <w:r w:rsidR="006A529C" w:rsidRPr="00CE181C">
        <w:t xml:space="preserve">coverage of our regulatory surplus </w:t>
      </w:r>
      <w:r w:rsidR="00446CFF" w:rsidRPr="00CE181C">
        <w:t>requirement</w:t>
      </w:r>
      <w:r w:rsidR="006A529C" w:rsidRPr="00CE181C">
        <w:t xml:space="preserve"> </w:t>
      </w:r>
      <w:r w:rsidR="00870483" w:rsidRPr="00CE181C">
        <w:t>of £</w:t>
      </w:r>
      <w:r w:rsidR="00000D86" w:rsidRPr="00CE181C">
        <w:t>72m</w:t>
      </w:r>
      <w:r w:rsidR="007B1934" w:rsidRPr="00CE181C">
        <w:t>.</w:t>
      </w:r>
    </w:p>
    <w:p w14:paraId="471BB791" w14:textId="3A24FE78" w:rsidR="00DE68EC" w:rsidRPr="00CE181C" w:rsidRDefault="006E0A6D" w:rsidP="00DE68EC">
      <w:pPr>
        <w:pStyle w:val="Bodytext0"/>
      </w:pPr>
      <w:r w:rsidRPr="00CE181C">
        <w:t xml:space="preserve">Our capital allocation policy is to </w:t>
      </w:r>
      <w:r w:rsidR="00DE68EC" w:rsidRPr="00CE181C">
        <w:t xml:space="preserve">pay out 50% of </w:t>
      </w:r>
      <w:r w:rsidR="00DE68EC" w:rsidRPr="003C6C17">
        <w:t xml:space="preserve">underlying EPS before performance fees. In line with this, the Board have proposed an interim ordinary dividend </w:t>
      </w:r>
      <w:r w:rsidR="00DE68EC" w:rsidRPr="000E38DD">
        <w:t xml:space="preserve">of </w:t>
      </w:r>
      <w:r w:rsidR="00DE68EC" w:rsidRPr="00577845">
        <w:t>3.2</w:t>
      </w:r>
      <w:r w:rsidR="00DE68EC" w:rsidRPr="000E38DD">
        <w:t>p per</w:t>
      </w:r>
      <w:r w:rsidR="00DE68EC" w:rsidRPr="003C6C17">
        <w:t xml:space="preserve"> share. The dividend will be paid on </w:t>
      </w:r>
      <w:r w:rsidR="00DE68EC" w:rsidRPr="002F2F6D">
        <w:t>4 September 2024</w:t>
      </w:r>
      <w:r w:rsidR="00DE68EC" w:rsidRPr="003C6C17">
        <w:t xml:space="preserve"> to shareholders on the register at the close of business on </w:t>
      </w:r>
      <w:r w:rsidR="00DE68EC" w:rsidRPr="002F2F6D">
        <w:t>9 August 2024</w:t>
      </w:r>
      <w:r w:rsidR="00DE68EC" w:rsidRPr="003C6C17">
        <w:t>.</w:t>
      </w:r>
    </w:p>
    <w:p w14:paraId="3582F54D" w14:textId="40E25552" w:rsidR="00C25730" w:rsidRPr="00CE181C" w:rsidRDefault="00846B0A" w:rsidP="003D7094">
      <w:pPr>
        <w:pStyle w:val="Bodytext0"/>
        <w:rPr>
          <w:lang w:val="en-US"/>
        </w:rPr>
      </w:pPr>
      <w:r w:rsidRPr="00CE181C" w:rsidDel="00681B82">
        <w:t xml:space="preserve">Our policy, </w:t>
      </w:r>
      <w:r w:rsidR="003C1065" w:rsidRPr="00CE181C" w:rsidDel="00681B82">
        <w:t xml:space="preserve">as part of our overall capital allocation framework, allows us to return capital to shareholders on a clear, sustainable basis and, </w:t>
      </w:r>
      <w:r w:rsidR="00E63EE0" w:rsidRPr="00CE181C">
        <w:t>if</w:t>
      </w:r>
      <w:r w:rsidR="003C1065" w:rsidRPr="00CE181C" w:rsidDel="00681B82">
        <w:t xml:space="preserve"> there are no capital needs, we expect to</w:t>
      </w:r>
      <w:r w:rsidR="007423E5" w:rsidRPr="00CE181C">
        <w:t xml:space="preserve"> make</w:t>
      </w:r>
      <w:r w:rsidR="003C1065" w:rsidRPr="00CE181C" w:rsidDel="00681B82">
        <w:t xml:space="preserve"> further returns of additional capital to shareholders at the appropriate time.</w:t>
      </w:r>
    </w:p>
    <w:p w14:paraId="3BEDE5C2" w14:textId="2887CEBF" w:rsidR="00125E7E" w:rsidRPr="00CE181C" w:rsidRDefault="003B2E11" w:rsidP="00125E7E">
      <w:pPr>
        <w:pStyle w:val="Subheading"/>
      </w:pPr>
      <w:bookmarkStart w:id="6" w:name="_Hlk14874217"/>
      <w:r w:rsidRPr="00CE181C">
        <w:t xml:space="preserve">Looking forward through </w:t>
      </w:r>
      <w:r w:rsidR="00E85F7E" w:rsidRPr="00CE181C">
        <w:t>2024</w:t>
      </w:r>
    </w:p>
    <w:p w14:paraId="3326CDD0" w14:textId="154FB02A" w:rsidR="00AF5623" w:rsidRPr="00CE181C" w:rsidRDefault="00A96CA1" w:rsidP="00423552">
      <w:pPr>
        <w:pStyle w:val="Default"/>
        <w:spacing w:before="120"/>
        <w:rPr>
          <w:rFonts w:ascii="Source Sans Pro" w:hAnsi="Source Sans Pro" w:cs="Arial"/>
          <w:color w:val="444444"/>
          <w:sz w:val="20"/>
          <w:szCs w:val="22"/>
        </w:rPr>
      </w:pPr>
      <w:r w:rsidRPr="00CE181C">
        <w:rPr>
          <w:rFonts w:ascii="Source Sans Pro" w:hAnsi="Source Sans Pro" w:cs="Arial"/>
          <w:color w:val="444444"/>
          <w:sz w:val="20"/>
          <w:szCs w:val="22"/>
        </w:rPr>
        <w:t>Whilst the backdrop remains uncertain</w:t>
      </w:r>
      <w:r w:rsidR="00A33FE7" w:rsidRPr="00CE181C">
        <w:rPr>
          <w:rFonts w:ascii="Source Sans Pro" w:hAnsi="Source Sans Pro" w:cs="Arial"/>
          <w:color w:val="444444"/>
          <w:sz w:val="20"/>
          <w:szCs w:val="22"/>
        </w:rPr>
        <w:t xml:space="preserve"> and there are well-publicised challenges to the industry</w:t>
      </w:r>
      <w:r w:rsidR="00B90A42" w:rsidRPr="00CE181C">
        <w:rPr>
          <w:rFonts w:ascii="Source Sans Pro" w:hAnsi="Source Sans Pro" w:cs="Arial"/>
          <w:color w:val="444444"/>
          <w:sz w:val="20"/>
          <w:szCs w:val="22"/>
        </w:rPr>
        <w:t>,</w:t>
      </w:r>
      <w:r w:rsidRPr="00CE181C">
        <w:rPr>
          <w:rFonts w:ascii="Source Sans Pro" w:hAnsi="Source Sans Pro" w:cs="Arial"/>
          <w:color w:val="444444"/>
          <w:sz w:val="20"/>
          <w:szCs w:val="22"/>
        </w:rPr>
        <w:t xml:space="preserve"> </w:t>
      </w:r>
      <w:r w:rsidR="00E55FBB" w:rsidRPr="00CE181C">
        <w:rPr>
          <w:rFonts w:ascii="Source Sans Pro" w:hAnsi="Source Sans Pro" w:cs="Arial"/>
          <w:color w:val="444444"/>
          <w:sz w:val="20"/>
          <w:szCs w:val="22"/>
        </w:rPr>
        <w:t>our underlying business is performing well</w:t>
      </w:r>
      <w:r w:rsidR="00020869" w:rsidRPr="00CE181C">
        <w:rPr>
          <w:rFonts w:ascii="Source Sans Pro" w:hAnsi="Source Sans Pro" w:cs="Arial"/>
          <w:color w:val="444444"/>
          <w:sz w:val="20"/>
          <w:szCs w:val="22"/>
        </w:rPr>
        <w:t xml:space="preserve"> and we have delivered a </w:t>
      </w:r>
      <w:r w:rsidR="00170B6D">
        <w:rPr>
          <w:rFonts w:ascii="Source Sans Pro" w:hAnsi="Source Sans Pro" w:cs="Arial"/>
          <w:color w:val="444444"/>
          <w:sz w:val="20"/>
          <w:szCs w:val="22"/>
        </w:rPr>
        <w:t>solid</w:t>
      </w:r>
      <w:r w:rsidR="00B53E22" w:rsidRPr="00CE181C">
        <w:rPr>
          <w:rFonts w:ascii="Source Sans Pro" w:hAnsi="Source Sans Pro" w:cs="Arial"/>
          <w:color w:val="444444"/>
          <w:sz w:val="20"/>
          <w:szCs w:val="22"/>
        </w:rPr>
        <w:t xml:space="preserve"> set of financial results.</w:t>
      </w:r>
    </w:p>
    <w:p w14:paraId="1D491749" w14:textId="66717B4D" w:rsidR="006A114A" w:rsidRPr="00CE181C" w:rsidRDefault="000A784F" w:rsidP="00423552">
      <w:pPr>
        <w:pStyle w:val="Default"/>
        <w:spacing w:before="120"/>
        <w:rPr>
          <w:rFonts w:ascii="Source Sans Pro" w:hAnsi="Source Sans Pro" w:cs="Arial"/>
          <w:color w:val="444444"/>
          <w:sz w:val="20"/>
          <w:szCs w:val="22"/>
        </w:rPr>
      </w:pPr>
      <w:r w:rsidRPr="00CE181C">
        <w:rPr>
          <w:rFonts w:ascii="Source Sans Pro" w:hAnsi="Source Sans Pro" w:cs="Arial"/>
          <w:color w:val="444444"/>
          <w:sz w:val="20"/>
          <w:szCs w:val="22"/>
        </w:rPr>
        <w:t xml:space="preserve">Our approach to </w:t>
      </w:r>
      <w:r w:rsidR="00D34CA6" w:rsidRPr="00CE181C">
        <w:rPr>
          <w:rFonts w:ascii="Source Sans Pro" w:hAnsi="Source Sans Pro" w:cs="Arial"/>
          <w:color w:val="444444"/>
          <w:sz w:val="20"/>
          <w:szCs w:val="22"/>
        </w:rPr>
        <w:t xml:space="preserve">human and capital resource </w:t>
      </w:r>
      <w:r w:rsidR="000610FD" w:rsidRPr="00CE181C">
        <w:rPr>
          <w:rFonts w:ascii="Source Sans Pro" w:hAnsi="Source Sans Pro" w:cs="Arial"/>
          <w:color w:val="444444"/>
          <w:sz w:val="20"/>
          <w:szCs w:val="22"/>
        </w:rPr>
        <w:t xml:space="preserve">allocation remains </w:t>
      </w:r>
      <w:r w:rsidR="00811425">
        <w:rPr>
          <w:rFonts w:ascii="Source Sans Pro" w:hAnsi="Source Sans Pro" w:cs="Arial"/>
          <w:color w:val="444444"/>
          <w:sz w:val="20"/>
          <w:szCs w:val="22"/>
        </w:rPr>
        <w:t>considered</w:t>
      </w:r>
      <w:r w:rsidR="000610FD" w:rsidRPr="00CE181C">
        <w:rPr>
          <w:rFonts w:ascii="Source Sans Pro" w:hAnsi="Source Sans Pro" w:cs="Arial"/>
          <w:color w:val="444444"/>
          <w:sz w:val="20"/>
          <w:szCs w:val="22"/>
        </w:rPr>
        <w:t xml:space="preserve"> </w:t>
      </w:r>
      <w:r w:rsidR="00653DD3" w:rsidRPr="00CE181C">
        <w:rPr>
          <w:rFonts w:ascii="Source Sans Pro" w:hAnsi="Source Sans Pro" w:cs="Arial"/>
          <w:color w:val="444444"/>
          <w:sz w:val="20"/>
          <w:szCs w:val="22"/>
        </w:rPr>
        <w:t xml:space="preserve">and we are focused on </w:t>
      </w:r>
      <w:r w:rsidR="00E93084" w:rsidRPr="00CE181C">
        <w:rPr>
          <w:rFonts w:ascii="Source Sans Pro" w:hAnsi="Source Sans Pro" w:cs="Arial"/>
          <w:color w:val="444444"/>
          <w:sz w:val="20"/>
          <w:szCs w:val="22"/>
        </w:rPr>
        <w:t>building</w:t>
      </w:r>
      <w:r w:rsidR="00653DD3" w:rsidRPr="00CE181C">
        <w:rPr>
          <w:rFonts w:ascii="Source Sans Pro" w:hAnsi="Source Sans Pro" w:cs="Arial"/>
          <w:color w:val="444444"/>
          <w:sz w:val="20"/>
          <w:szCs w:val="22"/>
        </w:rPr>
        <w:t xml:space="preserve"> scale </w:t>
      </w:r>
      <w:r w:rsidR="00E93084" w:rsidRPr="00CE181C">
        <w:rPr>
          <w:rFonts w:ascii="Source Sans Pro" w:hAnsi="Source Sans Pro" w:cs="Arial"/>
          <w:color w:val="444444"/>
          <w:sz w:val="20"/>
          <w:szCs w:val="22"/>
        </w:rPr>
        <w:t>and top</w:t>
      </w:r>
      <w:r w:rsidR="0066068D">
        <w:rPr>
          <w:rFonts w:ascii="Source Sans Pro" w:hAnsi="Source Sans Pro" w:cs="Arial"/>
          <w:color w:val="444444"/>
          <w:sz w:val="20"/>
          <w:szCs w:val="22"/>
        </w:rPr>
        <w:t>-</w:t>
      </w:r>
      <w:r w:rsidR="00E93084" w:rsidRPr="00CE181C">
        <w:rPr>
          <w:rFonts w:ascii="Source Sans Pro" w:hAnsi="Source Sans Pro" w:cs="Arial"/>
          <w:color w:val="444444"/>
          <w:sz w:val="20"/>
          <w:szCs w:val="22"/>
        </w:rPr>
        <w:t>li</w:t>
      </w:r>
      <w:r w:rsidR="0066068D">
        <w:rPr>
          <w:rFonts w:ascii="Source Sans Pro" w:hAnsi="Source Sans Pro" w:cs="Arial"/>
          <w:color w:val="444444"/>
          <w:sz w:val="20"/>
          <w:szCs w:val="22"/>
        </w:rPr>
        <w:t>n</w:t>
      </w:r>
      <w:r w:rsidR="00E93084" w:rsidRPr="00CE181C">
        <w:rPr>
          <w:rFonts w:ascii="Source Sans Pro" w:hAnsi="Source Sans Pro" w:cs="Arial"/>
          <w:color w:val="444444"/>
          <w:sz w:val="20"/>
          <w:szCs w:val="22"/>
        </w:rPr>
        <w:t xml:space="preserve">e revenue growth, while </w:t>
      </w:r>
      <w:r w:rsidR="004631E9" w:rsidRPr="00CE181C">
        <w:rPr>
          <w:rFonts w:ascii="Source Sans Pro" w:hAnsi="Source Sans Pro" w:cs="Arial"/>
          <w:color w:val="444444"/>
          <w:sz w:val="20"/>
          <w:szCs w:val="22"/>
        </w:rPr>
        <w:t>driving efficiencies and removing any undue complexity.</w:t>
      </w:r>
    </w:p>
    <w:p w14:paraId="43FE9192" w14:textId="239D729A" w:rsidR="004631E9" w:rsidRPr="00CE181C" w:rsidRDefault="001F40FD" w:rsidP="00423552">
      <w:pPr>
        <w:pStyle w:val="Default"/>
        <w:spacing w:before="120"/>
        <w:rPr>
          <w:rFonts w:ascii="Source Sans Pro" w:hAnsi="Source Sans Pro" w:cs="Arial"/>
          <w:color w:val="444444"/>
          <w:sz w:val="20"/>
          <w:szCs w:val="22"/>
        </w:rPr>
      </w:pPr>
      <w:r w:rsidRPr="00CE181C">
        <w:rPr>
          <w:rFonts w:ascii="Source Sans Pro" w:hAnsi="Source Sans Pro" w:cs="Arial"/>
          <w:color w:val="444444"/>
          <w:sz w:val="20"/>
          <w:szCs w:val="22"/>
        </w:rPr>
        <w:t xml:space="preserve">Market sentiment </w:t>
      </w:r>
      <w:r w:rsidR="000454F3" w:rsidRPr="00CE181C">
        <w:rPr>
          <w:rFonts w:ascii="Source Sans Pro" w:hAnsi="Source Sans Pro" w:cs="Arial"/>
          <w:color w:val="444444"/>
          <w:sz w:val="20"/>
          <w:szCs w:val="22"/>
        </w:rPr>
        <w:t xml:space="preserve">is still far from buoyant, </w:t>
      </w:r>
      <w:r w:rsidR="003C2D5C" w:rsidRPr="00CE181C">
        <w:rPr>
          <w:rFonts w:ascii="Source Sans Pro" w:hAnsi="Source Sans Pro" w:cs="Arial"/>
          <w:color w:val="444444"/>
          <w:sz w:val="20"/>
          <w:szCs w:val="22"/>
        </w:rPr>
        <w:t xml:space="preserve">but there are early signs of cautious optimism </w:t>
      </w:r>
      <w:r w:rsidR="00C15C3B" w:rsidRPr="00CE181C">
        <w:rPr>
          <w:rFonts w:ascii="Source Sans Pro" w:hAnsi="Source Sans Pro" w:cs="Arial"/>
          <w:color w:val="444444"/>
          <w:sz w:val="20"/>
          <w:szCs w:val="22"/>
        </w:rPr>
        <w:t xml:space="preserve">for an improvement </w:t>
      </w:r>
      <w:r w:rsidR="00A41042">
        <w:rPr>
          <w:rFonts w:ascii="Source Sans Pro" w:hAnsi="Source Sans Pro" w:cs="Arial"/>
          <w:color w:val="444444"/>
          <w:sz w:val="20"/>
          <w:szCs w:val="22"/>
        </w:rPr>
        <w:t>in</w:t>
      </w:r>
      <w:r w:rsidR="00C15C3B" w:rsidRPr="00CE181C">
        <w:rPr>
          <w:rFonts w:ascii="Source Sans Pro" w:hAnsi="Source Sans Pro" w:cs="Arial"/>
          <w:color w:val="444444"/>
          <w:sz w:val="20"/>
          <w:szCs w:val="22"/>
        </w:rPr>
        <w:t xml:space="preserve"> clients’ views towards risk assets. </w:t>
      </w:r>
      <w:r w:rsidR="006C348F" w:rsidRPr="00CE181C">
        <w:rPr>
          <w:rFonts w:ascii="Source Sans Pro" w:hAnsi="Source Sans Pro" w:cs="Arial"/>
          <w:color w:val="444444"/>
          <w:sz w:val="20"/>
          <w:szCs w:val="22"/>
        </w:rPr>
        <w:t xml:space="preserve">With a period </w:t>
      </w:r>
      <w:r w:rsidR="00EF4947" w:rsidRPr="00CE181C">
        <w:rPr>
          <w:rFonts w:ascii="Source Sans Pro" w:hAnsi="Source Sans Pro" w:cs="Arial"/>
          <w:color w:val="444444"/>
          <w:sz w:val="20"/>
          <w:szCs w:val="22"/>
        </w:rPr>
        <w:t xml:space="preserve">of forthcoming political stability </w:t>
      </w:r>
      <w:r w:rsidR="00B6131E" w:rsidRPr="00CE181C">
        <w:rPr>
          <w:rFonts w:ascii="Source Sans Pro" w:hAnsi="Source Sans Pro" w:cs="Arial"/>
          <w:color w:val="444444"/>
          <w:sz w:val="20"/>
          <w:szCs w:val="22"/>
        </w:rPr>
        <w:t>a</w:t>
      </w:r>
      <w:r w:rsidR="00253D6B" w:rsidRPr="00CE181C">
        <w:rPr>
          <w:rFonts w:ascii="Source Sans Pro" w:hAnsi="Source Sans Pro" w:cs="Arial"/>
          <w:color w:val="444444"/>
          <w:sz w:val="20"/>
          <w:szCs w:val="22"/>
        </w:rPr>
        <w:t>n</w:t>
      </w:r>
      <w:r w:rsidR="00B6131E" w:rsidRPr="00CE181C">
        <w:rPr>
          <w:rFonts w:ascii="Source Sans Pro" w:hAnsi="Source Sans Pro" w:cs="Arial"/>
          <w:color w:val="444444"/>
          <w:sz w:val="20"/>
          <w:szCs w:val="22"/>
        </w:rPr>
        <w:t xml:space="preserve">d falling </w:t>
      </w:r>
      <w:r w:rsidR="00060181" w:rsidRPr="00CE181C">
        <w:rPr>
          <w:rFonts w:ascii="Source Sans Pro" w:hAnsi="Source Sans Pro" w:cs="Arial"/>
          <w:color w:val="444444"/>
          <w:sz w:val="20"/>
          <w:szCs w:val="22"/>
        </w:rPr>
        <w:t>interest</w:t>
      </w:r>
      <w:r w:rsidR="00B6131E" w:rsidRPr="00CE181C">
        <w:rPr>
          <w:rFonts w:ascii="Source Sans Pro" w:hAnsi="Source Sans Pro" w:cs="Arial"/>
          <w:color w:val="444444"/>
          <w:sz w:val="20"/>
          <w:szCs w:val="22"/>
        </w:rPr>
        <w:t xml:space="preserve"> rates, and the possibility of more bold action from </w:t>
      </w:r>
      <w:r w:rsidR="00622D67">
        <w:rPr>
          <w:rFonts w:ascii="Source Sans Pro" w:hAnsi="Source Sans Pro" w:cs="Arial"/>
          <w:color w:val="444444"/>
          <w:sz w:val="20"/>
          <w:szCs w:val="22"/>
        </w:rPr>
        <w:t>the</w:t>
      </w:r>
      <w:r w:rsidR="00B6131E" w:rsidRPr="00CE181C">
        <w:rPr>
          <w:rFonts w:ascii="Source Sans Pro" w:hAnsi="Source Sans Pro" w:cs="Arial"/>
          <w:color w:val="444444"/>
          <w:sz w:val="20"/>
          <w:szCs w:val="22"/>
        </w:rPr>
        <w:t xml:space="preserve"> new government, </w:t>
      </w:r>
      <w:r w:rsidR="00CF461A" w:rsidRPr="00CE181C">
        <w:rPr>
          <w:rFonts w:ascii="Source Sans Pro" w:hAnsi="Source Sans Pro" w:cs="Arial"/>
          <w:color w:val="444444"/>
          <w:sz w:val="20"/>
          <w:szCs w:val="22"/>
        </w:rPr>
        <w:t xml:space="preserve">it is not unreasonable to be </w:t>
      </w:r>
      <w:r w:rsidR="00670C9A" w:rsidRPr="00CE181C">
        <w:rPr>
          <w:rFonts w:ascii="Source Sans Pro" w:hAnsi="Source Sans Pro" w:cs="Arial"/>
          <w:color w:val="444444"/>
          <w:sz w:val="20"/>
          <w:szCs w:val="22"/>
        </w:rPr>
        <w:t>hopeful</w:t>
      </w:r>
      <w:r w:rsidR="007C0864" w:rsidRPr="00CE181C">
        <w:rPr>
          <w:rFonts w:ascii="Source Sans Pro" w:hAnsi="Source Sans Pro" w:cs="Arial"/>
          <w:color w:val="444444"/>
          <w:sz w:val="20"/>
          <w:szCs w:val="22"/>
        </w:rPr>
        <w:t xml:space="preserve"> around a poten</w:t>
      </w:r>
      <w:r w:rsidR="00253D6B" w:rsidRPr="00CE181C">
        <w:rPr>
          <w:rFonts w:ascii="Source Sans Pro" w:hAnsi="Source Sans Pro" w:cs="Arial"/>
          <w:color w:val="444444"/>
          <w:sz w:val="20"/>
          <w:szCs w:val="22"/>
        </w:rPr>
        <w:t xml:space="preserve">tial </w:t>
      </w:r>
      <w:r w:rsidR="0039384F" w:rsidRPr="00CE181C">
        <w:rPr>
          <w:rFonts w:ascii="Source Sans Pro" w:hAnsi="Source Sans Pro" w:cs="Arial"/>
          <w:color w:val="444444"/>
          <w:sz w:val="20"/>
          <w:szCs w:val="22"/>
        </w:rPr>
        <w:t xml:space="preserve">turnaround in </w:t>
      </w:r>
      <w:r w:rsidR="00B126D8" w:rsidRPr="00CE181C">
        <w:rPr>
          <w:rFonts w:ascii="Source Sans Pro" w:hAnsi="Source Sans Pro" w:cs="Arial"/>
          <w:color w:val="444444"/>
          <w:sz w:val="20"/>
          <w:szCs w:val="22"/>
        </w:rPr>
        <w:t>sentiment</w:t>
      </w:r>
      <w:r w:rsidR="0039384F" w:rsidRPr="00CE181C">
        <w:rPr>
          <w:rFonts w:ascii="Source Sans Pro" w:hAnsi="Source Sans Pro" w:cs="Arial"/>
          <w:color w:val="444444"/>
          <w:sz w:val="20"/>
          <w:szCs w:val="22"/>
        </w:rPr>
        <w:t xml:space="preserve"> </w:t>
      </w:r>
      <w:r w:rsidR="001C0A58">
        <w:rPr>
          <w:rFonts w:ascii="Source Sans Pro" w:hAnsi="Source Sans Pro" w:cs="Arial"/>
          <w:color w:val="444444"/>
          <w:sz w:val="20"/>
          <w:szCs w:val="22"/>
        </w:rPr>
        <w:t>in</w:t>
      </w:r>
      <w:r w:rsidR="0039384F" w:rsidRPr="00CE181C">
        <w:rPr>
          <w:rFonts w:ascii="Source Sans Pro" w:hAnsi="Source Sans Pro" w:cs="Arial"/>
          <w:color w:val="444444"/>
          <w:sz w:val="20"/>
          <w:szCs w:val="22"/>
        </w:rPr>
        <w:t xml:space="preserve"> both the UK and </w:t>
      </w:r>
      <w:r w:rsidR="001C0A58">
        <w:rPr>
          <w:rFonts w:ascii="Source Sans Pro" w:hAnsi="Source Sans Pro" w:cs="Arial"/>
          <w:color w:val="444444"/>
          <w:sz w:val="20"/>
          <w:szCs w:val="22"/>
        </w:rPr>
        <w:t xml:space="preserve">in </w:t>
      </w:r>
      <w:r w:rsidR="00486C3E" w:rsidRPr="00CE181C">
        <w:rPr>
          <w:rFonts w:ascii="Source Sans Pro" w:hAnsi="Source Sans Pro" w:cs="Arial"/>
          <w:color w:val="444444"/>
          <w:sz w:val="20"/>
          <w:szCs w:val="22"/>
        </w:rPr>
        <w:t xml:space="preserve">companies who are listed in the UK.  Should this take place, Jupiter remains </w:t>
      </w:r>
      <w:r w:rsidR="00B126D8" w:rsidRPr="00CE181C">
        <w:rPr>
          <w:rFonts w:ascii="Source Sans Pro" w:hAnsi="Source Sans Pro" w:cs="Arial"/>
          <w:color w:val="444444"/>
          <w:sz w:val="20"/>
          <w:szCs w:val="22"/>
        </w:rPr>
        <w:t>well</w:t>
      </w:r>
      <w:r w:rsidR="002A22C2">
        <w:rPr>
          <w:rFonts w:ascii="Source Sans Pro" w:hAnsi="Source Sans Pro" w:cs="Arial"/>
          <w:color w:val="444444"/>
          <w:sz w:val="20"/>
          <w:szCs w:val="22"/>
        </w:rPr>
        <w:t>-</w:t>
      </w:r>
      <w:r w:rsidR="00B126D8" w:rsidRPr="00CE181C">
        <w:rPr>
          <w:rFonts w:ascii="Source Sans Pro" w:hAnsi="Source Sans Pro" w:cs="Arial"/>
          <w:color w:val="444444"/>
          <w:sz w:val="20"/>
          <w:szCs w:val="22"/>
        </w:rPr>
        <w:t>positioned to capitalise over the medium term.</w:t>
      </w:r>
    </w:p>
    <w:p w14:paraId="03E7B487" w14:textId="77777777" w:rsidR="00661909" w:rsidRDefault="00661909" w:rsidP="00750C4B">
      <w:pPr>
        <w:pStyle w:val="Default"/>
        <w:rPr>
          <w:rFonts w:ascii="Source Sans Pro" w:hAnsi="Source Sans Pro" w:cs="Arial"/>
          <w:color w:val="444444"/>
          <w:sz w:val="20"/>
          <w:szCs w:val="22"/>
        </w:rPr>
      </w:pPr>
    </w:p>
    <w:p w14:paraId="3C5C9628" w14:textId="77777777" w:rsidR="002565F1" w:rsidRDefault="002565F1" w:rsidP="00750C4B">
      <w:pPr>
        <w:pStyle w:val="Default"/>
        <w:rPr>
          <w:rFonts w:ascii="Source Sans Pro" w:hAnsi="Source Sans Pro" w:cs="Arial"/>
          <w:color w:val="444444"/>
          <w:sz w:val="20"/>
          <w:szCs w:val="22"/>
        </w:rPr>
      </w:pPr>
    </w:p>
    <w:p w14:paraId="2BA1C800" w14:textId="77777777" w:rsidR="0053267B" w:rsidRDefault="0053267B" w:rsidP="00750C4B">
      <w:pPr>
        <w:pStyle w:val="Default"/>
        <w:rPr>
          <w:rFonts w:ascii="Source Sans Pro" w:hAnsi="Source Sans Pro" w:cs="Arial"/>
          <w:color w:val="444444"/>
          <w:sz w:val="20"/>
          <w:szCs w:val="22"/>
        </w:rPr>
      </w:pPr>
    </w:p>
    <w:p w14:paraId="42701BDD" w14:textId="77777777" w:rsidR="00661909" w:rsidRDefault="00661909" w:rsidP="00750C4B">
      <w:pPr>
        <w:pStyle w:val="Default"/>
        <w:rPr>
          <w:rFonts w:ascii="Source Sans Pro" w:hAnsi="Source Sans Pro" w:cs="Arial"/>
          <w:color w:val="444444"/>
          <w:sz w:val="20"/>
          <w:szCs w:val="22"/>
        </w:rPr>
      </w:pPr>
    </w:p>
    <w:p w14:paraId="698FB1AB" w14:textId="2C1582CB" w:rsidR="000650F3" w:rsidRPr="000650F3" w:rsidRDefault="00013E12" w:rsidP="004F5E8E">
      <w:pPr>
        <w:pStyle w:val="Bodytext0"/>
        <w:spacing w:before="0"/>
      </w:pPr>
      <w:r>
        <w:rPr>
          <w:szCs w:val="22"/>
        </w:rPr>
        <w:t>Matthew Beesley</w:t>
      </w:r>
    </w:p>
    <w:p w14:paraId="5E8F6A49" w14:textId="7797A088" w:rsidR="004F5E8E" w:rsidRDefault="000650F3" w:rsidP="004C5302">
      <w:pPr>
        <w:pStyle w:val="Bodytext0"/>
        <w:spacing w:before="0"/>
      </w:pPr>
      <w:r w:rsidRPr="000650F3">
        <w:t>Chief Executive Officer</w:t>
      </w:r>
      <w:r w:rsidRPr="000650F3">
        <w:br/>
      </w:r>
      <w:r w:rsidR="00376214">
        <w:t>25 July</w:t>
      </w:r>
      <w:r w:rsidRPr="007E6A70">
        <w:t xml:space="preserve"> </w:t>
      </w:r>
      <w:bookmarkEnd w:id="6"/>
      <w:r w:rsidR="00E85F7E">
        <w:t>2024</w:t>
      </w:r>
    </w:p>
    <w:p w14:paraId="069A9031" w14:textId="77777777" w:rsidR="00A36A5B" w:rsidRDefault="00A36A5B"/>
    <w:p w14:paraId="258D1166" w14:textId="77777777" w:rsidR="00A36A5B" w:rsidRDefault="00A36A5B"/>
    <w:p w14:paraId="6B33908F" w14:textId="452B178B" w:rsidR="004F5E8E" w:rsidRDefault="004F5E8E">
      <w:pPr>
        <w:rPr>
          <w:rFonts w:eastAsiaTheme="minorHAnsi"/>
          <w:sz w:val="20"/>
          <w:lang w:val="en-GB" w:eastAsia="en-US"/>
        </w:rPr>
      </w:pPr>
      <w:r>
        <w:br w:type="page"/>
      </w:r>
    </w:p>
    <w:tbl>
      <w:tblPr>
        <w:tblStyle w:val="TableGrid"/>
        <w:tblW w:w="0" w:type="auto"/>
        <w:tblLook w:val="04A0" w:firstRow="1" w:lastRow="0" w:firstColumn="1" w:lastColumn="0" w:noHBand="0" w:noVBand="1"/>
      </w:tblPr>
      <w:tblGrid>
        <w:gridCol w:w="10205"/>
      </w:tblGrid>
      <w:tr w:rsidR="00B87F64" w:rsidRPr="001520AE" w14:paraId="6C085C1B" w14:textId="77777777" w:rsidTr="00A97AF6">
        <w:trPr>
          <w:trHeight w:val="708"/>
        </w:trPr>
        <w:tc>
          <w:tcPr>
            <w:tcW w:w="10205" w:type="dxa"/>
          </w:tcPr>
          <w:p w14:paraId="5DCB824B" w14:textId="77777777" w:rsidR="00B87F64" w:rsidRDefault="00B87F64" w:rsidP="00A97AF6">
            <w:pPr>
              <w:pStyle w:val="Heading"/>
              <w:spacing w:after="120"/>
              <w:rPr>
                <w:sz w:val="52"/>
                <w:szCs w:val="40"/>
              </w:rPr>
            </w:pPr>
            <w:r w:rsidRPr="003D5D52">
              <w:rPr>
                <w:sz w:val="52"/>
                <w:szCs w:val="40"/>
              </w:rPr>
              <w:lastRenderedPageBreak/>
              <w:t>Consolidated income statement</w:t>
            </w:r>
          </w:p>
          <w:p w14:paraId="63526C0F" w14:textId="1C17CF06" w:rsidR="00B87F64" w:rsidRPr="001520AE" w:rsidRDefault="00B87F64" w:rsidP="00A97AF6">
            <w:pPr>
              <w:pStyle w:val="Heading"/>
              <w:spacing w:after="120"/>
              <w:rPr>
                <w:sz w:val="52"/>
                <w:szCs w:val="40"/>
              </w:rPr>
            </w:pPr>
            <w:r w:rsidRPr="009C15E6">
              <w:rPr>
                <w:sz w:val="24"/>
                <w:szCs w:val="18"/>
              </w:rPr>
              <w:t xml:space="preserve">for the six </w:t>
            </w:r>
            <w:r w:rsidRPr="00B31740">
              <w:rPr>
                <w:sz w:val="24"/>
                <w:szCs w:val="18"/>
              </w:rPr>
              <w:t xml:space="preserve">months ended 30 June </w:t>
            </w:r>
            <w:r w:rsidR="00E85F7E">
              <w:rPr>
                <w:sz w:val="24"/>
                <w:szCs w:val="18"/>
              </w:rPr>
              <w:t>2024</w:t>
            </w:r>
          </w:p>
        </w:tc>
      </w:tr>
      <w:tr w:rsidR="00B87F64" w:rsidRPr="00A517F6" w14:paraId="1694CA1B" w14:textId="77777777" w:rsidTr="00A97AF6">
        <w:trPr>
          <w:trHeight w:hRule="exact" w:val="284"/>
        </w:trPr>
        <w:tc>
          <w:tcPr>
            <w:tcW w:w="10205" w:type="dxa"/>
            <w:shd w:val="clear" w:color="auto" w:fill="16293F" w:themeFill="text1"/>
          </w:tcPr>
          <w:p w14:paraId="17C25DCA" w14:textId="77777777" w:rsidR="00B87F64" w:rsidRPr="00A517F6" w:rsidRDefault="00B87F64" w:rsidP="00A97AF6">
            <w:pPr>
              <w:pStyle w:val="Bodytext0"/>
              <w:spacing w:before="0" w:line="240" w:lineRule="auto"/>
              <w:rPr>
                <w:sz w:val="16"/>
                <w:szCs w:val="18"/>
              </w:rPr>
            </w:pPr>
          </w:p>
        </w:tc>
      </w:tr>
    </w:tbl>
    <w:p w14:paraId="1751825D" w14:textId="2D02F371" w:rsidR="00F26C9C" w:rsidRDefault="00F26C9C" w:rsidP="00F26C9C">
      <w:pPr>
        <w:pStyle w:val="Bodytext0"/>
      </w:pPr>
    </w:p>
    <w:tbl>
      <w:tblPr>
        <w:tblW w:w="4929" w:type="pct"/>
        <w:tblLook w:val="0000" w:firstRow="0" w:lastRow="0" w:firstColumn="0" w:lastColumn="0" w:noHBand="0" w:noVBand="0"/>
      </w:tblPr>
      <w:tblGrid>
        <w:gridCol w:w="2946"/>
        <w:gridCol w:w="937"/>
        <w:gridCol w:w="1948"/>
        <w:gridCol w:w="122"/>
        <w:gridCol w:w="2182"/>
        <w:gridCol w:w="192"/>
        <w:gridCol w:w="1733"/>
      </w:tblGrid>
      <w:tr w:rsidR="003B4CDD" w:rsidRPr="00E23684" w14:paraId="3129931D" w14:textId="77777777" w:rsidTr="7F0CE02B">
        <w:trPr>
          <w:trHeight w:val="20"/>
        </w:trPr>
        <w:tc>
          <w:tcPr>
            <w:tcW w:w="2959" w:type="dxa"/>
            <w:tcBorders>
              <w:top w:val="nil"/>
              <w:left w:val="nil"/>
              <w:bottom w:val="nil"/>
              <w:right w:val="nil"/>
            </w:tcBorders>
            <w:shd w:val="clear" w:color="auto" w:fill="FFFFFF" w:themeFill="background1"/>
            <w:tcMar>
              <w:left w:w="0" w:type="dxa"/>
              <w:right w:w="0" w:type="dxa"/>
            </w:tcMar>
            <w:vAlign w:val="bottom"/>
          </w:tcPr>
          <w:p w14:paraId="2FD62D1E" w14:textId="77777777" w:rsidR="009D435A" w:rsidRPr="00E23684" w:rsidRDefault="009D435A" w:rsidP="00E23684">
            <w:pPr>
              <w:pStyle w:val="Tableheading"/>
              <w:jc w:val="right"/>
            </w:pPr>
          </w:p>
        </w:tc>
        <w:tc>
          <w:tcPr>
            <w:tcW w:w="939" w:type="dxa"/>
            <w:tcBorders>
              <w:top w:val="nil"/>
              <w:left w:val="nil"/>
              <w:bottom w:val="nil"/>
              <w:right w:val="nil"/>
            </w:tcBorders>
            <w:shd w:val="clear" w:color="auto" w:fill="FFFFFF" w:themeFill="background1"/>
            <w:vAlign w:val="bottom"/>
          </w:tcPr>
          <w:p w14:paraId="7BDF92AF" w14:textId="2293F582" w:rsidR="009D435A" w:rsidRPr="00E23684" w:rsidRDefault="009D435A" w:rsidP="00E23684">
            <w:pPr>
              <w:pStyle w:val="Tableheading"/>
              <w:jc w:val="center"/>
            </w:pPr>
            <w:r w:rsidRPr="00E23684">
              <w:rPr>
                <w:color w:val="003D7F" w:themeColor="accent2" w:themeShade="BF"/>
                <w:sz w:val="16"/>
              </w:rPr>
              <w:t>Notes</w:t>
            </w:r>
          </w:p>
        </w:tc>
        <w:tc>
          <w:tcPr>
            <w:tcW w:w="1948" w:type="dxa"/>
            <w:tcBorders>
              <w:top w:val="nil"/>
              <w:left w:val="nil"/>
              <w:bottom w:val="nil"/>
              <w:right w:val="nil"/>
            </w:tcBorders>
            <w:shd w:val="clear" w:color="auto" w:fill="FFFFFF" w:themeFill="background1"/>
            <w:vAlign w:val="bottom"/>
          </w:tcPr>
          <w:p w14:paraId="0769927C" w14:textId="732922FA"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Six months ended</w:t>
            </w:r>
          </w:p>
          <w:p w14:paraId="76E1BB0B" w14:textId="0BF4454C"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 xml:space="preserve">30 June </w:t>
            </w:r>
            <w:r w:rsidR="00E85F7E">
              <w:rPr>
                <w:color w:val="003D7F" w:themeColor="accent2" w:themeShade="BF"/>
                <w:sz w:val="16"/>
              </w:rPr>
              <w:t>2024</w:t>
            </w:r>
          </w:p>
        </w:tc>
        <w:tc>
          <w:tcPr>
            <w:tcW w:w="123" w:type="dxa"/>
            <w:tcBorders>
              <w:top w:val="nil"/>
              <w:left w:val="nil"/>
              <w:bottom w:val="nil"/>
              <w:right w:val="nil"/>
            </w:tcBorders>
            <w:shd w:val="clear" w:color="auto" w:fill="FFFFFF" w:themeFill="background1"/>
            <w:tcMar>
              <w:left w:w="0" w:type="dxa"/>
              <w:right w:w="0" w:type="dxa"/>
            </w:tcMar>
            <w:vAlign w:val="bottom"/>
          </w:tcPr>
          <w:p w14:paraId="40475C57" w14:textId="77777777"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 xml:space="preserve"> </w:t>
            </w:r>
          </w:p>
        </w:tc>
        <w:tc>
          <w:tcPr>
            <w:tcW w:w="2165" w:type="dxa"/>
            <w:tcBorders>
              <w:top w:val="nil"/>
              <w:left w:val="nil"/>
              <w:bottom w:val="nil"/>
              <w:right w:val="nil"/>
            </w:tcBorders>
            <w:shd w:val="clear" w:color="auto" w:fill="FFFFFF" w:themeFill="background1"/>
            <w:tcMar>
              <w:left w:w="0" w:type="dxa"/>
              <w:right w:w="0" w:type="dxa"/>
            </w:tcMar>
            <w:vAlign w:val="bottom"/>
          </w:tcPr>
          <w:p w14:paraId="7998DE35" w14:textId="1125055F"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ab/>
              <w:t>Six months ended</w:t>
            </w:r>
          </w:p>
          <w:p w14:paraId="0CAE4183" w14:textId="7242F769"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 xml:space="preserve">30 June </w:t>
            </w:r>
            <w:r w:rsidR="00E85F7E">
              <w:rPr>
                <w:color w:val="003D7F" w:themeColor="accent2" w:themeShade="BF"/>
                <w:sz w:val="16"/>
              </w:rPr>
              <w:t>2023</w:t>
            </w:r>
          </w:p>
        </w:tc>
        <w:tc>
          <w:tcPr>
            <w:tcW w:w="193" w:type="dxa"/>
            <w:tcBorders>
              <w:top w:val="nil"/>
              <w:left w:val="nil"/>
              <w:bottom w:val="nil"/>
              <w:right w:val="nil"/>
            </w:tcBorders>
            <w:shd w:val="clear" w:color="auto" w:fill="FFFFFF" w:themeFill="background1"/>
            <w:tcMar>
              <w:left w:w="0" w:type="dxa"/>
              <w:right w:w="0" w:type="dxa"/>
            </w:tcMar>
            <w:vAlign w:val="bottom"/>
          </w:tcPr>
          <w:p w14:paraId="1413F225" w14:textId="77777777" w:rsidR="009D435A" w:rsidRPr="00E23684" w:rsidRDefault="009D435A" w:rsidP="00E23684">
            <w:pPr>
              <w:pStyle w:val="Tableheading"/>
              <w:jc w:val="right"/>
              <w:rPr>
                <w:color w:val="003D7F" w:themeColor="accent2" w:themeShade="BF"/>
                <w:sz w:val="16"/>
              </w:rPr>
            </w:pPr>
            <w:r w:rsidRPr="00E23684">
              <w:rPr>
                <w:color w:val="003D7F" w:themeColor="accent2" w:themeShade="BF"/>
                <w:sz w:val="16"/>
              </w:rPr>
              <w:t xml:space="preserve"> </w:t>
            </w:r>
          </w:p>
        </w:tc>
        <w:tc>
          <w:tcPr>
            <w:tcW w:w="1733" w:type="dxa"/>
            <w:tcBorders>
              <w:top w:val="nil"/>
              <w:left w:val="nil"/>
              <w:bottom w:val="nil"/>
              <w:right w:val="nil"/>
            </w:tcBorders>
            <w:shd w:val="clear" w:color="auto" w:fill="FFFFFF" w:themeFill="background1"/>
            <w:tcMar>
              <w:left w:w="0" w:type="dxa"/>
              <w:right w:w="0" w:type="dxa"/>
            </w:tcMar>
            <w:vAlign w:val="bottom"/>
          </w:tcPr>
          <w:p w14:paraId="54A40578" w14:textId="77777777" w:rsidR="009D435A" w:rsidRPr="00E23684" w:rsidRDefault="009D435A" w:rsidP="7F0CE02B">
            <w:pPr>
              <w:pStyle w:val="Tableheading"/>
              <w:tabs>
                <w:tab w:val="right" w:pos="1663"/>
              </w:tabs>
              <w:rPr>
                <w:color w:val="003D7F" w:themeColor="accent2" w:themeShade="BF"/>
                <w:sz w:val="16"/>
              </w:rPr>
            </w:pPr>
            <w:r w:rsidRPr="00E23684">
              <w:rPr>
                <w:color w:val="003D7F" w:themeColor="accent2" w:themeShade="BF"/>
                <w:sz w:val="16"/>
              </w:rPr>
              <w:tab/>
              <w:t xml:space="preserve">Year ended </w:t>
            </w:r>
          </w:p>
          <w:p w14:paraId="5C3D27B8" w14:textId="38B0FBD6" w:rsidR="009D435A" w:rsidRPr="00E23684" w:rsidRDefault="005D5E10" w:rsidP="00577845">
            <w:pPr>
              <w:pStyle w:val="Tableheading"/>
              <w:tabs>
                <w:tab w:val="right" w:pos="1663"/>
              </w:tabs>
              <w:rPr>
                <w:color w:val="003D7F" w:themeColor="accent2" w:themeShade="BF"/>
                <w:sz w:val="16"/>
              </w:rPr>
            </w:pPr>
            <w:r>
              <w:rPr>
                <w:color w:val="003D7F" w:themeColor="accent2" w:themeShade="BF"/>
                <w:sz w:val="16"/>
              </w:rPr>
              <w:tab/>
              <w:t>3</w:t>
            </w:r>
            <w:r w:rsidR="009D435A" w:rsidRPr="00E23684">
              <w:rPr>
                <w:color w:val="003D7F" w:themeColor="accent2" w:themeShade="BF"/>
                <w:sz w:val="16"/>
              </w:rPr>
              <w:t xml:space="preserve">1 December </w:t>
            </w:r>
            <w:r w:rsidR="00E85F7E">
              <w:rPr>
                <w:color w:val="003D7F" w:themeColor="accent2" w:themeShade="BF"/>
                <w:sz w:val="16"/>
              </w:rPr>
              <w:t>2023</w:t>
            </w:r>
          </w:p>
        </w:tc>
      </w:tr>
      <w:tr w:rsidR="003B4CDD" w:rsidRPr="00E23684" w14:paraId="1683E730" w14:textId="77777777" w:rsidTr="7F0CE02B">
        <w:trPr>
          <w:trHeight w:val="279"/>
        </w:trPr>
        <w:tc>
          <w:tcPr>
            <w:tcW w:w="2959" w:type="dxa"/>
            <w:tcBorders>
              <w:top w:val="nil"/>
              <w:left w:val="nil"/>
              <w:right w:val="nil"/>
            </w:tcBorders>
            <w:shd w:val="clear" w:color="auto" w:fill="FFFFFF" w:themeFill="background1"/>
            <w:tcMar>
              <w:left w:w="0" w:type="dxa"/>
              <w:right w:w="0" w:type="dxa"/>
            </w:tcMar>
            <w:vAlign w:val="bottom"/>
          </w:tcPr>
          <w:p w14:paraId="22FD8E23" w14:textId="77777777" w:rsidR="009D435A" w:rsidRPr="00E23684" w:rsidRDefault="009D435A" w:rsidP="00E23684">
            <w:pPr>
              <w:pStyle w:val="Tableheading"/>
              <w:jc w:val="right"/>
            </w:pPr>
          </w:p>
        </w:tc>
        <w:tc>
          <w:tcPr>
            <w:tcW w:w="939" w:type="dxa"/>
            <w:tcBorders>
              <w:top w:val="nil"/>
              <w:left w:val="nil"/>
              <w:right w:val="nil"/>
            </w:tcBorders>
            <w:shd w:val="clear" w:color="auto" w:fill="FFFFFF" w:themeFill="background1"/>
            <w:vAlign w:val="bottom"/>
          </w:tcPr>
          <w:p w14:paraId="09ACE10C" w14:textId="213E3AA5" w:rsidR="009D435A" w:rsidRPr="00E23684" w:rsidRDefault="009D435A" w:rsidP="00E23684">
            <w:pPr>
              <w:pStyle w:val="Tableheading"/>
              <w:jc w:val="right"/>
            </w:pPr>
            <w:r w:rsidRPr="00E23684">
              <w:t xml:space="preserve"> </w:t>
            </w:r>
          </w:p>
        </w:tc>
        <w:tc>
          <w:tcPr>
            <w:tcW w:w="1948" w:type="dxa"/>
            <w:tcBorders>
              <w:top w:val="nil"/>
              <w:left w:val="nil"/>
              <w:right w:val="nil"/>
            </w:tcBorders>
            <w:shd w:val="clear" w:color="auto" w:fill="FFFFFF" w:themeFill="background1"/>
            <w:vAlign w:val="bottom"/>
          </w:tcPr>
          <w:p w14:paraId="1BE03F1C" w14:textId="0BE9D8FA" w:rsidR="009D435A" w:rsidRPr="00E23684" w:rsidRDefault="009D435A" w:rsidP="00E23684">
            <w:pPr>
              <w:pStyle w:val="Tableheading"/>
              <w:jc w:val="right"/>
            </w:pPr>
            <w:r w:rsidRPr="00E23684">
              <w:t>£m</w:t>
            </w:r>
          </w:p>
        </w:tc>
        <w:tc>
          <w:tcPr>
            <w:tcW w:w="123" w:type="dxa"/>
            <w:tcBorders>
              <w:top w:val="nil"/>
              <w:left w:val="nil"/>
              <w:right w:val="nil"/>
            </w:tcBorders>
            <w:shd w:val="clear" w:color="auto" w:fill="FFFFFF" w:themeFill="background1"/>
            <w:tcMar>
              <w:left w:w="0" w:type="dxa"/>
              <w:right w:w="0" w:type="dxa"/>
            </w:tcMar>
            <w:vAlign w:val="bottom"/>
          </w:tcPr>
          <w:p w14:paraId="205D3C23" w14:textId="77777777" w:rsidR="009D435A" w:rsidRPr="00E23684" w:rsidRDefault="009D435A" w:rsidP="00E23684">
            <w:pPr>
              <w:pStyle w:val="Tableheading"/>
              <w:jc w:val="right"/>
            </w:pPr>
            <w:r w:rsidRPr="00E23684">
              <w:t xml:space="preserve"> </w:t>
            </w:r>
          </w:p>
        </w:tc>
        <w:tc>
          <w:tcPr>
            <w:tcW w:w="2165" w:type="dxa"/>
            <w:tcBorders>
              <w:top w:val="nil"/>
              <w:left w:val="nil"/>
              <w:right w:val="nil"/>
            </w:tcBorders>
            <w:shd w:val="clear" w:color="auto" w:fill="FFFFFF" w:themeFill="background1"/>
            <w:tcMar>
              <w:left w:w="0" w:type="dxa"/>
              <w:right w:w="0" w:type="dxa"/>
            </w:tcMar>
            <w:vAlign w:val="bottom"/>
          </w:tcPr>
          <w:p w14:paraId="33D8D498" w14:textId="2535B208" w:rsidR="009D435A" w:rsidRPr="00E23684" w:rsidRDefault="009D435A" w:rsidP="00E23684">
            <w:pPr>
              <w:pStyle w:val="Tableheading"/>
              <w:jc w:val="right"/>
            </w:pPr>
            <w:r w:rsidRPr="00E23684">
              <w:t>£m</w:t>
            </w:r>
          </w:p>
        </w:tc>
        <w:tc>
          <w:tcPr>
            <w:tcW w:w="193" w:type="dxa"/>
            <w:tcBorders>
              <w:top w:val="nil"/>
              <w:left w:val="nil"/>
              <w:right w:val="nil"/>
            </w:tcBorders>
            <w:shd w:val="clear" w:color="auto" w:fill="FFFFFF" w:themeFill="background1"/>
            <w:tcMar>
              <w:left w:w="0" w:type="dxa"/>
              <w:right w:w="0" w:type="dxa"/>
            </w:tcMar>
            <w:vAlign w:val="bottom"/>
          </w:tcPr>
          <w:p w14:paraId="2060A8CE" w14:textId="77777777" w:rsidR="009D435A" w:rsidRPr="00E23684" w:rsidRDefault="009D435A" w:rsidP="00E23684">
            <w:pPr>
              <w:pStyle w:val="Tableheading"/>
              <w:jc w:val="right"/>
            </w:pPr>
            <w:r w:rsidRPr="00E23684">
              <w:t xml:space="preserve"> </w:t>
            </w:r>
          </w:p>
        </w:tc>
        <w:tc>
          <w:tcPr>
            <w:tcW w:w="1733" w:type="dxa"/>
            <w:tcBorders>
              <w:top w:val="nil"/>
              <w:left w:val="nil"/>
              <w:right w:val="nil"/>
            </w:tcBorders>
            <w:shd w:val="clear" w:color="auto" w:fill="FFFFFF" w:themeFill="background1"/>
            <w:tcMar>
              <w:left w:w="0" w:type="dxa"/>
              <w:right w:w="0" w:type="dxa"/>
            </w:tcMar>
            <w:vAlign w:val="bottom"/>
          </w:tcPr>
          <w:p w14:paraId="3738BBA8" w14:textId="20426065" w:rsidR="009D435A" w:rsidRPr="00E23684" w:rsidRDefault="005D5E10" w:rsidP="00577845">
            <w:pPr>
              <w:pStyle w:val="Tableheading"/>
              <w:tabs>
                <w:tab w:val="right" w:pos="1663"/>
              </w:tabs>
            </w:pPr>
            <w:r>
              <w:tab/>
            </w:r>
            <w:r w:rsidR="009D435A" w:rsidRPr="00E23684">
              <w:t>£m</w:t>
            </w:r>
          </w:p>
        </w:tc>
      </w:tr>
      <w:tr w:rsidR="00C96CEC" w:rsidRPr="005E3062" w14:paraId="4635AD3D" w14:textId="77777777" w:rsidTr="7F0CE02B">
        <w:trPr>
          <w:trHeight w:val="74"/>
        </w:trPr>
        <w:tc>
          <w:tcPr>
            <w:tcW w:w="2959" w:type="dxa"/>
            <w:shd w:val="clear" w:color="auto" w:fill="FFFFFF" w:themeFill="background1"/>
            <w:tcMar>
              <w:left w:w="0" w:type="dxa"/>
              <w:right w:w="0" w:type="dxa"/>
            </w:tcMar>
          </w:tcPr>
          <w:p w14:paraId="5D48D708" w14:textId="77777777" w:rsidR="00C96CEC" w:rsidRPr="00EE3889" w:rsidRDefault="00C96CEC" w:rsidP="00C96CEC">
            <w:pPr>
              <w:spacing w:after="0"/>
              <w:rPr>
                <w:rFonts w:eastAsia="Arial"/>
                <w:szCs w:val="28"/>
                <w:lang w:eastAsia="en-GB"/>
              </w:rPr>
            </w:pPr>
            <w:r w:rsidRPr="00EE3889">
              <w:rPr>
                <w:rFonts w:eastAsia="Arial"/>
                <w:szCs w:val="28"/>
                <w:lang w:eastAsia="en-GB"/>
              </w:rPr>
              <w:t>Revenue</w:t>
            </w:r>
          </w:p>
        </w:tc>
        <w:tc>
          <w:tcPr>
            <w:tcW w:w="939" w:type="dxa"/>
            <w:shd w:val="clear" w:color="auto" w:fill="FFFFFF" w:themeFill="background1"/>
          </w:tcPr>
          <w:p w14:paraId="305B4CF5" w14:textId="79B913AA" w:rsidR="00C96CEC" w:rsidRPr="00EE3889" w:rsidRDefault="00C96CEC" w:rsidP="00C96CEC">
            <w:pPr>
              <w:spacing w:after="0"/>
              <w:jc w:val="center"/>
              <w:rPr>
                <w:rFonts w:eastAsia="Arial"/>
                <w:szCs w:val="28"/>
                <w:lang w:eastAsia="en-GB"/>
              </w:rPr>
            </w:pPr>
            <w:r w:rsidRPr="00EE3889">
              <w:rPr>
                <w:rFonts w:eastAsia="Arial"/>
                <w:szCs w:val="28"/>
                <w:lang w:eastAsia="en-GB"/>
              </w:rPr>
              <w:t>1</w:t>
            </w:r>
          </w:p>
        </w:tc>
        <w:tc>
          <w:tcPr>
            <w:tcW w:w="1948" w:type="dxa"/>
          </w:tcPr>
          <w:p w14:paraId="6653E908" w14:textId="0DDFF3C6" w:rsidR="00C96CEC" w:rsidRPr="005F0E7F" w:rsidRDefault="006220D9" w:rsidP="00577845">
            <w:pPr>
              <w:tabs>
                <w:tab w:val="decimal" w:pos="1495"/>
              </w:tabs>
              <w:spacing w:after="0"/>
              <w:rPr>
                <w:rFonts w:eastAsia="Arial"/>
                <w:bCs/>
                <w:szCs w:val="28"/>
                <w:lang w:eastAsia="en-GB"/>
              </w:rPr>
            </w:pPr>
            <w:r w:rsidRPr="005F0E7F">
              <w:rPr>
                <w:rFonts w:eastAsia="Arial"/>
                <w:bCs/>
                <w:szCs w:val="28"/>
                <w:lang w:eastAsia="en-GB"/>
              </w:rPr>
              <w:t>192.6</w:t>
            </w:r>
          </w:p>
        </w:tc>
        <w:tc>
          <w:tcPr>
            <w:tcW w:w="123" w:type="dxa"/>
            <w:shd w:val="clear" w:color="auto" w:fill="FFFFFF" w:themeFill="background1"/>
            <w:tcMar>
              <w:left w:w="0" w:type="dxa"/>
              <w:right w:w="0" w:type="dxa"/>
            </w:tcMar>
          </w:tcPr>
          <w:p w14:paraId="1A37DE70"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6C5D1EDD" w14:textId="7817F17F" w:rsidR="00C96CEC" w:rsidRPr="005051E7" w:rsidRDefault="00C96CEC" w:rsidP="00577845">
            <w:pPr>
              <w:tabs>
                <w:tab w:val="decimal" w:pos="1947"/>
              </w:tabs>
              <w:spacing w:after="0"/>
              <w:rPr>
                <w:rFonts w:eastAsia="Arial"/>
                <w:szCs w:val="28"/>
                <w:highlight w:val="yellow"/>
                <w:lang w:eastAsia="en-GB"/>
              </w:rPr>
            </w:pPr>
            <w:r w:rsidRPr="00F2575A">
              <w:rPr>
                <w:rFonts w:eastAsia="Arial"/>
                <w:szCs w:val="28"/>
                <w:lang w:eastAsia="en-GB"/>
              </w:rPr>
              <w:t xml:space="preserve">  200.2</w:t>
            </w:r>
          </w:p>
        </w:tc>
        <w:tc>
          <w:tcPr>
            <w:tcW w:w="193" w:type="dxa"/>
            <w:shd w:val="clear" w:color="auto" w:fill="FFFFFF" w:themeFill="background1"/>
            <w:tcMar>
              <w:left w:w="0" w:type="dxa"/>
              <w:right w:w="0" w:type="dxa"/>
            </w:tcMar>
          </w:tcPr>
          <w:p w14:paraId="4B75FC9F"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1733" w:type="dxa"/>
            <w:shd w:val="clear" w:color="auto" w:fill="FFFFFF" w:themeFill="background1"/>
            <w:tcMar>
              <w:left w:w="0" w:type="dxa"/>
              <w:right w:w="0" w:type="dxa"/>
            </w:tcMar>
          </w:tcPr>
          <w:p w14:paraId="08692ED1" w14:textId="48214A93"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405.6</w:t>
            </w:r>
          </w:p>
        </w:tc>
      </w:tr>
      <w:tr w:rsidR="00C96CEC" w:rsidRPr="005E3062" w14:paraId="7D744A4D" w14:textId="77777777" w:rsidTr="7F0CE02B">
        <w:trPr>
          <w:trHeight w:val="203"/>
        </w:trPr>
        <w:tc>
          <w:tcPr>
            <w:tcW w:w="2959" w:type="dxa"/>
            <w:shd w:val="clear" w:color="auto" w:fill="FFFFFF" w:themeFill="background1"/>
            <w:tcMar>
              <w:left w:w="0" w:type="dxa"/>
              <w:right w:w="0" w:type="dxa"/>
            </w:tcMar>
            <w:vAlign w:val="center"/>
          </w:tcPr>
          <w:p w14:paraId="1443E889" w14:textId="77777777" w:rsidR="00C96CEC" w:rsidRPr="00EE3889" w:rsidRDefault="00C96CEC" w:rsidP="00C96CEC">
            <w:pPr>
              <w:spacing w:after="0"/>
              <w:rPr>
                <w:rFonts w:eastAsia="Arial"/>
                <w:szCs w:val="28"/>
                <w:lang w:eastAsia="en-GB"/>
              </w:rPr>
            </w:pPr>
            <w:r w:rsidRPr="00EE3889">
              <w:rPr>
                <w:rFonts w:eastAsia="Arial"/>
                <w:szCs w:val="28"/>
                <w:lang w:eastAsia="en-GB"/>
              </w:rPr>
              <w:t>Fee and commission expenses</w:t>
            </w:r>
          </w:p>
        </w:tc>
        <w:tc>
          <w:tcPr>
            <w:tcW w:w="939" w:type="dxa"/>
            <w:shd w:val="clear" w:color="auto" w:fill="FFFFFF" w:themeFill="background1"/>
            <w:vAlign w:val="center"/>
          </w:tcPr>
          <w:p w14:paraId="6A0B8FA1" w14:textId="5854493D" w:rsidR="00C96CEC" w:rsidRPr="00EE3889" w:rsidRDefault="00C96CEC" w:rsidP="00C96CEC">
            <w:pPr>
              <w:spacing w:after="0"/>
              <w:jc w:val="center"/>
              <w:rPr>
                <w:rFonts w:eastAsia="Arial"/>
                <w:szCs w:val="28"/>
                <w:lang w:eastAsia="en-GB"/>
              </w:rPr>
            </w:pPr>
            <w:r w:rsidRPr="00EE3889">
              <w:rPr>
                <w:rFonts w:eastAsia="Arial"/>
                <w:szCs w:val="28"/>
                <w:lang w:eastAsia="en-GB"/>
              </w:rPr>
              <w:t>1</w:t>
            </w:r>
          </w:p>
        </w:tc>
        <w:tc>
          <w:tcPr>
            <w:tcW w:w="1948" w:type="dxa"/>
            <w:tcBorders>
              <w:bottom w:val="single" w:sz="4" w:space="0" w:color="auto"/>
            </w:tcBorders>
          </w:tcPr>
          <w:p w14:paraId="2C36E168" w14:textId="32D88190" w:rsidR="00C96CEC" w:rsidRPr="004E04F0" w:rsidRDefault="008046EF" w:rsidP="00577845">
            <w:pPr>
              <w:tabs>
                <w:tab w:val="decimal" w:pos="1495"/>
              </w:tabs>
              <w:spacing w:after="0"/>
              <w:rPr>
                <w:rFonts w:eastAsia="Arial"/>
                <w:szCs w:val="28"/>
                <w:lang w:eastAsia="en-GB"/>
              </w:rPr>
            </w:pPr>
            <w:r>
              <w:rPr>
                <w:rFonts w:eastAsia="Arial"/>
                <w:szCs w:val="28"/>
                <w:lang w:eastAsia="en-GB"/>
              </w:rPr>
              <w:t>(18.9)</w:t>
            </w:r>
          </w:p>
        </w:tc>
        <w:tc>
          <w:tcPr>
            <w:tcW w:w="123" w:type="dxa"/>
            <w:shd w:val="clear" w:color="auto" w:fill="FFFFFF" w:themeFill="background1"/>
            <w:tcMar>
              <w:left w:w="0" w:type="dxa"/>
              <w:right w:w="0" w:type="dxa"/>
            </w:tcMar>
            <w:vAlign w:val="center"/>
          </w:tcPr>
          <w:p w14:paraId="7439BE0B" w14:textId="77777777" w:rsidR="00C96CEC" w:rsidRPr="00EE3889" w:rsidRDefault="00C96CEC" w:rsidP="00C96CEC">
            <w:pPr>
              <w:spacing w:after="0"/>
              <w:jc w:val="center"/>
              <w:rPr>
                <w:rFonts w:eastAsia="Arial"/>
                <w:szCs w:val="28"/>
                <w:lang w:eastAsia="en-GB"/>
              </w:rPr>
            </w:pPr>
          </w:p>
        </w:tc>
        <w:tc>
          <w:tcPr>
            <w:tcW w:w="2165" w:type="dxa"/>
            <w:shd w:val="clear" w:color="auto" w:fill="FFFFFF" w:themeFill="background1"/>
            <w:tcMar>
              <w:left w:w="0" w:type="dxa"/>
              <w:right w:w="0" w:type="dxa"/>
            </w:tcMar>
          </w:tcPr>
          <w:p w14:paraId="663CB20A" w14:textId="7B5B96BB" w:rsidR="00C96CEC" w:rsidRPr="005051E7" w:rsidRDefault="00C96CEC" w:rsidP="00577845">
            <w:pPr>
              <w:tabs>
                <w:tab w:val="decimal" w:pos="1947"/>
              </w:tabs>
              <w:spacing w:after="0"/>
              <w:rPr>
                <w:rFonts w:eastAsia="Arial"/>
                <w:szCs w:val="28"/>
                <w:highlight w:val="yellow"/>
                <w:lang w:eastAsia="en-GB"/>
              </w:rPr>
            </w:pPr>
            <w:r w:rsidRPr="00F2575A">
              <w:rPr>
                <w:rFonts w:eastAsia="Arial"/>
                <w:szCs w:val="28"/>
                <w:lang w:eastAsia="en-GB"/>
              </w:rPr>
              <w:t xml:space="preserve">  (19.2)  </w:t>
            </w:r>
          </w:p>
        </w:tc>
        <w:tc>
          <w:tcPr>
            <w:tcW w:w="193" w:type="dxa"/>
            <w:shd w:val="clear" w:color="auto" w:fill="FFFFFF" w:themeFill="background1"/>
            <w:tcMar>
              <w:left w:w="0" w:type="dxa"/>
              <w:right w:w="0" w:type="dxa"/>
            </w:tcMar>
            <w:vAlign w:val="center"/>
          </w:tcPr>
          <w:p w14:paraId="41872830" w14:textId="77777777" w:rsidR="00C96CEC" w:rsidRPr="00EE3889" w:rsidRDefault="00C96CEC" w:rsidP="00C96CEC">
            <w:pPr>
              <w:spacing w:after="0"/>
              <w:rPr>
                <w:rFonts w:eastAsia="Arial"/>
                <w:szCs w:val="28"/>
                <w:lang w:eastAsia="en-GB"/>
              </w:rPr>
            </w:pPr>
          </w:p>
        </w:tc>
        <w:tc>
          <w:tcPr>
            <w:tcW w:w="1733" w:type="dxa"/>
            <w:shd w:val="clear" w:color="auto" w:fill="FFFFFF" w:themeFill="background1"/>
            <w:tcMar>
              <w:left w:w="0" w:type="dxa"/>
              <w:right w:w="0" w:type="dxa"/>
            </w:tcMar>
          </w:tcPr>
          <w:p w14:paraId="791D8B42" w14:textId="0E9CA254"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(36.8)</w:t>
            </w:r>
          </w:p>
        </w:tc>
      </w:tr>
      <w:tr w:rsidR="00C96CEC" w:rsidRPr="005E3062" w14:paraId="0AFA9F76" w14:textId="77777777" w:rsidTr="7F0CE02B">
        <w:trPr>
          <w:trHeight w:val="59"/>
        </w:trPr>
        <w:tc>
          <w:tcPr>
            <w:tcW w:w="2959" w:type="dxa"/>
            <w:shd w:val="clear" w:color="auto" w:fill="FFFFFF" w:themeFill="background1"/>
            <w:tcMar>
              <w:left w:w="0" w:type="dxa"/>
              <w:right w:w="0" w:type="dxa"/>
            </w:tcMar>
          </w:tcPr>
          <w:p w14:paraId="71535864" w14:textId="77777777" w:rsidR="00C96CEC" w:rsidRPr="00EE3889" w:rsidRDefault="00C96CEC" w:rsidP="00C96CEC">
            <w:pPr>
              <w:spacing w:after="0"/>
              <w:rPr>
                <w:rFonts w:eastAsia="Arial"/>
                <w:b/>
                <w:szCs w:val="28"/>
                <w:lang w:eastAsia="en-GB"/>
              </w:rPr>
            </w:pPr>
            <w:r w:rsidRPr="00EE3889">
              <w:rPr>
                <w:rFonts w:eastAsia="Arial"/>
                <w:b/>
                <w:szCs w:val="28"/>
                <w:lang w:eastAsia="en-GB"/>
              </w:rPr>
              <w:t>Net revenue</w:t>
            </w:r>
          </w:p>
        </w:tc>
        <w:tc>
          <w:tcPr>
            <w:tcW w:w="939" w:type="dxa"/>
            <w:shd w:val="clear" w:color="auto" w:fill="FFFFFF" w:themeFill="background1"/>
          </w:tcPr>
          <w:p w14:paraId="76666657" w14:textId="348A87CC" w:rsidR="00C96CEC" w:rsidRPr="00EE3889" w:rsidRDefault="00C96CEC" w:rsidP="00C96CEC">
            <w:pPr>
              <w:spacing w:after="0"/>
              <w:jc w:val="center"/>
              <w:rPr>
                <w:rFonts w:eastAsia="Arial"/>
                <w:szCs w:val="28"/>
                <w:lang w:eastAsia="en-GB"/>
              </w:rPr>
            </w:pPr>
            <w:r w:rsidRPr="00EE3889">
              <w:rPr>
                <w:rFonts w:eastAsia="Arial"/>
                <w:szCs w:val="28"/>
                <w:lang w:eastAsia="en-GB"/>
              </w:rPr>
              <w:t>1</w:t>
            </w:r>
          </w:p>
        </w:tc>
        <w:tc>
          <w:tcPr>
            <w:tcW w:w="1948" w:type="dxa"/>
            <w:tcBorders>
              <w:top w:val="single" w:sz="4" w:space="0" w:color="auto"/>
            </w:tcBorders>
          </w:tcPr>
          <w:p w14:paraId="44E4DB6E" w14:textId="1646C35D" w:rsidR="00C96CEC" w:rsidRPr="005F0E7F" w:rsidRDefault="008046EF" w:rsidP="00577845">
            <w:pPr>
              <w:tabs>
                <w:tab w:val="decimal" w:pos="1495"/>
              </w:tabs>
              <w:spacing w:after="0"/>
              <w:rPr>
                <w:rFonts w:eastAsia="Arial"/>
                <w:b/>
                <w:bCs/>
                <w:szCs w:val="28"/>
                <w:lang w:eastAsia="en-GB"/>
              </w:rPr>
            </w:pPr>
            <w:r w:rsidRPr="005F0E7F">
              <w:rPr>
                <w:rFonts w:eastAsia="Arial"/>
                <w:b/>
                <w:bCs/>
                <w:szCs w:val="28"/>
                <w:lang w:eastAsia="en-GB"/>
              </w:rPr>
              <w:t>173.7</w:t>
            </w:r>
          </w:p>
        </w:tc>
        <w:tc>
          <w:tcPr>
            <w:tcW w:w="123" w:type="dxa"/>
            <w:shd w:val="clear" w:color="auto" w:fill="FFFFFF" w:themeFill="background1"/>
            <w:tcMar>
              <w:left w:w="0" w:type="dxa"/>
              <w:right w:w="0" w:type="dxa"/>
            </w:tcMar>
          </w:tcPr>
          <w:p w14:paraId="05FF14B7"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tcBorders>
              <w:top w:val="single" w:sz="4" w:space="0" w:color="auto"/>
            </w:tcBorders>
            <w:shd w:val="clear" w:color="auto" w:fill="FFFFFF" w:themeFill="background1"/>
            <w:tcMar>
              <w:left w:w="0" w:type="dxa"/>
              <w:right w:w="0" w:type="dxa"/>
            </w:tcMar>
          </w:tcPr>
          <w:p w14:paraId="25CA5B1E" w14:textId="72FF9EF9" w:rsidR="00C96CEC" w:rsidRPr="004F6EE6" w:rsidRDefault="00C96CEC" w:rsidP="00577845">
            <w:pPr>
              <w:tabs>
                <w:tab w:val="decimal" w:pos="1947"/>
              </w:tabs>
              <w:spacing w:after="0"/>
              <w:rPr>
                <w:rFonts w:eastAsia="Arial"/>
                <w:b/>
                <w:bCs/>
                <w:szCs w:val="28"/>
                <w:lang w:eastAsia="en-GB"/>
              </w:rPr>
            </w:pPr>
            <w:r w:rsidRPr="00F2575A">
              <w:rPr>
                <w:rFonts w:eastAsia="Arial"/>
                <w:b/>
                <w:bCs/>
                <w:szCs w:val="28"/>
                <w:lang w:eastAsia="en-GB"/>
              </w:rPr>
              <w:t xml:space="preserve">  181.0</w:t>
            </w:r>
          </w:p>
        </w:tc>
        <w:tc>
          <w:tcPr>
            <w:tcW w:w="193" w:type="dxa"/>
            <w:shd w:val="clear" w:color="auto" w:fill="FFFFFF" w:themeFill="background1"/>
            <w:tcMar>
              <w:left w:w="0" w:type="dxa"/>
              <w:right w:w="0" w:type="dxa"/>
            </w:tcMar>
          </w:tcPr>
          <w:p w14:paraId="5F164EEF" w14:textId="77777777" w:rsidR="00C96CEC" w:rsidRPr="00F47521" w:rsidRDefault="00C96CEC" w:rsidP="00C96CEC">
            <w:pPr>
              <w:spacing w:after="0"/>
              <w:jc w:val="right"/>
              <w:rPr>
                <w:rFonts w:eastAsia="Arial"/>
                <w:b/>
                <w:bCs/>
                <w:szCs w:val="28"/>
                <w:lang w:eastAsia="en-GB"/>
              </w:rPr>
            </w:pPr>
            <w:r w:rsidRPr="00F47521">
              <w:rPr>
                <w:rFonts w:eastAsia="Arial"/>
                <w:b/>
                <w:bCs/>
                <w:szCs w:val="28"/>
                <w:lang w:eastAsia="en-GB"/>
              </w:rPr>
              <w:t xml:space="preserve"> </w:t>
            </w:r>
          </w:p>
        </w:tc>
        <w:tc>
          <w:tcPr>
            <w:tcW w:w="1733" w:type="dxa"/>
            <w:tcBorders>
              <w:top w:val="single" w:sz="4" w:space="0" w:color="auto"/>
            </w:tcBorders>
            <w:shd w:val="clear" w:color="auto" w:fill="FFFFFF" w:themeFill="background1"/>
            <w:tcMar>
              <w:left w:w="0" w:type="dxa"/>
              <w:right w:w="0" w:type="dxa"/>
            </w:tcMar>
          </w:tcPr>
          <w:p w14:paraId="75DF1A23" w14:textId="3200D417" w:rsidR="00C96CEC" w:rsidRPr="007756EA" w:rsidRDefault="00C96CEC" w:rsidP="00C96CEC">
            <w:pPr>
              <w:tabs>
                <w:tab w:val="decimal" w:pos="1444"/>
              </w:tabs>
              <w:spacing w:after="0"/>
              <w:rPr>
                <w:rFonts w:eastAsia="Arial"/>
                <w:b/>
                <w:szCs w:val="28"/>
                <w:highlight w:val="yellow"/>
                <w:lang w:eastAsia="en-GB"/>
              </w:rPr>
            </w:pPr>
            <w:r w:rsidRPr="00131B4F">
              <w:rPr>
                <w:rFonts w:eastAsia="Arial"/>
                <w:b/>
                <w:szCs w:val="28"/>
                <w:lang w:eastAsia="en-GB"/>
              </w:rPr>
              <w:t>368.8</w:t>
            </w:r>
          </w:p>
        </w:tc>
      </w:tr>
      <w:tr w:rsidR="00C96CEC" w:rsidRPr="005E3062" w14:paraId="3B3F832C" w14:textId="77777777" w:rsidTr="7F0CE02B">
        <w:trPr>
          <w:trHeight w:hRule="exact" w:val="402"/>
        </w:trPr>
        <w:tc>
          <w:tcPr>
            <w:tcW w:w="2959" w:type="dxa"/>
            <w:shd w:val="clear" w:color="auto" w:fill="FFFFFF" w:themeFill="background1"/>
            <w:tcMar>
              <w:left w:w="0" w:type="dxa"/>
              <w:right w:w="0" w:type="dxa"/>
            </w:tcMar>
          </w:tcPr>
          <w:p w14:paraId="4BC43753" w14:textId="77777777" w:rsidR="00C96CEC" w:rsidRPr="00EE3889" w:rsidRDefault="00C96CEC" w:rsidP="00C96CEC">
            <w:pPr>
              <w:spacing w:after="0"/>
              <w:rPr>
                <w:rFonts w:eastAsia="Arial"/>
                <w:szCs w:val="28"/>
                <w:lang w:eastAsia="en-GB"/>
              </w:rPr>
            </w:pPr>
            <w:r w:rsidRPr="00EE3889">
              <w:rPr>
                <w:rFonts w:eastAsia="Arial"/>
                <w:b/>
                <w:szCs w:val="28"/>
                <w:lang w:eastAsia="en-GB"/>
              </w:rPr>
              <w:t xml:space="preserve"> </w:t>
            </w:r>
          </w:p>
        </w:tc>
        <w:tc>
          <w:tcPr>
            <w:tcW w:w="939" w:type="dxa"/>
            <w:shd w:val="clear" w:color="auto" w:fill="FFFFFF" w:themeFill="background1"/>
          </w:tcPr>
          <w:p w14:paraId="7B4F0A7F" w14:textId="41886065"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shd w:val="clear" w:color="auto" w:fill="FFFFFF" w:themeFill="background1"/>
          </w:tcPr>
          <w:p w14:paraId="3F6659F3" w14:textId="77777777" w:rsidR="00C96CEC" w:rsidRPr="004E04F0" w:rsidRDefault="00C96CEC" w:rsidP="00577845">
            <w:pPr>
              <w:tabs>
                <w:tab w:val="decimal" w:pos="1495"/>
              </w:tabs>
              <w:spacing w:after="0"/>
              <w:rPr>
                <w:rFonts w:eastAsia="Arial"/>
                <w:szCs w:val="28"/>
                <w:lang w:eastAsia="en-GB"/>
              </w:rPr>
            </w:pPr>
          </w:p>
        </w:tc>
        <w:tc>
          <w:tcPr>
            <w:tcW w:w="123" w:type="dxa"/>
            <w:shd w:val="clear" w:color="auto" w:fill="FFFFFF" w:themeFill="background1"/>
            <w:tcMar>
              <w:left w:w="0" w:type="dxa"/>
              <w:right w:w="0" w:type="dxa"/>
            </w:tcMar>
          </w:tcPr>
          <w:p w14:paraId="0D41E6FC"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34471C1A" w14:textId="77777777" w:rsidR="00C96CEC" w:rsidRPr="005051E7" w:rsidRDefault="00C96CEC" w:rsidP="00577845">
            <w:pPr>
              <w:tabs>
                <w:tab w:val="decimal" w:pos="1947"/>
              </w:tabs>
              <w:spacing w:after="0"/>
              <w:rPr>
                <w:rFonts w:eastAsia="Arial"/>
                <w:szCs w:val="28"/>
                <w:highlight w:val="yellow"/>
                <w:lang w:eastAsia="en-GB"/>
              </w:rPr>
            </w:pPr>
          </w:p>
        </w:tc>
        <w:tc>
          <w:tcPr>
            <w:tcW w:w="193" w:type="dxa"/>
            <w:shd w:val="clear" w:color="auto" w:fill="FFFFFF" w:themeFill="background1"/>
            <w:tcMar>
              <w:left w:w="0" w:type="dxa"/>
              <w:right w:w="0" w:type="dxa"/>
            </w:tcMar>
          </w:tcPr>
          <w:p w14:paraId="270DE105"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1733" w:type="dxa"/>
            <w:shd w:val="clear" w:color="auto" w:fill="FFFFFF" w:themeFill="background1"/>
            <w:tcMar>
              <w:left w:w="0" w:type="dxa"/>
              <w:right w:w="0" w:type="dxa"/>
            </w:tcMar>
          </w:tcPr>
          <w:p w14:paraId="5A7E52E8" w14:textId="77777777" w:rsidR="00C96CEC" w:rsidRPr="007756EA" w:rsidRDefault="00C96CEC" w:rsidP="00C96CEC">
            <w:pPr>
              <w:tabs>
                <w:tab w:val="decimal" w:pos="1444"/>
              </w:tabs>
              <w:spacing w:after="0"/>
              <w:rPr>
                <w:rFonts w:eastAsia="Arial"/>
                <w:szCs w:val="28"/>
                <w:highlight w:val="yellow"/>
                <w:lang w:eastAsia="en-GB"/>
              </w:rPr>
            </w:pPr>
          </w:p>
        </w:tc>
      </w:tr>
      <w:tr w:rsidR="00C96CEC" w:rsidRPr="009459E2" w14:paraId="09799C83" w14:textId="77777777" w:rsidTr="7F0CE02B">
        <w:trPr>
          <w:trHeight w:val="156"/>
        </w:trPr>
        <w:tc>
          <w:tcPr>
            <w:tcW w:w="2959" w:type="dxa"/>
            <w:shd w:val="clear" w:color="auto" w:fill="FFFFFF" w:themeFill="background1"/>
            <w:tcMar>
              <w:left w:w="0" w:type="dxa"/>
              <w:right w:w="0" w:type="dxa"/>
            </w:tcMar>
          </w:tcPr>
          <w:p w14:paraId="0E97F040" w14:textId="77777777" w:rsidR="00C96CEC" w:rsidRPr="00EE3889" w:rsidRDefault="00C96CEC" w:rsidP="00C96CEC">
            <w:pPr>
              <w:spacing w:after="0"/>
              <w:rPr>
                <w:rFonts w:eastAsia="Arial"/>
                <w:szCs w:val="28"/>
                <w:lang w:eastAsia="en-GB"/>
              </w:rPr>
            </w:pPr>
            <w:r w:rsidRPr="00EE3889">
              <w:rPr>
                <w:rFonts w:eastAsia="Arial"/>
                <w:szCs w:val="28"/>
                <w:lang w:eastAsia="en-GB"/>
              </w:rPr>
              <w:t>Administrative expenses</w:t>
            </w:r>
          </w:p>
        </w:tc>
        <w:tc>
          <w:tcPr>
            <w:tcW w:w="939" w:type="dxa"/>
            <w:shd w:val="clear" w:color="auto" w:fill="FFFFFF" w:themeFill="background1"/>
          </w:tcPr>
          <w:p w14:paraId="57974659" w14:textId="27E6E0E1"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3 </w:t>
            </w:r>
          </w:p>
        </w:tc>
        <w:tc>
          <w:tcPr>
            <w:tcW w:w="1948" w:type="dxa"/>
          </w:tcPr>
          <w:p w14:paraId="0A9B8003" w14:textId="79990516" w:rsidR="00C96CEC" w:rsidRPr="004E04F0" w:rsidRDefault="008046EF" w:rsidP="00577845">
            <w:pPr>
              <w:tabs>
                <w:tab w:val="decimal" w:pos="1495"/>
              </w:tabs>
              <w:spacing w:after="0"/>
              <w:rPr>
                <w:rFonts w:eastAsia="Arial"/>
                <w:szCs w:val="28"/>
                <w:lang w:eastAsia="en-GB"/>
              </w:rPr>
            </w:pPr>
            <w:r>
              <w:rPr>
                <w:rFonts w:eastAsia="Arial"/>
                <w:szCs w:val="28"/>
                <w:lang w:eastAsia="en-GB"/>
              </w:rPr>
              <w:t>(129.1)</w:t>
            </w:r>
          </w:p>
        </w:tc>
        <w:tc>
          <w:tcPr>
            <w:tcW w:w="123" w:type="dxa"/>
            <w:shd w:val="clear" w:color="auto" w:fill="FFFFFF" w:themeFill="background1"/>
            <w:tcMar>
              <w:left w:w="0" w:type="dxa"/>
              <w:right w:w="0" w:type="dxa"/>
            </w:tcMar>
          </w:tcPr>
          <w:p w14:paraId="562C7D4A"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03CF56E1" w14:textId="571C74EF"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(134.4)</w:t>
            </w:r>
          </w:p>
        </w:tc>
        <w:tc>
          <w:tcPr>
            <w:tcW w:w="193" w:type="dxa"/>
            <w:shd w:val="clear" w:color="auto" w:fill="FFFFFF" w:themeFill="background1"/>
            <w:tcMar>
              <w:left w:w="0" w:type="dxa"/>
              <w:right w:w="0" w:type="dxa"/>
            </w:tcMar>
          </w:tcPr>
          <w:p w14:paraId="4444A4CB" w14:textId="77777777" w:rsidR="00C96CEC" w:rsidRPr="007C05FB" w:rsidRDefault="00C96CEC" w:rsidP="00C96CEC">
            <w:pPr>
              <w:spacing w:after="0"/>
              <w:jc w:val="right"/>
              <w:rPr>
                <w:rFonts w:eastAsia="Arial"/>
                <w:color w:val="FF0000"/>
                <w:szCs w:val="28"/>
                <w:lang w:eastAsia="en-GB"/>
              </w:rPr>
            </w:pPr>
            <w:r w:rsidRPr="007C05FB">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1872DC49" w14:textId="62D7A959"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(265.4)</w:t>
            </w:r>
          </w:p>
        </w:tc>
      </w:tr>
      <w:tr w:rsidR="00C96CEC" w:rsidRPr="009459E2" w14:paraId="3884CDED" w14:textId="77777777" w:rsidTr="7F0CE02B">
        <w:trPr>
          <w:trHeight w:hRule="exact" w:val="244"/>
        </w:trPr>
        <w:tc>
          <w:tcPr>
            <w:tcW w:w="2959" w:type="dxa"/>
            <w:shd w:val="clear" w:color="auto" w:fill="FFFFFF" w:themeFill="background1"/>
            <w:tcMar>
              <w:left w:w="0" w:type="dxa"/>
              <w:right w:w="0" w:type="dxa"/>
            </w:tcMar>
          </w:tcPr>
          <w:p w14:paraId="197605B7" w14:textId="75B6ABD8" w:rsidR="00C96CEC" w:rsidRPr="00EE3889" w:rsidRDefault="00C96CEC" w:rsidP="00C96CEC">
            <w:pPr>
              <w:spacing w:after="0"/>
              <w:rPr>
                <w:rFonts w:eastAsia="Arial"/>
                <w:szCs w:val="28"/>
                <w:lang w:eastAsia="en-GB"/>
              </w:rPr>
            </w:pPr>
            <w:r w:rsidRPr="00EE3889">
              <w:rPr>
                <w:rFonts w:eastAsia="Arial"/>
                <w:szCs w:val="28"/>
                <w:lang w:eastAsia="en-GB"/>
              </w:rPr>
              <w:t xml:space="preserve">Other </w:t>
            </w:r>
            <w:r>
              <w:rPr>
                <w:rFonts w:eastAsia="Arial"/>
                <w:szCs w:val="28"/>
                <w:lang w:eastAsia="en-GB"/>
              </w:rPr>
              <w:t>gains</w:t>
            </w:r>
          </w:p>
        </w:tc>
        <w:tc>
          <w:tcPr>
            <w:tcW w:w="939" w:type="dxa"/>
            <w:shd w:val="clear" w:color="auto" w:fill="FFFFFF" w:themeFill="background1"/>
          </w:tcPr>
          <w:p w14:paraId="098EBD18" w14:textId="5F4DD793"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4 </w:t>
            </w:r>
          </w:p>
        </w:tc>
        <w:tc>
          <w:tcPr>
            <w:tcW w:w="1948" w:type="dxa"/>
          </w:tcPr>
          <w:p w14:paraId="064421E9" w14:textId="749B47E4" w:rsidR="00C96CEC" w:rsidRPr="004E04F0" w:rsidRDefault="008046EF" w:rsidP="00577845">
            <w:pPr>
              <w:tabs>
                <w:tab w:val="decimal" w:pos="1495"/>
              </w:tabs>
              <w:spacing w:after="0"/>
              <w:rPr>
                <w:rFonts w:eastAsia="Arial"/>
                <w:szCs w:val="28"/>
                <w:lang w:eastAsia="en-GB"/>
              </w:rPr>
            </w:pPr>
            <w:r>
              <w:rPr>
                <w:rFonts w:eastAsia="Arial"/>
                <w:szCs w:val="28"/>
                <w:lang w:eastAsia="en-GB"/>
              </w:rPr>
              <w:t>3.5</w:t>
            </w:r>
          </w:p>
        </w:tc>
        <w:tc>
          <w:tcPr>
            <w:tcW w:w="123" w:type="dxa"/>
            <w:shd w:val="clear" w:color="auto" w:fill="FFFFFF" w:themeFill="background1"/>
            <w:tcMar>
              <w:left w:w="0" w:type="dxa"/>
              <w:right w:w="0" w:type="dxa"/>
            </w:tcMar>
          </w:tcPr>
          <w:p w14:paraId="7FCEF580"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41AD2D74" w14:textId="286FBCE8"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0.4</w:t>
            </w:r>
          </w:p>
        </w:tc>
        <w:tc>
          <w:tcPr>
            <w:tcW w:w="193" w:type="dxa"/>
            <w:shd w:val="clear" w:color="auto" w:fill="FFFFFF" w:themeFill="background1"/>
            <w:tcMar>
              <w:left w:w="0" w:type="dxa"/>
              <w:right w:w="0" w:type="dxa"/>
            </w:tcMar>
          </w:tcPr>
          <w:p w14:paraId="2BB5A205" w14:textId="77777777" w:rsidR="00C96CEC" w:rsidRPr="007C05FB" w:rsidRDefault="00C96CEC" w:rsidP="00C96CEC">
            <w:pPr>
              <w:spacing w:after="0"/>
              <w:jc w:val="right"/>
              <w:rPr>
                <w:rFonts w:eastAsia="Arial"/>
                <w:color w:val="FF0000"/>
                <w:szCs w:val="28"/>
                <w:lang w:eastAsia="en-GB"/>
              </w:rPr>
            </w:pPr>
            <w:r w:rsidRPr="007C05FB">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72155C5A" w14:textId="43844B7D"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3.2</w:t>
            </w:r>
          </w:p>
        </w:tc>
      </w:tr>
      <w:tr w:rsidR="00C96CEC" w:rsidRPr="009459E2" w14:paraId="7885D2C6" w14:textId="77777777" w:rsidTr="7F0CE02B">
        <w:trPr>
          <w:trHeight w:hRule="exact" w:val="245"/>
        </w:trPr>
        <w:tc>
          <w:tcPr>
            <w:tcW w:w="2959" w:type="dxa"/>
            <w:shd w:val="clear" w:color="auto" w:fill="FFFFFF" w:themeFill="background1"/>
            <w:tcMar>
              <w:left w:w="0" w:type="dxa"/>
              <w:right w:w="0" w:type="dxa"/>
            </w:tcMar>
          </w:tcPr>
          <w:p w14:paraId="59DCBFDC" w14:textId="77777777" w:rsidR="00C96CEC" w:rsidRPr="00EE3889" w:rsidRDefault="00C96CEC" w:rsidP="00C96CEC">
            <w:pPr>
              <w:spacing w:after="0"/>
              <w:rPr>
                <w:rFonts w:eastAsia="Arial"/>
                <w:szCs w:val="28"/>
                <w:lang w:eastAsia="en-GB"/>
              </w:rPr>
            </w:pPr>
            <w:r w:rsidRPr="00EE3889">
              <w:rPr>
                <w:rFonts w:eastAsia="Arial"/>
                <w:szCs w:val="28"/>
                <w:lang w:eastAsia="en-GB"/>
              </w:rPr>
              <w:t>Amortisation of intangible assets</w:t>
            </w:r>
          </w:p>
        </w:tc>
        <w:tc>
          <w:tcPr>
            <w:tcW w:w="939" w:type="dxa"/>
            <w:shd w:val="clear" w:color="auto" w:fill="FFFFFF" w:themeFill="background1"/>
          </w:tcPr>
          <w:p w14:paraId="40CF31BE" w14:textId="48541950" w:rsidR="00C96CEC" w:rsidRPr="00EE3889" w:rsidRDefault="00C96CEC" w:rsidP="00C96CEC">
            <w:pPr>
              <w:spacing w:after="0"/>
              <w:jc w:val="center"/>
              <w:rPr>
                <w:rFonts w:eastAsia="Arial"/>
                <w:szCs w:val="28"/>
                <w:lang w:eastAsia="en-GB"/>
              </w:rPr>
            </w:pPr>
            <w:r>
              <w:rPr>
                <w:rFonts w:eastAsia="Arial"/>
                <w:szCs w:val="28"/>
                <w:lang w:eastAsia="en-GB"/>
              </w:rPr>
              <w:t>9</w:t>
            </w:r>
          </w:p>
        </w:tc>
        <w:tc>
          <w:tcPr>
            <w:tcW w:w="1948" w:type="dxa"/>
            <w:tcBorders>
              <w:bottom w:val="single" w:sz="4" w:space="0" w:color="auto"/>
            </w:tcBorders>
            <w:shd w:val="clear" w:color="auto" w:fill="FFFFFF" w:themeFill="background1"/>
          </w:tcPr>
          <w:p w14:paraId="61DDFAC1" w14:textId="37FA96D6" w:rsidR="00C96CEC" w:rsidRPr="004E04F0" w:rsidRDefault="008046EF" w:rsidP="00577845">
            <w:pPr>
              <w:tabs>
                <w:tab w:val="decimal" w:pos="1495"/>
              </w:tabs>
              <w:spacing w:after="0"/>
              <w:rPr>
                <w:rFonts w:eastAsia="Arial"/>
                <w:szCs w:val="28"/>
                <w:lang w:eastAsia="en-GB"/>
              </w:rPr>
            </w:pPr>
            <w:r>
              <w:rPr>
                <w:rFonts w:eastAsia="Arial"/>
                <w:szCs w:val="28"/>
                <w:lang w:eastAsia="en-GB"/>
              </w:rPr>
              <w:t>(10.4)</w:t>
            </w:r>
          </w:p>
        </w:tc>
        <w:tc>
          <w:tcPr>
            <w:tcW w:w="123" w:type="dxa"/>
            <w:shd w:val="clear" w:color="auto" w:fill="FFFFFF" w:themeFill="background1"/>
            <w:tcMar>
              <w:left w:w="0" w:type="dxa"/>
              <w:right w:w="0" w:type="dxa"/>
            </w:tcMar>
          </w:tcPr>
          <w:p w14:paraId="0F686FD7"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34973AFC" w14:textId="09EBEBE4"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(10.4)</w:t>
            </w:r>
          </w:p>
        </w:tc>
        <w:tc>
          <w:tcPr>
            <w:tcW w:w="193" w:type="dxa"/>
            <w:shd w:val="clear" w:color="auto" w:fill="FFFFFF" w:themeFill="background1"/>
            <w:tcMar>
              <w:left w:w="0" w:type="dxa"/>
              <w:right w:w="0" w:type="dxa"/>
            </w:tcMar>
          </w:tcPr>
          <w:p w14:paraId="28BEB203"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36BFD61C" w14:textId="497E0653"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(20.6)</w:t>
            </w:r>
          </w:p>
        </w:tc>
      </w:tr>
      <w:tr w:rsidR="00C96CEC" w:rsidRPr="009459E2" w14:paraId="52361ED0" w14:textId="77777777" w:rsidTr="7F0CE02B">
        <w:trPr>
          <w:trHeight w:hRule="exact" w:val="255"/>
        </w:trPr>
        <w:tc>
          <w:tcPr>
            <w:tcW w:w="2959" w:type="dxa"/>
            <w:shd w:val="clear" w:color="auto" w:fill="FFFFFF" w:themeFill="background1"/>
            <w:tcMar>
              <w:left w:w="0" w:type="dxa"/>
              <w:right w:w="0" w:type="dxa"/>
            </w:tcMar>
          </w:tcPr>
          <w:p w14:paraId="40F3F7A1" w14:textId="77777777" w:rsidR="00C96CEC" w:rsidRPr="00EE3889" w:rsidRDefault="00C96CEC" w:rsidP="00C96CEC">
            <w:pPr>
              <w:spacing w:after="0"/>
              <w:rPr>
                <w:rFonts w:eastAsia="Arial"/>
                <w:szCs w:val="28"/>
                <w:lang w:eastAsia="en-GB"/>
              </w:rPr>
            </w:pPr>
            <w:r w:rsidRPr="00EE3889">
              <w:rPr>
                <w:rFonts w:eastAsia="Arial"/>
                <w:b/>
                <w:szCs w:val="28"/>
                <w:lang w:eastAsia="en-GB"/>
              </w:rPr>
              <w:t>Operating profit</w:t>
            </w:r>
          </w:p>
        </w:tc>
        <w:tc>
          <w:tcPr>
            <w:tcW w:w="939" w:type="dxa"/>
            <w:shd w:val="clear" w:color="auto" w:fill="FFFFFF" w:themeFill="background1"/>
          </w:tcPr>
          <w:p w14:paraId="02B8E429" w14:textId="5D5BF604"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Borders>
              <w:top w:val="single" w:sz="4" w:space="0" w:color="auto"/>
            </w:tcBorders>
          </w:tcPr>
          <w:p w14:paraId="6D1AEA6E" w14:textId="7DABCB3F" w:rsidR="00C96CEC" w:rsidRPr="005F0E7F" w:rsidRDefault="008046EF" w:rsidP="00577845">
            <w:pPr>
              <w:tabs>
                <w:tab w:val="decimal" w:pos="1495"/>
              </w:tabs>
              <w:spacing w:after="0"/>
              <w:rPr>
                <w:rFonts w:eastAsia="Arial"/>
                <w:b/>
                <w:bCs/>
                <w:szCs w:val="28"/>
                <w:lang w:eastAsia="en-GB"/>
              </w:rPr>
            </w:pPr>
            <w:r w:rsidRPr="005F0E7F">
              <w:rPr>
                <w:rFonts w:eastAsia="Arial"/>
                <w:b/>
                <w:bCs/>
                <w:szCs w:val="28"/>
                <w:lang w:eastAsia="en-GB"/>
              </w:rPr>
              <w:t>37.7</w:t>
            </w:r>
          </w:p>
        </w:tc>
        <w:tc>
          <w:tcPr>
            <w:tcW w:w="123" w:type="dxa"/>
            <w:shd w:val="clear" w:color="auto" w:fill="FFFFFF" w:themeFill="background1"/>
            <w:tcMar>
              <w:left w:w="0" w:type="dxa"/>
              <w:right w:w="0" w:type="dxa"/>
            </w:tcMar>
          </w:tcPr>
          <w:p w14:paraId="597E4835"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tcBorders>
              <w:top w:val="single" w:sz="4" w:space="0" w:color="auto"/>
            </w:tcBorders>
            <w:shd w:val="clear" w:color="auto" w:fill="FFFFFF" w:themeFill="background1"/>
            <w:tcMar>
              <w:left w:w="0" w:type="dxa"/>
              <w:right w:w="0" w:type="dxa"/>
            </w:tcMar>
          </w:tcPr>
          <w:p w14:paraId="5CA51209" w14:textId="3D999651" w:rsidR="00C96CEC" w:rsidRPr="004F6EE6" w:rsidRDefault="00C96CEC" w:rsidP="00577845">
            <w:pPr>
              <w:tabs>
                <w:tab w:val="decimal" w:pos="1947"/>
              </w:tabs>
              <w:spacing w:after="0"/>
              <w:rPr>
                <w:rFonts w:eastAsia="Arial"/>
                <w:b/>
                <w:szCs w:val="28"/>
                <w:lang w:eastAsia="en-GB"/>
              </w:rPr>
            </w:pPr>
            <w:r w:rsidRPr="00F2575A">
              <w:rPr>
                <w:rFonts w:eastAsia="Arial"/>
                <w:b/>
                <w:szCs w:val="28"/>
                <w:lang w:eastAsia="en-GB"/>
              </w:rPr>
              <w:t xml:space="preserve">  36.6</w:t>
            </w:r>
          </w:p>
        </w:tc>
        <w:tc>
          <w:tcPr>
            <w:tcW w:w="193" w:type="dxa"/>
            <w:shd w:val="clear" w:color="auto" w:fill="FFFFFF" w:themeFill="background1"/>
            <w:tcMar>
              <w:left w:w="0" w:type="dxa"/>
              <w:right w:w="0" w:type="dxa"/>
            </w:tcMar>
          </w:tcPr>
          <w:p w14:paraId="43B1DBFB" w14:textId="77777777" w:rsidR="00C96CEC" w:rsidRPr="00EE3889" w:rsidRDefault="00C96CEC" w:rsidP="00C96CEC">
            <w:pPr>
              <w:spacing w:after="0"/>
              <w:jc w:val="right"/>
              <w:rPr>
                <w:rFonts w:eastAsia="Arial"/>
                <w:b/>
                <w:color w:val="FF0000"/>
                <w:szCs w:val="28"/>
                <w:lang w:eastAsia="en-GB"/>
              </w:rPr>
            </w:pPr>
            <w:r w:rsidRPr="00EE3889">
              <w:rPr>
                <w:rFonts w:eastAsia="Arial"/>
                <w:b/>
                <w:color w:val="FF0000"/>
                <w:szCs w:val="28"/>
                <w:lang w:eastAsia="en-GB"/>
              </w:rPr>
              <w:t xml:space="preserve"> </w:t>
            </w:r>
          </w:p>
        </w:tc>
        <w:tc>
          <w:tcPr>
            <w:tcW w:w="1733" w:type="dxa"/>
            <w:tcBorders>
              <w:top w:val="single" w:sz="4" w:space="0" w:color="auto"/>
            </w:tcBorders>
            <w:shd w:val="clear" w:color="auto" w:fill="FFFFFF" w:themeFill="background1"/>
            <w:tcMar>
              <w:left w:w="0" w:type="dxa"/>
              <w:right w:w="0" w:type="dxa"/>
            </w:tcMar>
          </w:tcPr>
          <w:p w14:paraId="1950F790" w14:textId="6F875B30" w:rsidR="00C96CEC" w:rsidRPr="007756EA" w:rsidRDefault="00C96CEC" w:rsidP="00C96CEC">
            <w:pPr>
              <w:tabs>
                <w:tab w:val="decimal" w:pos="1444"/>
              </w:tabs>
              <w:spacing w:after="0"/>
              <w:rPr>
                <w:rFonts w:eastAsia="Arial"/>
                <w:b/>
                <w:szCs w:val="28"/>
                <w:highlight w:val="yellow"/>
                <w:lang w:eastAsia="en-GB"/>
              </w:rPr>
            </w:pPr>
            <w:r w:rsidRPr="00131B4F">
              <w:rPr>
                <w:rFonts w:eastAsia="Arial"/>
                <w:b/>
                <w:szCs w:val="28"/>
                <w:lang w:eastAsia="en-GB"/>
              </w:rPr>
              <w:t>86.0</w:t>
            </w:r>
          </w:p>
        </w:tc>
      </w:tr>
      <w:tr w:rsidR="007756EA" w:rsidRPr="009459E2" w14:paraId="306F654F" w14:textId="77777777" w:rsidTr="7F0CE02B">
        <w:tc>
          <w:tcPr>
            <w:tcW w:w="2959" w:type="dxa"/>
            <w:shd w:val="clear" w:color="auto" w:fill="FFFFFF" w:themeFill="background1"/>
            <w:tcMar>
              <w:left w:w="0" w:type="dxa"/>
              <w:right w:w="0" w:type="dxa"/>
            </w:tcMar>
          </w:tcPr>
          <w:p w14:paraId="0148E0B1" w14:textId="77777777" w:rsidR="007756EA" w:rsidRPr="00EE3889" w:rsidRDefault="007756EA" w:rsidP="007756EA">
            <w:pPr>
              <w:spacing w:after="0"/>
              <w:rPr>
                <w:rFonts w:eastAsia="Arial"/>
                <w:szCs w:val="28"/>
                <w:lang w:eastAsia="en-GB"/>
              </w:rPr>
            </w:pPr>
          </w:p>
        </w:tc>
        <w:tc>
          <w:tcPr>
            <w:tcW w:w="939" w:type="dxa"/>
            <w:shd w:val="clear" w:color="auto" w:fill="FFFFFF" w:themeFill="background1"/>
          </w:tcPr>
          <w:p w14:paraId="7E17D7F3" w14:textId="77777777" w:rsidR="007756EA" w:rsidRPr="00EE3889" w:rsidRDefault="007756EA" w:rsidP="007756EA">
            <w:pPr>
              <w:spacing w:after="0"/>
              <w:jc w:val="center"/>
              <w:rPr>
                <w:rFonts w:eastAsia="Arial"/>
                <w:szCs w:val="28"/>
                <w:lang w:eastAsia="en-GB"/>
              </w:rPr>
            </w:pPr>
          </w:p>
        </w:tc>
        <w:tc>
          <w:tcPr>
            <w:tcW w:w="1948" w:type="dxa"/>
          </w:tcPr>
          <w:p w14:paraId="7015910B" w14:textId="77777777" w:rsidR="007756EA" w:rsidRPr="004E04F0" w:rsidRDefault="007756EA" w:rsidP="00577845">
            <w:pPr>
              <w:tabs>
                <w:tab w:val="decimal" w:pos="1495"/>
              </w:tabs>
              <w:spacing w:after="0"/>
              <w:rPr>
                <w:rFonts w:eastAsia="Arial"/>
                <w:szCs w:val="28"/>
                <w:lang w:eastAsia="en-GB"/>
              </w:rPr>
            </w:pPr>
          </w:p>
        </w:tc>
        <w:tc>
          <w:tcPr>
            <w:tcW w:w="123" w:type="dxa"/>
            <w:shd w:val="clear" w:color="auto" w:fill="FFFFFF" w:themeFill="background1"/>
            <w:tcMar>
              <w:left w:w="0" w:type="dxa"/>
              <w:right w:w="0" w:type="dxa"/>
            </w:tcMar>
          </w:tcPr>
          <w:p w14:paraId="56C68B14" w14:textId="77777777" w:rsidR="007756EA" w:rsidRPr="00EE3889" w:rsidRDefault="007756EA" w:rsidP="007756EA">
            <w:pPr>
              <w:spacing w:after="0"/>
              <w:jc w:val="right"/>
              <w:rPr>
                <w:rFonts w:eastAsia="Arial"/>
                <w:szCs w:val="28"/>
                <w:lang w:eastAsia="en-GB"/>
              </w:rPr>
            </w:pPr>
          </w:p>
        </w:tc>
        <w:tc>
          <w:tcPr>
            <w:tcW w:w="2165" w:type="dxa"/>
            <w:shd w:val="clear" w:color="auto" w:fill="FFFFFF" w:themeFill="background1"/>
            <w:tcMar>
              <w:left w:w="0" w:type="dxa"/>
              <w:right w:w="0" w:type="dxa"/>
            </w:tcMar>
          </w:tcPr>
          <w:p w14:paraId="19D26D3D" w14:textId="77777777" w:rsidR="007756EA" w:rsidRPr="004F6EE6" w:rsidRDefault="007756EA" w:rsidP="00577845">
            <w:pPr>
              <w:tabs>
                <w:tab w:val="decimal" w:pos="1947"/>
              </w:tabs>
              <w:spacing w:after="0"/>
              <w:rPr>
                <w:rFonts w:eastAsia="Arial"/>
                <w:szCs w:val="28"/>
                <w:lang w:eastAsia="en-GB"/>
              </w:rPr>
            </w:pPr>
          </w:p>
        </w:tc>
        <w:tc>
          <w:tcPr>
            <w:tcW w:w="193" w:type="dxa"/>
            <w:shd w:val="clear" w:color="auto" w:fill="FFFFFF" w:themeFill="background1"/>
            <w:tcMar>
              <w:left w:w="0" w:type="dxa"/>
              <w:right w:w="0" w:type="dxa"/>
            </w:tcMar>
          </w:tcPr>
          <w:p w14:paraId="38B57103" w14:textId="77777777" w:rsidR="007756EA" w:rsidRPr="00EE3889" w:rsidRDefault="007756EA" w:rsidP="007756EA">
            <w:pPr>
              <w:spacing w:after="0"/>
              <w:jc w:val="right"/>
              <w:rPr>
                <w:rFonts w:eastAsia="Arial"/>
                <w:color w:val="FF0000"/>
                <w:szCs w:val="28"/>
                <w:lang w:eastAsia="en-GB"/>
              </w:rPr>
            </w:pPr>
          </w:p>
        </w:tc>
        <w:tc>
          <w:tcPr>
            <w:tcW w:w="1733" w:type="dxa"/>
            <w:shd w:val="clear" w:color="auto" w:fill="FFFFFF" w:themeFill="background1"/>
            <w:tcMar>
              <w:left w:w="0" w:type="dxa"/>
              <w:right w:w="0" w:type="dxa"/>
            </w:tcMar>
          </w:tcPr>
          <w:p w14:paraId="23BD4E3E" w14:textId="77777777" w:rsidR="007756EA" w:rsidRPr="007756EA" w:rsidRDefault="007756EA" w:rsidP="007756EA">
            <w:pPr>
              <w:tabs>
                <w:tab w:val="decimal" w:pos="1444"/>
              </w:tabs>
              <w:spacing w:after="0"/>
              <w:rPr>
                <w:rFonts w:eastAsia="Arial"/>
                <w:szCs w:val="28"/>
                <w:highlight w:val="yellow"/>
                <w:lang w:eastAsia="en-GB"/>
              </w:rPr>
            </w:pPr>
          </w:p>
        </w:tc>
      </w:tr>
      <w:tr w:rsidR="00C96CEC" w:rsidRPr="009459E2" w14:paraId="238454DC" w14:textId="77777777" w:rsidTr="7F0CE02B">
        <w:tc>
          <w:tcPr>
            <w:tcW w:w="2959" w:type="dxa"/>
            <w:shd w:val="clear" w:color="auto" w:fill="FFFFFF" w:themeFill="background1"/>
            <w:tcMar>
              <w:left w:w="0" w:type="dxa"/>
              <w:right w:w="0" w:type="dxa"/>
            </w:tcMar>
          </w:tcPr>
          <w:p w14:paraId="07ED48FB" w14:textId="77A2BA43" w:rsidR="00C96CEC" w:rsidRPr="00EE3889" w:rsidRDefault="00C96CEC" w:rsidP="00C96CEC">
            <w:pPr>
              <w:spacing w:after="0"/>
              <w:rPr>
                <w:rFonts w:eastAsia="Arial"/>
                <w:szCs w:val="28"/>
                <w:lang w:eastAsia="en-GB"/>
              </w:rPr>
            </w:pPr>
            <w:r w:rsidRPr="003D1013">
              <w:rPr>
                <w:rFonts w:eastAsia="Arial"/>
                <w:szCs w:val="28"/>
                <w:lang w:eastAsia="en-GB"/>
              </w:rPr>
              <w:t>Impairment of goodwill</w:t>
            </w:r>
          </w:p>
        </w:tc>
        <w:tc>
          <w:tcPr>
            <w:tcW w:w="939" w:type="dxa"/>
            <w:shd w:val="clear" w:color="auto" w:fill="FFFFFF" w:themeFill="background1"/>
          </w:tcPr>
          <w:p w14:paraId="351572E4" w14:textId="00D69D2A" w:rsidR="00C96CEC" w:rsidRPr="00EE3889" w:rsidRDefault="00B25E95" w:rsidP="00C96CEC">
            <w:pPr>
              <w:spacing w:after="0"/>
              <w:jc w:val="center"/>
              <w:rPr>
                <w:rFonts w:eastAsia="Arial"/>
                <w:szCs w:val="28"/>
                <w:lang w:eastAsia="en-GB"/>
              </w:rPr>
            </w:pPr>
            <w:r>
              <w:rPr>
                <w:rFonts w:eastAsia="Arial"/>
                <w:szCs w:val="28"/>
                <w:lang w:eastAsia="en-GB"/>
              </w:rPr>
              <w:t>8</w:t>
            </w:r>
          </w:p>
        </w:tc>
        <w:tc>
          <w:tcPr>
            <w:tcW w:w="1948" w:type="dxa"/>
          </w:tcPr>
          <w:p w14:paraId="12E56707" w14:textId="54364BEA" w:rsidR="00C96CEC" w:rsidRPr="004E04F0" w:rsidRDefault="00707734" w:rsidP="00577845">
            <w:pPr>
              <w:tabs>
                <w:tab w:val="decimal" w:pos="1495"/>
              </w:tabs>
              <w:spacing w:after="0"/>
              <w:rPr>
                <w:rFonts w:eastAsia="Arial"/>
                <w:szCs w:val="28"/>
                <w:lang w:eastAsia="en-GB"/>
              </w:rPr>
            </w:pPr>
            <w:r>
              <w:rPr>
                <w:rFonts w:eastAsia="Arial"/>
                <w:szCs w:val="28"/>
                <w:lang w:eastAsia="en-GB"/>
              </w:rPr>
              <w:t>-</w:t>
            </w:r>
          </w:p>
        </w:tc>
        <w:tc>
          <w:tcPr>
            <w:tcW w:w="123" w:type="dxa"/>
            <w:shd w:val="clear" w:color="auto" w:fill="FFFFFF" w:themeFill="background1"/>
            <w:tcMar>
              <w:left w:w="0" w:type="dxa"/>
              <w:right w:w="0" w:type="dxa"/>
            </w:tcMar>
          </w:tcPr>
          <w:p w14:paraId="05AE34FD" w14:textId="77777777" w:rsidR="00C96CEC" w:rsidRPr="00EE3889" w:rsidRDefault="00C96CEC" w:rsidP="00C96CEC">
            <w:pPr>
              <w:spacing w:after="0"/>
              <w:jc w:val="right"/>
              <w:rPr>
                <w:rFonts w:eastAsia="Arial"/>
                <w:szCs w:val="28"/>
                <w:lang w:eastAsia="en-GB"/>
              </w:rPr>
            </w:pPr>
          </w:p>
        </w:tc>
        <w:tc>
          <w:tcPr>
            <w:tcW w:w="2165" w:type="dxa"/>
            <w:shd w:val="clear" w:color="auto" w:fill="FFFFFF" w:themeFill="background1"/>
            <w:tcMar>
              <w:left w:w="0" w:type="dxa"/>
              <w:right w:w="0" w:type="dxa"/>
            </w:tcMar>
          </w:tcPr>
          <w:p w14:paraId="07337F4B" w14:textId="139CD7E0" w:rsidR="00C96CEC" w:rsidRPr="004F6EE6" w:rsidRDefault="00C96CEC" w:rsidP="00577845">
            <w:pPr>
              <w:tabs>
                <w:tab w:val="decimal" w:pos="1947"/>
              </w:tabs>
              <w:spacing w:after="0"/>
              <w:rPr>
                <w:rFonts w:eastAsia="Arial"/>
                <w:szCs w:val="28"/>
                <w:lang w:eastAsia="en-GB"/>
              </w:rPr>
            </w:pPr>
            <w:r>
              <w:rPr>
                <w:rFonts w:eastAsia="Arial"/>
                <w:szCs w:val="28"/>
                <w:lang w:eastAsia="en-GB"/>
              </w:rPr>
              <w:t>-</w:t>
            </w:r>
          </w:p>
        </w:tc>
        <w:tc>
          <w:tcPr>
            <w:tcW w:w="193" w:type="dxa"/>
            <w:shd w:val="clear" w:color="auto" w:fill="FFFFFF" w:themeFill="background1"/>
            <w:tcMar>
              <w:left w:w="0" w:type="dxa"/>
              <w:right w:w="0" w:type="dxa"/>
            </w:tcMar>
          </w:tcPr>
          <w:p w14:paraId="5DA70842" w14:textId="77777777" w:rsidR="00C96CEC" w:rsidRPr="00EE3889" w:rsidRDefault="00C96CEC" w:rsidP="00C96CEC">
            <w:pPr>
              <w:spacing w:after="0"/>
              <w:jc w:val="right"/>
              <w:rPr>
                <w:rFonts w:eastAsia="Arial"/>
                <w:color w:val="FF0000"/>
                <w:szCs w:val="28"/>
                <w:lang w:eastAsia="en-GB"/>
              </w:rPr>
            </w:pPr>
          </w:p>
        </w:tc>
        <w:tc>
          <w:tcPr>
            <w:tcW w:w="1733" w:type="dxa"/>
            <w:shd w:val="clear" w:color="auto" w:fill="FFFFFF" w:themeFill="background1"/>
            <w:tcMar>
              <w:left w:w="0" w:type="dxa"/>
              <w:right w:w="0" w:type="dxa"/>
            </w:tcMar>
          </w:tcPr>
          <w:p w14:paraId="6BF4A5AA" w14:textId="48C3297F"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(76.2)</w:t>
            </w:r>
          </w:p>
        </w:tc>
      </w:tr>
      <w:tr w:rsidR="00C96CEC" w:rsidRPr="009459E2" w14:paraId="3F91D2A4" w14:textId="77777777" w:rsidTr="7F0CE02B">
        <w:tc>
          <w:tcPr>
            <w:tcW w:w="2959" w:type="dxa"/>
            <w:shd w:val="clear" w:color="auto" w:fill="FFFFFF" w:themeFill="background1"/>
            <w:tcMar>
              <w:left w:w="0" w:type="dxa"/>
              <w:right w:w="0" w:type="dxa"/>
            </w:tcMar>
          </w:tcPr>
          <w:p w14:paraId="650ACAD9" w14:textId="38D08CBC" w:rsidR="00C96CEC" w:rsidRPr="00EE3889" w:rsidRDefault="00C96CEC" w:rsidP="00C96CEC">
            <w:pPr>
              <w:spacing w:after="0"/>
              <w:rPr>
                <w:rFonts w:eastAsia="Arial"/>
                <w:szCs w:val="28"/>
                <w:lang w:eastAsia="en-GB"/>
              </w:rPr>
            </w:pPr>
            <w:r w:rsidRPr="00C01151">
              <w:rPr>
                <w:rFonts w:eastAsia="Arial"/>
                <w:szCs w:val="28"/>
                <w:lang w:val="en-GB" w:eastAsia="en-GB"/>
              </w:rPr>
              <w:t>Finance income</w:t>
            </w:r>
            <w:r>
              <w:rPr>
                <w:rFonts w:eastAsia="Arial"/>
                <w:szCs w:val="28"/>
                <w:vertAlign w:val="superscript"/>
                <w:lang w:val="en-GB" w:eastAsia="en-GB"/>
              </w:rPr>
              <w:t>1</w:t>
            </w:r>
          </w:p>
        </w:tc>
        <w:tc>
          <w:tcPr>
            <w:tcW w:w="939" w:type="dxa"/>
            <w:shd w:val="clear" w:color="auto" w:fill="FFFFFF" w:themeFill="background1"/>
          </w:tcPr>
          <w:p w14:paraId="6A14DE6B" w14:textId="61A74B34" w:rsidR="00C96CEC" w:rsidRPr="00EE3889" w:rsidRDefault="00C96CEC" w:rsidP="00C96CEC">
            <w:pPr>
              <w:spacing w:after="0"/>
              <w:jc w:val="center"/>
              <w:rPr>
                <w:rFonts w:eastAsia="Arial"/>
                <w:szCs w:val="28"/>
                <w:lang w:eastAsia="en-GB"/>
              </w:rPr>
            </w:pPr>
            <w:r>
              <w:rPr>
                <w:rFonts w:eastAsia="Arial"/>
                <w:szCs w:val="28"/>
                <w:lang w:eastAsia="en-GB"/>
              </w:rPr>
              <w:t>5</w:t>
            </w:r>
          </w:p>
        </w:tc>
        <w:tc>
          <w:tcPr>
            <w:tcW w:w="1948" w:type="dxa"/>
          </w:tcPr>
          <w:p w14:paraId="3DA59BD1" w14:textId="58438361" w:rsidR="00C96CEC" w:rsidRPr="004E04F0" w:rsidRDefault="00707734" w:rsidP="00577845">
            <w:pPr>
              <w:tabs>
                <w:tab w:val="decimal" w:pos="1495"/>
              </w:tabs>
              <w:spacing w:after="0"/>
              <w:rPr>
                <w:rFonts w:eastAsia="Arial"/>
                <w:szCs w:val="28"/>
                <w:lang w:eastAsia="en-GB"/>
              </w:rPr>
            </w:pPr>
            <w:r>
              <w:rPr>
                <w:rFonts w:eastAsia="Arial"/>
                <w:szCs w:val="28"/>
                <w:lang w:eastAsia="en-GB"/>
              </w:rPr>
              <w:t>4.1</w:t>
            </w:r>
          </w:p>
        </w:tc>
        <w:tc>
          <w:tcPr>
            <w:tcW w:w="123" w:type="dxa"/>
            <w:shd w:val="clear" w:color="auto" w:fill="FFFFFF" w:themeFill="background1"/>
            <w:tcMar>
              <w:left w:w="0" w:type="dxa"/>
              <w:right w:w="0" w:type="dxa"/>
            </w:tcMar>
          </w:tcPr>
          <w:p w14:paraId="15577ED0" w14:textId="77777777" w:rsidR="00C96CEC" w:rsidRPr="00EE3889" w:rsidRDefault="00C96CEC" w:rsidP="00C96CEC">
            <w:pPr>
              <w:spacing w:after="0"/>
              <w:jc w:val="right"/>
              <w:rPr>
                <w:rFonts w:eastAsia="Arial"/>
                <w:szCs w:val="28"/>
                <w:lang w:eastAsia="en-GB"/>
              </w:rPr>
            </w:pPr>
          </w:p>
        </w:tc>
        <w:tc>
          <w:tcPr>
            <w:tcW w:w="2165" w:type="dxa"/>
            <w:shd w:val="clear" w:color="auto" w:fill="FFFFFF" w:themeFill="background1"/>
            <w:tcMar>
              <w:left w:w="0" w:type="dxa"/>
              <w:right w:w="0" w:type="dxa"/>
            </w:tcMar>
          </w:tcPr>
          <w:p w14:paraId="58A8BBE4" w14:textId="7BEB7726" w:rsidR="00C96CEC" w:rsidRPr="004F6EE6" w:rsidRDefault="0097411E" w:rsidP="00577845">
            <w:pPr>
              <w:tabs>
                <w:tab w:val="decimal" w:pos="1947"/>
              </w:tabs>
              <w:spacing w:after="0"/>
              <w:rPr>
                <w:rFonts w:eastAsia="Arial"/>
                <w:szCs w:val="28"/>
                <w:lang w:eastAsia="en-GB"/>
              </w:rPr>
            </w:pPr>
            <w:r>
              <w:rPr>
                <w:rFonts w:eastAsia="Arial"/>
                <w:szCs w:val="28"/>
                <w:lang w:eastAsia="en-GB"/>
              </w:rPr>
              <w:t>1.3</w:t>
            </w:r>
          </w:p>
        </w:tc>
        <w:tc>
          <w:tcPr>
            <w:tcW w:w="193" w:type="dxa"/>
            <w:shd w:val="clear" w:color="auto" w:fill="FFFFFF" w:themeFill="background1"/>
            <w:tcMar>
              <w:left w:w="0" w:type="dxa"/>
              <w:right w:w="0" w:type="dxa"/>
            </w:tcMar>
          </w:tcPr>
          <w:p w14:paraId="5C3CFADC" w14:textId="77777777" w:rsidR="00C96CEC" w:rsidRPr="00EE3889" w:rsidRDefault="00C96CEC" w:rsidP="00C96CEC">
            <w:pPr>
              <w:spacing w:after="0"/>
              <w:jc w:val="right"/>
              <w:rPr>
                <w:rFonts w:eastAsia="Arial"/>
                <w:color w:val="FF0000"/>
                <w:szCs w:val="28"/>
                <w:lang w:eastAsia="en-GB"/>
              </w:rPr>
            </w:pPr>
          </w:p>
        </w:tc>
        <w:tc>
          <w:tcPr>
            <w:tcW w:w="1733" w:type="dxa"/>
            <w:shd w:val="clear" w:color="auto" w:fill="FFFFFF" w:themeFill="background1"/>
            <w:tcMar>
              <w:left w:w="0" w:type="dxa"/>
              <w:right w:w="0" w:type="dxa"/>
            </w:tcMar>
          </w:tcPr>
          <w:p w14:paraId="2A70AC61" w14:textId="021BD79D"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5.8</w:t>
            </w:r>
          </w:p>
        </w:tc>
      </w:tr>
      <w:tr w:rsidR="00C96CEC" w:rsidRPr="009459E2" w14:paraId="77A0FE04" w14:textId="77777777" w:rsidTr="7F0CE02B">
        <w:tc>
          <w:tcPr>
            <w:tcW w:w="2959" w:type="dxa"/>
            <w:shd w:val="clear" w:color="auto" w:fill="FFFFFF" w:themeFill="background1"/>
            <w:tcMar>
              <w:left w:w="0" w:type="dxa"/>
              <w:right w:w="0" w:type="dxa"/>
            </w:tcMar>
          </w:tcPr>
          <w:p w14:paraId="3C8E57CC" w14:textId="13DDCE15" w:rsidR="00C96CEC" w:rsidRPr="00EE3889" w:rsidRDefault="00C96CEC" w:rsidP="00C96CEC">
            <w:pPr>
              <w:spacing w:after="0"/>
              <w:rPr>
                <w:rFonts w:eastAsia="Arial"/>
                <w:szCs w:val="28"/>
                <w:lang w:eastAsia="en-GB"/>
              </w:rPr>
            </w:pPr>
            <w:r w:rsidRPr="00C01151">
              <w:rPr>
                <w:rFonts w:eastAsia="Arial"/>
                <w:szCs w:val="28"/>
                <w:lang w:val="en-GB" w:eastAsia="en-GB"/>
              </w:rPr>
              <w:t>Finance costs</w:t>
            </w:r>
            <w:r>
              <w:rPr>
                <w:rFonts w:eastAsia="Arial"/>
                <w:szCs w:val="28"/>
                <w:vertAlign w:val="superscript"/>
                <w:lang w:val="en-GB" w:eastAsia="en-GB"/>
              </w:rPr>
              <w:t>1</w:t>
            </w:r>
          </w:p>
        </w:tc>
        <w:tc>
          <w:tcPr>
            <w:tcW w:w="939" w:type="dxa"/>
            <w:shd w:val="clear" w:color="auto" w:fill="FFFFFF" w:themeFill="background1"/>
          </w:tcPr>
          <w:p w14:paraId="520B1A68" w14:textId="2BF9DD22" w:rsidR="00C96CEC" w:rsidRPr="00EE3889" w:rsidRDefault="00C96CEC" w:rsidP="00C96CEC">
            <w:pPr>
              <w:spacing w:after="0"/>
              <w:jc w:val="center"/>
              <w:rPr>
                <w:rFonts w:eastAsia="Arial"/>
                <w:szCs w:val="28"/>
                <w:lang w:eastAsia="en-GB"/>
              </w:rPr>
            </w:pPr>
            <w:r w:rsidRPr="00EE3889">
              <w:rPr>
                <w:rFonts w:eastAsia="Arial"/>
                <w:szCs w:val="28"/>
                <w:lang w:eastAsia="en-GB"/>
              </w:rPr>
              <w:t>5</w:t>
            </w:r>
          </w:p>
        </w:tc>
        <w:tc>
          <w:tcPr>
            <w:tcW w:w="1948" w:type="dxa"/>
            <w:tcBorders>
              <w:bottom w:val="single" w:sz="4" w:space="0" w:color="auto"/>
            </w:tcBorders>
          </w:tcPr>
          <w:p w14:paraId="34A56447" w14:textId="63FA42D2" w:rsidR="00C96CEC" w:rsidRPr="004E04F0" w:rsidRDefault="00707734" w:rsidP="00577845">
            <w:pPr>
              <w:tabs>
                <w:tab w:val="decimal" w:pos="1495"/>
              </w:tabs>
              <w:spacing w:after="0"/>
              <w:rPr>
                <w:rFonts w:eastAsia="Arial"/>
                <w:szCs w:val="28"/>
                <w:lang w:eastAsia="en-GB"/>
              </w:rPr>
            </w:pPr>
            <w:r>
              <w:rPr>
                <w:rFonts w:eastAsia="Arial"/>
                <w:szCs w:val="28"/>
                <w:lang w:eastAsia="en-GB"/>
              </w:rPr>
              <w:t>(3.1)</w:t>
            </w:r>
          </w:p>
        </w:tc>
        <w:tc>
          <w:tcPr>
            <w:tcW w:w="123" w:type="dxa"/>
            <w:shd w:val="clear" w:color="auto" w:fill="FFFFFF" w:themeFill="background1"/>
            <w:tcMar>
              <w:left w:w="0" w:type="dxa"/>
              <w:right w:w="0" w:type="dxa"/>
            </w:tcMar>
          </w:tcPr>
          <w:p w14:paraId="712638EF"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6263188A" w14:textId="22E83883"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w:t>
            </w:r>
            <w:r w:rsidR="0097411E">
              <w:rPr>
                <w:rFonts w:eastAsia="Arial"/>
                <w:szCs w:val="28"/>
                <w:lang w:eastAsia="en-GB"/>
              </w:rPr>
              <w:t>3.1</w:t>
            </w:r>
            <w:r w:rsidRPr="00F2575A">
              <w:rPr>
                <w:rFonts w:eastAsia="Arial"/>
                <w:szCs w:val="28"/>
                <w:lang w:eastAsia="en-GB"/>
              </w:rPr>
              <w:t>)</w:t>
            </w:r>
          </w:p>
        </w:tc>
        <w:tc>
          <w:tcPr>
            <w:tcW w:w="193" w:type="dxa"/>
            <w:shd w:val="clear" w:color="auto" w:fill="FFFFFF" w:themeFill="background1"/>
            <w:tcMar>
              <w:left w:w="0" w:type="dxa"/>
              <w:right w:w="0" w:type="dxa"/>
            </w:tcMar>
          </w:tcPr>
          <w:p w14:paraId="0EB15FBF"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45B2CE4B" w14:textId="77202CE4"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(6.2)</w:t>
            </w:r>
          </w:p>
        </w:tc>
      </w:tr>
      <w:tr w:rsidR="00C96CEC" w:rsidRPr="009459E2" w14:paraId="5359908D" w14:textId="77777777" w:rsidTr="7F0CE02B">
        <w:tc>
          <w:tcPr>
            <w:tcW w:w="2959" w:type="dxa"/>
            <w:shd w:val="clear" w:color="auto" w:fill="FFFFFF" w:themeFill="background1"/>
            <w:tcMar>
              <w:left w:w="0" w:type="dxa"/>
              <w:right w:w="0" w:type="dxa"/>
            </w:tcMar>
          </w:tcPr>
          <w:p w14:paraId="763DD96F" w14:textId="77777777" w:rsidR="00C96CEC" w:rsidRPr="00EE3889" w:rsidRDefault="00C96CEC" w:rsidP="00C96CEC">
            <w:pPr>
              <w:spacing w:after="0"/>
              <w:rPr>
                <w:rFonts w:eastAsia="Arial"/>
                <w:szCs w:val="28"/>
                <w:lang w:eastAsia="en-GB"/>
              </w:rPr>
            </w:pPr>
            <w:r w:rsidRPr="00EE3889">
              <w:rPr>
                <w:rFonts w:eastAsia="Arial"/>
                <w:b/>
                <w:szCs w:val="28"/>
                <w:lang w:eastAsia="en-GB"/>
              </w:rPr>
              <w:t>Profit before taxation</w:t>
            </w:r>
          </w:p>
        </w:tc>
        <w:tc>
          <w:tcPr>
            <w:tcW w:w="939" w:type="dxa"/>
            <w:shd w:val="clear" w:color="auto" w:fill="FFFFFF" w:themeFill="background1"/>
          </w:tcPr>
          <w:p w14:paraId="2EF0AD0A" w14:textId="2BA5277C"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Borders>
              <w:top w:val="single" w:sz="4" w:space="0" w:color="auto"/>
            </w:tcBorders>
          </w:tcPr>
          <w:p w14:paraId="7A1C3A57" w14:textId="1495194E" w:rsidR="00C96CEC" w:rsidRPr="005F0E7F" w:rsidRDefault="00707734" w:rsidP="00577845">
            <w:pPr>
              <w:tabs>
                <w:tab w:val="decimal" w:pos="1495"/>
              </w:tabs>
              <w:spacing w:after="0"/>
              <w:rPr>
                <w:rFonts w:eastAsia="Arial"/>
                <w:b/>
                <w:bCs/>
                <w:szCs w:val="28"/>
                <w:lang w:eastAsia="en-GB"/>
              </w:rPr>
            </w:pPr>
            <w:r w:rsidRPr="005F0E7F">
              <w:rPr>
                <w:rFonts w:eastAsia="Arial"/>
                <w:b/>
                <w:bCs/>
                <w:szCs w:val="28"/>
                <w:lang w:eastAsia="en-GB"/>
              </w:rPr>
              <w:t>38.7</w:t>
            </w:r>
          </w:p>
        </w:tc>
        <w:tc>
          <w:tcPr>
            <w:tcW w:w="123" w:type="dxa"/>
            <w:shd w:val="clear" w:color="auto" w:fill="FFFFFF" w:themeFill="background1"/>
            <w:tcMar>
              <w:left w:w="0" w:type="dxa"/>
              <w:right w:w="0" w:type="dxa"/>
            </w:tcMar>
          </w:tcPr>
          <w:p w14:paraId="21DAB8ED"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tcBorders>
              <w:top w:val="single" w:sz="4" w:space="0" w:color="auto"/>
            </w:tcBorders>
            <w:shd w:val="clear" w:color="auto" w:fill="FFFFFF" w:themeFill="background1"/>
            <w:tcMar>
              <w:left w:w="0" w:type="dxa"/>
              <w:right w:w="0" w:type="dxa"/>
            </w:tcMar>
          </w:tcPr>
          <w:p w14:paraId="5EF5151E" w14:textId="57E8CF3F" w:rsidR="00C96CEC" w:rsidRPr="004F6EE6" w:rsidRDefault="00C96CEC" w:rsidP="00577845">
            <w:pPr>
              <w:tabs>
                <w:tab w:val="decimal" w:pos="1947"/>
              </w:tabs>
              <w:spacing w:after="0"/>
              <w:rPr>
                <w:rFonts w:eastAsia="Arial"/>
                <w:b/>
                <w:szCs w:val="28"/>
                <w:lang w:eastAsia="en-GB"/>
              </w:rPr>
            </w:pPr>
            <w:r w:rsidRPr="00F2575A">
              <w:rPr>
                <w:rFonts w:eastAsia="Arial"/>
                <w:b/>
                <w:szCs w:val="28"/>
                <w:lang w:eastAsia="en-GB"/>
              </w:rPr>
              <w:t xml:space="preserve"> 34.8</w:t>
            </w:r>
          </w:p>
        </w:tc>
        <w:tc>
          <w:tcPr>
            <w:tcW w:w="193" w:type="dxa"/>
            <w:shd w:val="clear" w:color="auto" w:fill="FFFFFF" w:themeFill="background1"/>
            <w:tcMar>
              <w:left w:w="0" w:type="dxa"/>
              <w:right w:w="0" w:type="dxa"/>
            </w:tcMar>
          </w:tcPr>
          <w:p w14:paraId="7B380280" w14:textId="77777777" w:rsidR="00C96CEC" w:rsidRPr="00E30199" w:rsidRDefault="00C96CEC" w:rsidP="00C96CEC">
            <w:pPr>
              <w:spacing w:after="0"/>
              <w:jc w:val="right"/>
              <w:rPr>
                <w:rFonts w:eastAsia="Arial"/>
                <w:b/>
                <w:color w:val="FF0000"/>
                <w:szCs w:val="28"/>
                <w:lang w:eastAsia="en-GB"/>
              </w:rPr>
            </w:pPr>
            <w:r w:rsidRPr="00E30199">
              <w:rPr>
                <w:rFonts w:eastAsia="Arial"/>
                <w:b/>
                <w:color w:val="FF0000"/>
                <w:szCs w:val="28"/>
                <w:lang w:eastAsia="en-GB"/>
              </w:rPr>
              <w:t xml:space="preserve"> </w:t>
            </w:r>
          </w:p>
        </w:tc>
        <w:tc>
          <w:tcPr>
            <w:tcW w:w="1733" w:type="dxa"/>
            <w:tcBorders>
              <w:top w:val="single" w:sz="4" w:space="0" w:color="auto"/>
            </w:tcBorders>
            <w:shd w:val="clear" w:color="auto" w:fill="FFFFFF" w:themeFill="background1"/>
            <w:tcMar>
              <w:left w:w="0" w:type="dxa"/>
              <w:right w:w="0" w:type="dxa"/>
            </w:tcMar>
          </w:tcPr>
          <w:p w14:paraId="2EC4EA34" w14:textId="153D598C" w:rsidR="00C96CEC" w:rsidRPr="007756EA" w:rsidRDefault="00C96CEC" w:rsidP="00C96CEC">
            <w:pPr>
              <w:tabs>
                <w:tab w:val="decimal" w:pos="1444"/>
              </w:tabs>
              <w:spacing w:after="0"/>
              <w:rPr>
                <w:rFonts w:eastAsia="Arial"/>
                <w:b/>
                <w:szCs w:val="28"/>
                <w:highlight w:val="yellow"/>
                <w:lang w:eastAsia="en-GB"/>
              </w:rPr>
            </w:pPr>
            <w:r w:rsidRPr="00C02E90">
              <w:rPr>
                <w:rFonts w:eastAsia="Arial"/>
                <w:b/>
                <w:szCs w:val="28"/>
                <w:lang w:eastAsia="en-GB"/>
              </w:rPr>
              <w:t>9.4</w:t>
            </w:r>
          </w:p>
        </w:tc>
      </w:tr>
      <w:tr w:rsidR="00C96CEC" w:rsidRPr="009459E2" w14:paraId="6337E232" w14:textId="77777777" w:rsidTr="7F0CE02B">
        <w:tc>
          <w:tcPr>
            <w:tcW w:w="2959" w:type="dxa"/>
            <w:shd w:val="clear" w:color="auto" w:fill="FFFFFF" w:themeFill="background1"/>
            <w:tcMar>
              <w:left w:w="0" w:type="dxa"/>
              <w:right w:w="0" w:type="dxa"/>
            </w:tcMar>
          </w:tcPr>
          <w:p w14:paraId="2E0B4BE3" w14:textId="77777777" w:rsidR="00C96CEC" w:rsidRPr="00EE3889" w:rsidRDefault="00C96CEC" w:rsidP="00C96CEC">
            <w:pPr>
              <w:spacing w:after="0"/>
              <w:rPr>
                <w:rFonts w:eastAsia="Arial"/>
                <w:szCs w:val="28"/>
                <w:lang w:eastAsia="en-GB"/>
              </w:rPr>
            </w:pPr>
            <w:r w:rsidRPr="00EE3889">
              <w:rPr>
                <w:rFonts w:eastAsia="Arial"/>
                <w:szCs w:val="28"/>
                <w:lang w:eastAsia="en-GB"/>
              </w:rPr>
              <w:t xml:space="preserve"> </w:t>
            </w:r>
          </w:p>
        </w:tc>
        <w:tc>
          <w:tcPr>
            <w:tcW w:w="939" w:type="dxa"/>
            <w:shd w:val="clear" w:color="auto" w:fill="FFFFFF" w:themeFill="background1"/>
          </w:tcPr>
          <w:p w14:paraId="2D112B15" w14:textId="79E89A7B"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Pr>
          <w:p w14:paraId="4F93731E" w14:textId="77777777" w:rsidR="00C96CEC" w:rsidRPr="004E04F0" w:rsidRDefault="00C96CEC" w:rsidP="00577845">
            <w:pPr>
              <w:tabs>
                <w:tab w:val="decimal" w:pos="1495"/>
              </w:tabs>
              <w:spacing w:after="0"/>
              <w:rPr>
                <w:rFonts w:eastAsia="Arial"/>
                <w:szCs w:val="28"/>
                <w:lang w:eastAsia="en-GB"/>
              </w:rPr>
            </w:pPr>
          </w:p>
        </w:tc>
        <w:tc>
          <w:tcPr>
            <w:tcW w:w="123" w:type="dxa"/>
            <w:shd w:val="clear" w:color="auto" w:fill="FFFFFF" w:themeFill="background1"/>
            <w:tcMar>
              <w:left w:w="0" w:type="dxa"/>
              <w:right w:w="0" w:type="dxa"/>
            </w:tcMar>
          </w:tcPr>
          <w:p w14:paraId="5181A525"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75A95ED2" w14:textId="77777777" w:rsidR="00C96CEC" w:rsidRPr="005051E7" w:rsidRDefault="00C96CEC" w:rsidP="00577845">
            <w:pPr>
              <w:tabs>
                <w:tab w:val="decimal" w:pos="1947"/>
              </w:tabs>
              <w:spacing w:after="0"/>
              <w:rPr>
                <w:rFonts w:eastAsia="Arial"/>
                <w:szCs w:val="28"/>
                <w:highlight w:val="yellow"/>
                <w:lang w:eastAsia="en-GB"/>
              </w:rPr>
            </w:pPr>
          </w:p>
        </w:tc>
        <w:tc>
          <w:tcPr>
            <w:tcW w:w="193" w:type="dxa"/>
            <w:shd w:val="clear" w:color="auto" w:fill="FFFFFF" w:themeFill="background1"/>
            <w:tcMar>
              <w:left w:w="0" w:type="dxa"/>
              <w:right w:w="0" w:type="dxa"/>
            </w:tcMar>
          </w:tcPr>
          <w:p w14:paraId="7DA78B15"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1F8F9AF1" w14:textId="77777777" w:rsidR="00C96CEC" w:rsidRPr="007756EA" w:rsidRDefault="00C96CEC" w:rsidP="00C96CEC">
            <w:pPr>
              <w:tabs>
                <w:tab w:val="decimal" w:pos="1444"/>
              </w:tabs>
              <w:spacing w:after="0"/>
              <w:rPr>
                <w:rFonts w:eastAsia="Arial"/>
                <w:szCs w:val="28"/>
                <w:highlight w:val="yellow"/>
                <w:lang w:eastAsia="en-GB"/>
              </w:rPr>
            </w:pPr>
          </w:p>
        </w:tc>
      </w:tr>
      <w:tr w:rsidR="00C96CEC" w:rsidRPr="009459E2" w14:paraId="667502A1" w14:textId="77777777" w:rsidTr="7F0CE02B">
        <w:tc>
          <w:tcPr>
            <w:tcW w:w="2959" w:type="dxa"/>
            <w:shd w:val="clear" w:color="auto" w:fill="FFFFFF" w:themeFill="background1"/>
            <w:tcMar>
              <w:left w:w="0" w:type="dxa"/>
              <w:right w:w="0" w:type="dxa"/>
            </w:tcMar>
          </w:tcPr>
          <w:p w14:paraId="71ED7F6A" w14:textId="77777777" w:rsidR="00C96CEC" w:rsidRPr="00EE3889" w:rsidRDefault="00C96CEC" w:rsidP="00C96CEC">
            <w:pPr>
              <w:spacing w:after="0"/>
              <w:rPr>
                <w:rFonts w:eastAsia="Arial"/>
                <w:szCs w:val="28"/>
                <w:lang w:eastAsia="en-GB"/>
              </w:rPr>
            </w:pPr>
            <w:r w:rsidRPr="00EE3889">
              <w:rPr>
                <w:rFonts w:eastAsia="Arial"/>
                <w:szCs w:val="28"/>
                <w:lang w:eastAsia="en-GB"/>
              </w:rPr>
              <w:t>Income tax expense</w:t>
            </w:r>
          </w:p>
        </w:tc>
        <w:tc>
          <w:tcPr>
            <w:tcW w:w="939" w:type="dxa"/>
            <w:shd w:val="clear" w:color="auto" w:fill="FFFFFF" w:themeFill="background1"/>
          </w:tcPr>
          <w:p w14:paraId="6F2E2AE0" w14:textId="6B7B6A1A" w:rsidR="00C96CEC" w:rsidRPr="00EE3889" w:rsidRDefault="00C96CEC" w:rsidP="00C96CEC">
            <w:pPr>
              <w:spacing w:after="0"/>
              <w:jc w:val="center"/>
              <w:rPr>
                <w:rFonts w:eastAsia="Arial"/>
                <w:szCs w:val="28"/>
                <w:lang w:eastAsia="en-GB"/>
              </w:rPr>
            </w:pPr>
            <w:r w:rsidRPr="00EE3889">
              <w:rPr>
                <w:rFonts w:eastAsia="Arial"/>
                <w:szCs w:val="28"/>
                <w:lang w:eastAsia="en-GB"/>
              </w:rPr>
              <w:t>6</w:t>
            </w:r>
          </w:p>
        </w:tc>
        <w:tc>
          <w:tcPr>
            <w:tcW w:w="1948" w:type="dxa"/>
            <w:tcBorders>
              <w:bottom w:val="single" w:sz="4" w:space="0" w:color="auto"/>
            </w:tcBorders>
          </w:tcPr>
          <w:p w14:paraId="2990EC0C" w14:textId="63676B23" w:rsidR="00C96CEC" w:rsidRPr="004E04F0" w:rsidRDefault="00707734" w:rsidP="00577845">
            <w:pPr>
              <w:tabs>
                <w:tab w:val="decimal" w:pos="1495"/>
              </w:tabs>
              <w:spacing w:after="0"/>
              <w:rPr>
                <w:rFonts w:eastAsia="Arial"/>
                <w:szCs w:val="28"/>
                <w:lang w:eastAsia="en-GB"/>
              </w:rPr>
            </w:pPr>
            <w:r>
              <w:rPr>
                <w:rFonts w:eastAsia="Arial"/>
                <w:szCs w:val="28"/>
                <w:lang w:eastAsia="en-GB"/>
              </w:rPr>
              <w:t>(10.</w:t>
            </w:r>
            <w:r w:rsidR="00C30B7E">
              <w:rPr>
                <w:rFonts w:eastAsia="Arial"/>
                <w:szCs w:val="28"/>
                <w:lang w:eastAsia="en-GB"/>
              </w:rPr>
              <w:t>5</w:t>
            </w:r>
            <w:r>
              <w:rPr>
                <w:rFonts w:eastAsia="Arial"/>
                <w:szCs w:val="28"/>
                <w:lang w:eastAsia="en-GB"/>
              </w:rPr>
              <w:t>)</w:t>
            </w:r>
          </w:p>
        </w:tc>
        <w:tc>
          <w:tcPr>
            <w:tcW w:w="123" w:type="dxa"/>
            <w:shd w:val="clear" w:color="auto" w:fill="FFFFFF" w:themeFill="background1"/>
            <w:tcMar>
              <w:left w:w="0" w:type="dxa"/>
              <w:right w:w="0" w:type="dxa"/>
            </w:tcMar>
          </w:tcPr>
          <w:p w14:paraId="621331C9"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1569C975" w14:textId="18D55A81"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w:t>
            </w:r>
            <w:r>
              <w:rPr>
                <w:rFonts w:eastAsia="Arial"/>
                <w:szCs w:val="28"/>
                <w:lang w:eastAsia="en-GB"/>
              </w:rPr>
              <w:t>10</w:t>
            </w:r>
            <w:r w:rsidRPr="00F2575A">
              <w:rPr>
                <w:rFonts w:eastAsia="Arial"/>
                <w:szCs w:val="28"/>
                <w:lang w:eastAsia="en-GB"/>
              </w:rPr>
              <w:t>.</w:t>
            </w:r>
            <w:r>
              <w:rPr>
                <w:rFonts w:eastAsia="Arial"/>
                <w:szCs w:val="28"/>
                <w:lang w:eastAsia="en-GB"/>
              </w:rPr>
              <w:t>6</w:t>
            </w:r>
            <w:r w:rsidRPr="00F2575A">
              <w:rPr>
                <w:rFonts w:eastAsia="Arial"/>
                <w:szCs w:val="28"/>
                <w:lang w:eastAsia="en-GB"/>
              </w:rPr>
              <w:t>)</w:t>
            </w:r>
          </w:p>
        </w:tc>
        <w:tc>
          <w:tcPr>
            <w:tcW w:w="193" w:type="dxa"/>
            <w:shd w:val="clear" w:color="auto" w:fill="FFFFFF" w:themeFill="background1"/>
            <w:tcMar>
              <w:left w:w="0" w:type="dxa"/>
              <w:right w:w="0" w:type="dxa"/>
            </w:tcMar>
          </w:tcPr>
          <w:p w14:paraId="16625464"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554C2D5C" w14:textId="70D7DF7D" w:rsidR="00C96CEC" w:rsidRPr="007756EA" w:rsidRDefault="00C96CEC" w:rsidP="00C96CEC">
            <w:pPr>
              <w:tabs>
                <w:tab w:val="decimal" w:pos="1444"/>
              </w:tabs>
              <w:spacing w:after="0"/>
              <w:rPr>
                <w:rFonts w:eastAsia="Arial"/>
                <w:szCs w:val="28"/>
                <w:highlight w:val="yellow"/>
                <w:lang w:eastAsia="en-GB"/>
              </w:rPr>
            </w:pPr>
            <w:r w:rsidRPr="00131B4F">
              <w:rPr>
                <w:rFonts w:eastAsia="Arial"/>
                <w:szCs w:val="28"/>
                <w:lang w:eastAsia="en-GB"/>
              </w:rPr>
              <w:t>(22.3)</w:t>
            </w:r>
          </w:p>
        </w:tc>
      </w:tr>
      <w:tr w:rsidR="00C96CEC" w:rsidRPr="009459E2" w14:paraId="67DFA944" w14:textId="77777777" w:rsidTr="7F0CE02B">
        <w:tc>
          <w:tcPr>
            <w:tcW w:w="2959" w:type="dxa"/>
            <w:shd w:val="clear" w:color="auto" w:fill="FFFFFF" w:themeFill="background1"/>
            <w:tcMar>
              <w:left w:w="0" w:type="dxa"/>
              <w:right w:w="0" w:type="dxa"/>
            </w:tcMar>
          </w:tcPr>
          <w:p w14:paraId="31F2BD05" w14:textId="68CED3FC" w:rsidR="00C96CEC" w:rsidRPr="00EE3889" w:rsidRDefault="00C96CEC" w:rsidP="00C96CEC">
            <w:pPr>
              <w:spacing w:after="0"/>
              <w:rPr>
                <w:rFonts w:eastAsia="Arial"/>
                <w:szCs w:val="28"/>
                <w:lang w:eastAsia="en-GB"/>
              </w:rPr>
            </w:pPr>
            <w:r w:rsidRPr="00EE3889">
              <w:rPr>
                <w:rFonts w:eastAsia="Arial"/>
                <w:b/>
                <w:szCs w:val="28"/>
                <w:lang w:eastAsia="en-GB"/>
              </w:rPr>
              <w:t>Profit</w:t>
            </w:r>
            <w:r>
              <w:rPr>
                <w:rFonts w:eastAsia="Arial"/>
                <w:b/>
                <w:szCs w:val="28"/>
                <w:lang w:eastAsia="en-GB"/>
              </w:rPr>
              <w:t>/(loss)</w:t>
            </w:r>
            <w:r w:rsidRPr="00EE3889">
              <w:rPr>
                <w:rFonts w:eastAsia="Arial"/>
                <w:b/>
                <w:szCs w:val="28"/>
                <w:lang w:eastAsia="en-GB"/>
              </w:rPr>
              <w:t xml:space="preserve"> for the </w:t>
            </w:r>
            <w:r>
              <w:rPr>
                <w:rFonts w:eastAsia="Arial"/>
                <w:b/>
                <w:szCs w:val="28"/>
                <w:lang w:eastAsia="en-GB"/>
              </w:rPr>
              <w:t>period</w:t>
            </w:r>
            <w:r w:rsidRPr="004F6EE6">
              <w:rPr>
                <w:rFonts w:eastAsia="Arial"/>
                <w:b/>
                <w:szCs w:val="28"/>
                <w:vertAlign w:val="superscript"/>
                <w:lang w:eastAsia="en-GB"/>
              </w:rPr>
              <w:t xml:space="preserve">1 </w:t>
            </w:r>
          </w:p>
        </w:tc>
        <w:tc>
          <w:tcPr>
            <w:tcW w:w="939" w:type="dxa"/>
            <w:shd w:val="clear" w:color="auto" w:fill="FFFFFF" w:themeFill="background1"/>
            <w:vAlign w:val="bottom"/>
          </w:tcPr>
          <w:p w14:paraId="161D5CD5" w14:textId="78A24660"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Borders>
              <w:top w:val="single" w:sz="4" w:space="0" w:color="auto"/>
              <w:bottom w:val="double" w:sz="4" w:space="0" w:color="auto"/>
            </w:tcBorders>
            <w:vAlign w:val="center"/>
          </w:tcPr>
          <w:p w14:paraId="4D2A9D13" w14:textId="241AED81" w:rsidR="00C96CEC" w:rsidRPr="005F0E7F" w:rsidRDefault="00707734" w:rsidP="00577845">
            <w:pPr>
              <w:tabs>
                <w:tab w:val="decimal" w:pos="1495"/>
              </w:tabs>
              <w:spacing w:after="0"/>
              <w:rPr>
                <w:rFonts w:eastAsia="Arial"/>
                <w:b/>
                <w:bCs/>
                <w:szCs w:val="28"/>
                <w:lang w:eastAsia="en-GB"/>
              </w:rPr>
            </w:pPr>
            <w:r w:rsidRPr="005F0E7F">
              <w:rPr>
                <w:rFonts w:eastAsia="Arial"/>
                <w:b/>
                <w:bCs/>
                <w:szCs w:val="28"/>
                <w:lang w:eastAsia="en-GB"/>
              </w:rPr>
              <w:t>28.</w:t>
            </w:r>
            <w:r w:rsidR="00C30B7E">
              <w:rPr>
                <w:rFonts w:eastAsia="Arial"/>
                <w:b/>
                <w:bCs/>
                <w:szCs w:val="28"/>
                <w:lang w:eastAsia="en-GB"/>
              </w:rPr>
              <w:t>2</w:t>
            </w:r>
          </w:p>
        </w:tc>
        <w:tc>
          <w:tcPr>
            <w:tcW w:w="123" w:type="dxa"/>
            <w:shd w:val="clear" w:color="auto" w:fill="FFFFFF" w:themeFill="background1"/>
            <w:tcMar>
              <w:left w:w="0" w:type="dxa"/>
              <w:right w:w="0" w:type="dxa"/>
            </w:tcMar>
            <w:vAlign w:val="center"/>
          </w:tcPr>
          <w:p w14:paraId="7C9CB8C2" w14:textId="77777777" w:rsidR="00C96CEC" w:rsidRPr="00EE3889" w:rsidRDefault="00C96CEC" w:rsidP="00C96CEC">
            <w:pPr>
              <w:spacing w:after="0"/>
              <w:jc w:val="right"/>
              <w:rPr>
                <w:rFonts w:eastAsia="Arial"/>
                <w:szCs w:val="28"/>
                <w:lang w:eastAsia="en-GB"/>
              </w:rPr>
            </w:pPr>
            <w:r w:rsidRPr="00EE3889">
              <w:rPr>
                <w:rFonts w:eastAsia="Arial"/>
                <w:b/>
                <w:szCs w:val="28"/>
                <w:lang w:eastAsia="en-GB"/>
              </w:rPr>
              <w:t xml:space="preserve"> </w:t>
            </w:r>
          </w:p>
        </w:tc>
        <w:tc>
          <w:tcPr>
            <w:tcW w:w="2165" w:type="dxa"/>
            <w:tcBorders>
              <w:top w:val="single" w:sz="4" w:space="0" w:color="auto"/>
              <w:bottom w:val="double" w:sz="4" w:space="0" w:color="auto"/>
            </w:tcBorders>
            <w:shd w:val="clear" w:color="auto" w:fill="FFFFFF" w:themeFill="background1"/>
            <w:tcMar>
              <w:left w:w="0" w:type="dxa"/>
              <w:right w:w="0" w:type="dxa"/>
            </w:tcMar>
            <w:vAlign w:val="center"/>
          </w:tcPr>
          <w:p w14:paraId="2368EA15" w14:textId="610D5FD3" w:rsidR="00C96CEC" w:rsidRPr="004F6EE6" w:rsidRDefault="00C96CEC" w:rsidP="00577845">
            <w:pPr>
              <w:tabs>
                <w:tab w:val="decimal" w:pos="1947"/>
              </w:tabs>
              <w:spacing w:after="0"/>
              <w:rPr>
                <w:rFonts w:eastAsia="Arial"/>
                <w:b/>
                <w:szCs w:val="28"/>
                <w:lang w:eastAsia="en-GB"/>
              </w:rPr>
            </w:pPr>
            <w:r w:rsidRPr="00F2575A">
              <w:rPr>
                <w:rFonts w:eastAsia="Arial"/>
                <w:b/>
                <w:szCs w:val="28"/>
                <w:lang w:eastAsia="en-GB"/>
              </w:rPr>
              <w:t xml:space="preserve">  2</w:t>
            </w:r>
            <w:r>
              <w:rPr>
                <w:rFonts w:eastAsia="Arial"/>
                <w:b/>
                <w:szCs w:val="28"/>
                <w:lang w:eastAsia="en-GB"/>
              </w:rPr>
              <w:t>4</w:t>
            </w:r>
            <w:r w:rsidRPr="00F2575A">
              <w:rPr>
                <w:rFonts w:eastAsia="Arial"/>
                <w:b/>
                <w:szCs w:val="28"/>
                <w:lang w:eastAsia="en-GB"/>
              </w:rPr>
              <w:t>.</w:t>
            </w:r>
            <w:r>
              <w:rPr>
                <w:rFonts w:eastAsia="Arial"/>
                <w:b/>
                <w:szCs w:val="28"/>
                <w:lang w:eastAsia="en-GB"/>
              </w:rPr>
              <w:t>2</w:t>
            </w:r>
          </w:p>
        </w:tc>
        <w:tc>
          <w:tcPr>
            <w:tcW w:w="193" w:type="dxa"/>
            <w:shd w:val="clear" w:color="auto" w:fill="FFFFFF" w:themeFill="background1"/>
            <w:tcMar>
              <w:left w:w="0" w:type="dxa"/>
              <w:right w:w="0" w:type="dxa"/>
            </w:tcMar>
            <w:vAlign w:val="center"/>
          </w:tcPr>
          <w:p w14:paraId="0AE8E7FF" w14:textId="77777777" w:rsidR="00C96CEC" w:rsidRPr="00EE3889" w:rsidRDefault="00C96CEC" w:rsidP="00C96CEC">
            <w:pPr>
              <w:spacing w:after="0"/>
              <w:jc w:val="right"/>
              <w:rPr>
                <w:rFonts w:eastAsia="Arial"/>
                <w:b/>
                <w:color w:val="FF0000"/>
                <w:szCs w:val="28"/>
                <w:lang w:eastAsia="en-GB"/>
              </w:rPr>
            </w:pPr>
            <w:r w:rsidRPr="00EE3889">
              <w:rPr>
                <w:rFonts w:eastAsia="Arial"/>
                <w:b/>
                <w:color w:val="FF0000"/>
                <w:szCs w:val="28"/>
                <w:lang w:eastAsia="en-GB"/>
              </w:rPr>
              <w:t xml:space="preserve"> </w:t>
            </w:r>
          </w:p>
        </w:tc>
        <w:tc>
          <w:tcPr>
            <w:tcW w:w="1733" w:type="dxa"/>
            <w:tcBorders>
              <w:top w:val="single" w:sz="4" w:space="0" w:color="auto"/>
              <w:bottom w:val="double" w:sz="4" w:space="0" w:color="auto"/>
            </w:tcBorders>
            <w:shd w:val="clear" w:color="auto" w:fill="FFFFFF" w:themeFill="background1"/>
            <w:tcMar>
              <w:left w:w="0" w:type="dxa"/>
              <w:right w:w="0" w:type="dxa"/>
            </w:tcMar>
          </w:tcPr>
          <w:p w14:paraId="2418D63D" w14:textId="04CAE794" w:rsidR="00C96CEC" w:rsidRPr="007756EA" w:rsidRDefault="00C96CEC" w:rsidP="00C96CEC">
            <w:pPr>
              <w:tabs>
                <w:tab w:val="decimal" w:pos="1444"/>
              </w:tabs>
              <w:spacing w:after="0"/>
              <w:rPr>
                <w:rFonts w:eastAsia="Arial"/>
                <w:b/>
                <w:szCs w:val="28"/>
                <w:highlight w:val="yellow"/>
                <w:lang w:eastAsia="en-GB"/>
              </w:rPr>
            </w:pPr>
            <w:r w:rsidRPr="00C02E90">
              <w:rPr>
                <w:rFonts w:eastAsia="Arial"/>
                <w:b/>
                <w:szCs w:val="28"/>
                <w:lang w:eastAsia="en-GB"/>
              </w:rPr>
              <w:t>(12.9)</w:t>
            </w:r>
          </w:p>
        </w:tc>
      </w:tr>
      <w:tr w:rsidR="00C96CEC" w:rsidRPr="009459E2" w14:paraId="19A796F8" w14:textId="77777777" w:rsidTr="7F0CE02B">
        <w:trPr>
          <w:trHeight w:hRule="exact" w:val="255"/>
        </w:trPr>
        <w:tc>
          <w:tcPr>
            <w:tcW w:w="2959" w:type="dxa"/>
            <w:shd w:val="clear" w:color="auto" w:fill="FFFFFF" w:themeFill="background1"/>
            <w:tcMar>
              <w:left w:w="0" w:type="dxa"/>
              <w:right w:w="0" w:type="dxa"/>
            </w:tcMar>
          </w:tcPr>
          <w:p w14:paraId="0A6D7E02" w14:textId="77777777" w:rsidR="00C96CEC" w:rsidRPr="00EE3889" w:rsidRDefault="00C96CEC" w:rsidP="00C96CEC">
            <w:pPr>
              <w:spacing w:after="0"/>
              <w:rPr>
                <w:rFonts w:eastAsia="Arial"/>
                <w:szCs w:val="28"/>
                <w:lang w:eastAsia="en-GB"/>
              </w:rPr>
            </w:pPr>
            <w:r w:rsidRPr="00EE3889">
              <w:rPr>
                <w:rFonts w:eastAsia="Arial"/>
                <w:b/>
                <w:szCs w:val="28"/>
                <w:lang w:eastAsia="en-GB"/>
              </w:rPr>
              <w:t xml:space="preserve"> </w:t>
            </w:r>
          </w:p>
        </w:tc>
        <w:tc>
          <w:tcPr>
            <w:tcW w:w="939" w:type="dxa"/>
            <w:shd w:val="clear" w:color="auto" w:fill="FFFFFF" w:themeFill="background1"/>
            <w:vAlign w:val="bottom"/>
          </w:tcPr>
          <w:p w14:paraId="4976D238" w14:textId="0472D67A"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Borders>
              <w:top w:val="double" w:sz="4" w:space="0" w:color="auto"/>
            </w:tcBorders>
          </w:tcPr>
          <w:p w14:paraId="752B483C" w14:textId="77777777" w:rsidR="00C96CEC" w:rsidRPr="00F2575A" w:rsidRDefault="00C96CEC" w:rsidP="00577845">
            <w:pPr>
              <w:tabs>
                <w:tab w:val="decimal" w:pos="1495"/>
              </w:tabs>
              <w:spacing w:after="0"/>
              <w:rPr>
                <w:rFonts w:eastAsia="Arial"/>
                <w:szCs w:val="28"/>
                <w:lang w:eastAsia="en-GB"/>
              </w:rPr>
            </w:pPr>
          </w:p>
        </w:tc>
        <w:tc>
          <w:tcPr>
            <w:tcW w:w="123" w:type="dxa"/>
            <w:shd w:val="clear" w:color="auto" w:fill="FFFFFF" w:themeFill="background1"/>
            <w:tcMar>
              <w:left w:w="0" w:type="dxa"/>
              <w:right w:w="0" w:type="dxa"/>
            </w:tcMar>
          </w:tcPr>
          <w:p w14:paraId="798E7872"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tcBorders>
              <w:top w:val="double" w:sz="4" w:space="0" w:color="auto"/>
            </w:tcBorders>
            <w:shd w:val="clear" w:color="auto" w:fill="FFFFFF" w:themeFill="background1"/>
            <w:tcMar>
              <w:left w:w="0" w:type="dxa"/>
              <w:right w:w="0" w:type="dxa"/>
            </w:tcMar>
          </w:tcPr>
          <w:p w14:paraId="69AFAA64" w14:textId="77777777" w:rsidR="00C96CEC" w:rsidRPr="005051E7" w:rsidRDefault="00C96CEC" w:rsidP="00577845">
            <w:pPr>
              <w:tabs>
                <w:tab w:val="decimal" w:pos="1947"/>
              </w:tabs>
              <w:spacing w:after="0"/>
              <w:rPr>
                <w:rFonts w:eastAsia="Arial"/>
                <w:szCs w:val="28"/>
                <w:highlight w:val="yellow"/>
                <w:lang w:eastAsia="en-GB"/>
              </w:rPr>
            </w:pPr>
          </w:p>
        </w:tc>
        <w:tc>
          <w:tcPr>
            <w:tcW w:w="193" w:type="dxa"/>
            <w:shd w:val="clear" w:color="auto" w:fill="FFFFFF" w:themeFill="background1"/>
            <w:tcMar>
              <w:left w:w="0" w:type="dxa"/>
              <w:right w:w="0" w:type="dxa"/>
            </w:tcMar>
          </w:tcPr>
          <w:p w14:paraId="1328BDA2"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tcBorders>
              <w:top w:val="double" w:sz="4" w:space="0" w:color="auto"/>
            </w:tcBorders>
            <w:shd w:val="clear" w:color="auto" w:fill="FFFFFF" w:themeFill="background1"/>
            <w:tcMar>
              <w:left w:w="0" w:type="dxa"/>
              <w:right w:w="0" w:type="dxa"/>
            </w:tcMar>
          </w:tcPr>
          <w:p w14:paraId="1CFFBAA2" w14:textId="77777777" w:rsidR="00C96CEC" w:rsidRPr="007756EA" w:rsidRDefault="00C96CEC" w:rsidP="00C96CEC">
            <w:pPr>
              <w:tabs>
                <w:tab w:val="decimal" w:pos="1444"/>
              </w:tabs>
              <w:spacing w:after="0"/>
              <w:rPr>
                <w:rFonts w:eastAsia="Arial"/>
                <w:szCs w:val="28"/>
                <w:highlight w:val="yellow"/>
                <w:lang w:eastAsia="en-GB"/>
              </w:rPr>
            </w:pPr>
          </w:p>
        </w:tc>
      </w:tr>
      <w:tr w:rsidR="00C96CEC" w:rsidRPr="009459E2" w14:paraId="678C5CB1" w14:textId="77777777" w:rsidTr="7F0CE02B">
        <w:trPr>
          <w:trHeight w:val="258"/>
        </w:trPr>
        <w:tc>
          <w:tcPr>
            <w:tcW w:w="2959" w:type="dxa"/>
            <w:shd w:val="clear" w:color="auto" w:fill="FFFFFF" w:themeFill="background1"/>
            <w:tcMar>
              <w:left w:w="0" w:type="dxa"/>
              <w:right w:w="0" w:type="dxa"/>
            </w:tcMar>
          </w:tcPr>
          <w:p w14:paraId="4D5771D3" w14:textId="77777777" w:rsidR="00C96CEC" w:rsidRPr="00EE3889" w:rsidRDefault="00C96CEC" w:rsidP="00C96CEC">
            <w:pPr>
              <w:spacing w:after="0"/>
              <w:rPr>
                <w:rFonts w:eastAsia="Arial"/>
                <w:szCs w:val="28"/>
                <w:lang w:eastAsia="en-GB"/>
              </w:rPr>
            </w:pPr>
            <w:r w:rsidRPr="00EE3889">
              <w:rPr>
                <w:rFonts w:eastAsia="Arial"/>
                <w:b/>
                <w:szCs w:val="28"/>
                <w:lang w:eastAsia="en-GB"/>
              </w:rPr>
              <w:t xml:space="preserve">Earnings per share </w:t>
            </w:r>
          </w:p>
        </w:tc>
        <w:tc>
          <w:tcPr>
            <w:tcW w:w="939" w:type="dxa"/>
            <w:shd w:val="clear" w:color="auto" w:fill="FFFFFF" w:themeFill="background1"/>
            <w:vAlign w:val="bottom"/>
          </w:tcPr>
          <w:p w14:paraId="2F79778E" w14:textId="449AB4B3" w:rsidR="00C96CEC" w:rsidRPr="00EE3889" w:rsidRDefault="00C96CEC" w:rsidP="00C96CEC">
            <w:pPr>
              <w:spacing w:after="0"/>
              <w:jc w:val="center"/>
              <w:rPr>
                <w:rFonts w:eastAsia="Arial"/>
                <w:szCs w:val="28"/>
                <w:lang w:eastAsia="en-GB"/>
              </w:rPr>
            </w:pPr>
            <w:r w:rsidRPr="00EE3889">
              <w:rPr>
                <w:rFonts w:eastAsia="Arial"/>
                <w:szCs w:val="28"/>
                <w:lang w:eastAsia="en-GB"/>
              </w:rPr>
              <w:t xml:space="preserve"> </w:t>
            </w:r>
          </w:p>
        </w:tc>
        <w:tc>
          <w:tcPr>
            <w:tcW w:w="1948" w:type="dxa"/>
          </w:tcPr>
          <w:p w14:paraId="5DF081A1" w14:textId="77777777" w:rsidR="00C96CEC" w:rsidRPr="00F2575A" w:rsidRDefault="00C96CEC" w:rsidP="00577845">
            <w:pPr>
              <w:tabs>
                <w:tab w:val="decimal" w:pos="1495"/>
              </w:tabs>
              <w:spacing w:after="0"/>
              <w:rPr>
                <w:rFonts w:eastAsia="Arial"/>
                <w:szCs w:val="28"/>
                <w:lang w:eastAsia="en-GB"/>
              </w:rPr>
            </w:pPr>
          </w:p>
        </w:tc>
        <w:tc>
          <w:tcPr>
            <w:tcW w:w="123" w:type="dxa"/>
            <w:shd w:val="clear" w:color="auto" w:fill="FFFFFF" w:themeFill="background1"/>
            <w:tcMar>
              <w:left w:w="0" w:type="dxa"/>
              <w:right w:w="0" w:type="dxa"/>
            </w:tcMar>
          </w:tcPr>
          <w:p w14:paraId="3D4B21AC" w14:textId="77777777" w:rsidR="00C96CEC" w:rsidRPr="00EE3889" w:rsidRDefault="00C96CEC" w:rsidP="00C96CEC">
            <w:pPr>
              <w:spacing w:after="0"/>
              <w:jc w:val="right"/>
              <w:rPr>
                <w:rFonts w:eastAsia="Arial"/>
                <w:b/>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tcPr>
          <w:p w14:paraId="0657AB7D" w14:textId="77777777" w:rsidR="00C96CEC" w:rsidRPr="005051E7" w:rsidRDefault="00C96CEC" w:rsidP="00577845">
            <w:pPr>
              <w:tabs>
                <w:tab w:val="decimal" w:pos="1947"/>
              </w:tabs>
              <w:spacing w:after="0"/>
              <w:rPr>
                <w:rFonts w:eastAsia="Arial"/>
                <w:szCs w:val="28"/>
                <w:highlight w:val="yellow"/>
                <w:lang w:eastAsia="en-GB"/>
              </w:rPr>
            </w:pPr>
          </w:p>
        </w:tc>
        <w:tc>
          <w:tcPr>
            <w:tcW w:w="193" w:type="dxa"/>
            <w:shd w:val="clear" w:color="auto" w:fill="FFFFFF" w:themeFill="background1"/>
            <w:tcMar>
              <w:left w:w="0" w:type="dxa"/>
              <w:right w:w="0" w:type="dxa"/>
            </w:tcMar>
          </w:tcPr>
          <w:p w14:paraId="6C5A9261"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69AE8760" w14:textId="77777777" w:rsidR="00C96CEC" w:rsidRPr="007756EA" w:rsidRDefault="00C96CEC" w:rsidP="00C96CEC">
            <w:pPr>
              <w:tabs>
                <w:tab w:val="decimal" w:pos="1444"/>
              </w:tabs>
              <w:spacing w:after="0"/>
              <w:rPr>
                <w:rFonts w:eastAsia="Arial"/>
                <w:szCs w:val="28"/>
                <w:highlight w:val="yellow"/>
                <w:lang w:eastAsia="en-GB"/>
              </w:rPr>
            </w:pPr>
          </w:p>
        </w:tc>
      </w:tr>
      <w:tr w:rsidR="00C96CEC" w:rsidRPr="009459E2" w14:paraId="27009DE8" w14:textId="77777777" w:rsidTr="7F0CE02B">
        <w:trPr>
          <w:trHeight w:hRule="exact" w:val="225"/>
        </w:trPr>
        <w:tc>
          <w:tcPr>
            <w:tcW w:w="2959" w:type="dxa"/>
            <w:shd w:val="clear" w:color="auto" w:fill="FFFFFF" w:themeFill="background1"/>
            <w:tcMar>
              <w:left w:w="0" w:type="dxa"/>
              <w:right w:w="0" w:type="dxa"/>
            </w:tcMar>
          </w:tcPr>
          <w:p w14:paraId="0ECCE4F2" w14:textId="77777777" w:rsidR="00C96CEC" w:rsidRPr="00EE3889" w:rsidRDefault="00C96CEC" w:rsidP="00C96CEC">
            <w:pPr>
              <w:spacing w:after="0"/>
              <w:rPr>
                <w:rFonts w:eastAsia="Arial"/>
                <w:szCs w:val="28"/>
                <w:lang w:eastAsia="en-GB"/>
              </w:rPr>
            </w:pPr>
            <w:r w:rsidRPr="00EE3889">
              <w:rPr>
                <w:rFonts w:eastAsia="Arial"/>
                <w:szCs w:val="28"/>
                <w:lang w:eastAsia="en-GB"/>
              </w:rPr>
              <w:t>Basic</w:t>
            </w:r>
          </w:p>
        </w:tc>
        <w:tc>
          <w:tcPr>
            <w:tcW w:w="939" w:type="dxa"/>
            <w:shd w:val="clear" w:color="auto" w:fill="FFFFFF" w:themeFill="background1"/>
            <w:vAlign w:val="center"/>
          </w:tcPr>
          <w:p w14:paraId="43D09133" w14:textId="7E132192" w:rsidR="00C96CEC" w:rsidRPr="00EE3889" w:rsidRDefault="00C96CEC" w:rsidP="00C96CEC">
            <w:pPr>
              <w:spacing w:after="0"/>
              <w:jc w:val="center"/>
              <w:rPr>
                <w:rFonts w:eastAsia="Arial"/>
                <w:szCs w:val="28"/>
                <w:lang w:eastAsia="en-GB"/>
              </w:rPr>
            </w:pPr>
            <w:r w:rsidRPr="00EE3889">
              <w:rPr>
                <w:rFonts w:eastAsia="Arial"/>
                <w:szCs w:val="28"/>
                <w:lang w:eastAsia="en-GB"/>
              </w:rPr>
              <w:t>7</w:t>
            </w:r>
          </w:p>
        </w:tc>
        <w:tc>
          <w:tcPr>
            <w:tcW w:w="1948" w:type="dxa"/>
            <w:vAlign w:val="center"/>
          </w:tcPr>
          <w:p w14:paraId="06854E5F" w14:textId="7F4F96F0" w:rsidR="00C96CEC" w:rsidRPr="004E04F0" w:rsidRDefault="00120E16" w:rsidP="00577845">
            <w:pPr>
              <w:tabs>
                <w:tab w:val="decimal" w:pos="1495"/>
              </w:tabs>
              <w:spacing w:after="0"/>
              <w:rPr>
                <w:rFonts w:eastAsia="Arial"/>
                <w:szCs w:val="28"/>
                <w:lang w:eastAsia="en-GB"/>
              </w:rPr>
            </w:pPr>
            <w:r>
              <w:rPr>
                <w:rFonts w:eastAsia="Arial"/>
                <w:szCs w:val="28"/>
                <w:lang w:eastAsia="en-GB"/>
              </w:rPr>
              <w:t>5.4</w:t>
            </w:r>
            <w:r w:rsidR="005B5535">
              <w:rPr>
                <w:rFonts w:eastAsia="Arial"/>
                <w:szCs w:val="28"/>
                <w:lang w:eastAsia="en-GB"/>
              </w:rPr>
              <w:t>p</w:t>
            </w:r>
          </w:p>
        </w:tc>
        <w:tc>
          <w:tcPr>
            <w:tcW w:w="123" w:type="dxa"/>
            <w:shd w:val="clear" w:color="auto" w:fill="FFFFFF" w:themeFill="background1"/>
            <w:tcMar>
              <w:left w:w="0" w:type="dxa"/>
              <w:right w:w="0" w:type="dxa"/>
            </w:tcMar>
          </w:tcPr>
          <w:p w14:paraId="55010B6B"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vAlign w:val="center"/>
          </w:tcPr>
          <w:p w14:paraId="241FEB3A" w14:textId="0C6B6C64" w:rsidR="00C96CEC" w:rsidRPr="004F6EE6" w:rsidRDefault="00C96CEC" w:rsidP="00577845">
            <w:pPr>
              <w:tabs>
                <w:tab w:val="decimal" w:pos="1947"/>
              </w:tabs>
              <w:spacing w:after="0"/>
              <w:rPr>
                <w:rFonts w:eastAsia="Arial"/>
                <w:szCs w:val="28"/>
                <w:lang w:eastAsia="en-GB"/>
              </w:rPr>
            </w:pPr>
            <w:r>
              <w:rPr>
                <w:rFonts w:eastAsia="Arial"/>
                <w:szCs w:val="28"/>
                <w:lang w:eastAsia="en-GB"/>
              </w:rPr>
              <w:t>4.6</w:t>
            </w:r>
            <w:r w:rsidRPr="004E04F0">
              <w:rPr>
                <w:rFonts w:eastAsia="Arial"/>
                <w:szCs w:val="28"/>
                <w:lang w:eastAsia="en-GB"/>
              </w:rPr>
              <w:t>p</w:t>
            </w:r>
          </w:p>
        </w:tc>
        <w:tc>
          <w:tcPr>
            <w:tcW w:w="193" w:type="dxa"/>
            <w:shd w:val="clear" w:color="auto" w:fill="FFFFFF" w:themeFill="background1"/>
            <w:tcMar>
              <w:left w:w="0" w:type="dxa"/>
              <w:right w:w="0" w:type="dxa"/>
            </w:tcMar>
            <w:vAlign w:val="center"/>
          </w:tcPr>
          <w:p w14:paraId="778FE45D"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6638AAE2" w14:textId="0FBCB8C6" w:rsidR="00C96CEC" w:rsidRPr="007756EA" w:rsidRDefault="00C96CEC" w:rsidP="00C96CEC">
            <w:pPr>
              <w:tabs>
                <w:tab w:val="decimal" w:pos="1444"/>
              </w:tabs>
              <w:spacing w:after="0"/>
              <w:rPr>
                <w:rFonts w:eastAsia="Arial"/>
                <w:szCs w:val="28"/>
                <w:highlight w:val="yellow"/>
                <w:lang w:eastAsia="en-GB"/>
              </w:rPr>
            </w:pPr>
            <w:r w:rsidRPr="001368F7">
              <w:rPr>
                <w:rFonts w:eastAsia="Arial"/>
                <w:szCs w:val="28"/>
                <w:lang w:eastAsia="en-GB"/>
              </w:rPr>
              <w:t>(</w:t>
            </w:r>
            <w:proofErr w:type="gramStart"/>
            <w:r w:rsidRPr="001368F7">
              <w:rPr>
                <w:rFonts w:eastAsia="Arial"/>
                <w:szCs w:val="28"/>
                <w:lang w:eastAsia="en-GB"/>
              </w:rPr>
              <w:t>2.5)p</w:t>
            </w:r>
            <w:proofErr w:type="gramEnd"/>
          </w:p>
        </w:tc>
      </w:tr>
      <w:tr w:rsidR="00C96CEC" w:rsidRPr="009459E2" w14:paraId="217EFC27" w14:textId="77777777" w:rsidTr="7F0CE02B">
        <w:trPr>
          <w:trHeight w:val="169"/>
        </w:trPr>
        <w:tc>
          <w:tcPr>
            <w:tcW w:w="2959" w:type="dxa"/>
            <w:shd w:val="clear" w:color="auto" w:fill="FFFFFF" w:themeFill="background1"/>
            <w:tcMar>
              <w:left w:w="0" w:type="dxa"/>
              <w:right w:w="0" w:type="dxa"/>
            </w:tcMar>
          </w:tcPr>
          <w:p w14:paraId="5DB6A625" w14:textId="77777777" w:rsidR="00C96CEC" w:rsidRPr="00EE3889" w:rsidRDefault="00C96CEC" w:rsidP="00C96CEC">
            <w:pPr>
              <w:spacing w:after="0"/>
              <w:rPr>
                <w:rFonts w:eastAsia="Arial"/>
                <w:szCs w:val="28"/>
                <w:lang w:eastAsia="en-GB"/>
              </w:rPr>
            </w:pPr>
            <w:r w:rsidRPr="00EE3889">
              <w:rPr>
                <w:rFonts w:eastAsia="Arial"/>
                <w:szCs w:val="28"/>
                <w:lang w:eastAsia="en-GB"/>
              </w:rPr>
              <w:t>Diluted</w:t>
            </w:r>
          </w:p>
        </w:tc>
        <w:tc>
          <w:tcPr>
            <w:tcW w:w="939" w:type="dxa"/>
            <w:shd w:val="clear" w:color="auto" w:fill="FFFFFF" w:themeFill="background1"/>
            <w:vAlign w:val="center"/>
          </w:tcPr>
          <w:p w14:paraId="669C34F9" w14:textId="3EFBE97B" w:rsidR="00C96CEC" w:rsidRPr="00EE3889" w:rsidRDefault="00C96CEC" w:rsidP="00C96CEC">
            <w:pPr>
              <w:spacing w:after="0"/>
              <w:jc w:val="center"/>
              <w:rPr>
                <w:rFonts w:eastAsia="Arial"/>
                <w:szCs w:val="28"/>
                <w:lang w:eastAsia="en-GB"/>
              </w:rPr>
            </w:pPr>
            <w:r w:rsidRPr="00EE3889">
              <w:rPr>
                <w:rFonts w:eastAsia="Arial"/>
                <w:szCs w:val="28"/>
                <w:lang w:eastAsia="en-GB"/>
              </w:rPr>
              <w:t>7</w:t>
            </w:r>
          </w:p>
        </w:tc>
        <w:tc>
          <w:tcPr>
            <w:tcW w:w="1948" w:type="dxa"/>
            <w:vAlign w:val="center"/>
          </w:tcPr>
          <w:p w14:paraId="2CF560C2" w14:textId="29746158" w:rsidR="00C96CEC" w:rsidRPr="004E04F0" w:rsidRDefault="00A90C15" w:rsidP="00577845">
            <w:pPr>
              <w:tabs>
                <w:tab w:val="decimal" w:pos="1495"/>
              </w:tabs>
              <w:spacing w:after="0"/>
              <w:rPr>
                <w:rFonts w:eastAsia="Arial"/>
                <w:szCs w:val="28"/>
                <w:lang w:eastAsia="en-GB"/>
              </w:rPr>
            </w:pPr>
            <w:r>
              <w:rPr>
                <w:rFonts w:eastAsia="Arial"/>
                <w:szCs w:val="28"/>
                <w:lang w:eastAsia="en-GB"/>
              </w:rPr>
              <w:t>5.3p</w:t>
            </w:r>
          </w:p>
        </w:tc>
        <w:tc>
          <w:tcPr>
            <w:tcW w:w="123" w:type="dxa"/>
            <w:shd w:val="clear" w:color="auto" w:fill="FFFFFF" w:themeFill="background1"/>
            <w:tcMar>
              <w:left w:w="0" w:type="dxa"/>
              <w:right w:w="0" w:type="dxa"/>
            </w:tcMar>
          </w:tcPr>
          <w:p w14:paraId="64FBA491" w14:textId="77777777" w:rsidR="00C96CEC" w:rsidRPr="00EE3889" w:rsidRDefault="00C96CEC" w:rsidP="00C96CEC">
            <w:pPr>
              <w:spacing w:after="0"/>
              <w:jc w:val="right"/>
              <w:rPr>
                <w:rFonts w:eastAsia="Arial"/>
                <w:szCs w:val="28"/>
                <w:lang w:eastAsia="en-GB"/>
              </w:rPr>
            </w:pPr>
            <w:r w:rsidRPr="00EE3889">
              <w:rPr>
                <w:rFonts w:eastAsia="Arial"/>
                <w:szCs w:val="28"/>
                <w:lang w:eastAsia="en-GB"/>
              </w:rPr>
              <w:t xml:space="preserve"> </w:t>
            </w:r>
          </w:p>
        </w:tc>
        <w:tc>
          <w:tcPr>
            <w:tcW w:w="2165" w:type="dxa"/>
            <w:shd w:val="clear" w:color="auto" w:fill="FFFFFF" w:themeFill="background1"/>
            <w:tcMar>
              <w:left w:w="0" w:type="dxa"/>
              <w:right w:w="0" w:type="dxa"/>
            </w:tcMar>
            <w:vAlign w:val="center"/>
          </w:tcPr>
          <w:p w14:paraId="24E54849" w14:textId="33C689D2" w:rsidR="00C96CEC" w:rsidRPr="004F6EE6" w:rsidRDefault="00C96CEC" w:rsidP="00577845">
            <w:pPr>
              <w:tabs>
                <w:tab w:val="decimal" w:pos="1947"/>
              </w:tabs>
              <w:spacing w:after="0"/>
              <w:rPr>
                <w:rFonts w:eastAsia="Arial"/>
                <w:szCs w:val="28"/>
                <w:lang w:eastAsia="en-GB"/>
              </w:rPr>
            </w:pPr>
            <w:r w:rsidRPr="00F2575A">
              <w:rPr>
                <w:rFonts w:eastAsia="Arial"/>
                <w:szCs w:val="28"/>
                <w:lang w:eastAsia="en-GB"/>
              </w:rPr>
              <w:t xml:space="preserve"> </w:t>
            </w:r>
            <w:r>
              <w:rPr>
                <w:rFonts w:eastAsia="Arial"/>
                <w:szCs w:val="28"/>
                <w:lang w:eastAsia="en-GB"/>
              </w:rPr>
              <w:t>4.6p</w:t>
            </w:r>
          </w:p>
        </w:tc>
        <w:tc>
          <w:tcPr>
            <w:tcW w:w="193" w:type="dxa"/>
            <w:shd w:val="clear" w:color="auto" w:fill="FFFFFF" w:themeFill="background1"/>
            <w:tcMar>
              <w:left w:w="0" w:type="dxa"/>
              <w:right w:w="0" w:type="dxa"/>
            </w:tcMar>
            <w:vAlign w:val="center"/>
          </w:tcPr>
          <w:p w14:paraId="0B12EACB" w14:textId="77777777" w:rsidR="00C96CEC" w:rsidRPr="00EE3889" w:rsidRDefault="00C96CEC" w:rsidP="00C96CEC">
            <w:pPr>
              <w:spacing w:after="0"/>
              <w:jc w:val="right"/>
              <w:rPr>
                <w:rFonts w:eastAsia="Arial"/>
                <w:color w:val="FF0000"/>
                <w:szCs w:val="28"/>
                <w:lang w:eastAsia="en-GB"/>
              </w:rPr>
            </w:pPr>
            <w:r w:rsidRPr="00EE3889">
              <w:rPr>
                <w:rFonts w:eastAsia="Arial"/>
                <w:color w:val="FF0000"/>
                <w:szCs w:val="28"/>
                <w:lang w:eastAsia="en-GB"/>
              </w:rPr>
              <w:t xml:space="preserve"> </w:t>
            </w:r>
          </w:p>
        </w:tc>
        <w:tc>
          <w:tcPr>
            <w:tcW w:w="1733" w:type="dxa"/>
            <w:shd w:val="clear" w:color="auto" w:fill="FFFFFF" w:themeFill="background1"/>
            <w:tcMar>
              <w:left w:w="0" w:type="dxa"/>
              <w:right w:w="0" w:type="dxa"/>
            </w:tcMar>
          </w:tcPr>
          <w:p w14:paraId="6FC63227" w14:textId="39F8A9F4" w:rsidR="00C96CEC" w:rsidRPr="007756EA" w:rsidRDefault="00C96CEC" w:rsidP="00C96CEC">
            <w:pPr>
              <w:tabs>
                <w:tab w:val="decimal" w:pos="1444"/>
              </w:tabs>
              <w:spacing w:after="0"/>
              <w:rPr>
                <w:rFonts w:eastAsia="Arial"/>
                <w:szCs w:val="28"/>
                <w:highlight w:val="yellow"/>
                <w:lang w:eastAsia="en-GB"/>
              </w:rPr>
            </w:pPr>
            <w:r w:rsidRPr="001368F7">
              <w:rPr>
                <w:rFonts w:eastAsia="Arial"/>
                <w:szCs w:val="28"/>
                <w:lang w:eastAsia="en-GB"/>
              </w:rPr>
              <w:t>(</w:t>
            </w:r>
            <w:proofErr w:type="gramStart"/>
            <w:r w:rsidRPr="001368F7">
              <w:rPr>
                <w:rFonts w:eastAsia="Arial"/>
                <w:szCs w:val="28"/>
                <w:lang w:eastAsia="en-GB"/>
              </w:rPr>
              <w:t>2.5)p</w:t>
            </w:r>
            <w:proofErr w:type="gramEnd"/>
          </w:p>
        </w:tc>
      </w:tr>
    </w:tbl>
    <w:p w14:paraId="278AF9A8" w14:textId="7FEB4C2F" w:rsidR="00C96CEC" w:rsidRDefault="00C96CEC" w:rsidP="00C96CEC">
      <w:pPr>
        <w:pStyle w:val="Footnote"/>
      </w:pPr>
      <w:r>
        <w:rPr>
          <w:vertAlign w:val="superscript"/>
        </w:rPr>
        <w:t>1</w:t>
      </w:r>
      <w:r w:rsidRPr="001368F7">
        <w:t>In the Group’s 202</w:t>
      </w:r>
      <w:r w:rsidR="00B25E95">
        <w:t>3</w:t>
      </w:r>
      <w:r w:rsidRPr="001368F7">
        <w:t xml:space="preserve"> </w:t>
      </w:r>
      <w:r w:rsidR="00B25E95">
        <w:t>Interim</w:t>
      </w:r>
      <w:r w:rsidRPr="001368F7">
        <w:t xml:space="preserve"> Report and Accounts, these lines were aggregated as ’Net finance costs’.</w:t>
      </w:r>
    </w:p>
    <w:p w14:paraId="64859511" w14:textId="77777777" w:rsidR="00AA0DE9" w:rsidRPr="004F6EE6" w:rsidRDefault="00AA0DE9" w:rsidP="00AA0DE9">
      <w:pPr>
        <w:pStyle w:val="Bodytext0"/>
        <w:rPr>
          <w:sz w:val="16"/>
        </w:rPr>
      </w:pPr>
    </w:p>
    <w:p w14:paraId="2AE38A9D" w14:textId="7913C4E5" w:rsidR="00A34744" w:rsidRPr="004C5302" w:rsidRDefault="00A34744" w:rsidP="004C5302">
      <w:pPr>
        <w:pStyle w:val="Heading"/>
        <w:spacing w:after="120"/>
        <w:rPr>
          <w:sz w:val="52"/>
          <w:szCs w:val="40"/>
        </w:rPr>
      </w:pPr>
      <w:r w:rsidRPr="004C5302">
        <w:rPr>
          <w:sz w:val="52"/>
          <w:szCs w:val="40"/>
        </w:rPr>
        <w:t>Consolidated statement of comprehensive income</w:t>
      </w:r>
    </w:p>
    <w:p w14:paraId="70961350" w14:textId="38CADEA0" w:rsidR="00B87F64" w:rsidRPr="005861DE" w:rsidRDefault="00671A41" w:rsidP="00B87F64">
      <w:pPr>
        <w:pStyle w:val="Heading"/>
        <w:spacing w:after="120"/>
        <w:rPr>
          <w:szCs w:val="18"/>
        </w:rPr>
      </w:pPr>
      <w:r w:rsidRPr="004C5302">
        <w:rPr>
          <w:sz w:val="24"/>
          <w:szCs w:val="18"/>
        </w:rPr>
        <w:t xml:space="preserve">for the six months ended 30 June </w:t>
      </w:r>
      <w:r w:rsidR="00E85F7E">
        <w:rPr>
          <w:sz w:val="24"/>
          <w:szCs w:val="18"/>
        </w:rPr>
        <w:t>2024</w:t>
      </w:r>
    </w:p>
    <w:tbl>
      <w:tblPr>
        <w:tblStyle w:val="TableGrid"/>
        <w:tblW w:w="0" w:type="auto"/>
        <w:tblLook w:val="04A0" w:firstRow="1" w:lastRow="0" w:firstColumn="1" w:lastColumn="0" w:noHBand="0" w:noVBand="1"/>
      </w:tblPr>
      <w:tblGrid>
        <w:gridCol w:w="10205"/>
      </w:tblGrid>
      <w:tr w:rsidR="00B87F64" w:rsidRPr="00A517F6" w14:paraId="05AF0C63" w14:textId="77777777" w:rsidTr="00A97AF6">
        <w:trPr>
          <w:trHeight w:hRule="exact" w:val="284"/>
        </w:trPr>
        <w:tc>
          <w:tcPr>
            <w:tcW w:w="10205" w:type="dxa"/>
            <w:shd w:val="clear" w:color="auto" w:fill="16293F" w:themeFill="text1"/>
          </w:tcPr>
          <w:p w14:paraId="486FD79A" w14:textId="77777777" w:rsidR="00B87F64" w:rsidRPr="00A517F6" w:rsidRDefault="00B87F64" w:rsidP="00A97AF6">
            <w:pPr>
              <w:pStyle w:val="Bodytext0"/>
              <w:spacing w:before="0" w:line="240" w:lineRule="auto"/>
              <w:rPr>
                <w:sz w:val="16"/>
                <w:szCs w:val="18"/>
              </w:rPr>
            </w:pPr>
          </w:p>
        </w:tc>
      </w:tr>
    </w:tbl>
    <w:p w14:paraId="7524B360" w14:textId="4D987ABE" w:rsidR="00AA0DE9" w:rsidRPr="00EE3889" w:rsidRDefault="00AA0DE9" w:rsidP="00AA0DE9">
      <w:pPr>
        <w:pStyle w:val="Bodytext0"/>
      </w:pPr>
    </w:p>
    <w:tbl>
      <w:tblPr>
        <w:tblW w:w="4931" w:type="pct"/>
        <w:tblLayout w:type="fixed"/>
        <w:tblLook w:val="0000" w:firstRow="0" w:lastRow="0" w:firstColumn="0" w:lastColumn="0" w:noHBand="0" w:noVBand="0"/>
      </w:tblPr>
      <w:tblGrid>
        <w:gridCol w:w="4069"/>
        <w:gridCol w:w="608"/>
        <w:gridCol w:w="1559"/>
        <w:gridCol w:w="250"/>
        <w:gridCol w:w="1593"/>
        <w:gridCol w:w="284"/>
        <w:gridCol w:w="1701"/>
      </w:tblGrid>
      <w:tr w:rsidR="00015CD4" w:rsidRPr="00E23684" w14:paraId="3FB5378A" w14:textId="77777777" w:rsidTr="00E23684">
        <w:trPr>
          <w:trHeight w:val="441"/>
        </w:trPr>
        <w:tc>
          <w:tcPr>
            <w:tcW w:w="4069" w:type="dxa"/>
            <w:tcBorders>
              <w:top w:val="nil"/>
              <w:left w:val="nil"/>
              <w:bottom w:val="nil"/>
              <w:right w:val="nil"/>
            </w:tcBorders>
            <w:shd w:val="clear" w:color="auto" w:fill="FFFFFF"/>
            <w:tcMar>
              <w:left w:w="0" w:type="dxa"/>
              <w:right w:w="0" w:type="dxa"/>
            </w:tcMar>
            <w:vAlign w:val="bottom"/>
          </w:tcPr>
          <w:p w14:paraId="1C026AFB" w14:textId="77777777" w:rsidR="00015CD4" w:rsidRPr="00E23684" w:rsidRDefault="00015CD4" w:rsidP="00E23684">
            <w:pPr>
              <w:pStyle w:val="Tableheading"/>
              <w:jc w:val="right"/>
            </w:pPr>
          </w:p>
        </w:tc>
        <w:tc>
          <w:tcPr>
            <w:tcW w:w="608" w:type="dxa"/>
            <w:tcBorders>
              <w:top w:val="nil"/>
              <w:left w:val="nil"/>
              <w:bottom w:val="nil"/>
              <w:right w:val="nil"/>
            </w:tcBorders>
            <w:shd w:val="clear" w:color="auto" w:fill="FFFFFF"/>
            <w:tcMar>
              <w:left w:w="0" w:type="dxa"/>
              <w:right w:w="0" w:type="dxa"/>
            </w:tcMar>
            <w:vAlign w:val="bottom"/>
          </w:tcPr>
          <w:p w14:paraId="23CED176" w14:textId="77777777" w:rsidR="00015CD4" w:rsidRPr="00E23684" w:rsidRDefault="00015CD4" w:rsidP="00E23684">
            <w:pPr>
              <w:pStyle w:val="Tableheading"/>
              <w:jc w:val="right"/>
            </w:pPr>
          </w:p>
        </w:tc>
        <w:tc>
          <w:tcPr>
            <w:tcW w:w="1559" w:type="dxa"/>
            <w:tcBorders>
              <w:top w:val="nil"/>
              <w:left w:val="nil"/>
              <w:bottom w:val="nil"/>
              <w:right w:val="nil"/>
            </w:tcBorders>
            <w:shd w:val="clear" w:color="auto" w:fill="FFFFFF"/>
            <w:vAlign w:val="bottom"/>
          </w:tcPr>
          <w:p w14:paraId="0719D576" w14:textId="4C0DEF44" w:rsidR="00015CD4" w:rsidRPr="00E23684" w:rsidRDefault="003427AF" w:rsidP="00E23684">
            <w:pPr>
              <w:pStyle w:val="Tableheading"/>
              <w:jc w:val="right"/>
              <w:rPr>
                <w:color w:val="003D7F" w:themeColor="accent2" w:themeShade="BF"/>
                <w:sz w:val="16"/>
              </w:rPr>
            </w:pPr>
            <w:r w:rsidRPr="00E23684">
              <w:rPr>
                <w:color w:val="003D7F" w:themeColor="accent2" w:themeShade="BF"/>
                <w:sz w:val="16"/>
              </w:rPr>
              <w:t>Six months ended</w:t>
            </w:r>
          </w:p>
          <w:p w14:paraId="6C550524" w14:textId="6C77BCE5" w:rsidR="00015CD4" w:rsidRPr="00E23684" w:rsidRDefault="003427AF" w:rsidP="00E23684">
            <w:pPr>
              <w:pStyle w:val="Tableheading"/>
              <w:jc w:val="right"/>
              <w:rPr>
                <w:sz w:val="16"/>
              </w:rPr>
            </w:pPr>
            <w:r w:rsidRPr="00E23684">
              <w:rPr>
                <w:color w:val="003D7F" w:themeColor="accent2" w:themeShade="BF"/>
                <w:sz w:val="16"/>
              </w:rPr>
              <w:t xml:space="preserve">30 June </w:t>
            </w:r>
            <w:r w:rsidR="00E85F7E">
              <w:rPr>
                <w:color w:val="003D7F" w:themeColor="accent2" w:themeShade="BF"/>
                <w:sz w:val="16"/>
              </w:rPr>
              <w:t>2024</w:t>
            </w:r>
          </w:p>
        </w:tc>
        <w:tc>
          <w:tcPr>
            <w:tcW w:w="250" w:type="dxa"/>
            <w:tcBorders>
              <w:top w:val="nil"/>
              <w:left w:val="nil"/>
              <w:bottom w:val="nil"/>
              <w:right w:val="nil"/>
            </w:tcBorders>
            <w:shd w:val="clear" w:color="auto" w:fill="FFFFFF"/>
            <w:vAlign w:val="bottom"/>
          </w:tcPr>
          <w:p w14:paraId="50467123" w14:textId="75878DBA" w:rsidR="00015CD4" w:rsidRPr="00E23684" w:rsidRDefault="00015CD4" w:rsidP="00E23684">
            <w:pPr>
              <w:pStyle w:val="Tableheading"/>
              <w:jc w:val="right"/>
              <w:rPr>
                <w:sz w:val="16"/>
              </w:rPr>
            </w:pPr>
          </w:p>
        </w:tc>
        <w:tc>
          <w:tcPr>
            <w:tcW w:w="1593" w:type="dxa"/>
            <w:tcBorders>
              <w:top w:val="nil"/>
              <w:left w:val="nil"/>
              <w:bottom w:val="nil"/>
              <w:right w:val="nil"/>
            </w:tcBorders>
            <w:shd w:val="clear" w:color="auto" w:fill="FFFFFF"/>
            <w:tcMar>
              <w:left w:w="0" w:type="dxa"/>
              <w:right w:w="0" w:type="dxa"/>
            </w:tcMar>
            <w:vAlign w:val="bottom"/>
          </w:tcPr>
          <w:p w14:paraId="396F1A51" w14:textId="43AE783C" w:rsidR="00015CD4" w:rsidRPr="00E23684" w:rsidRDefault="00015CD4" w:rsidP="00E23684">
            <w:pPr>
              <w:pStyle w:val="Tableheading"/>
              <w:jc w:val="right"/>
              <w:rPr>
                <w:color w:val="003D7F" w:themeColor="accent2" w:themeShade="BF"/>
                <w:sz w:val="16"/>
              </w:rPr>
            </w:pPr>
            <w:r w:rsidRPr="00E23684">
              <w:rPr>
                <w:color w:val="003D7F" w:themeColor="accent2" w:themeShade="BF"/>
                <w:sz w:val="16"/>
              </w:rPr>
              <w:t xml:space="preserve"> </w:t>
            </w:r>
            <w:r w:rsidR="003427AF" w:rsidRPr="00E23684">
              <w:rPr>
                <w:color w:val="003D7F" w:themeColor="accent2" w:themeShade="BF"/>
                <w:sz w:val="16"/>
              </w:rPr>
              <w:t>Six months ended</w:t>
            </w:r>
          </w:p>
          <w:p w14:paraId="76515DA7" w14:textId="1DD410C2" w:rsidR="00015CD4" w:rsidRPr="00E23684" w:rsidRDefault="003427AF" w:rsidP="00E23684">
            <w:pPr>
              <w:pStyle w:val="Tableheading"/>
              <w:jc w:val="right"/>
              <w:rPr>
                <w:color w:val="003D7F" w:themeColor="accent2" w:themeShade="BF"/>
                <w:sz w:val="16"/>
              </w:rPr>
            </w:pPr>
            <w:r w:rsidRPr="00E23684">
              <w:rPr>
                <w:color w:val="003D7F" w:themeColor="accent2" w:themeShade="BF"/>
                <w:sz w:val="16"/>
              </w:rPr>
              <w:t xml:space="preserve">30 June </w:t>
            </w:r>
            <w:r w:rsidR="00E85F7E">
              <w:rPr>
                <w:color w:val="003D7F" w:themeColor="accent2" w:themeShade="BF"/>
                <w:sz w:val="16"/>
              </w:rPr>
              <w:t>2023</w:t>
            </w:r>
          </w:p>
        </w:tc>
        <w:tc>
          <w:tcPr>
            <w:tcW w:w="284" w:type="dxa"/>
            <w:tcBorders>
              <w:top w:val="nil"/>
              <w:left w:val="nil"/>
              <w:bottom w:val="nil"/>
              <w:right w:val="nil"/>
            </w:tcBorders>
            <w:shd w:val="clear" w:color="auto" w:fill="FFFFFF"/>
            <w:tcMar>
              <w:left w:w="0" w:type="dxa"/>
              <w:right w:w="0" w:type="dxa"/>
            </w:tcMar>
            <w:vAlign w:val="bottom"/>
          </w:tcPr>
          <w:p w14:paraId="2A82D3C5" w14:textId="77777777" w:rsidR="00015CD4" w:rsidRPr="00E23684" w:rsidRDefault="00015CD4" w:rsidP="00E23684">
            <w:pPr>
              <w:pStyle w:val="Tableheading"/>
              <w:jc w:val="right"/>
              <w:rPr>
                <w:color w:val="003D7F" w:themeColor="accent2" w:themeShade="BF"/>
                <w:sz w:val="16"/>
              </w:rPr>
            </w:pPr>
            <w:r w:rsidRPr="00E23684">
              <w:rPr>
                <w:color w:val="003D7F" w:themeColor="accent2" w:themeShade="BF"/>
                <w:sz w:val="16"/>
              </w:rPr>
              <w:t xml:space="preserve"> </w:t>
            </w:r>
          </w:p>
        </w:tc>
        <w:tc>
          <w:tcPr>
            <w:tcW w:w="1701" w:type="dxa"/>
            <w:tcBorders>
              <w:top w:val="nil"/>
              <w:left w:val="nil"/>
              <w:bottom w:val="nil"/>
              <w:right w:val="nil"/>
            </w:tcBorders>
            <w:shd w:val="clear" w:color="auto" w:fill="FFFFFF"/>
            <w:tcMar>
              <w:left w:w="0" w:type="dxa"/>
              <w:right w:w="0" w:type="dxa"/>
            </w:tcMar>
            <w:vAlign w:val="bottom"/>
          </w:tcPr>
          <w:p w14:paraId="20EC2BED" w14:textId="2CF5554E" w:rsidR="003427AF" w:rsidRPr="00E23684" w:rsidRDefault="003427AF" w:rsidP="00E23684">
            <w:pPr>
              <w:pStyle w:val="Tableheading"/>
              <w:jc w:val="right"/>
              <w:rPr>
                <w:color w:val="003D7F" w:themeColor="accent2" w:themeShade="BF"/>
                <w:sz w:val="16"/>
              </w:rPr>
            </w:pPr>
            <w:r w:rsidRPr="00E23684">
              <w:rPr>
                <w:color w:val="003D7F" w:themeColor="accent2" w:themeShade="BF"/>
                <w:sz w:val="16"/>
              </w:rPr>
              <w:t>Year ended</w:t>
            </w:r>
          </w:p>
          <w:p w14:paraId="22B2C827" w14:textId="1828E099" w:rsidR="00015CD4" w:rsidRPr="00E23684" w:rsidRDefault="003427AF" w:rsidP="00E23684">
            <w:pPr>
              <w:pStyle w:val="Tableheading"/>
              <w:jc w:val="right"/>
              <w:rPr>
                <w:color w:val="003D7F" w:themeColor="accent2" w:themeShade="BF"/>
                <w:sz w:val="16"/>
              </w:rPr>
            </w:pPr>
            <w:r w:rsidRPr="00E23684">
              <w:rPr>
                <w:color w:val="003D7F" w:themeColor="accent2" w:themeShade="BF"/>
                <w:sz w:val="16"/>
              </w:rPr>
              <w:t xml:space="preserve">31 December </w:t>
            </w:r>
            <w:r w:rsidR="00E85F7E">
              <w:rPr>
                <w:color w:val="003D7F" w:themeColor="accent2" w:themeShade="BF"/>
                <w:sz w:val="16"/>
              </w:rPr>
              <w:t>2023</w:t>
            </w:r>
          </w:p>
        </w:tc>
      </w:tr>
      <w:tr w:rsidR="00015CD4" w:rsidRPr="00E23684" w14:paraId="7D6C74F0" w14:textId="77777777" w:rsidTr="00E23684">
        <w:trPr>
          <w:trHeight w:val="74"/>
        </w:trPr>
        <w:tc>
          <w:tcPr>
            <w:tcW w:w="4069" w:type="dxa"/>
            <w:tcBorders>
              <w:top w:val="nil"/>
              <w:left w:val="nil"/>
              <w:bottom w:val="nil"/>
              <w:right w:val="nil"/>
            </w:tcBorders>
            <w:shd w:val="clear" w:color="auto" w:fill="FFFFFF"/>
            <w:tcMar>
              <w:left w:w="0" w:type="dxa"/>
              <w:right w:w="0" w:type="dxa"/>
            </w:tcMar>
            <w:vAlign w:val="bottom"/>
          </w:tcPr>
          <w:p w14:paraId="26208BE4" w14:textId="77777777" w:rsidR="00015CD4" w:rsidRPr="00E23684" w:rsidRDefault="00015CD4" w:rsidP="00E23684">
            <w:pPr>
              <w:pStyle w:val="Tableheading"/>
              <w:jc w:val="right"/>
            </w:pPr>
            <w:r w:rsidRPr="00E23684">
              <w:t xml:space="preserve"> </w:t>
            </w:r>
          </w:p>
        </w:tc>
        <w:tc>
          <w:tcPr>
            <w:tcW w:w="608" w:type="dxa"/>
            <w:tcBorders>
              <w:top w:val="nil"/>
              <w:left w:val="nil"/>
              <w:bottom w:val="nil"/>
              <w:right w:val="nil"/>
            </w:tcBorders>
            <w:shd w:val="clear" w:color="auto" w:fill="FFFFFF"/>
            <w:tcMar>
              <w:left w:w="0" w:type="dxa"/>
              <w:right w:w="0" w:type="dxa"/>
            </w:tcMar>
            <w:vAlign w:val="bottom"/>
          </w:tcPr>
          <w:p w14:paraId="49A36CBD" w14:textId="77777777" w:rsidR="00015CD4" w:rsidRPr="00E23684" w:rsidRDefault="00015CD4" w:rsidP="00E23684">
            <w:pPr>
              <w:pStyle w:val="Tableheading"/>
              <w:jc w:val="right"/>
            </w:pPr>
          </w:p>
        </w:tc>
        <w:tc>
          <w:tcPr>
            <w:tcW w:w="1559" w:type="dxa"/>
            <w:tcBorders>
              <w:top w:val="nil"/>
              <w:left w:val="nil"/>
              <w:right w:val="nil"/>
            </w:tcBorders>
            <w:shd w:val="clear" w:color="auto" w:fill="FFFFFF"/>
            <w:vAlign w:val="bottom"/>
          </w:tcPr>
          <w:p w14:paraId="359BAEED" w14:textId="0F06EF0A" w:rsidR="00015CD4" w:rsidRPr="00E23684" w:rsidRDefault="00015CD4" w:rsidP="00E23684">
            <w:pPr>
              <w:pStyle w:val="Tableheading"/>
              <w:jc w:val="right"/>
              <w:rPr>
                <w:sz w:val="16"/>
              </w:rPr>
            </w:pPr>
            <w:r w:rsidRPr="00E23684">
              <w:rPr>
                <w:color w:val="003D7F" w:themeColor="accent2" w:themeShade="BF"/>
                <w:sz w:val="16"/>
              </w:rPr>
              <w:tab/>
              <w:t>£m</w:t>
            </w:r>
          </w:p>
        </w:tc>
        <w:tc>
          <w:tcPr>
            <w:tcW w:w="250" w:type="dxa"/>
            <w:tcBorders>
              <w:top w:val="nil"/>
              <w:left w:val="nil"/>
              <w:right w:val="nil"/>
            </w:tcBorders>
            <w:shd w:val="clear" w:color="auto" w:fill="FFFFFF"/>
            <w:vAlign w:val="bottom"/>
          </w:tcPr>
          <w:p w14:paraId="1D8F705E" w14:textId="14B31790" w:rsidR="00015CD4" w:rsidRPr="00E23684" w:rsidRDefault="00015CD4" w:rsidP="00E23684">
            <w:pPr>
              <w:pStyle w:val="Tableheading"/>
              <w:jc w:val="right"/>
              <w:rPr>
                <w:sz w:val="16"/>
              </w:rPr>
            </w:pPr>
          </w:p>
        </w:tc>
        <w:tc>
          <w:tcPr>
            <w:tcW w:w="1593" w:type="dxa"/>
            <w:tcBorders>
              <w:top w:val="nil"/>
              <w:left w:val="nil"/>
              <w:right w:val="nil"/>
            </w:tcBorders>
            <w:shd w:val="clear" w:color="auto" w:fill="FFFFFF"/>
            <w:tcMar>
              <w:left w:w="0" w:type="dxa"/>
              <w:right w:w="0" w:type="dxa"/>
            </w:tcMar>
            <w:vAlign w:val="bottom"/>
          </w:tcPr>
          <w:p w14:paraId="22D69A98" w14:textId="77777777" w:rsidR="00015CD4" w:rsidRPr="00E23684" w:rsidRDefault="00015CD4" w:rsidP="00E23684">
            <w:pPr>
              <w:pStyle w:val="Tableheading"/>
              <w:jc w:val="right"/>
              <w:rPr>
                <w:color w:val="003D7F" w:themeColor="accent2" w:themeShade="BF"/>
                <w:sz w:val="16"/>
              </w:rPr>
            </w:pPr>
            <w:r w:rsidRPr="00E23684">
              <w:rPr>
                <w:color w:val="003D7F" w:themeColor="accent2" w:themeShade="BF"/>
                <w:sz w:val="16"/>
              </w:rPr>
              <w:tab/>
              <w:t>£m</w:t>
            </w:r>
          </w:p>
        </w:tc>
        <w:tc>
          <w:tcPr>
            <w:tcW w:w="284" w:type="dxa"/>
            <w:tcBorders>
              <w:top w:val="nil"/>
              <w:left w:val="nil"/>
              <w:bottom w:val="nil"/>
              <w:right w:val="nil"/>
            </w:tcBorders>
            <w:shd w:val="clear" w:color="auto" w:fill="FFFFFF"/>
            <w:tcMar>
              <w:left w:w="0" w:type="dxa"/>
              <w:right w:w="0" w:type="dxa"/>
            </w:tcMar>
            <w:vAlign w:val="bottom"/>
          </w:tcPr>
          <w:p w14:paraId="1DF587E5" w14:textId="77777777" w:rsidR="00015CD4" w:rsidRPr="00E23684" w:rsidRDefault="00015CD4" w:rsidP="00E23684">
            <w:pPr>
              <w:pStyle w:val="Tableheading"/>
              <w:jc w:val="right"/>
              <w:rPr>
                <w:color w:val="003D7F" w:themeColor="accent2" w:themeShade="BF"/>
                <w:sz w:val="16"/>
              </w:rPr>
            </w:pPr>
            <w:r w:rsidRPr="00E23684">
              <w:rPr>
                <w:color w:val="003D7F" w:themeColor="accent2" w:themeShade="BF"/>
                <w:sz w:val="16"/>
              </w:rPr>
              <w:t xml:space="preserve"> </w:t>
            </w:r>
          </w:p>
        </w:tc>
        <w:tc>
          <w:tcPr>
            <w:tcW w:w="1701" w:type="dxa"/>
            <w:tcBorders>
              <w:top w:val="nil"/>
              <w:left w:val="nil"/>
              <w:bottom w:val="nil"/>
              <w:right w:val="nil"/>
            </w:tcBorders>
            <w:shd w:val="clear" w:color="auto" w:fill="FFFFFF"/>
            <w:tcMar>
              <w:left w:w="0" w:type="dxa"/>
              <w:right w:w="0" w:type="dxa"/>
            </w:tcMar>
            <w:vAlign w:val="bottom"/>
          </w:tcPr>
          <w:p w14:paraId="6F6B2B63" w14:textId="77777777" w:rsidR="00015CD4" w:rsidRPr="00E23684" w:rsidRDefault="00015CD4" w:rsidP="00E23684">
            <w:pPr>
              <w:pStyle w:val="Tableheading"/>
              <w:jc w:val="right"/>
              <w:rPr>
                <w:color w:val="003D7F" w:themeColor="accent2" w:themeShade="BF"/>
                <w:sz w:val="16"/>
              </w:rPr>
            </w:pPr>
            <w:r w:rsidRPr="00E23684">
              <w:rPr>
                <w:color w:val="003D7F" w:themeColor="accent2" w:themeShade="BF"/>
                <w:sz w:val="16"/>
              </w:rPr>
              <w:tab/>
              <w:t>£m</w:t>
            </w:r>
          </w:p>
        </w:tc>
      </w:tr>
      <w:tr w:rsidR="00E914CB" w:rsidRPr="003C362B" w14:paraId="7BB54B11" w14:textId="77777777" w:rsidTr="00B94607">
        <w:trPr>
          <w:trHeight w:hRule="exact" w:val="255"/>
        </w:trPr>
        <w:tc>
          <w:tcPr>
            <w:tcW w:w="4069" w:type="dxa"/>
            <w:tcBorders>
              <w:top w:val="nil"/>
              <w:left w:val="nil"/>
              <w:bottom w:val="nil"/>
              <w:right w:val="nil"/>
            </w:tcBorders>
            <w:shd w:val="clear" w:color="auto" w:fill="FFFFFF"/>
            <w:tcMar>
              <w:left w:w="0" w:type="dxa"/>
              <w:right w:w="0" w:type="dxa"/>
            </w:tcMar>
          </w:tcPr>
          <w:p w14:paraId="44CF24AE" w14:textId="77777777" w:rsidR="00015CD4" w:rsidRPr="00EE3889" w:rsidRDefault="00015CD4" w:rsidP="00AA0DE9">
            <w:pPr>
              <w:spacing w:after="0"/>
              <w:rPr>
                <w:rFonts w:eastAsia="Arial"/>
                <w:szCs w:val="28"/>
                <w:lang w:eastAsia="en-GB"/>
              </w:rPr>
            </w:pPr>
            <w:r w:rsidRPr="00EE3889">
              <w:rPr>
                <w:rFonts w:eastAsia="Arial"/>
                <w:b/>
                <w:szCs w:val="28"/>
                <w:lang w:eastAsia="en-GB"/>
              </w:rPr>
              <w:t xml:space="preserve"> </w:t>
            </w:r>
          </w:p>
        </w:tc>
        <w:tc>
          <w:tcPr>
            <w:tcW w:w="608" w:type="dxa"/>
            <w:tcBorders>
              <w:top w:val="nil"/>
              <w:left w:val="nil"/>
              <w:bottom w:val="nil"/>
              <w:right w:val="nil"/>
            </w:tcBorders>
            <w:shd w:val="clear" w:color="auto" w:fill="FFFFFF"/>
            <w:tcMar>
              <w:left w:w="0" w:type="dxa"/>
              <w:right w:w="0" w:type="dxa"/>
            </w:tcMar>
            <w:vAlign w:val="bottom"/>
          </w:tcPr>
          <w:p w14:paraId="59BF0D0A" w14:textId="77777777" w:rsidR="00015CD4" w:rsidRPr="00EE3889" w:rsidRDefault="00015CD4" w:rsidP="00AA0DE9">
            <w:pPr>
              <w:spacing w:after="0"/>
              <w:rPr>
                <w:rFonts w:eastAsia="Arial"/>
                <w:szCs w:val="28"/>
                <w:lang w:eastAsia="en-GB"/>
              </w:rPr>
            </w:pPr>
          </w:p>
        </w:tc>
        <w:tc>
          <w:tcPr>
            <w:tcW w:w="1559" w:type="dxa"/>
            <w:tcBorders>
              <w:top w:val="nil"/>
              <w:left w:val="nil"/>
              <w:right w:val="nil"/>
            </w:tcBorders>
          </w:tcPr>
          <w:p w14:paraId="037B81C4" w14:textId="2B4E79E8" w:rsidR="00015CD4" w:rsidRPr="00EE3889" w:rsidRDefault="00015CD4" w:rsidP="00C87079">
            <w:pPr>
              <w:tabs>
                <w:tab w:val="decimal" w:pos="1172"/>
              </w:tabs>
              <w:spacing w:after="0"/>
              <w:ind w:left="-514" w:hanging="2"/>
              <w:rPr>
                <w:rFonts w:eastAsia="Arial"/>
                <w:szCs w:val="28"/>
                <w:lang w:eastAsia="en-GB"/>
              </w:rPr>
            </w:pPr>
          </w:p>
        </w:tc>
        <w:tc>
          <w:tcPr>
            <w:tcW w:w="250" w:type="dxa"/>
            <w:tcBorders>
              <w:top w:val="nil"/>
              <w:left w:val="nil"/>
              <w:bottom w:val="nil"/>
              <w:right w:val="nil"/>
            </w:tcBorders>
            <w:vAlign w:val="bottom"/>
          </w:tcPr>
          <w:p w14:paraId="11640CB5" w14:textId="30929C1B" w:rsidR="00015CD4" w:rsidRPr="00EE3889" w:rsidRDefault="00015CD4" w:rsidP="00AA0DE9">
            <w:pPr>
              <w:spacing w:after="0"/>
              <w:ind w:left="-514" w:hanging="2"/>
              <w:jc w:val="center"/>
              <w:rPr>
                <w:rFonts w:eastAsia="Arial"/>
                <w:szCs w:val="28"/>
                <w:lang w:eastAsia="en-GB"/>
              </w:rPr>
            </w:pPr>
          </w:p>
        </w:tc>
        <w:tc>
          <w:tcPr>
            <w:tcW w:w="1593" w:type="dxa"/>
            <w:tcBorders>
              <w:top w:val="nil"/>
              <w:left w:val="nil"/>
              <w:right w:val="nil"/>
            </w:tcBorders>
            <w:shd w:val="clear" w:color="auto" w:fill="auto"/>
            <w:tcMar>
              <w:left w:w="0" w:type="dxa"/>
              <w:right w:w="0" w:type="dxa"/>
            </w:tcMar>
          </w:tcPr>
          <w:p w14:paraId="46482796" w14:textId="77777777" w:rsidR="00015CD4" w:rsidRPr="00EE3889" w:rsidRDefault="00015CD4" w:rsidP="00C87079">
            <w:pPr>
              <w:tabs>
                <w:tab w:val="decimal" w:pos="1306"/>
              </w:tabs>
              <w:spacing w:after="0"/>
              <w:ind w:left="203" w:right="134"/>
              <w:rPr>
                <w:rFonts w:eastAsia="Arial"/>
                <w:szCs w:val="28"/>
                <w:lang w:eastAsia="en-GB"/>
              </w:rPr>
            </w:pPr>
            <w:r w:rsidRPr="00EE3889">
              <w:rPr>
                <w:rFonts w:eastAsia="Arial"/>
                <w:b/>
                <w:szCs w:val="28"/>
                <w:lang w:eastAsia="en-GB"/>
              </w:rPr>
              <w:t xml:space="preserve"> </w:t>
            </w:r>
          </w:p>
        </w:tc>
        <w:tc>
          <w:tcPr>
            <w:tcW w:w="284" w:type="dxa"/>
            <w:tcBorders>
              <w:top w:val="nil"/>
              <w:left w:val="nil"/>
              <w:bottom w:val="nil"/>
              <w:right w:val="nil"/>
            </w:tcBorders>
            <w:shd w:val="clear" w:color="auto" w:fill="FFFFFF"/>
            <w:tcMar>
              <w:left w:w="0" w:type="dxa"/>
              <w:right w:w="0" w:type="dxa"/>
            </w:tcMar>
            <w:vAlign w:val="bottom"/>
          </w:tcPr>
          <w:p w14:paraId="5923894C" w14:textId="77777777" w:rsidR="00015CD4" w:rsidRPr="00EE3889" w:rsidRDefault="00015CD4" w:rsidP="00AA0DE9">
            <w:pPr>
              <w:spacing w:after="0"/>
              <w:rPr>
                <w:rFonts w:eastAsia="Arial"/>
                <w:b/>
                <w:szCs w:val="28"/>
                <w:lang w:eastAsia="en-GB"/>
              </w:rPr>
            </w:pPr>
            <w:r w:rsidRPr="00EE3889">
              <w:rPr>
                <w:rFonts w:eastAsia="Arial"/>
                <w:szCs w:val="28"/>
                <w:lang w:eastAsia="en-GB"/>
              </w:rPr>
              <w:t xml:space="preserve"> </w:t>
            </w:r>
          </w:p>
        </w:tc>
        <w:tc>
          <w:tcPr>
            <w:tcW w:w="1701" w:type="dxa"/>
            <w:tcBorders>
              <w:top w:val="nil"/>
              <w:left w:val="nil"/>
              <w:right w:val="nil"/>
            </w:tcBorders>
            <w:shd w:val="clear" w:color="auto" w:fill="FFFFFF"/>
            <w:tcMar>
              <w:left w:w="0" w:type="dxa"/>
              <w:right w:w="0" w:type="dxa"/>
            </w:tcMar>
          </w:tcPr>
          <w:p w14:paraId="4357005A" w14:textId="77777777" w:rsidR="00015CD4" w:rsidRPr="00F2575A" w:rsidRDefault="00015CD4" w:rsidP="00433FEC">
            <w:pPr>
              <w:tabs>
                <w:tab w:val="decimal" w:pos="1420"/>
              </w:tabs>
              <w:spacing w:after="0"/>
              <w:ind w:left="-166" w:right="213" w:hanging="118"/>
              <w:jc w:val="right"/>
              <w:rPr>
                <w:rFonts w:eastAsia="Arial"/>
                <w:szCs w:val="28"/>
                <w:highlight w:val="yellow"/>
                <w:lang w:eastAsia="en-GB"/>
              </w:rPr>
            </w:pPr>
            <w:r w:rsidRPr="00F2575A">
              <w:rPr>
                <w:rFonts w:eastAsia="Arial"/>
                <w:szCs w:val="28"/>
                <w:highlight w:val="yellow"/>
                <w:lang w:eastAsia="en-GB"/>
              </w:rPr>
              <w:t xml:space="preserve"> </w:t>
            </w:r>
          </w:p>
        </w:tc>
      </w:tr>
      <w:tr w:rsidR="00B25E95" w:rsidRPr="003C362B" w14:paraId="1DB02E8F" w14:textId="77777777" w:rsidTr="00B94607">
        <w:trPr>
          <w:trHeight w:val="154"/>
        </w:trPr>
        <w:tc>
          <w:tcPr>
            <w:tcW w:w="4069" w:type="dxa"/>
            <w:tcBorders>
              <w:top w:val="nil"/>
              <w:left w:val="nil"/>
              <w:bottom w:val="nil"/>
              <w:right w:val="nil"/>
            </w:tcBorders>
            <w:shd w:val="clear" w:color="auto" w:fill="FFFFFF"/>
            <w:tcMar>
              <w:left w:w="0" w:type="dxa"/>
              <w:right w:w="0" w:type="dxa"/>
            </w:tcMar>
          </w:tcPr>
          <w:p w14:paraId="750DCB3A" w14:textId="75A711FD" w:rsidR="00B25E95" w:rsidRPr="00EE3889" w:rsidRDefault="00B25E95" w:rsidP="00B25E95">
            <w:pPr>
              <w:spacing w:after="0"/>
              <w:rPr>
                <w:rFonts w:eastAsia="Arial"/>
                <w:szCs w:val="28"/>
                <w:lang w:eastAsia="en-GB"/>
              </w:rPr>
            </w:pPr>
            <w:r w:rsidRPr="00EE3889">
              <w:rPr>
                <w:rFonts w:eastAsia="Arial"/>
                <w:szCs w:val="28"/>
                <w:lang w:eastAsia="en-GB"/>
              </w:rPr>
              <w:t>Profit</w:t>
            </w:r>
            <w:r>
              <w:rPr>
                <w:rFonts w:eastAsia="Arial"/>
                <w:szCs w:val="28"/>
                <w:lang w:eastAsia="en-GB"/>
              </w:rPr>
              <w:t>/(loss)</w:t>
            </w:r>
            <w:r w:rsidRPr="00EE3889">
              <w:rPr>
                <w:rFonts w:eastAsia="Arial"/>
                <w:szCs w:val="28"/>
                <w:lang w:eastAsia="en-GB"/>
              </w:rPr>
              <w:t xml:space="preserve"> for the </w:t>
            </w:r>
            <w:r w:rsidR="005D33D9">
              <w:rPr>
                <w:rFonts w:eastAsia="Arial"/>
                <w:szCs w:val="28"/>
                <w:lang w:eastAsia="en-GB"/>
              </w:rPr>
              <w:t>period</w:t>
            </w:r>
          </w:p>
        </w:tc>
        <w:tc>
          <w:tcPr>
            <w:tcW w:w="608" w:type="dxa"/>
            <w:tcBorders>
              <w:top w:val="nil"/>
              <w:left w:val="nil"/>
              <w:bottom w:val="nil"/>
              <w:right w:val="nil"/>
            </w:tcBorders>
            <w:shd w:val="clear" w:color="auto" w:fill="FFFFFF"/>
            <w:tcMar>
              <w:left w:w="0" w:type="dxa"/>
              <w:right w:w="0" w:type="dxa"/>
            </w:tcMar>
            <w:vAlign w:val="bottom"/>
          </w:tcPr>
          <w:p w14:paraId="2D3A5A3F" w14:textId="77777777" w:rsidR="00B25E95" w:rsidRPr="00EE3889" w:rsidRDefault="00B25E95" w:rsidP="00B25E95">
            <w:pPr>
              <w:spacing w:after="0"/>
              <w:rPr>
                <w:rFonts w:eastAsia="Arial"/>
                <w:szCs w:val="28"/>
                <w:lang w:eastAsia="en-GB"/>
              </w:rPr>
            </w:pPr>
          </w:p>
        </w:tc>
        <w:tc>
          <w:tcPr>
            <w:tcW w:w="1559" w:type="dxa"/>
            <w:tcBorders>
              <w:top w:val="nil"/>
              <w:left w:val="nil"/>
              <w:bottom w:val="single" w:sz="4" w:space="0" w:color="auto"/>
              <w:right w:val="nil"/>
            </w:tcBorders>
          </w:tcPr>
          <w:p w14:paraId="62EBC563" w14:textId="4BB2B7B1" w:rsidR="00B25E95" w:rsidRPr="005F0E7F" w:rsidRDefault="006A6D19" w:rsidP="00B25E95">
            <w:pPr>
              <w:tabs>
                <w:tab w:val="decimal" w:pos="1172"/>
              </w:tabs>
              <w:spacing w:after="0"/>
              <w:ind w:left="-514" w:right="-112" w:hanging="2"/>
              <w:rPr>
                <w:rFonts w:eastAsia="Arial"/>
                <w:b/>
                <w:bCs/>
                <w:szCs w:val="28"/>
                <w:lang w:eastAsia="en-GB"/>
              </w:rPr>
            </w:pPr>
            <w:r w:rsidRPr="005F0E7F">
              <w:rPr>
                <w:rFonts w:eastAsia="Arial"/>
                <w:b/>
                <w:bCs/>
                <w:szCs w:val="28"/>
                <w:lang w:eastAsia="en-GB"/>
              </w:rPr>
              <w:t>28.</w:t>
            </w:r>
            <w:r w:rsidR="00C30B7E">
              <w:rPr>
                <w:rFonts w:eastAsia="Arial"/>
                <w:b/>
                <w:bCs/>
                <w:szCs w:val="28"/>
                <w:lang w:eastAsia="en-GB"/>
              </w:rPr>
              <w:t>2</w:t>
            </w:r>
          </w:p>
        </w:tc>
        <w:tc>
          <w:tcPr>
            <w:tcW w:w="250" w:type="dxa"/>
            <w:tcBorders>
              <w:top w:val="nil"/>
              <w:left w:val="nil"/>
              <w:right w:val="nil"/>
            </w:tcBorders>
            <w:vAlign w:val="bottom"/>
          </w:tcPr>
          <w:p w14:paraId="32A4E533" w14:textId="342DFA65" w:rsidR="00B25E95" w:rsidRPr="00EE3889" w:rsidRDefault="00B25E95" w:rsidP="00B25E95">
            <w:pPr>
              <w:spacing w:after="0"/>
              <w:ind w:left="-514" w:hanging="2"/>
              <w:jc w:val="center"/>
              <w:rPr>
                <w:rFonts w:eastAsia="Arial"/>
                <w:szCs w:val="28"/>
                <w:lang w:eastAsia="en-GB"/>
              </w:rPr>
            </w:pPr>
          </w:p>
        </w:tc>
        <w:tc>
          <w:tcPr>
            <w:tcW w:w="1593" w:type="dxa"/>
            <w:tcBorders>
              <w:top w:val="nil"/>
              <w:left w:val="nil"/>
              <w:bottom w:val="single" w:sz="4" w:space="0" w:color="auto"/>
              <w:right w:val="nil"/>
            </w:tcBorders>
            <w:shd w:val="clear" w:color="auto" w:fill="auto"/>
            <w:tcMar>
              <w:left w:w="0" w:type="dxa"/>
              <w:right w:w="0" w:type="dxa"/>
            </w:tcMar>
          </w:tcPr>
          <w:p w14:paraId="7AF9A5D9" w14:textId="3459829F" w:rsidR="00B25E95" w:rsidRPr="005051E7" w:rsidRDefault="00B25E95" w:rsidP="00B25E95">
            <w:pPr>
              <w:tabs>
                <w:tab w:val="decimal" w:pos="1306"/>
              </w:tabs>
              <w:spacing w:after="0"/>
              <w:ind w:left="203"/>
              <w:rPr>
                <w:rFonts w:eastAsia="Arial"/>
                <w:b/>
                <w:szCs w:val="28"/>
                <w:highlight w:val="yellow"/>
                <w:lang w:eastAsia="en-GB"/>
              </w:rPr>
            </w:pPr>
            <w:r w:rsidRPr="00F2575A">
              <w:rPr>
                <w:rFonts w:eastAsia="Arial"/>
                <w:b/>
                <w:szCs w:val="28"/>
                <w:lang w:eastAsia="en-GB"/>
              </w:rPr>
              <w:t>2</w:t>
            </w:r>
            <w:r>
              <w:rPr>
                <w:rFonts w:eastAsia="Arial"/>
                <w:b/>
                <w:szCs w:val="28"/>
                <w:lang w:eastAsia="en-GB"/>
              </w:rPr>
              <w:t>4</w:t>
            </w:r>
            <w:r w:rsidRPr="00F2575A">
              <w:rPr>
                <w:rFonts w:eastAsia="Arial"/>
                <w:b/>
                <w:szCs w:val="28"/>
                <w:lang w:eastAsia="en-GB"/>
              </w:rPr>
              <w:t>.</w:t>
            </w:r>
            <w:r>
              <w:rPr>
                <w:rFonts w:eastAsia="Arial"/>
                <w:b/>
                <w:szCs w:val="28"/>
                <w:lang w:eastAsia="en-GB"/>
              </w:rPr>
              <w:t>2</w:t>
            </w:r>
          </w:p>
        </w:tc>
        <w:tc>
          <w:tcPr>
            <w:tcW w:w="284" w:type="dxa"/>
            <w:tcBorders>
              <w:top w:val="nil"/>
              <w:left w:val="nil"/>
              <w:bottom w:val="nil"/>
              <w:right w:val="nil"/>
            </w:tcBorders>
            <w:shd w:val="clear" w:color="auto" w:fill="FFFFFF"/>
            <w:tcMar>
              <w:left w:w="0" w:type="dxa"/>
              <w:right w:w="0" w:type="dxa"/>
            </w:tcMar>
            <w:vAlign w:val="bottom"/>
          </w:tcPr>
          <w:p w14:paraId="565C6B3E" w14:textId="77777777" w:rsidR="00B25E95" w:rsidRPr="00EE3889" w:rsidRDefault="00B25E95" w:rsidP="00B25E95">
            <w:pPr>
              <w:spacing w:after="0"/>
              <w:rPr>
                <w:rFonts w:eastAsia="Arial"/>
                <w:b/>
                <w:szCs w:val="28"/>
                <w:lang w:eastAsia="en-GB"/>
              </w:rPr>
            </w:pPr>
            <w:r w:rsidRPr="00EE3889">
              <w:rPr>
                <w:rFonts w:eastAsia="Arial"/>
                <w:b/>
                <w:szCs w:val="28"/>
                <w:lang w:eastAsia="en-GB"/>
              </w:rPr>
              <w:t xml:space="preserve"> </w:t>
            </w:r>
          </w:p>
        </w:tc>
        <w:tc>
          <w:tcPr>
            <w:tcW w:w="1701" w:type="dxa"/>
            <w:tcBorders>
              <w:top w:val="nil"/>
              <w:left w:val="nil"/>
              <w:bottom w:val="single" w:sz="4" w:space="0" w:color="auto"/>
              <w:right w:val="nil"/>
            </w:tcBorders>
            <w:shd w:val="clear" w:color="auto" w:fill="auto"/>
            <w:tcMar>
              <w:left w:w="0" w:type="dxa"/>
              <w:right w:w="0" w:type="dxa"/>
            </w:tcMar>
          </w:tcPr>
          <w:p w14:paraId="328B1BA4" w14:textId="3AB35DAE" w:rsidR="00B25E95" w:rsidRPr="007756EA" w:rsidRDefault="00B25E95" w:rsidP="00B25E95">
            <w:pPr>
              <w:tabs>
                <w:tab w:val="decimal" w:pos="1420"/>
              </w:tabs>
              <w:spacing w:after="0"/>
              <w:ind w:left="203"/>
              <w:rPr>
                <w:rFonts w:eastAsia="Arial"/>
                <w:b/>
                <w:szCs w:val="28"/>
                <w:highlight w:val="yellow"/>
                <w:lang w:eastAsia="en-GB"/>
              </w:rPr>
            </w:pPr>
            <w:r w:rsidRPr="00131B4F">
              <w:rPr>
                <w:rFonts w:eastAsia="Arial"/>
                <w:b/>
                <w:szCs w:val="28"/>
                <w:lang w:val="en-GB" w:eastAsia="en-GB"/>
              </w:rPr>
              <w:t>(12.9)</w:t>
            </w:r>
          </w:p>
        </w:tc>
      </w:tr>
      <w:tr w:rsidR="00B25E95" w:rsidRPr="003C362B" w14:paraId="46363069" w14:textId="77777777" w:rsidTr="00B94607">
        <w:trPr>
          <w:trHeight w:hRule="exact" w:val="255"/>
        </w:trPr>
        <w:tc>
          <w:tcPr>
            <w:tcW w:w="4069" w:type="dxa"/>
            <w:tcBorders>
              <w:top w:val="nil"/>
              <w:left w:val="nil"/>
              <w:bottom w:val="nil"/>
              <w:right w:val="nil"/>
            </w:tcBorders>
            <w:shd w:val="clear" w:color="auto" w:fill="FFFFFF"/>
            <w:tcMar>
              <w:left w:w="0" w:type="dxa"/>
              <w:right w:w="0" w:type="dxa"/>
            </w:tcMar>
          </w:tcPr>
          <w:p w14:paraId="0AF6DE79" w14:textId="77777777" w:rsidR="00B25E95" w:rsidRPr="00EE3889" w:rsidRDefault="00B25E95" w:rsidP="00B25E95">
            <w:pPr>
              <w:spacing w:after="0"/>
              <w:rPr>
                <w:rFonts w:eastAsia="Arial"/>
                <w:szCs w:val="28"/>
                <w:lang w:eastAsia="en-GB"/>
              </w:rPr>
            </w:pPr>
            <w:r w:rsidRPr="00EE3889">
              <w:rPr>
                <w:rFonts w:eastAsia="Arial"/>
                <w:szCs w:val="28"/>
                <w:lang w:eastAsia="en-GB"/>
              </w:rPr>
              <w:t xml:space="preserve"> </w:t>
            </w:r>
          </w:p>
        </w:tc>
        <w:tc>
          <w:tcPr>
            <w:tcW w:w="608" w:type="dxa"/>
            <w:tcBorders>
              <w:top w:val="nil"/>
              <w:left w:val="nil"/>
              <w:bottom w:val="nil"/>
              <w:right w:val="nil"/>
            </w:tcBorders>
            <w:shd w:val="clear" w:color="auto" w:fill="FFFFFF"/>
            <w:tcMar>
              <w:left w:w="0" w:type="dxa"/>
              <w:right w:w="0" w:type="dxa"/>
            </w:tcMar>
            <w:vAlign w:val="bottom"/>
          </w:tcPr>
          <w:p w14:paraId="3BC1761D" w14:textId="77777777" w:rsidR="00B25E95" w:rsidRPr="00EE3889" w:rsidRDefault="00B25E95" w:rsidP="00B25E95">
            <w:pPr>
              <w:spacing w:after="0"/>
              <w:rPr>
                <w:rFonts w:eastAsia="Arial"/>
                <w:szCs w:val="28"/>
                <w:lang w:eastAsia="en-GB"/>
              </w:rPr>
            </w:pPr>
          </w:p>
        </w:tc>
        <w:tc>
          <w:tcPr>
            <w:tcW w:w="1559" w:type="dxa"/>
            <w:tcBorders>
              <w:top w:val="single" w:sz="4" w:space="0" w:color="auto"/>
              <w:left w:val="nil"/>
              <w:bottom w:val="nil"/>
              <w:right w:val="nil"/>
            </w:tcBorders>
          </w:tcPr>
          <w:p w14:paraId="4A5DA6FE" w14:textId="4A92041B" w:rsidR="00B25E95" w:rsidRPr="004E04F0" w:rsidRDefault="00B25E95" w:rsidP="00B25E95">
            <w:pPr>
              <w:tabs>
                <w:tab w:val="decimal" w:pos="1172"/>
              </w:tabs>
              <w:spacing w:after="0"/>
              <w:ind w:left="-514" w:right="-112" w:hanging="2"/>
              <w:rPr>
                <w:rFonts w:eastAsia="Arial"/>
                <w:szCs w:val="28"/>
                <w:lang w:eastAsia="en-GB"/>
              </w:rPr>
            </w:pPr>
          </w:p>
        </w:tc>
        <w:tc>
          <w:tcPr>
            <w:tcW w:w="250" w:type="dxa"/>
            <w:tcBorders>
              <w:left w:val="nil"/>
              <w:bottom w:val="nil"/>
              <w:right w:val="nil"/>
            </w:tcBorders>
            <w:vAlign w:val="bottom"/>
          </w:tcPr>
          <w:p w14:paraId="07DD0C2F" w14:textId="0A0058DC" w:rsidR="00B25E95" w:rsidRPr="00EE3889" w:rsidRDefault="00B25E95" w:rsidP="00B25E95">
            <w:pPr>
              <w:spacing w:after="0"/>
              <w:ind w:left="-514" w:hanging="2"/>
              <w:jc w:val="center"/>
              <w:rPr>
                <w:rFonts w:eastAsia="Arial"/>
                <w:szCs w:val="28"/>
                <w:lang w:eastAsia="en-GB"/>
              </w:rPr>
            </w:pPr>
          </w:p>
        </w:tc>
        <w:tc>
          <w:tcPr>
            <w:tcW w:w="1593" w:type="dxa"/>
            <w:tcBorders>
              <w:top w:val="single" w:sz="4" w:space="0" w:color="auto"/>
              <w:left w:val="nil"/>
              <w:bottom w:val="nil"/>
              <w:right w:val="nil"/>
            </w:tcBorders>
            <w:shd w:val="clear" w:color="auto" w:fill="auto"/>
            <w:tcMar>
              <w:left w:w="0" w:type="dxa"/>
              <w:right w:w="0" w:type="dxa"/>
            </w:tcMar>
          </w:tcPr>
          <w:p w14:paraId="46290BCA" w14:textId="77777777" w:rsidR="00B25E95" w:rsidRPr="005051E7" w:rsidRDefault="00B25E95" w:rsidP="00B25E95">
            <w:pPr>
              <w:tabs>
                <w:tab w:val="decimal" w:pos="1306"/>
              </w:tabs>
              <w:spacing w:after="0"/>
              <w:ind w:left="203"/>
              <w:rPr>
                <w:rFonts w:eastAsia="Arial"/>
                <w:szCs w:val="28"/>
                <w:highlight w:val="yellow"/>
                <w:lang w:eastAsia="en-GB"/>
              </w:rPr>
            </w:pPr>
          </w:p>
        </w:tc>
        <w:tc>
          <w:tcPr>
            <w:tcW w:w="284" w:type="dxa"/>
            <w:tcBorders>
              <w:top w:val="nil"/>
              <w:left w:val="nil"/>
              <w:bottom w:val="nil"/>
              <w:right w:val="nil"/>
            </w:tcBorders>
            <w:shd w:val="clear" w:color="auto" w:fill="FFFFFF"/>
            <w:tcMar>
              <w:left w:w="0" w:type="dxa"/>
              <w:right w:w="0" w:type="dxa"/>
            </w:tcMar>
            <w:vAlign w:val="bottom"/>
          </w:tcPr>
          <w:p w14:paraId="2FB61E5F" w14:textId="77777777" w:rsidR="00B25E95" w:rsidRPr="00EE3889" w:rsidRDefault="00B25E95" w:rsidP="00B25E95">
            <w:pPr>
              <w:spacing w:after="0"/>
              <w:rPr>
                <w:rFonts w:eastAsia="Arial"/>
                <w:b/>
                <w:szCs w:val="28"/>
                <w:lang w:eastAsia="en-GB"/>
              </w:rPr>
            </w:pPr>
            <w:r w:rsidRPr="00EE3889">
              <w:rPr>
                <w:rFonts w:eastAsia="Arial"/>
                <w:szCs w:val="28"/>
                <w:lang w:eastAsia="en-GB"/>
              </w:rPr>
              <w:t xml:space="preserve"> </w:t>
            </w:r>
          </w:p>
        </w:tc>
        <w:tc>
          <w:tcPr>
            <w:tcW w:w="1701" w:type="dxa"/>
            <w:tcBorders>
              <w:top w:val="single" w:sz="4" w:space="0" w:color="auto"/>
              <w:left w:val="nil"/>
              <w:bottom w:val="nil"/>
              <w:right w:val="nil"/>
            </w:tcBorders>
            <w:shd w:val="clear" w:color="auto" w:fill="auto"/>
            <w:tcMar>
              <w:left w:w="0" w:type="dxa"/>
              <w:right w:w="0" w:type="dxa"/>
            </w:tcMar>
          </w:tcPr>
          <w:p w14:paraId="78B8021E" w14:textId="77777777" w:rsidR="00B25E95" w:rsidRPr="007756EA" w:rsidRDefault="00B25E95" w:rsidP="00B25E95">
            <w:pPr>
              <w:tabs>
                <w:tab w:val="decimal" w:pos="1421"/>
              </w:tabs>
              <w:spacing w:after="0"/>
              <w:ind w:left="203"/>
              <w:rPr>
                <w:rFonts w:eastAsia="Arial"/>
                <w:szCs w:val="28"/>
                <w:highlight w:val="yellow"/>
                <w:lang w:eastAsia="en-GB"/>
              </w:rPr>
            </w:pPr>
          </w:p>
        </w:tc>
      </w:tr>
      <w:tr w:rsidR="00B25E95" w:rsidRPr="003C362B" w14:paraId="06FC479E" w14:textId="77777777" w:rsidTr="00272A01">
        <w:trPr>
          <w:trHeight w:val="74"/>
        </w:trPr>
        <w:tc>
          <w:tcPr>
            <w:tcW w:w="4069" w:type="dxa"/>
            <w:tcBorders>
              <w:top w:val="nil"/>
              <w:left w:val="nil"/>
              <w:bottom w:val="nil"/>
              <w:right w:val="nil"/>
            </w:tcBorders>
            <w:shd w:val="clear" w:color="auto" w:fill="FFFFFF"/>
            <w:tcMar>
              <w:left w:w="0" w:type="dxa"/>
              <w:right w:w="0" w:type="dxa"/>
            </w:tcMar>
          </w:tcPr>
          <w:p w14:paraId="27EBFB32" w14:textId="77777777" w:rsidR="00B25E95" w:rsidRPr="00EE3889" w:rsidRDefault="00B25E95" w:rsidP="00B25E95">
            <w:pPr>
              <w:spacing w:after="0"/>
              <w:rPr>
                <w:rFonts w:eastAsia="Arial"/>
                <w:szCs w:val="28"/>
                <w:lang w:eastAsia="en-GB"/>
              </w:rPr>
            </w:pPr>
            <w:r w:rsidRPr="00EE3889">
              <w:rPr>
                <w:rFonts w:eastAsia="Arial"/>
                <w:b/>
                <w:szCs w:val="28"/>
                <w:lang w:eastAsia="en-GB"/>
              </w:rPr>
              <w:t>Items that may be reclassified subsequently to profit or loss</w:t>
            </w:r>
          </w:p>
        </w:tc>
        <w:tc>
          <w:tcPr>
            <w:tcW w:w="608" w:type="dxa"/>
            <w:tcBorders>
              <w:top w:val="nil"/>
              <w:left w:val="nil"/>
              <w:bottom w:val="nil"/>
              <w:right w:val="nil"/>
            </w:tcBorders>
            <w:shd w:val="clear" w:color="auto" w:fill="FFFFFF"/>
            <w:tcMar>
              <w:left w:w="0" w:type="dxa"/>
              <w:right w:w="0" w:type="dxa"/>
            </w:tcMar>
            <w:vAlign w:val="bottom"/>
          </w:tcPr>
          <w:p w14:paraId="231078D8" w14:textId="77777777" w:rsidR="00B25E95" w:rsidRPr="00EE3889" w:rsidRDefault="00B25E95" w:rsidP="00B25E95">
            <w:pPr>
              <w:spacing w:after="0"/>
              <w:rPr>
                <w:rFonts w:eastAsia="Arial"/>
                <w:szCs w:val="28"/>
                <w:lang w:eastAsia="en-GB"/>
              </w:rPr>
            </w:pPr>
          </w:p>
        </w:tc>
        <w:tc>
          <w:tcPr>
            <w:tcW w:w="1559" w:type="dxa"/>
            <w:tcBorders>
              <w:top w:val="nil"/>
              <w:left w:val="nil"/>
              <w:right w:val="nil"/>
            </w:tcBorders>
          </w:tcPr>
          <w:p w14:paraId="6F4A00B6" w14:textId="464AB936" w:rsidR="00B25E95" w:rsidRPr="004E04F0" w:rsidRDefault="00B25E95" w:rsidP="00B25E95">
            <w:pPr>
              <w:tabs>
                <w:tab w:val="decimal" w:pos="1172"/>
              </w:tabs>
              <w:spacing w:after="0"/>
              <w:ind w:left="-514" w:right="-112" w:hanging="2"/>
              <w:rPr>
                <w:rFonts w:eastAsia="Arial"/>
                <w:szCs w:val="28"/>
                <w:lang w:eastAsia="en-GB"/>
              </w:rPr>
            </w:pPr>
          </w:p>
        </w:tc>
        <w:tc>
          <w:tcPr>
            <w:tcW w:w="250" w:type="dxa"/>
            <w:tcBorders>
              <w:top w:val="nil"/>
              <w:left w:val="nil"/>
              <w:bottom w:val="nil"/>
              <w:right w:val="nil"/>
            </w:tcBorders>
            <w:vAlign w:val="bottom"/>
          </w:tcPr>
          <w:p w14:paraId="49F8BB7A" w14:textId="05DC4B86" w:rsidR="00B25E95" w:rsidRPr="00EE3889" w:rsidRDefault="00B25E95" w:rsidP="00B25E95">
            <w:pPr>
              <w:spacing w:after="0"/>
              <w:ind w:left="-514" w:hanging="2"/>
              <w:jc w:val="center"/>
              <w:rPr>
                <w:rFonts w:eastAsia="Arial"/>
                <w:szCs w:val="28"/>
                <w:lang w:eastAsia="en-GB"/>
              </w:rPr>
            </w:pPr>
          </w:p>
        </w:tc>
        <w:tc>
          <w:tcPr>
            <w:tcW w:w="1593" w:type="dxa"/>
            <w:tcBorders>
              <w:top w:val="nil"/>
              <w:left w:val="nil"/>
              <w:bottom w:val="nil"/>
              <w:right w:val="nil"/>
            </w:tcBorders>
            <w:shd w:val="clear" w:color="auto" w:fill="auto"/>
            <w:tcMar>
              <w:left w:w="0" w:type="dxa"/>
              <w:right w:w="0" w:type="dxa"/>
            </w:tcMar>
          </w:tcPr>
          <w:p w14:paraId="663D1C52" w14:textId="77777777" w:rsidR="00B25E95" w:rsidRPr="005051E7" w:rsidRDefault="00B25E95" w:rsidP="00B25E95">
            <w:pPr>
              <w:tabs>
                <w:tab w:val="decimal" w:pos="1306"/>
              </w:tabs>
              <w:spacing w:after="0"/>
              <w:ind w:left="203"/>
              <w:rPr>
                <w:rFonts w:eastAsia="Arial"/>
                <w:szCs w:val="28"/>
                <w:highlight w:val="yellow"/>
                <w:lang w:eastAsia="en-GB"/>
              </w:rPr>
            </w:pPr>
          </w:p>
        </w:tc>
        <w:tc>
          <w:tcPr>
            <w:tcW w:w="284" w:type="dxa"/>
            <w:tcBorders>
              <w:top w:val="nil"/>
              <w:left w:val="nil"/>
              <w:bottom w:val="nil"/>
              <w:right w:val="nil"/>
            </w:tcBorders>
            <w:shd w:val="clear" w:color="auto" w:fill="FFFFFF"/>
            <w:tcMar>
              <w:left w:w="0" w:type="dxa"/>
              <w:right w:w="0" w:type="dxa"/>
            </w:tcMar>
            <w:vAlign w:val="bottom"/>
          </w:tcPr>
          <w:p w14:paraId="5174704C" w14:textId="77777777" w:rsidR="00B25E95" w:rsidRPr="00EE3889" w:rsidRDefault="00B25E95" w:rsidP="00B25E95">
            <w:pPr>
              <w:spacing w:after="0"/>
              <w:rPr>
                <w:rFonts w:eastAsia="Arial"/>
                <w:b/>
                <w:szCs w:val="28"/>
                <w:lang w:eastAsia="en-GB"/>
              </w:rPr>
            </w:pPr>
            <w:r w:rsidRPr="00EE3889">
              <w:rPr>
                <w:rFonts w:eastAsia="Arial"/>
                <w:szCs w:val="28"/>
                <w:lang w:eastAsia="en-GB"/>
              </w:rPr>
              <w:t xml:space="preserve"> </w:t>
            </w:r>
          </w:p>
        </w:tc>
        <w:tc>
          <w:tcPr>
            <w:tcW w:w="1701" w:type="dxa"/>
            <w:tcBorders>
              <w:top w:val="nil"/>
              <w:left w:val="nil"/>
              <w:bottom w:val="nil"/>
              <w:right w:val="nil"/>
            </w:tcBorders>
            <w:shd w:val="clear" w:color="auto" w:fill="auto"/>
            <w:tcMar>
              <w:left w:w="0" w:type="dxa"/>
              <w:right w:w="0" w:type="dxa"/>
            </w:tcMar>
          </w:tcPr>
          <w:p w14:paraId="7B04ECC5" w14:textId="77777777" w:rsidR="00B25E95" w:rsidRPr="007756EA" w:rsidRDefault="00B25E95" w:rsidP="00B25E95">
            <w:pPr>
              <w:tabs>
                <w:tab w:val="decimal" w:pos="1421"/>
              </w:tabs>
              <w:spacing w:after="0"/>
              <w:ind w:left="203"/>
              <w:rPr>
                <w:rFonts w:eastAsia="Arial"/>
                <w:szCs w:val="28"/>
                <w:highlight w:val="yellow"/>
                <w:lang w:eastAsia="en-GB"/>
              </w:rPr>
            </w:pPr>
          </w:p>
        </w:tc>
      </w:tr>
      <w:tr w:rsidR="00B25E95" w:rsidRPr="003C362B" w14:paraId="6AD8815F" w14:textId="77777777" w:rsidTr="00272A01">
        <w:trPr>
          <w:trHeight w:val="258"/>
        </w:trPr>
        <w:tc>
          <w:tcPr>
            <w:tcW w:w="4069" w:type="dxa"/>
            <w:tcBorders>
              <w:top w:val="nil"/>
              <w:left w:val="nil"/>
              <w:bottom w:val="nil"/>
              <w:right w:val="nil"/>
            </w:tcBorders>
            <w:shd w:val="clear" w:color="auto" w:fill="FFFFFF"/>
            <w:tcMar>
              <w:left w:w="0" w:type="dxa"/>
              <w:right w:w="0" w:type="dxa"/>
            </w:tcMar>
          </w:tcPr>
          <w:p w14:paraId="17542A3B" w14:textId="77777777" w:rsidR="00B25E95" w:rsidRPr="00EE3889" w:rsidRDefault="00B25E95" w:rsidP="00B25E95">
            <w:pPr>
              <w:spacing w:after="0"/>
              <w:rPr>
                <w:rFonts w:eastAsia="Arial"/>
                <w:szCs w:val="28"/>
                <w:lang w:eastAsia="en-GB"/>
              </w:rPr>
            </w:pPr>
            <w:r w:rsidRPr="00EE3889">
              <w:rPr>
                <w:rFonts w:eastAsia="Arial"/>
                <w:szCs w:val="28"/>
                <w:lang w:eastAsia="en-GB"/>
              </w:rPr>
              <w:t>Exchange movements on translation of subsidiary undertakings</w:t>
            </w:r>
          </w:p>
        </w:tc>
        <w:tc>
          <w:tcPr>
            <w:tcW w:w="608" w:type="dxa"/>
            <w:tcBorders>
              <w:top w:val="nil"/>
              <w:left w:val="nil"/>
              <w:bottom w:val="nil"/>
              <w:right w:val="nil"/>
            </w:tcBorders>
            <w:shd w:val="clear" w:color="auto" w:fill="FFFFFF"/>
            <w:tcMar>
              <w:left w:w="0" w:type="dxa"/>
              <w:right w:w="0" w:type="dxa"/>
            </w:tcMar>
            <w:vAlign w:val="bottom"/>
          </w:tcPr>
          <w:p w14:paraId="12E4C4E5" w14:textId="77777777" w:rsidR="00B25E95" w:rsidRPr="00EE3889" w:rsidRDefault="00B25E95" w:rsidP="00B25E95">
            <w:pPr>
              <w:spacing w:after="0"/>
              <w:jc w:val="center"/>
              <w:rPr>
                <w:rFonts w:eastAsia="Arial"/>
                <w:szCs w:val="28"/>
                <w:lang w:eastAsia="en-GB"/>
              </w:rPr>
            </w:pPr>
          </w:p>
        </w:tc>
        <w:tc>
          <w:tcPr>
            <w:tcW w:w="1559" w:type="dxa"/>
            <w:tcBorders>
              <w:top w:val="nil"/>
              <w:left w:val="nil"/>
              <w:bottom w:val="single" w:sz="4" w:space="0" w:color="auto"/>
              <w:right w:val="nil"/>
            </w:tcBorders>
            <w:vAlign w:val="bottom"/>
          </w:tcPr>
          <w:p w14:paraId="716D20AE" w14:textId="2984B1F0" w:rsidR="00B25E95" w:rsidRPr="004E04F0" w:rsidRDefault="00092FD9" w:rsidP="00B25E95">
            <w:pPr>
              <w:tabs>
                <w:tab w:val="decimal" w:pos="1172"/>
              </w:tabs>
              <w:spacing w:after="0"/>
              <w:ind w:left="-152" w:right="-112" w:hanging="2"/>
              <w:rPr>
                <w:rFonts w:eastAsia="Arial"/>
                <w:szCs w:val="28"/>
                <w:lang w:eastAsia="en-GB"/>
              </w:rPr>
            </w:pPr>
            <w:r>
              <w:rPr>
                <w:rFonts w:eastAsia="Arial"/>
                <w:szCs w:val="28"/>
                <w:lang w:eastAsia="en-GB"/>
              </w:rPr>
              <w:t>(0.8)</w:t>
            </w:r>
          </w:p>
        </w:tc>
        <w:tc>
          <w:tcPr>
            <w:tcW w:w="250" w:type="dxa"/>
            <w:tcBorders>
              <w:top w:val="nil"/>
              <w:left w:val="nil"/>
              <w:bottom w:val="nil"/>
              <w:right w:val="nil"/>
            </w:tcBorders>
            <w:vAlign w:val="bottom"/>
          </w:tcPr>
          <w:p w14:paraId="6D624627" w14:textId="050A2654" w:rsidR="00B25E95" w:rsidRPr="00EE3889" w:rsidRDefault="00B25E95" w:rsidP="00B25E95">
            <w:pPr>
              <w:spacing w:after="0"/>
              <w:ind w:left="-152" w:hanging="2"/>
              <w:jc w:val="center"/>
              <w:rPr>
                <w:rFonts w:eastAsia="Arial"/>
                <w:szCs w:val="28"/>
                <w:lang w:eastAsia="en-GB"/>
              </w:rPr>
            </w:pPr>
          </w:p>
        </w:tc>
        <w:tc>
          <w:tcPr>
            <w:tcW w:w="1593" w:type="dxa"/>
            <w:tcBorders>
              <w:top w:val="nil"/>
              <w:left w:val="nil"/>
              <w:right w:val="nil"/>
            </w:tcBorders>
            <w:shd w:val="clear" w:color="auto" w:fill="auto"/>
            <w:tcMar>
              <w:left w:w="0" w:type="dxa"/>
              <w:right w:w="0" w:type="dxa"/>
            </w:tcMar>
            <w:vAlign w:val="bottom"/>
          </w:tcPr>
          <w:p w14:paraId="6E2A3283" w14:textId="171AE879" w:rsidR="00B25E95" w:rsidRPr="004F6EE6" w:rsidRDefault="00B25E95" w:rsidP="00B25E95">
            <w:pPr>
              <w:tabs>
                <w:tab w:val="decimal" w:pos="1306"/>
              </w:tabs>
              <w:spacing w:after="0"/>
              <w:ind w:left="203"/>
              <w:rPr>
                <w:rFonts w:eastAsia="Arial"/>
                <w:szCs w:val="28"/>
                <w:lang w:eastAsia="en-GB"/>
              </w:rPr>
            </w:pPr>
            <w:r w:rsidRPr="00F2575A">
              <w:rPr>
                <w:rFonts w:eastAsia="Arial"/>
                <w:szCs w:val="28"/>
                <w:lang w:eastAsia="en-GB"/>
              </w:rPr>
              <w:t>(2.1)</w:t>
            </w:r>
          </w:p>
        </w:tc>
        <w:tc>
          <w:tcPr>
            <w:tcW w:w="284" w:type="dxa"/>
            <w:tcBorders>
              <w:top w:val="nil"/>
              <w:left w:val="nil"/>
              <w:right w:val="nil"/>
            </w:tcBorders>
            <w:shd w:val="clear" w:color="auto" w:fill="FFFFFF"/>
            <w:tcMar>
              <w:left w:w="0" w:type="dxa"/>
              <w:right w:w="0" w:type="dxa"/>
            </w:tcMar>
            <w:vAlign w:val="bottom"/>
          </w:tcPr>
          <w:p w14:paraId="63E0BE9A" w14:textId="77777777" w:rsidR="00B25E95" w:rsidRPr="00EE3889" w:rsidRDefault="00B25E95" w:rsidP="00B25E95">
            <w:pPr>
              <w:spacing w:after="0"/>
              <w:rPr>
                <w:rFonts w:eastAsia="Arial"/>
                <w:szCs w:val="28"/>
                <w:lang w:eastAsia="en-GB"/>
              </w:rPr>
            </w:pPr>
            <w:r w:rsidRPr="00EE3889">
              <w:rPr>
                <w:rFonts w:eastAsia="Arial"/>
                <w:szCs w:val="28"/>
                <w:lang w:eastAsia="en-GB"/>
              </w:rPr>
              <w:t xml:space="preserve"> </w:t>
            </w:r>
          </w:p>
        </w:tc>
        <w:tc>
          <w:tcPr>
            <w:tcW w:w="1701" w:type="dxa"/>
            <w:tcBorders>
              <w:top w:val="nil"/>
              <w:left w:val="nil"/>
              <w:right w:val="nil"/>
            </w:tcBorders>
            <w:shd w:val="clear" w:color="auto" w:fill="auto"/>
            <w:tcMar>
              <w:left w:w="0" w:type="dxa"/>
              <w:right w:w="0" w:type="dxa"/>
            </w:tcMar>
            <w:vAlign w:val="bottom"/>
          </w:tcPr>
          <w:p w14:paraId="3FFD1341" w14:textId="24CF830B" w:rsidR="00B25E95" w:rsidRPr="007756EA" w:rsidRDefault="00B25E95" w:rsidP="00B25E95">
            <w:pPr>
              <w:tabs>
                <w:tab w:val="decimal" w:pos="1420"/>
              </w:tabs>
              <w:spacing w:after="0"/>
              <w:ind w:left="203"/>
              <w:rPr>
                <w:rFonts w:eastAsia="Arial"/>
                <w:szCs w:val="28"/>
                <w:highlight w:val="yellow"/>
                <w:lang w:eastAsia="en-GB"/>
              </w:rPr>
            </w:pPr>
            <w:r w:rsidRPr="00131B4F">
              <w:rPr>
                <w:rFonts w:eastAsia="Arial"/>
                <w:szCs w:val="28"/>
                <w:lang w:val="en-GB" w:eastAsia="en-GB"/>
              </w:rPr>
              <w:t>(1.7)</w:t>
            </w:r>
          </w:p>
        </w:tc>
      </w:tr>
      <w:tr w:rsidR="00B25E95" w:rsidRPr="003C362B" w14:paraId="7281F3D3" w14:textId="77777777" w:rsidTr="00272A01">
        <w:trPr>
          <w:trHeight w:val="152"/>
        </w:trPr>
        <w:tc>
          <w:tcPr>
            <w:tcW w:w="4069" w:type="dxa"/>
            <w:tcBorders>
              <w:top w:val="nil"/>
              <w:left w:val="nil"/>
              <w:bottom w:val="nil"/>
              <w:right w:val="nil"/>
            </w:tcBorders>
            <w:shd w:val="clear" w:color="auto" w:fill="FFFFFF"/>
            <w:tcMar>
              <w:left w:w="0" w:type="dxa"/>
              <w:right w:w="0" w:type="dxa"/>
            </w:tcMar>
          </w:tcPr>
          <w:p w14:paraId="0EE814C6" w14:textId="6F7832C5" w:rsidR="00B25E95" w:rsidRPr="00EE3889" w:rsidRDefault="00B25E95" w:rsidP="00B25E95">
            <w:pPr>
              <w:spacing w:after="0"/>
              <w:rPr>
                <w:rFonts w:eastAsia="Arial"/>
                <w:szCs w:val="28"/>
                <w:lang w:eastAsia="en-GB"/>
              </w:rPr>
            </w:pPr>
            <w:r w:rsidRPr="00EE3889">
              <w:rPr>
                <w:rFonts w:eastAsia="Arial"/>
                <w:b/>
                <w:szCs w:val="28"/>
                <w:lang w:eastAsia="en-GB"/>
              </w:rPr>
              <w:t>Other comprehensive</w:t>
            </w:r>
            <w:r>
              <w:rPr>
                <w:rFonts w:eastAsia="Arial"/>
                <w:b/>
                <w:szCs w:val="28"/>
                <w:lang w:eastAsia="en-GB"/>
              </w:rPr>
              <w:t xml:space="preserve"> loss</w:t>
            </w:r>
            <w:r w:rsidRPr="00EE3889">
              <w:rPr>
                <w:rFonts w:eastAsia="Arial"/>
                <w:b/>
                <w:szCs w:val="28"/>
                <w:lang w:eastAsia="en-GB"/>
              </w:rPr>
              <w:t xml:space="preserve"> for the year net of tax</w:t>
            </w:r>
          </w:p>
        </w:tc>
        <w:tc>
          <w:tcPr>
            <w:tcW w:w="608" w:type="dxa"/>
            <w:tcBorders>
              <w:top w:val="nil"/>
              <w:left w:val="nil"/>
              <w:bottom w:val="nil"/>
              <w:right w:val="nil"/>
            </w:tcBorders>
            <w:shd w:val="clear" w:color="auto" w:fill="FFFFFF"/>
            <w:tcMar>
              <w:left w:w="0" w:type="dxa"/>
              <w:right w:w="0" w:type="dxa"/>
            </w:tcMar>
            <w:vAlign w:val="bottom"/>
          </w:tcPr>
          <w:p w14:paraId="78719BC2" w14:textId="77777777" w:rsidR="00B25E95" w:rsidRPr="00EE3889" w:rsidRDefault="00B25E95" w:rsidP="00B25E95">
            <w:pPr>
              <w:spacing w:after="0"/>
              <w:rPr>
                <w:rFonts w:eastAsia="Arial"/>
                <w:szCs w:val="28"/>
                <w:lang w:eastAsia="en-GB"/>
              </w:rPr>
            </w:pPr>
          </w:p>
        </w:tc>
        <w:tc>
          <w:tcPr>
            <w:tcW w:w="1559" w:type="dxa"/>
            <w:tcBorders>
              <w:top w:val="single" w:sz="4" w:space="0" w:color="auto"/>
              <w:left w:val="nil"/>
              <w:right w:val="nil"/>
            </w:tcBorders>
          </w:tcPr>
          <w:p w14:paraId="439CE4C5" w14:textId="1821C7FA" w:rsidR="00B25E95" w:rsidRPr="005F0E7F" w:rsidRDefault="00092FD9" w:rsidP="00B25E95">
            <w:pPr>
              <w:tabs>
                <w:tab w:val="decimal" w:pos="1172"/>
              </w:tabs>
              <w:spacing w:after="0"/>
              <w:ind w:left="-313" w:right="-112" w:hanging="2"/>
              <w:rPr>
                <w:rFonts w:eastAsia="Arial"/>
                <w:b/>
                <w:bCs/>
                <w:szCs w:val="28"/>
                <w:lang w:eastAsia="en-GB"/>
              </w:rPr>
            </w:pPr>
            <w:r w:rsidRPr="005F0E7F">
              <w:rPr>
                <w:rFonts w:eastAsia="Arial"/>
                <w:b/>
                <w:bCs/>
                <w:szCs w:val="28"/>
                <w:lang w:eastAsia="en-GB"/>
              </w:rPr>
              <w:t>(0.8)</w:t>
            </w:r>
          </w:p>
        </w:tc>
        <w:tc>
          <w:tcPr>
            <w:tcW w:w="250" w:type="dxa"/>
            <w:tcBorders>
              <w:top w:val="nil"/>
              <w:left w:val="nil"/>
              <w:right w:val="nil"/>
            </w:tcBorders>
            <w:vAlign w:val="bottom"/>
          </w:tcPr>
          <w:p w14:paraId="39716BA5" w14:textId="028BADF3" w:rsidR="00B25E95" w:rsidRPr="00EE3889" w:rsidRDefault="00B25E95" w:rsidP="00B25E95">
            <w:pPr>
              <w:spacing w:after="0"/>
              <w:ind w:left="-313" w:hanging="2"/>
              <w:jc w:val="center"/>
              <w:rPr>
                <w:rFonts w:eastAsia="Arial"/>
                <w:szCs w:val="28"/>
                <w:lang w:eastAsia="en-GB"/>
              </w:rPr>
            </w:pPr>
          </w:p>
        </w:tc>
        <w:tc>
          <w:tcPr>
            <w:tcW w:w="1593" w:type="dxa"/>
            <w:tcBorders>
              <w:top w:val="single" w:sz="4" w:space="0" w:color="auto"/>
              <w:left w:val="nil"/>
              <w:right w:val="nil"/>
            </w:tcBorders>
            <w:shd w:val="clear" w:color="auto" w:fill="auto"/>
            <w:tcMar>
              <w:left w:w="0" w:type="dxa"/>
              <w:right w:w="0" w:type="dxa"/>
            </w:tcMar>
          </w:tcPr>
          <w:p w14:paraId="4F3B70AF" w14:textId="239BCE62" w:rsidR="00B25E95" w:rsidRPr="004F6EE6" w:rsidRDefault="00B25E95" w:rsidP="00B25E95">
            <w:pPr>
              <w:tabs>
                <w:tab w:val="decimal" w:pos="1306"/>
              </w:tabs>
              <w:spacing w:after="0"/>
              <w:ind w:left="203"/>
              <w:rPr>
                <w:rFonts w:eastAsia="Arial"/>
                <w:b/>
                <w:szCs w:val="28"/>
                <w:lang w:eastAsia="en-GB"/>
              </w:rPr>
            </w:pPr>
            <w:r w:rsidRPr="00F2575A">
              <w:rPr>
                <w:rFonts w:eastAsia="Arial"/>
                <w:b/>
                <w:szCs w:val="28"/>
                <w:lang w:eastAsia="en-GB"/>
              </w:rPr>
              <w:t>(2.1)</w:t>
            </w:r>
          </w:p>
        </w:tc>
        <w:tc>
          <w:tcPr>
            <w:tcW w:w="284" w:type="dxa"/>
            <w:tcBorders>
              <w:top w:val="nil"/>
              <w:left w:val="nil"/>
              <w:right w:val="nil"/>
            </w:tcBorders>
            <w:shd w:val="clear" w:color="auto" w:fill="FFFFFF"/>
            <w:tcMar>
              <w:left w:w="0" w:type="dxa"/>
              <w:right w:w="0" w:type="dxa"/>
            </w:tcMar>
            <w:vAlign w:val="bottom"/>
          </w:tcPr>
          <w:p w14:paraId="365EB7F3" w14:textId="77777777" w:rsidR="00B25E95" w:rsidRPr="00EE3889" w:rsidRDefault="00B25E95" w:rsidP="00B25E95">
            <w:pPr>
              <w:spacing w:after="0"/>
              <w:rPr>
                <w:rFonts w:eastAsia="Arial"/>
                <w:b/>
                <w:szCs w:val="28"/>
                <w:lang w:eastAsia="en-GB"/>
              </w:rPr>
            </w:pPr>
            <w:r w:rsidRPr="00EE3889">
              <w:rPr>
                <w:rFonts w:eastAsia="Arial"/>
                <w:b/>
                <w:szCs w:val="28"/>
                <w:lang w:eastAsia="en-GB"/>
              </w:rPr>
              <w:t xml:space="preserve"> </w:t>
            </w:r>
          </w:p>
        </w:tc>
        <w:tc>
          <w:tcPr>
            <w:tcW w:w="1701" w:type="dxa"/>
            <w:tcBorders>
              <w:top w:val="single" w:sz="4" w:space="0" w:color="auto"/>
              <w:left w:val="nil"/>
              <w:right w:val="nil"/>
            </w:tcBorders>
            <w:shd w:val="clear" w:color="auto" w:fill="auto"/>
            <w:tcMar>
              <w:left w:w="0" w:type="dxa"/>
              <w:right w:w="0" w:type="dxa"/>
            </w:tcMar>
          </w:tcPr>
          <w:p w14:paraId="6AC3BEF7" w14:textId="6B3560D7" w:rsidR="00B25E95" w:rsidRPr="007756EA" w:rsidRDefault="00B25E95" w:rsidP="00B25E95">
            <w:pPr>
              <w:tabs>
                <w:tab w:val="decimal" w:pos="1420"/>
              </w:tabs>
              <w:spacing w:after="0"/>
              <w:ind w:left="203"/>
              <w:rPr>
                <w:rFonts w:eastAsia="Arial"/>
                <w:b/>
                <w:szCs w:val="28"/>
                <w:highlight w:val="yellow"/>
                <w:lang w:eastAsia="en-GB"/>
              </w:rPr>
            </w:pPr>
            <w:r w:rsidRPr="00131B4F">
              <w:rPr>
                <w:rFonts w:eastAsia="Arial"/>
                <w:b/>
                <w:szCs w:val="28"/>
                <w:lang w:val="en-GB" w:eastAsia="en-GB"/>
              </w:rPr>
              <w:t>(1.7)</w:t>
            </w:r>
          </w:p>
        </w:tc>
      </w:tr>
      <w:tr w:rsidR="00B25E95" w:rsidRPr="003C362B" w14:paraId="6E2294F8" w14:textId="77777777" w:rsidTr="00360933">
        <w:trPr>
          <w:trHeight w:hRule="exact" w:val="255"/>
        </w:trPr>
        <w:tc>
          <w:tcPr>
            <w:tcW w:w="4069" w:type="dxa"/>
            <w:tcBorders>
              <w:top w:val="nil"/>
              <w:left w:val="nil"/>
              <w:bottom w:val="nil"/>
              <w:right w:val="nil"/>
            </w:tcBorders>
            <w:shd w:val="clear" w:color="auto" w:fill="FFFFFF"/>
            <w:tcMar>
              <w:left w:w="0" w:type="dxa"/>
              <w:right w:w="0" w:type="dxa"/>
            </w:tcMar>
          </w:tcPr>
          <w:p w14:paraId="7E73EDA5" w14:textId="77777777" w:rsidR="00B25E95" w:rsidRPr="00EE3889" w:rsidRDefault="00B25E95" w:rsidP="00B25E95">
            <w:pPr>
              <w:spacing w:after="0"/>
              <w:rPr>
                <w:rFonts w:eastAsia="Arial"/>
                <w:szCs w:val="28"/>
                <w:lang w:eastAsia="en-GB"/>
              </w:rPr>
            </w:pPr>
            <w:r w:rsidRPr="00EE3889">
              <w:rPr>
                <w:rFonts w:eastAsia="Arial"/>
                <w:szCs w:val="28"/>
                <w:lang w:eastAsia="en-GB"/>
              </w:rPr>
              <w:t xml:space="preserve"> </w:t>
            </w:r>
          </w:p>
        </w:tc>
        <w:tc>
          <w:tcPr>
            <w:tcW w:w="608" w:type="dxa"/>
            <w:tcBorders>
              <w:top w:val="nil"/>
              <w:left w:val="nil"/>
              <w:bottom w:val="nil"/>
              <w:right w:val="nil"/>
            </w:tcBorders>
            <w:shd w:val="clear" w:color="auto" w:fill="FFFFFF"/>
            <w:tcMar>
              <w:left w:w="0" w:type="dxa"/>
              <w:right w:w="0" w:type="dxa"/>
            </w:tcMar>
            <w:vAlign w:val="bottom"/>
          </w:tcPr>
          <w:p w14:paraId="4070C6DB" w14:textId="77777777" w:rsidR="00B25E95" w:rsidRPr="00EE3889" w:rsidRDefault="00B25E95" w:rsidP="00B25E95">
            <w:pPr>
              <w:spacing w:after="0"/>
              <w:rPr>
                <w:rFonts w:eastAsia="Arial"/>
                <w:szCs w:val="28"/>
                <w:lang w:eastAsia="en-GB"/>
              </w:rPr>
            </w:pPr>
          </w:p>
        </w:tc>
        <w:tc>
          <w:tcPr>
            <w:tcW w:w="1559" w:type="dxa"/>
            <w:tcBorders>
              <w:left w:val="nil"/>
              <w:bottom w:val="single" w:sz="6" w:space="0" w:color="auto"/>
              <w:right w:val="nil"/>
            </w:tcBorders>
          </w:tcPr>
          <w:p w14:paraId="4B3A98A7" w14:textId="34533785" w:rsidR="00B25E95" w:rsidRPr="004E04F0" w:rsidRDefault="00B25E95" w:rsidP="00B25E95">
            <w:pPr>
              <w:tabs>
                <w:tab w:val="decimal" w:pos="1172"/>
              </w:tabs>
              <w:spacing w:after="0"/>
              <w:ind w:left="-313" w:right="-112" w:hanging="2"/>
              <w:rPr>
                <w:rFonts w:eastAsia="Arial"/>
                <w:szCs w:val="28"/>
                <w:lang w:eastAsia="en-GB"/>
              </w:rPr>
            </w:pPr>
          </w:p>
        </w:tc>
        <w:tc>
          <w:tcPr>
            <w:tcW w:w="250" w:type="dxa"/>
            <w:tcBorders>
              <w:left w:val="nil"/>
              <w:right w:val="nil"/>
            </w:tcBorders>
            <w:vAlign w:val="bottom"/>
          </w:tcPr>
          <w:p w14:paraId="41899966" w14:textId="75013AD3" w:rsidR="00B25E95" w:rsidRPr="00EE3889" w:rsidRDefault="00B25E95" w:rsidP="00B25E95">
            <w:pPr>
              <w:spacing w:after="0"/>
              <w:ind w:left="-313" w:hanging="2"/>
              <w:rPr>
                <w:rFonts w:eastAsia="Arial"/>
                <w:szCs w:val="28"/>
                <w:lang w:eastAsia="en-GB"/>
              </w:rPr>
            </w:pPr>
            <w:r w:rsidRPr="00EE3889">
              <w:rPr>
                <w:rFonts w:eastAsia="Arial"/>
                <w:szCs w:val="28"/>
                <w:lang w:eastAsia="en-GB"/>
              </w:rPr>
              <w:t xml:space="preserve"> </w:t>
            </w:r>
          </w:p>
        </w:tc>
        <w:tc>
          <w:tcPr>
            <w:tcW w:w="1593" w:type="dxa"/>
            <w:tcBorders>
              <w:left w:val="nil"/>
              <w:bottom w:val="single" w:sz="6" w:space="0" w:color="000000"/>
              <w:right w:val="nil"/>
            </w:tcBorders>
            <w:shd w:val="clear" w:color="auto" w:fill="auto"/>
            <w:tcMar>
              <w:left w:w="0" w:type="dxa"/>
              <w:right w:w="0" w:type="dxa"/>
            </w:tcMar>
          </w:tcPr>
          <w:p w14:paraId="56CEAFBA" w14:textId="77777777" w:rsidR="00B25E95" w:rsidRPr="004F6EE6" w:rsidRDefault="00B25E95" w:rsidP="00B25E95">
            <w:pPr>
              <w:tabs>
                <w:tab w:val="decimal" w:pos="1306"/>
              </w:tabs>
              <w:spacing w:after="0"/>
              <w:ind w:left="203"/>
              <w:rPr>
                <w:rFonts w:eastAsia="Arial"/>
                <w:szCs w:val="28"/>
                <w:lang w:eastAsia="en-GB"/>
              </w:rPr>
            </w:pPr>
          </w:p>
        </w:tc>
        <w:tc>
          <w:tcPr>
            <w:tcW w:w="284" w:type="dxa"/>
            <w:tcBorders>
              <w:left w:val="nil"/>
              <w:right w:val="nil"/>
            </w:tcBorders>
            <w:shd w:val="clear" w:color="auto" w:fill="FFFFFF"/>
            <w:tcMar>
              <w:left w:w="0" w:type="dxa"/>
              <w:right w:w="0" w:type="dxa"/>
            </w:tcMar>
            <w:vAlign w:val="bottom"/>
          </w:tcPr>
          <w:p w14:paraId="52384BF5" w14:textId="77777777" w:rsidR="00B25E95" w:rsidRPr="00EE3889" w:rsidRDefault="00B25E95" w:rsidP="00B25E95">
            <w:pPr>
              <w:spacing w:after="0"/>
              <w:rPr>
                <w:rFonts w:eastAsia="Arial"/>
                <w:szCs w:val="28"/>
                <w:lang w:eastAsia="en-GB"/>
              </w:rPr>
            </w:pPr>
            <w:r w:rsidRPr="00EE3889">
              <w:rPr>
                <w:rFonts w:eastAsia="Arial"/>
                <w:szCs w:val="28"/>
                <w:lang w:eastAsia="en-GB"/>
              </w:rPr>
              <w:t xml:space="preserve"> </w:t>
            </w:r>
          </w:p>
        </w:tc>
        <w:tc>
          <w:tcPr>
            <w:tcW w:w="1701" w:type="dxa"/>
            <w:tcBorders>
              <w:left w:val="nil"/>
              <w:bottom w:val="single" w:sz="6" w:space="0" w:color="000000"/>
              <w:right w:val="nil"/>
            </w:tcBorders>
            <w:shd w:val="clear" w:color="auto" w:fill="auto"/>
            <w:tcMar>
              <w:left w:w="0" w:type="dxa"/>
              <w:right w:w="0" w:type="dxa"/>
            </w:tcMar>
          </w:tcPr>
          <w:p w14:paraId="54C6EA97" w14:textId="77777777" w:rsidR="00B25E95" w:rsidRPr="007756EA" w:rsidRDefault="00B25E95" w:rsidP="00B25E95">
            <w:pPr>
              <w:tabs>
                <w:tab w:val="decimal" w:pos="1421"/>
              </w:tabs>
              <w:spacing w:after="0"/>
              <w:ind w:left="203"/>
              <w:rPr>
                <w:rFonts w:eastAsia="Arial"/>
                <w:szCs w:val="28"/>
                <w:highlight w:val="yellow"/>
                <w:lang w:eastAsia="en-GB"/>
              </w:rPr>
            </w:pPr>
          </w:p>
        </w:tc>
      </w:tr>
      <w:tr w:rsidR="00B25E95" w:rsidRPr="003C362B" w14:paraId="72E2B6E7" w14:textId="77777777" w:rsidTr="005F0E7F">
        <w:trPr>
          <w:trHeight w:val="243"/>
        </w:trPr>
        <w:tc>
          <w:tcPr>
            <w:tcW w:w="4069" w:type="dxa"/>
            <w:tcBorders>
              <w:top w:val="nil"/>
              <w:left w:val="nil"/>
              <w:bottom w:val="nil"/>
              <w:right w:val="nil"/>
            </w:tcBorders>
            <w:shd w:val="clear" w:color="auto" w:fill="FFFFFF"/>
            <w:tcMar>
              <w:left w:w="0" w:type="dxa"/>
              <w:right w:w="0" w:type="dxa"/>
            </w:tcMar>
            <w:vAlign w:val="bottom"/>
          </w:tcPr>
          <w:p w14:paraId="3FB9E06F" w14:textId="256A0D26" w:rsidR="00B25E95" w:rsidRPr="00EE3889" w:rsidRDefault="00B25E95" w:rsidP="00B25E95">
            <w:pPr>
              <w:spacing w:after="0"/>
              <w:rPr>
                <w:rFonts w:eastAsia="Arial"/>
                <w:b/>
                <w:szCs w:val="28"/>
                <w:lang w:eastAsia="en-GB"/>
              </w:rPr>
            </w:pPr>
            <w:r w:rsidRPr="00EE3889">
              <w:rPr>
                <w:rFonts w:eastAsia="Arial"/>
                <w:b/>
                <w:szCs w:val="28"/>
                <w:lang w:eastAsia="en-GB"/>
              </w:rPr>
              <w:t>Total comprehensive income</w:t>
            </w:r>
            <w:r>
              <w:rPr>
                <w:rFonts w:eastAsia="Arial"/>
                <w:b/>
                <w:szCs w:val="28"/>
                <w:lang w:eastAsia="en-GB"/>
              </w:rPr>
              <w:t>/(loss)</w:t>
            </w:r>
            <w:r w:rsidRPr="00EE3889">
              <w:rPr>
                <w:rFonts w:eastAsia="Arial"/>
                <w:b/>
                <w:szCs w:val="28"/>
                <w:lang w:eastAsia="en-GB"/>
              </w:rPr>
              <w:t xml:space="preserve"> for the </w:t>
            </w:r>
            <w:r w:rsidR="00394609">
              <w:rPr>
                <w:rFonts w:eastAsia="Arial"/>
                <w:b/>
                <w:szCs w:val="28"/>
                <w:lang w:eastAsia="en-GB"/>
              </w:rPr>
              <w:t>period</w:t>
            </w:r>
            <w:r w:rsidR="00394609" w:rsidRPr="00EE3889">
              <w:rPr>
                <w:rFonts w:eastAsia="Arial"/>
                <w:b/>
                <w:szCs w:val="28"/>
                <w:lang w:eastAsia="en-GB"/>
              </w:rPr>
              <w:t xml:space="preserve"> </w:t>
            </w:r>
            <w:r w:rsidRPr="00EE3889">
              <w:rPr>
                <w:rFonts w:eastAsia="Arial"/>
                <w:b/>
                <w:szCs w:val="28"/>
                <w:lang w:eastAsia="en-GB"/>
              </w:rPr>
              <w:t>net of tax</w:t>
            </w:r>
          </w:p>
        </w:tc>
        <w:tc>
          <w:tcPr>
            <w:tcW w:w="608" w:type="dxa"/>
            <w:tcBorders>
              <w:top w:val="nil"/>
              <w:left w:val="nil"/>
              <w:bottom w:val="nil"/>
              <w:right w:val="nil"/>
            </w:tcBorders>
            <w:shd w:val="clear" w:color="auto" w:fill="FFFFFF"/>
            <w:tcMar>
              <w:left w:w="0" w:type="dxa"/>
              <w:right w:w="0" w:type="dxa"/>
            </w:tcMar>
            <w:vAlign w:val="bottom"/>
          </w:tcPr>
          <w:p w14:paraId="58E3E35B" w14:textId="77777777" w:rsidR="00B25E95" w:rsidRPr="00EE3889" w:rsidRDefault="00B25E95" w:rsidP="00B25E95">
            <w:pPr>
              <w:spacing w:after="0"/>
              <w:rPr>
                <w:rFonts w:eastAsia="Arial"/>
                <w:b/>
                <w:szCs w:val="28"/>
                <w:lang w:eastAsia="en-GB"/>
              </w:rPr>
            </w:pPr>
          </w:p>
        </w:tc>
        <w:tc>
          <w:tcPr>
            <w:tcW w:w="1559" w:type="dxa"/>
            <w:tcBorders>
              <w:top w:val="single" w:sz="6" w:space="0" w:color="auto"/>
              <w:left w:val="nil"/>
              <w:bottom w:val="double" w:sz="4" w:space="0" w:color="auto"/>
              <w:right w:val="nil"/>
            </w:tcBorders>
            <w:vAlign w:val="bottom"/>
          </w:tcPr>
          <w:p w14:paraId="53087D23" w14:textId="230159F7" w:rsidR="00B25E95" w:rsidRPr="004E04F0" w:rsidRDefault="00092FD9" w:rsidP="00D97590">
            <w:pPr>
              <w:tabs>
                <w:tab w:val="decimal" w:pos="1172"/>
              </w:tabs>
              <w:spacing w:after="0"/>
              <w:ind w:left="-313" w:right="-112" w:hanging="2"/>
              <w:rPr>
                <w:rFonts w:eastAsia="Arial"/>
                <w:b/>
                <w:szCs w:val="28"/>
                <w:lang w:eastAsia="en-GB"/>
              </w:rPr>
            </w:pPr>
            <w:r>
              <w:rPr>
                <w:rFonts w:eastAsia="Arial"/>
                <w:b/>
                <w:szCs w:val="28"/>
                <w:lang w:eastAsia="en-GB"/>
              </w:rPr>
              <w:t>27.</w:t>
            </w:r>
            <w:r w:rsidR="008E103A">
              <w:rPr>
                <w:rFonts w:eastAsia="Arial"/>
                <w:b/>
                <w:szCs w:val="28"/>
                <w:lang w:eastAsia="en-GB"/>
              </w:rPr>
              <w:t>4</w:t>
            </w:r>
          </w:p>
        </w:tc>
        <w:tc>
          <w:tcPr>
            <w:tcW w:w="250" w:type="dxa"/>
            <w:tcBorders>
              <w:left w:val="nil"/>
              <w:right w:val="nil"/>
            </w:tcBorders>
            <w:vAlign w:val="center"/>
          </w:tcPr>
          <w:p w14:paraId="3995FC84" w14:textId="21FF1D01" w:rsidR="00B25E95" w:rsidRPr="00EE3889" w:rsidRDefault="00B25E95" w:rsidP="00B25E95">
            <w:pPr>
              <w:spacing w:after="0"/>
              <w:ind w:left="-313" w:hanging="2"/>
              <w:jc w:val="right"/>
              <w:rPr>
                <w:rFonts w:eastAsia="Arial"/>
                <w:b/>
                <w:szCs w:val="28"/>
                <w:lang w:eastAsia="en-GB"/>
              </w:rPr>
            </w:pPr>
            <w:r w:rsidRPr="00EE3889">
              <w:rPr>
                <w:rFonts w:eastAsia="Arial"/>
                <w:b/>
                <w:szCs w:val="28"/>
                <w:lang w:eastAsia="en-GB"/>
              </w:rPr>
              <w:t xml:space="preserve"> </w:t>
            </w:r>
          </w:p>
        </w:tc>
        <w:tc>
          <w:tcPr>
            <w:tcW w:w="1593" w:type="dxa"/>
            <w:tcBorders>
              <w:top w:val="single" w:sz="6" w:space="0" w:color="000000"/>
              <w:left w:val="nil"/>
              <w:bottom w:val="double" w:sz="4" w:space="0" w:color="auto"/>
              <w:right w:val="nil"/>
            </w:tcBorders>
            <w:shd w:val="clear" w:color="auto" w:fill="auto"/>
            <w:tcMar>
              <w:left w:w="0" w:type="dxa"/>
              <w:right w:w="0" w:type="dxa"/>
            </w:tcMar>
            <w:vAlign w:val="bottom"/>
          </w:tcPr>
          <w:p w14:paraId="4A05215B" w14:textId="3804CD8D" w:rsidR="00B25E95" w:rsidRPr="004F6EE6" w:rsidRDefault="00B25E95" w:rsidP="00B25E95">
            <w:pPr>
              <w:tabs>
                <w:tab w:val="decimal" w:pos="1306"/>
              </w:tabs>
              <w:spacing w:after="0"/>
              <w:ind w:left="203"/>
              <w:jc w:val="center"/>
              <w:rPr>
                <w:rFonts w:eastAsia="Arial"/>
                <w:b/>
                <w:szCs w:val="28"/>
                <w:lang w:eastAsia="en-GB"/>
              </w:rPr>
            </w:pPr>
            <w:r w:rsidRPr="00F2575A">
              <w:rPr>
                <w:rFonts w:eastAsia="Arial"/>
                <w:b/>
                <w:szCs w:val="28"/>
                <w:lang w:eastAsia="en-GB"/>
              </w:rPr>
              <w:t>2</w:t>
            </w:r>
            <w:r>
              <w:rPr>
                <w:rFonts w:eastAsia="Arial"/>
                <w:b/>
                <w:szCs w:val="28"/>
                <w:lang w:eastAsia="en-GB"/>
              </w:rPr>
              <w:t>2</w:t>
            </w:r>
            <w:r w:rsidRPr="00F2575A">
              <w:rPr>
                <w:rFonts w:eastAsia="Arial"/>
                <w:b/>
                <w:szCs w:val="28"/>
                <w:lang w:eastAsia="en-GB"/>
              </w:rPr>
              <w:t>.</w:t>
            </w:r>
            <w:r>
              <w:rPr>
                <w:rFonts w:eastAsia="Arial"/>
                <w:b/>
                <w:szCs w:val="28"/>
                <w:lang w:eastAsia="en-GB"/>
              </w:rPr>
              <w:t>1</w:t>
            </w:r>
          </w:p>
        </w:tc>
        <w:tc>
          <w:tcPr>
            <w:tcW w:w="284" w:type="dxa"/>
            <w:tcBorders>
              <w:left w:val="nil"/>
              <w:bottom w:val="nil"/>
              <w:right w:val="nil"/>
            </w:tcBorders>
            <w:shd w:val="clear" w:color="auto" w:fill="FFFFFF"/>
            <w:tcMar>
              <w:left w:w="0" w:type="dxa"/>
              <w:right w:w="0" w:type="dxa"/>
            </w:tcMar>
            <w:vAlign w:val="bottom"/>
          </w:tcPr>
          <w:p w14:paraId="41DD6BE3" w14:textId="6A576F1C" w:rsidR="00B25E95" w:rsidRPr="00EE3889" w:rsidRDefault="00B25E95" w:rsidP="00B25E95">
            <w:pPr>
              <w:spacing w:after="0"/>
              <w:jc w:val="center"/>
              <w:rPr>
                <w:rFonts w:eastAsia="Arial"/>
                <w:b/>
                <w:szCs w:val="28"/>
                <w:lang w:eastAsia="en-GB"/>
              </w:rPr>
            </w:pPr>
          </w:p>
        </w:tc>
        <w:tc>
          <w:tcPr>
            <w:tcW w:w="1701" w:type="dxa"/>
            <w:tcBorders>
              <w:top w:val="single" w:sz="6" w:space="0" w:color="000000"/>
              <w:left w:val="nil"/>
              <w:bottom w:val="double" w:sz="4" w:space="0" w:color="auto"/>
              <w:right w:val="nil"/>
            </w:tcBorders>
            <w:shd w:val="clear" w:color="auto" w:fill="auto"/>
            <w:tcMar>
              <w:left w:w="0" w:type="dxa"/>
              <w:right w:w="0" w:type="dxa"/>
            </w:tcMar>
            <w:vAlign w:val="bottom"/>
          </w:tcPr>
          <w:p w14:paraId="6680B669" w14:textId="6065BCA8" w:rsidR="00B25E95" w:rsidRPr="007756EA" w:rsidRDefault="00B25E95" w:rsidP="00B25E95">
            <w:pPr>
              <w:tabs>
                <w:tab w:val="decimal" w:pos="1420"/>
              </w:tabs>
              <w:spacing w:after="0"/>
              <w:ind w:left="203"/>
              <w:jc w:val="center"/>
              <w:rPr>
                <w:rFonts w:eastAsia="Arial"/>
                <w:b/>
                <w:szCs w:val="28"/>
                <w:highlight w:val="yellow"/>
                <w:lang w:eastAsia="en-GB"/>
              </w:rPr>
            </w:pPr>
            <w:r w:rsidRPr="00131B4F">
              <w:rPr>
                <w:rFonts w:eastAsia="Arial"/>
                <w:b/>
                <w:szCs w:val="28"/>
                <w:lang w:val="en-GB" w:eastAsia="en-GB"/>
              </w:rPr>
              <w:t>(14.6)</w:t>
            </w:r>
          </w:p>
        </w:tc>
      </w:tr>
    </w:tbl>
    <w:tbl>
      <w:tblPr>
        <w:tblStyle w:val="TableGrid70"/>
        <w:tblW w:w="10205" w:type="dxa"/>
        <w:tblLook w:val="04A0" w:firstRow="1" w:lastRow="0" w:firstColumn="1" w:lastColumn="0" w:noHBand="0" w:noVBand="1"/>
      </w:tblPr>
      <w:tblGrid>
        <w:gridCol w:w="10205"/>
      </w:tblGrid>
      <w:tr w:rsidR="00B87F64" w:rsidRPr="001520AE" w14:paraId="52D9F59E" w14:textId="77777777" w:rsidTr="00B87F64">
        <w:trPr>
          <w:trHeight w:val="708"/>
        </w:trPr>
        <w:tc>
          <w:tcPr>
            <w:tcW w:w="10205" w:type="dxa"/>
          </w:tcPr>
          <w:p w14:paraId="525AF1EF" w14:textId="77777777" w:rsidR="00B87F64" w:rsidRDefault="00B87F64" w:rsidP="00A97AF6">
            <w:pPr>
              <w:pStyle w:val="Heading"/>
              <w:spacing w:after="120"/>
              <w:rPr>
                <w:sz w:val="52"/>
                <w:szCs w:val="40"/>
              </w:rPr>
            </w:pPr>
            <w:r w:rsidRPr="00375DBE">
              <w:rPr>
                <w:sz w:val="52"/>
                <w:szCs w:val="40"/>
              </w:rPr>
              <w:lastRenderedPageBreak/>
              <w:t>Consolidated balance sheet</w:t>
            </w:r>
          </w:p>
          <w:p w14:paraId="06004168" w14:textId="5163C894" w:rsidR="00B87F64" w:rsidRPr="00B87F64" w:rsidRDefault="00B87F64" w:rsidP="00B87F64">
            <w:pPr>
              <w:pStyle w:val="Heading"/>
              <w:spacing w:after="120"/>
              <w:rPr>
                <w:szCs w:val="24"/>
              </w:rPr>
            </w:pPr>
            <w:r w:rsidRPr="004C5302">
              <w:rPr>
                <w:sz w:val="24"/>
                <w:szCs w:val="18"/>
              </w:rPr>
              <w:t xml:space="preserve">at 30 June </w:t>
            </w:r>
            <w:r w:rsidR="00E85F7E">
              <w:rPr>
                <w:sz w:val="24"/>
                <w:szCs w:val="18"/>
              </w:rPr>
              <w:t>2024</w:t>
            </w:r>
          </w:p>
        </w:tc>
      </w:tr>
      <w:tr w:rsidR="00B87F64" w:rsidRPr="00A517F6" w14:paraId="2589DC48" w14:textId="77777777" w:rsidTr="00B87F64">
        <w:trPr>
          <w:trHeight w:hRule="exact" w:val="284"/>
        </w:trPr>
        <w:tc>
          <w:tcPr>
            <w:tcW w:w="10205" w:type="dxa"/>
            <w:shd w:val="clear" w:color="auto" w:fill="16293F" w:themeFill="text1"/>
          </w:tcPr>
          <w:p w14:paraId="0EB08924" w14:textId="77777777" w:rsidR="00B87F64" w:rsidRPr="00A517F6" w:rsidRDefault="00B87F64" w:rsidP="00A97AF6">
            <w:pPr>
              <w:pStyle w:val="Bodytext0"/>
              <w:spacing w:before="0" w:line="240" w:lineRule="auto"/>
              <w:rPr>
                <w:sz w:val="16"/>
                <w:szCs w:val="18"/>
              </w:rPr>
            </w:pPr>
          </w:p>
        </w:tc>
      </w:tr>
    </w:tbl>
    <w:tbl>
      <w:tblPr>
        <w:tblW w:w="10178" w:type="dxa"/>
        <w:tblLayout w:type="fixed"/>
        <w:tblLook w:val="0000" w:firstRow="0" w:lastRow="0" w:firstColumn="0" w:lastColumn="0" w:noHBand="0" w:noVBand="0"/>
      </w:tblPr>
      <w:tblGrid>
        <w:gridCol w:w="4004"/>
        <w:gridCol w:w="22"/>
        <w:gridCol w:w="1558"/>
        <w:gridCol w:w="1362"/>
        <w:gridCol w:w="256"/>
        <w:gridCol w:w="1276"/>
        <w:gridCol w:w="283"/>
        <w:gridCol w:w="1417"/>
      </w:tblGrid>
      <w:tr w:rsidR="00C015A3" w:rsidRPr="00F26A5C" w14:paraId="22DDBF9E" w14:textId="77777777" w:rsidTr="00E23684">
        <w:trPr>
          <w:trHeight w:val="520"/>
        </w:trPr>
        <w:tc>
          <w:tcPr>
            <w:tcW w:w="4004" w:type="dxa"/>
            <w:tcBorders>
              <w:top w:val="nil"/>
              <w:left w:val="nil"/>
              <w:bottom w:val="nil"/>
              <w:right w:val="nil"/>
            </w:tcBorders>
            <w:shd w:val="clear" w:color="auto" w:fill="FFFFFF"/>
            <w:tcMar>
              <w:left w:w="0" w:type="dxa"/>
              <w:right w:w="0" w:type="dxa"/>
            </w:tcMar>
            <w:vAlign w:val="bottom"/>
          </w:tcPr>
          <w:p w14:paraId="550AD7DF" w14:textId="77777777" w:rsidR="00EC203E" w:rsidRPr="003F466B" w:rsidRDefault="00EC203E" w:rsidP="00E23684">
            <w:pPr>
              <w:pStyle w:val="Tableheading"/>
              <w:jc w:val="right"/>
            </w:pPr>
          </w:p>
        </w:tc>
        <w:tc>
          <w:tcPr>
            <w:tcW w:w="22" w:type="dxa"/>
            <w:tcBorders>
              <w:top w:val="nil"/>
              <w:left w:val="nil"/>
              <w:bottom w:val="nil"/>
              <w:right w:val="nil"/>
            </w:tcBorders>
            <w:shd w:val="clear" w:color="auto" w:fill="FFFFFF"/>
            <w:tcMar>
              <w:left w:w="0" w:type="dxa"/>
              <w:right w:w="0" w:type="dxa"/>
            </w:tcMar>
            <w:vAlign w:val="bottom"/>
          </w:tcPr>
          <w:p w14:paraId="1C0873B6" w14:textId="77777777" w:rsidR="00C015A3" w:rsidRPr="003F466B" w:rsidRDefault="00C015A3" w:rsidP="00E23684">
            <w:pPr>
              <w:pStyle w:val="Tableheading"/>
              <w:jc w:val="right"/>
            </w:pPr>
          </w:p>
        </w:tc>
        <w:tc>
          <w:tcPr>
            <w:tcW w:w="1558" w:type="dxa"/>
            <w:tcBorders>
              <w:top w:val="nil"/>
              <w:left w:val="nil"/>
              <w:bottom w:val="nil"/>
              <w:right w:val="nil"/>
            </w:tcBorders>
            <w:shd w:val="clear" w:color="auto" w:fill="FFFFFF"/>
            <w:vAlign w:val="bottom"/>
          </w:tcPr>
          <w:p w14:paraId="77FBB9DC" w14:textId="77777777" w:rsidR="00C015A3" w:rsidRPr="003564BC" w:rsidRDefault="00C015A3" w:rsidP="00692B9C">
            <w:pPr>
              <w:pStyle w:val="Tableheading"/>
              <w:jc w:val="center"/>
            </w:pPr>
            <w:r w:rsidRPr="003564BC">
              <w:t>Notes</w:t>
            </w:r>
          </w:p>
        </w:tc>
        <w:tc>
          <w:tcPr>
            <w:tcW w:w="1362" w:type="dxa"/>
            <w:tcBorders>
              <w:top w:val="nil"/>
              <w:left w:val="nil"/>
              <w:bottom w:val="nil"/>
              <w:right w:val="nil"/>
            </w:tcBorders>
            <w:shd w:val="clear" w:color="auto" w:fill="FFFFFF"/>
            <w:vAlign w:val="bottom"/>
          </w:tcPr>
          <w:p w14:paraId="0FE7AC3C" w14:textId="749CB6D4" w:rsidR="00C015A3" w:rsidRPr="003564BC" w:rsidRDefault="00C015A3" w:rsidP="00E23684">
            <w:pPr>
              <w:pStyle w:val="Tableheading"/>
              <w:jc w:val="right"/>
            </w:pPr>
            <w:r w:rsidRPr="003564BC">
              <w:t xml:space="preserve">30 June </w:t>
            </w:r>
            <w:r w:rsidR="00E85F7E">
              <w:t>2024</w:t>
            </w:r>
          </w:p>
        </w:tc>
        <w:tc>
          <w:tcPr>
            <w:tcW w:w="256" w:type="dxa"/>
            <w:tcBorders>
              <w:top w:val="nil"/>
              <w:left w:val="nil"/>
              <w:bottom w:val="nil"/>
              <w:right w:val="nil"/>
            </w:tcBorders>
            <w:shd w:val="clear" w:color="auto" w:fill="FFFFFF"/>
            <w:vAlign w:val="bottom"/>
          </w:tcPr>
          <w:p w14:paraId="44F01DCE" w14:textId="7560714E" w:rsidR="00C015A3" w:rsidRPr="003564BC" w:rsidRDefault="00C015A3" w:rsidP="00E23684">
            <w:pPr>
              <w:pStyle w:val="Tableheading"/>
              <w:jc w:val="right"/>
            </w:pPr>
            <w:r w:rsidRPr="003564BC">
              <w:t xml:space="preserve"> </w:t>
            </w:r>
          </w:p>
        </w:tc>
        <w:tc>
          <w:tcPr>
            <w:tcW w:w="1276" w:type="dxa"/>
            <w:tcBorders>
              <w:top w:val="nil"/>
              <w:left w:val="nil"/>
              <w:bottom w:val="nil"/>
              <w:right w:val="nil"/>
            </w:tcBorders>
            <w:shd w:val="clear" w:color="auto" w:fill="FFFFFF"/>
            <w:vAlign w:val="bottom"/>
          </w:tcPr>
          <w:p w14:paraId="2875F05B" w14:textId="0A973D80" w:rsidR="00C015A3" w:rsidRPr="003564BC" w:rsidRDefault="00C015A3" w:rsidP="00E23684">
            <w:pPr>
              <w:pStyle w:val="Tableheading"/>
              <w:jc w:val="right"/>
            </w:pPr>
            <w:r w:rsidRPr="003564BC">
              <w:t xml:space="preserve">30 June </w:t>
            </w:r>
            <w:r w:rsidR="00E85F7E">
              <w:t>2023</w:t>
            </w:r>
          </w:p>
        </w:tc>
        <w:tc>
          <w:tcPr>
            <w:tcW w:w="283" w:type="dxa"/>
            <w:tcBorders>
              <w:top w:val="nil"/>
              <w:left w:val="nil"/>
              <w:bottom w:val="nil"/>
              <w:right w:val="nil"/>
            </w:tcBorders>
            <w:shd w:val="clear" w:color="auto" w:fill="FFFFFF"/>
            <w:tcMar>
              <w:left w:w="0" w:type="dxa"/>
              <w:right w:w="0" w:type="dxa"/>
            </w:tcMar>
            <w:vAlign w:val="bottom"/>
          </w:tcPr>
          <w:p w14:paraId="4F92A3E8" w14:textId="77777777" w:rsidR="00C015A3" w:rsidRPr="003564BC" w:rsidRDefault="00C015A3" w:rsidP="00E23684">
            <w:pPr>
              <w:pStyle w:val="Tableheading"/>
              <w:jc w:val="right"/>
            </w:pPr>
            <w:r w:rsidRPr="003564BC">
              <w:t xml:space="preserve"> </w:t>
            </w:r>
          </w:p>
        </w:tc>
        <w:tc>
          <w:tcPr>
            <w:tcW w:w="1417" w:type="dxa"/>
            <w:tcBorders>
              <w:top w:val="nil"/>
              <w:left w:val="nil"/>
              <w:bottom w:val="nil"/>
              <w:right w:val="nil"/>
            </w:tcBorders>
            <w:shd w:val="clear" w:color="auto" w:fill="FFFFFF"/>
            <w:tcMar>
              <w:left w:w="0" w:type="dxa"/>
              <w:right w:w="0" w:type="dxa"/>
            </w:tcMar>
            <w:vAlign w:val="bottom"/>
          </w:tcPr>
          <w:p w14:paraId="6823F373" w14:textId="77777777" w:rsidR="00C015A3" w:rsidRPr="003564BC" w:rsidRDefault="00C015A3" w:rsidP="00E23684">
            <w:pPr>
              <w:pStyle w:val="Tableheading"/>
              <w:jc w:val="right"/>
            </w:pPr>
          </w:p>
          <w:p w14:paraId="38EAB3C3" w14:textId="2AAA84E0" w:rsidR="00C015A3" w:rsidRPr="003564BC" w:rsidRDefault="00C015A3" w:rsidP="00E23684">
            <w:pPr>
              <w:pStyle w:val="Tableheading"/>
              <w:jc w:val="right"/>
            </w:pPr>
            <w:r w:rsidRPr="003564BC">
              <w:t xml:space="preserve">31 December </w:t>
            </w:r>
            <w:r w:rsidR="00E85F7E">
              <w:t>2023</w:t>
            </w:r>
          </w:p>
        </w:tc>
      </w:tr>
      <w:tr w:rsidR="00C015A3" w:rsidRPr="00F26A5C" w14:paraId="619B2828" w14:textId="77777777" w:rsidTr="00E23684">
        <w:trPr>
          <w:trHeight w:val="80"/>
        </w:trPr>
        <w:tc>
          <w:tcPr>
            <w:tcW w:w="4004" w:type="dxa"/>
            <w:tcBorders>
              <w:top w:val="nil"/>
              <w:left w:val="nil"/>
              <w:bottom w:val="nil"/>
              <w:right w:val="nil"/>
            </w:tcBorders>
            <w:shd w:val="clear" w:color="auto" w:fill="FFFFFF"/>
            <w:tcMar>
              <w:left w:w="0" w:type="dxa"/>
              <w:right w:w="0" w:type="dxa"/>
            </w:tcMar>
            <w:vAlign w:val="bottom"/>
          </w:tcPr>
          <w:p w14:paraId="3983912A" w14:textId="77777777" w:rsidR="00C015A3" w:rsidRPr="003F466B" w:rsidRDefault="00C015A3" w:rsidP="00E23684">
            <w:pPr>
              <w:pStyle w:val="Tableheading"/>
              <w:jc w:val="right"/>
            </w:pPr>
            <w:r w:rsidRPr="003F466B">
              <w:t xml:space="preserve"> </w:t>
            </w:r>
          </w:p>
        </w:tc>
        <w:tc>
          <w:tcPr>
            <w:tcW w:w="22" w:type="dxa"/>
            <w:tcBorders>
              <w:top w:val="nil"/>
              <w:left w:val="nil"/>
              <w:bottom w:val="nil"/>
              <w:right w:val="nil"/>
            </w:tcBorders>
            <w:shd w:val="clear" w:color="auto" w:fill="FFFFFF"/>
            <w:tcMar>
              <w:left w:w="0" w:type="dxa"/>
              <w:right w:w="0" w:type="dxa"/>
            </w:tcMar>
            <w:vAlign w:val="bottom"/>
          </w:tcPr>
          <w:p w14:paraId="0764B82D" w14:textId="77777777" w:rsidR="00C015A3" w:rsidRPr="003F466B" w:rsidRDefault="00C015A3" w:rsidP="00E23684">
            <w:pPr>
              <w:pStyle w:val="Tableheading"/>
              <w:jc w:val="right"/>
            </w:pPr>
          </w:p>
        </w:tc>
        <w:tc>
          <w:tcPr>
            <w:tcW w:w="1558" w:type="dxa"/>
            <w:tcBorders>
              <w:top w:val="nil"/>
              <w:left w:val="nil"/>
              <w:bottom w:val="nil"/>
              <w:right w:val="nil"/>
            </w:tcBorders>
            <w:shd w:val="clear" w:color="auto" w:fill="FFFFFF"/>
            <w:vAlign w:val="bottom"/>
          </w:tcPr>
          <w:p w14:paraId="3DFA4780" w14:textId="77777777" w:rsidR="00C015A3" w:rsidRPr="003564BC" w:rsidRDefault="00C015A3" w:rsidP="00E23684">
            <w:pPr>
              <w:pStyle w:val="Tableheading"/>
              <w:jc w:val="right"/>
            </w:pPr>
            <w:r w:rsidRPr="003564BC">
              <w:t xml:space="preserve"> </w:t>
            </w:r>
          </w:p>
        </w:tc>
        <w:tc>
          <w:tcPr>
            <w:tcW w:w="1362" w:type="dxa"/>
            <w:tcBorders>
              <w:top w:val="nil"/>
              <w:left w:val="nil"/>
              <w:bottom w:val="nil"/>
              <w:right w:val="nil"/>
            </w:tcBorders>
            <w:shd w:val="clear" w:color="auto" w:fill="FFFFFF"/>
            <w:vAlign w:val="bottom"/>
          </w:tcPr>
          <w:p w14:paraId="0423B37C" w14:textId="69116212" w:rsidR="00C015A3" w:rsidRPr="003564BC" w:rsidRDefault="00C015A3" w:rsidP="00E23684">
            <w:pPr>
              <w:pStyle w:val="Tableheading"/>
              <w:jc w:val="right"/>
            </w:pPr>
            <w:r w:rsidRPr="003564BC">
              <w:t>£m </w:t>
            </w:r>
          </w:p>
        </w:tc>
        <w:tc>
          <w:tcPr>
            <w:tcW w:w="256" w:type="dxa"/>
            <w:tcBorders>
              <w:top w:val="nil"/>
              <w:left w:val="nil"/>
              <w:bottom w:val="nil"/>
              <w:right w:val="nil"/>
            </w:tcBorders>
            <w:shd w:val="clear" w:color="auto" w:fill="FFFFFF"/>
            <w:vAlign w:val="bottom"/>
          </w:tcPr>
          <w:p w14:paraId="6C68CE6F" w14:textId="45C726AE" w:rsidR="00C015A3" w:rsidRPr="003564BC" w:rsidRDefault="00C015A3" w:rsidP="00E23684">
            <w:pPr>
              <w:pStyle w:val="Tableheading"/>
              <w:jc w:val="right"/>
            </w:pPr>
            <w:r w:rsidRPr="003564BC">
              <w:t xml:space="preserve"> </w:t>
            </w:r>
          </w:p>
        </w:tc>
        <w:tc>
          <w:tcPr>
            <w:tcW w:w="1276" w:type="dxa"/>
            <w:tcBorders>
              <w:top w:val="nil"/>
              <w:left w:val="nil"/>
              <w:bottom w:val="nil"/>
              <w:right w:val="nil"/>
            </w:tcBorders>
            <w:shd w:val="clear" w:color="auto" w:fill="FFFFFF"/>
            <w:vAlign w:val="bottom"/>
          </w:tcPr>
          <w:p w14:paraId="0BC46486" w14:textId="77777777" w:rsidR="00C015A3" w:rsidRPr="003564BC" w:rsidRDefault="00C015A3" w:rsidP="00E23684">
            <w:pPr>
              <w:pStyle w:val="Tableheading"/>
              <w:jc w:val="right"/>
            </w:pPr>
            <w:r w:rsidRPr="003564BC">
              <w:t>£m </w:t>
            </w:r>
          </w:p>
        </w:tc>
        <w:tc>
          <w:tcPr>
            <w:tcW w:w="283" w:type="dxa"/>
            <w:tcBorders>
              <w:top w:val="nil"/>
              <w:left w:val="nil"/>
              <w:bottom w:val="nil"/>
              <w:right w:val="nil"/>
            </w:tcBorders>
            <w:shd w:val="clear" w:color="auto" w:fill="FFFFFF"/>
            <w:tcMar>
              <w:left w:w="0" w:type="dxa"/>
              <w:right w:w="0" w:type="dxa"/>
            </w:tcMar>
            <w:vAlign w:val="bottom"/>
          </w:tcPr>
          <w:p w14:paraId="08512740" w14:textId="77777777" w:rsidR="00C015A3" w:rsidRPr="003564BC" w:rsidRDefault="00C015A3" w:rsidP="00E23684">
            <w:pPr>
              <w:pStyle w:val="Tableheading"/>
              <w:jc w:val="right"/>
            </w:pPr>
            <w:r w:rsidRPr="003564BC">
              <w:t xml:space="preserve"> </w:t>
            </w:r>
          </w:p>
        </w:tc>
        <w:tc>
          <w:tcPr>
            <w:tcW w:w="1417" w:type="dxa"/>
            <w:tcBorders>
              <w:top w:val="nil"/>
              <w:left w:val="nil"/>
              <w:bottom w:val="nil"/>
              <w:right w:val="nil"/>
            </w:tcBorders>
            <w:shd w:val="clear" w:color="auto" w:fill="FFFFFF"/>
            <w:tcMar>
              <w:left w:w="0" w:type="dxa"/>
              <w:right w:w="0" w:type="dxa"/>
            </w:tcMar>
            <w:vAlign w:val="bottom"/>
          </w:tcPr>
          <w:p w14:paraId="2C5B6910" w14:textId="77777777" w:rsidR="00C015A3" w:rsidRPr="003564BC" w:rsidRDefault="00C015A3" w:rsidP="00E23684">
            <w:pPr>
              <w:pStyle w:val="Tableheading"/>
              <w:jc w:val="right"/>
            </w:pPr>
            <w:r w:rsidRPr="003564BC">
              <w:t>£m </w:t>
            </w:r>
          </w:p>
        </w:tc>
      </w:tr>
      <w:tr w:rsidR="00C015A3" w:rsidRPr="00F26A5C" w14:paraId="1B5BB1CE" w14:textId="77777777" w:rsidTr="00433FEC">
        <w:trPr>
          <w:trHeight w:val="74"/>
        </w:trPr>
        <w:tc>
          <w:tcPr>
            <w:tcW w:w="4004" w:type="dxa"/>
            <w:tcBorders>
              <w:top w:val="nil"/>
              <w:left w:val="nil"/>
              <w:bottom w:val="nil"/>
              <w:right w:val="nil"/>
            </w:tcBorders>
            <w:shd w:val="clear" w:color="auto" w:fill="FFFFFF"/>
            <w:tcMar>
              <w:left w:w="0" w:type="dxa"/>
              <w:right w:w="0" w:type="dxa"/>
            </w:tcMar>
          </w:tcPr>
          <w:p w14:paraId="77C84873" w14:textId="77D5FD22" w:rsidR="00C015A3" w:rsidRPr="003F466B" w:rsidRDefault="00A758FF" w:rsidP="00EA555D">
            <w:pPr>
              <w:spacing w:after="0"/>
              <w:rPr>
                <w:rFonts w:eastAsia="Arial"/>
                <w:b/>
                <w:szCs w:val="28"/>
                <w:lang w:eastAsia="en-GB"/>
              </w:rPr>
            </w:pPr>
            <w:r w:rsidRPr="003F466B">
              <w:rPr>
                <w:rFonts w:eastAsia="Arial"/>
                <w:b/>
                <w:szCs w:val="28"/>
                <w:lang w:eastAsia="en-GB"/>
              </w:rPr>
              <w:t>Non-current assets</w:t>
            </w:r>
          </w:p>
        </w:tc>
        <w:tc>
          <w:tcPr>
            <w:tcW w:w="22" w:type="dxa"/>
            <w:tcBorders>
              <w:top w:val="nil"/>
              <w:left w:val="nil"/>
              <w:bottom w:val="nil"/>
              <w:right w:val="nil"/>
            </w:tcBorders>
            <w:shd w:val="clear" w:color="auto" w:fill="FFFFFF"/>
            <w:tcMar>
              <w:left w:w="0" w:type="dxa"/>
              <w:right w:w="0" w:type="dxa"/>
            </w:tcMar>
          </w:tcPr>
          <w:p w14:paraId="59904C87" w14:textId="77777777" w:rsidR="00C015A3" w:rsidRPr="003F466B" w:rsidRDefault="00C015A3" w:rsidP="00EA555D">
            <w:pPr>
              <w:spacing w:after="0"/>
              <w:jc w:val="right"/>
              <w:rPr>
                <w:rFonts w:eastAsia="Arial"/>
                <w:szCs w:val="28"/>
                <w:lang w:eastAsia="en-GB"/>
              </w:rPr>
            </w:pPr>
          </w:p>
        </w:tc>
        <w:tc>
          <w:tcPr>
            <w:tcW w:w="1558" w:type="dxa"/>
            <w:tcBorders>
              <w:top w:val="nil"/>
              <w:left w:val="nil"/>
              <w:right w:val="nil"/>
            </w:tcBorders>
            <w:shd w:val="clear" w:color="auto" w:fill="FFFFFF"/>
          </w:tcPr>
          <w:p w14:paraId="0FD4AE7D" w14:textId="77777777" w:rsidR="00C015A3" w:rsidRPr="003F466B" w:rsidRDefault="00C015A3" w:rsidP="00EA555D">
            <w:pPr>
              <w:spacing w:after="0"/>
              <w:jc w:val="right"/>
              <w:rPr>
                <w:rFonts w:eastAsia="Arial"/>
                <w:b/>
                <w:szCs w:val="28"/>
                <w:lang w:eastAsia="en-GB"/>
              </w:rPr>
            </w:pPr>
          </w:p>
        </w:tc>
        <w:tc>
          <w:tcPr>
            <w:tcW w:w="1362" w:type="dxa"/>
            <w:tcBorders>
              <w:top w:val="nil"/>
              <w:left w:val="nil"/>
              <w:right w:val="nil"/>
            </w:tcBorders>
            <w:shd w:val="clear" w:color="auto" w:fill="FFFFFF"/>
          </w:tcPr>
          <w:p w14:paraId="646D470A" w14:textId="77777777" w:rsidR="00C015A3" w:rsidRPr="003F466B" w:rsidRDefault="00C015A3" w:rsidP="00EA555D">
            <w:pPr>
              <w:spacing w:after="0"/>
              <w:jc w:val="right"/>
              <w:rPr>
                <w:rFonts w:eastAsia="Arial"/>
                <w:b/>
                <w:szCs w:val="28"/>
                <w:lang w:eastAsia="en-GB"/>
              </w:rPr>
            </w:pPr>
          </w:p>
        </w:tc>
        <w:tc>
          <w:tcPr>
            <w:tcW w:w="256" w:type="dxa"/>
            <w:tcBorders>
              <w:top w:val="nil"/>
              <w:left w:val="nil"/>
              <w:right w:val="nil"/>
            </w:tcBorders>
            <w:shd w:val="clear" w:color="auto" w:fill="FFFFFF"/>
          </w:tcPr>
          <w:p w14:paraId="4841399A" w14:textId="4F9D6660" w:rsidR="00C015A3" w:rsidRPr="003F466B" w:rsidRDefault="00C015A3" w:rsidP="00EA555D">
            <w:pPr>
              <w:spacing w:after="0"/>
              <w:jc w:val="right"/>
              <w:rPr>
                <w:rFonts w:eastAsia="Arial"/>
                <w:b/>
                <w:szCs w:val="28"/>
                <w:lang w:eastAsia="en-GB"/>
              </w:rPr>
            </w:pPr>
          </w:p>
        </w:tc>
        <w:tc>
          <w:tcPr>
            <w:tcW w:w="1276" w:type="dxa"/>
            <w:tcBorders>
              <w:top w:val="nil"/>
              <w:left w:val="nil"/>
              <w:right w:val="nil"/>
            </w:tcBorders>
            <w:shd w:val="clear" w:color="auto" w:fill="FFFFFF"/>
          </w:tcPr>
          <w:p w14:paraId="094B9946" w14:textId="77777777" w:rsidR="00C015A3" w:rsidRPr="003F466B" w:rsidRDefault="00C015A3" w:rsidP="00EA555D">
            <w:pPr>
              <w:tabs>
                <w:tab w:val="decimal" w:pos="850"/>
              </w:tabs>
              <w:spacing w:after="0"/>
              <w:rPr>
                <w:rFonts w:eastAsia="Arial"/>
                <w:b/>
                <w:szCs w:val="28"/>
                <w:lang w:eastAsia="en-GB"/>
              </w:rPr>
            </w:pPr>
          </w:p>
        </w:tc>
        <w:tc>
          <w:tcPr>
            <w:tcW w:w="283" w:type="dxa"/>
            <w:tcBorders>
              <w:top w:val="nil"/>
              <w:left w:val="nil"/>
              <w:bottom w:val="nil"/>
              <w:right w:val="nil"/>
            </w:tcBorders>
            <w:shd w:val="clear" w:color="auto" w:fill="FFFFFF"/>
            <w:tcMar>
              <w:left w:w="0" w:type="dxa"/>
              <w:right w:w="0" w:type="dxa"/>
            </w:tcMar>
          </w:tcPr>
          <w:p w14:paraId="3443BB1E" w14:textId="77777777" w:rsidR="00C015A3" w:rsidRPr="003F466B" w:rsidRDefault="00C015A3" w:rsidP="00EA555D">
            <w:pPr>
              <w:spacing w:after="0"/>
              <w:jc w:val="right"/>
              <w:rPr>
                <w:rFonts w:eastAsia="Arial"/>
                <w:b/>
                <w:szCs w:val="28"/>
                <w:lang w:eastAsia="en-GB"/>
              </w:rPr>
            </w:pPr>
          </w:p>
        </w:tc>
        <w:tc>
          <w:tcPr>
            <w:tcW w:w="1417" w:type="dxa"/>
            <w:tcBorders>
              <w:top w:val="nil"/>
              <w:left w:val="nil"/>
              <w:bottom w:val="nil"/>
              <w:right w:val="nil"/>
            </w:tcBorders>
            <w:shd w:val="clear" w:color="auto" w:fill="FFFFFF"/>
            <w:tcMar>
              <w:left w:w="0" w:type="dxa"/>
              <w:right w:w="0" w:type="dxa"/>
            </w:tcMar>
          </w:tcPr>
          <w:p w14:paraId="256E3994" w14:textId="77777777" w:rsidR="00C015A3" w:rsidRPr="00F2575A" w:rsidRDefault="00C015A3" w:rsidP="00577845">
            <w:pPr>
              <w:spacing w:after="0"/>
              <w:ind w:left="-143" w:firstLine="143"/>
              <w:rPr>
                <w:rFonts w:eastAsia="Arial"/>
                <w:b/>
                <w:szCs w:val="28"/>
                <w:highlight w:val="yellow"/>
                <w:lang w:eastAsia="en-GB"/>
              </w:rPr>
            </w:pPr>
          </w:p>
        </w:tc>
      </w:tr>
      <w:tr w:rsidR="00613F96" w:rsidRPr="00F26A5C" w14:paraId="7B2FF633" w14:textId="77777777" w:rsidTr="00433FEC">
        <w:trPr>
          <w:trHeight w:val="107"/>
        </w:trPr>
        <w:tc>
          <w:tcPr>
            <w:tcW w:w="4004" w:type="dxa"/>
            <w:tcBorders>
              <w:top w:val="nil"/>
              <w:left w:val="nil"/>
              <w:bottom w:val="nil"/>
              <w:right w:val="nil"/>
            </w:tcBorders>
            <w:shd w:val="clear" w:color="auto" w:fill="FFFFFF"/>
            <w:tcMar>
              <w:left w:w="0" w:type="dxa"/>
              <w:right w:w="0" w:type="dxa"/>
            </w:tcMar>
          </w:tcPr>
          <w:p w14:paraId="71683BEE" w14:textId="77777777" w:rsidR="00613F96" w:rsidRPr="003F466B" w:rsidRDefault="00613F96" w:rsidP="00613F96">
            <w:pPr>
              <w:spacing w:after="0"/>
              <w:rPr>
                <w:rFonts w:eastAsia="Arial"/>
                <w:szCs w:val="28"/>
                <w:lang w:eastAsia="en-GB"/>
              </w:rPr>
            </w:pPr>
            <w:r w:rsidRPr="003F466B">
              <w:rPr>
                <w:rFonts w:eastAsia="Arial"/>
                <w:szCs w:val="28"/>
                <w:lang w:eastAsia="en-GB"/>
              </w:rPr>
              <w:t xml:space="preserve">Goodwill </w:t>
            </w:r>
          </w:p>
        </w:tc>
        <w:tc>
          <w:tcPr>
            <w:tcW w:w="22" w:type="dxa"/>
            <w:tcBorders>
              <w:top w:val="nil"/>
              <w:left w:val="nil"/>
              <w:bottom w:val="nil"/>
              <w:right w:val="nil"/>
            </w:tcBorders>
            <w:shd w:val="clear" w:color="auto" w:fill="FFFFFF"/>
            <w:tcMar>
              <w:left w:w="0" w:type="dxa"/>
              <w:right w:w="0" w:type="dxa"/>
            </w:tcMar>
          </w:tcPr>
          <w:p w14:paraId="46D013F8"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379AEA56" w14:textId="77777777" w:rsidR="00613F96" w:rsidRPr="003F466B" w:rsidRDefault="00613F96" w:rsidP="00613F96">
            <w:pPr>
              <w:spacing w:after="0"/>
              <w:jc w:val="center"/>
              <w:rPr>
                <w:rFonts w:eastAsia="Arial"/>
                <w:szCs w:val="28"/>
                <w:lang w:eastAsia="en-GB"/>
              </w:rPr>
            </w:pPr>
            <w:r>
              <w:rPr>
                <w:rFonts w:eastAsia="Arial"/>
                <w:szCs w:val="28"/>
                <w:lang w:eastAsia="en-GB"/>
              </w:rPr>
              <w:t>8</w:t>
            </w:r>
          </w:p>
        </w:tc>
        <w:tc>
          <w:tcPr>
            <w:tcW w:w="1362" w:type="dxa"/>
            <w:tcBorders>
              <w:top w:val="nil"/>
              <w:left w:val="nil"/>
              <w:right w:val="nil"/>
            </w:tcBorders>
            <w:shd w:val="clear" w:color="auto" w:fill="FFFFFF"/>
          </w:tcPr>
          <w:p w14:paraId="15DC0CEB" w14:textId="51B81757"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494.4</w:t>
            </w:r>
          </w:p>
        </w:tc>
        <w:tc>
          <w:tcPr>
            <w:tcW w:w="256" w:type="dxa"/>
            <w:tcBorders>
              <w:top w:val="nil"/>
              <w:left w:val="nil"/>
              <w:right w:val="nil"/>
            </w:tcBorders>
            <w:shd w:val="clear" w:color="auto" w:fill="FFFFFF"/>
          </w:tcPr>
          <w:p w14:paraId="305908A6" w14:textId="4F4B467D"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FFFFFF"/>
          </w:tcPr>
          <w:p w14:paraId="62AD89DD" w14:textId="1E2118EB" w:rsidR="00613F96" w:rsidRPr="004F6EE6" w:rsidRDefault="00613F96" w:rsidP="00613F96">
            <w:pPr>
              <w:tabs>
                <w:tab w:val="decimal" w:pos="915"/>
              </w:tabs>
              <w:spacing w:after="0"/>
              <w:rPr>
                <w:rFonts w:eastAsia="Arial"/>
                <w:szCs w:val="28"/>
                <w:lang w:eastAsia="en-GB"/>
              </w:rPr>
            </w:pPr>
            <w:r w:rsidRPr="00632714">
              <w:rPr>
                <w:rFonts w:eastAsia="Arial"/>
                <w:szCs w:val="28"/>
                <w:lang w:eastAsia="en-GB"/>
              </w:rPr>
              <w:t>570.6</w:t>
            </w:r>
          </w:p>
        </w:tc>
        <w:tc>
          <w:tcPr>
            <w:tcW w:w="283" w:type="dxa"/>
            <w:tcBorders>
              <w:top w:val="nil"/>
              <w:left w:val="nil"/>
              <w:bottom w:val="nil"/>
              <w:right w:val="nil"/>
            </w:tcBorders>
            <w:shd w:val="clear" w:color="auto" w:fill="FFFFFF"/>
            <w:tcMar>
              <w:left w:w="0" w:type="dxa"/>
              <w:right w:w="0" w:type="dxa"/>
            </w:tcMar>
          </w:tcPr>
          <w:p w14:paraId="368EE104"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225B285A" w14:textId="348CB3AC"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494.4</w:t>
            </w:r>
          </w:p>
        </w:tc>
      </w:tr>
      <w:tr w:rsidR="00613F96" w:rsidRPr="00F26A5C" w14:paraId="4F0AA019" w14:textId="77777777" w:rsidTr="00433FEC">
        <w:trPr>
          <w:trHeight w:val="162"/>
        </w:trPr>
        <w:tc>
          <w:tcPr>
            <w:tcW w:w="4004" w:type="dxa"/>
            <w:tcBorders>
              <w:top w:val="nil"/>
              <w:left w:val="nil"/>
              <w:bottom w:val="nil"/>
              <w:right w:val="nil"/>
            </w:tcBorders>
            <w:shd w:val="clear" w:color="auto" w:fill="FFFFFF"/>
            <w:tcMar>
              <w:left w:w="0" w:type="dxa"/>
              <w:right w:w="0" w:type="dxa"/>
            </w:tcMar>
          </w:tcPr>
          <w:p w14:paraId="77E1FE59" w14:textId="77777777" w:rsidR="00613F96" w:rsidRPr="003F466B" w:rsidRDefault="00613F96" w:rsidP="00613F96">
            <w:pPr>
              <w:spacing w:after="0"/>
              <w:rPr>
                <w:rFonts w:eastAsia="Arial"/>
                <w:szCs w:val="28"/>
                <w:lang w:eastAsia="en-GB"/>
              </w:rPr>
            </w:pPr>
            <w:r w:rsidRPr="003F466B">
              <w:rPr>
                <w:rFonts w:eastAsia="Arial"/>
                <w:szCs w:val="28"/>
                <w:lang w:eastAsia="en-GB"/>
              </w:rPr>
              <w:t>Intangible assets</w:t>
            </w:r>
          </w:p>
        </w:tc>
        <w:tc>
          <w:tcPr>
            <w:tcW w:w="22" w:type="dxa"/>
            <w:tcBorders>
              <w:top w:val="nil"/>
              <w:left w:val="nil"/>
              <w:bottom w:val="nil"/>
              <w:right w:val="nil"/>
            </w:tcBorders>
            <w:shd w:val="clear" w:color="auto" w:fill="FFFFFF"/>
            <w:tcMar>
              <w:left w:w="0" w:type="dxa"/>
              <w:right w:w="0" w:type="dxa"/>
            </w:tcMar>
          </w:tcPr>
          <w:p w14:paraId="33E78F93" w14:textId="77777777" w:rsidR="00613F96" w:rsidRPr="003F466B"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557BBBF7" w14:textId="77777777" w:rsidR="00613F96" w:rsidRPr="003F466B" w:rsidRDefault="00613F96" w:rsidP="00613F96">
            <w:pPr>
              <w:spacing w:after="0"/>
              <w:jc w:val="center"/>
              <w:rPr>
                <w:rFonts w:eastAsia="Arial"/>
                <w:szCs w:val="28"/>
                <w:lang w:eastAsia="en-GB"/>
              </w:rPr>
            </w:pPr>
            <w:r>
              <w:rPr>
                <w:rFonts w:eastAsia="Arial"/>
                <w:szCs w:val="28"/>
                <w:lang w:eastAsia="en-GB"/>
              </w:rPr>
              <w:t>9</w:t>
            </w:r>
          </w:p>
        </w:tc>
        <w:tc>
          <w:tcPr>
            <w:tcW w:w="1362" w:type="dxa"/>
            <w:tcBorders>
              <w:top w:val="nil"/>
              <w:left w:val="nil"/>
              <w:bottom w:val="nil"/>
              <w:right w:val="nil"/>
            </w:tcBorders>
            <w:shd w:val="clear" w:color="auto" w:fill="FFFFFF"/>
          </w:tcPr>
          <w:p w14:paraId="2C34B605" w14:textId="0816C4B2"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10.2</w:t>
            </w:r>
          </w:p>
        </w:tc>
        <w:tc>
          <w:tcPr>
            <w:tcW w:w="256" w:type="dxa"/>
            <w:tcBorders>
              <w:top w:val="nil"/>
              <w:left w:val="nil"/>
              <w:bottom w:val="nil"/>
              <w:right w:val="nil"/>
            </w:tcBorders>
            <w:shd w:val="clear" w:color="auto" w:fill="FFFFFF"/>
          </w:tcPr>
          <w:p w14:paraId="69ED4F1D" w14:textId="35E84F3D"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FFFFFF"/>
          </w:tcPr>
          <w:p w14:paraId="5000F3C2" w14:textId="17360E4F" w:rsidR="00613F96" w:rsidRPr="004F6EE6" w:rsidRDefault="00613F96" w:rsidP="00613F96">
            <w:pPr>
              <w:tabs>
                <w:tab w:val="decimal" w:pos="915"/>
              </w:tabs>
              <w:spacing w:after="0"/>
              <w:rPr>
                <w:rFonts w:eastAsia="Arial"/>
                <w:szCs w:val="28"/>
                <w:lang w:eastAsia="en-GB"/>
              </w:rPr>
            </w:pPr>
            <w:r>
              <w:rPr>
                <w:rFonts w:eastAsia="Arial"/>
                <w:szCs w:val="28"/>
                <w:lang w:eastAsia="en-GB"/>
              </w:rPr>
              <w:t>26</w:t>
            </w:r>
            <w:r w:rsidRPr="00632714">
              <w:rPr>
                <w:rFonts w:eastAsia="Arial"/>
                <w:szCs w:val="28"/>
                <w:lang w:eastAsia="en-GB"/>
              </w:rPr>
              <w:t>.</w:t>
            </w:r>
            <w:r>
              <w:rPr>
                <w:rFonts w:eastAsia="Arial"/>
                <w:szCs w:val="28"/>
                <w:lang w:eastAsia="en-GB"/>
              </w:rPr>
              <w:t>7</w:t>
            </w:r>
          </w:p>
        </w:tc>
        <w:tc>
          <w:tcPr>
            <w:tcW w:w="283" w:type="dxa"/>
            <w:tcBorders>
              <w:top w:val="nil"/>
              <w:left w:val="nil"/>
              <w:bottom w:val="nil"/>
              <w:right w:val="nil"/>
            </w:tcBorders>
            <w:shd w:val="clear" w:color="auto" w:fill="FFFFFF"/>
            <w:tcMar>
              <w:left w:w="0" w:type="dxa"/>
              <w:right w:w="0" w:type="dxa"/>
            </w:tcMar>
          </w:tcPr>
          <w:p w14:paraId="4F944CB7"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074FF043" w14:textId="6050918D"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17.5</w:t>
            </w:r>
          </w:p>
        </w:tc>
      </w:tr>
      <w:tr w:rsidR="00613F96" w:rsidRPr="00F26A5C" w14:paraId="01D64DC6" w14:textId="77777777" w:rsidTr="00433FEC">
        <w:trPr>
          <w:trHeight w:val="160"/>
        </w:trPr>
        <w:tc>
          <w:tcPr>
            <w:tcW w:w="4004" w:type="dxa"/>
            <w:tcBorders>
              <w:top w:val="nil"/>
              <w:left w:val="nil"/>
              <w:bottom w:val="nil"/>
              <w:right w:val="nil"/>
            </w:tcBorders>
            <w:shd w:val="clear" w:color="auto" w:fill="FFFFFF"/>
            <w:tcMar>
              <w:left w:w="0" w:type="dxa"/>
              <w:right w:w="0" w:type="dxa"/>
            </w:tcMar>
          </w:tcPr>
          <w:p w14:paraId="21FAB8EC" w14:textId="77777777" w:rsidR="00613F96" w:rsidRPr="003F466B" w:rsidRDefault="00613F96" w:rsidP="00613F96">
            <w:pPr>
              <w:spacing w:after="0"/>
              <w:rPr>
                <w:rFonts w:eastAsia="Arial"/>
                <w:szCs w:val="28"/>
                <w:lang w:eastAsia="en-GB"/>
              </w:rPr>
            </w:pPr>
            <w:r w:rsidRPr="003F466B">
              <w:rPr>
                <w:rFonts w:eastAsia="Arial"/>
                <w:szCs w:val="28"/>
                <w:lang w:eastAsia="en-GB"/>
              </w:rPr>
              <w:t>Property, plant and equipment</w:t>
            </w:r>
          </w:p>
        </w:tc>
        <w:tc>
          <w:tcPr>
            <w:tcW w:w="22" w:type="dxa"/>
            <w:tcBorders>
              <w:top w:val="nil"/>
              <w:left w:val="nil"/>
              <w:bottom w:val="nil"/>
              <w:right w:val="nil"/>
            </w:tcBorders>
            <w:shd w:val="clear" w:color="auto" w:fill="FFFFFF"/>
            <w:tcMar>
              <w:left w:w="0" w:type="dxa"/>
              <w:right w:w="0" w:type="dxa"/>
            </w:tcMar>
          </w:tcPr>
          <w:p w14:paraId="2A94FCEB" w14:textId="77777777" w:rsidR="00613F96" w:rsidRPr="003F466B"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30B78C47" w14:textId="77777777" w:rsidR="00613F96" w:rsidRPr="003F466B" w:rsidRDefault="00613F96" w:rsidP="00613F96">
            <w:pPr>
              <w:spacing w:after="0"/>
              <w:jc w:val="center"/>
              <w:rPr>
                <w:rFonts w:eastAsia="Arial"/>
                <w:szCs w:val="28"/>
                <w:lang w:eastAsia="en-GB"/>
              </w:rPr>
            </w:pPr>
            <w:r>
              <w:rPr>
                <w:rFonts w:eastAsia="Arial"/>
                <w:szCs w:val="28"/>
                <w:lang w:eastAsia="en-GB"/>
              </w:rPr>
              <w:t>10</w:t>
            </w:r>
          </w:p>
        </w:tc>
        <w:tc>
          <w:tcPr>
            <w:tcW w:w="1362" w:type="dxa"/>
            <w:tcBorders>
              <w:top w:val="nil"/>
              <w:left w:val="nil"/>
              <w:bottom w:val="nil"/>
              <w:right w:val="nil"/>
            </w:tcBorders>
            <w:shd w:val="clear" w:color="auto" w:fill="FFFFFF"/>
          </w:tcPr>
          <w:p w14:paraId="5D4E3C8C" w14:textId="1EC02145"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35.8</w:t>
            </w:r>
          </w:p>
        </w:tc>
        <w:tc>
          <w:tcPr>
            <w:tcW w:w="256" w:type="dxa"/>
            <w:tcBorders>
              <w:top w:val="nil"/>
              <w:left w:val="nil"/>
              <w:bottom w:val="nil"/>
              <w:right w:val="nil"/>
            </w:tcBorders>
            <w:shd w:val="clear" w:color="auto" w:fill="FFFFFF"/>
          </w:tcPr>
          <w:p w14:paraId="6EB8AFD4" w14:textId="7D37B601"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FFFFFF"/>
          </w:tcPr>
          <w:p w14:paraId="3E3E4064" w14:textId="2C322528" w:rsidR="00613F96" w:rsidRPr="004F6EE6" w:rsidRDefault="00613F96" w:rsidP="00613F96">
            <w:pPr>
              <w:tabs>
                <w:tab w:val="decimal" w:pos="915"/>
              </w:tabs>
              <w:spacing w:after="0"/>
              <w:rPr>
                <w:rFonts w:eastAsia="Arial"/>
                <w:szCs w:val="28"/>
                <w:lang w:eastAsia="en-GB"/>
              </w:rPr>
            </w:pPr>
            <w:r>
              <w:rPr>
                <w:rFonts w:eastAsia="Arial"/>
                <w:szCs w:val="28"/>
                <w:lang w:eastAsia="en-GB"/>
              </w:rPr>
              <w:t>38</w:t>
            </w:r>
            <w:r w:rsidRPr="00632714">
              <w:rPr>
                <w:rFonts w:eastAsia="Arial"/>
                <w:szCs w:val="28"/>
                <w:lang w:eastAsia="en-GB"/>
              </w:rPr>
              <w:t>.</w:t>
            </w:r>
            <w:r>
              <w:rPr>
                <w:rFonts w:eastAsia="Arial"/>
                <w:szCs w:val="28"/>
                <w:lang w:eastAsia="en-GB"/>
              </w:rPr>
              <w:t>9</w:t>
            </w:r>
          </w:p>
        </w:tc>
        <w:tc>
          <w:tcPr>
            <w:tcW w:w="283" w:type="dxa"/>
            <w:tcBorders>
              <w:top w:val="nil"/>
              <w:left w:val="nil"/>
              <w:bottom w:val="nil"/>
              <w:right w:val="nil"/>
            </w:tcBorders>
            <w:shd w:val="clear" w:color="auto" w:fill="FFFFFF"/>
            <w:tcMar>
              <w:left w:w="0" w:type="dxa"/>
              <w:right w:w="0" w:type="dxa"/>
            </w:tcMar>
          </w:tcPr>
          <w:p w14:paraId="75391737"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2A3C7F7C" w14:textId="4DD25EA3"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37.5</w:t>
            </w:r>
          </w:p>
        </w:tc>
      </w:tr>
      <w:tr w:rsidR="00613F96" w:rsidRPr="00F26A5C" w14:paraId="67D8E2D4" w14:textId="77777777">
        <w:trPr>
          <w:trHeight w:val="142"/>
        </w:trPr>
        <w:tc>
          <w:tcPr>
            <w:tcW w:w="4004" w:type="dxa"/>
            <w:tcBorders>
              <w:top w:val="nil"/>
              <w:left w:val="nil"/>
              <w:bottom w:val="nil"/>
              <w:right w:val="nil"/>
            </w:tcBorders>
            <w:shd w:val="clear" w:color="auto" w:fill="FFFFFF"/>
            <w:tcMar>
              <w:left w:w="0" w:type="dxa"/>
              <w:right w:w="0" w:type="dxa"/>
            </w:tcMar>
          </w:tcPr>
          <w:p w14:paraId="4913C0A4" w14:textId="63F6ED51" w:rsidR="00613F96" w:rsidRPr="003F466B" w:rsidRDefault="00613F96" w:rsidP="00613F96">
            <w:pPr>
              <w:spacing w:after="0"/>
              <w:rPr>
                <w:rFonts w:eastAsia="Arial"/>
                <w:szCs w:val="28"/>
                <w:lang w:eastAsia="en-GB"/>
              </w:rPr>
            </w:pPr>
            <w:r w:rsidRPr="00B8479E">
              <w:rPr>
                <w:rFonts w:eastAsia="Arial"/>
                <w:szCs w:val="28"/>
                <w:lang w:val="en-GB" w:eastAsia="en-GB"/>
              </w:rPr>
              <w:t>Investment in associates</w:t>
            </w:r>
          </w:p>
        </w:tc>
        <w:tc>
          <w:tcPr>
            <w:tcW w:w="22" w:type="dxa"/>
            <w:tcBorders>
              <w:top w:val="nil"/>
              <w:left w:val="nil"/>
              <w:bottom w:val="nil"/>
              <w:right w:val="nil"/>
            </w:tcBorders>
            <w:shd w:val="clear" w:color="auto" w:fill="FFFFFF"/>
            <w:tcMar>
              <w:left w:w="0" w:type="dxa"/>
              <w:right w:w="0" w:type="dxa"/>
            </w:tcMar>
          </w:tcPr>
          <w:p w14:paraId="15D22DF2"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3B3952A3" w14:textId="77777777" w:rsidR="00613F96" w:rsidRPr="003F466B" w:rsidRDefault="00613F96" w:rsidP="00613F96">
            <w:pPr>
              <w:spacing w:after="0"/>
              <w:jc w:val="center"/>
              <w:rPr>
                <w:rFonts w:eastAsia="Arial"/>
                <w:szCs w:val="28"/>
                <w:lang w:eastAsia="en-GB"/>
              </w:rPr>
            </w:pPr>
          </w:p>
        </w:tc>
        <w:tc>
          <w:tcPr>
            <w:tcW w:w="1362" w:type="dxa"/>
            <w:tcBorders>
              <w:top w:val="nil"/>
              <w:left w:val="nil"/>
              <w:right w:val="nil"/>
            </w:tcBorders>
            <w:shd w:val="clear" w:color="auto" w:fill="FFFFFF"/>
            <w:vAlign w:val="center"/>
          </w:tcPr>
          <w:p w14:paraId="21241A1F" w14:textId="3B8147F9"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1.8</w:t>
            </w:r>
          </w:p>
        </w:tc>
        <w:tc>
          <w:tcPr>
            <w:tcW w:w="256" w:type="dxa"/>
            <w:tcBorders>
              <w:top w:val="nil"/>
              <w:left w:val="nil"/>
              <w:right w:val="nil"/>
            </w:tcBorders>
            <w:shd w:val="clear" w:color="auto" w:fill="FFFFFF"/>
          </w:tcPr>
          <w:p w14:paraId="010AE81D" w14:textId="77777777" w:rsidR="00613F96" w:rsidRPr="003F466B" w:rsidRDefault="00613F96" w:rsidP="00613F96">
            <w:pPr>
              <w:spacing w:after="0"/>
              <w:jc w:val="right"/>
              <w:rPr>
                <w:rFonts w:eastAsia="Arial"/>
                <w:szCs w:val="28"/>
                <w:lang w:eastAsia="en-GB"/>
              </w:rPr>
            </w:pPr>
          </w:p>
        </w:tc>
        <w:tc>
          <w:tcPr>
            <w:tcW w:w="1276" w:type="dxa"/>
            <w:tcBorders>
              <w:top w:val="nil"/>
              <w:left w:val="nil"/>
              <w:right w:val="nil"/>
            </w:tcBorders>
            <w:shd w:val="clear" w:color="auto" w:fill="FFFFFF"/>
            <w:vAlign w:val="center"/>
          </w:tcPr>
          <w:p w14:paraId="1A7753A4" w14:textId="6792C323" w:rsidR="00613F96" w:rsidRDefault="00613F96" w:rsidP="00613F96">
            <w:pPr>
              <w:tabs>
                <w:tab w:val="decimal" w:pos="915"/>
              </w:tabs>
              <w:spacing w:after="0"/>
              <w:rPr>
                <w:rFonts w:eastAsia="Arial"/>
                <w:szCs w:val="28"/>
                <w:lang w:eastAsia="en-GB"/>
              </w:rPr>
            </w:pPr>
            <w:r>
              <w:rPr>
                <w:rFonts w:eastAsia="Arial"/>
                <w:szCs w:val="28"/>
                <w:lang w:eastAsia="en-GB"/>
              </w:rPr>
              <w:t>-</w:t>
            </w:r>
          </w:p>
        </w:tc>
        <w:tc>
          <w:tcPr>
            <w:tcW w:w="283" w:type="dxa"/>
            <w:tcBorders>
              <w:top w:val="nil"/>
              <w:left w:val="nil"/>
              <w:bottom w:val="nil"/>
              <w:right w:val="nil"/>
            </w:tcBorders>
            <w:shd w:val="clear" w:color="auto" w:fill="FFFFFF"/>
            <w:tcMar>
              <w:left w:w="0" w:type="dxa"/>
              <w:right w:w="0" w:type="dxa"/>
            </w:tcMar>
          </w:tcPr>
          <w:p w14:paraId="6ED06968" w14:textId="77777777" w:rsidR="00613F96" w:rsidRPr="003F466B" w:rsidRDefault="00613F96" w:rsidP="00613F96">
            <w:pPr>
              <w:spacing w:after="0"/>
              <w:jc w:val="right"/>
              <w:rPr>
                <w:rFonts w:eastAsia="Arial"/>
                <w:szCs w:val="28"/>
                <w:lang w:eastAsia="en-GB"/>
              </w:rPr>
            </w:pPr>
          </w:p>
        </w:tc>
        <w:tc>
          <w:tcPr>
            <w:tcW w:w="1417" w:type="dxa"/>
            <w:tcBorders>
              <w:top w:val="nil"/>
              <w:left w:val="nil"/>
              <w:right w:val="nil"/>
            </w:tcBorders>
            <w:shd w:val="clear" w:color="auto" w:fill="FFFFFF"/>
            <w:tcMar>
              <w:left w:w="0" w:type="dxa"/>
              <w:right w:w="0" w:type="dxa"/>
            </w:tcMar>
          </w:tcPr>
          <w:p w14:paraId="4C68B447" w14:textId="662E7257" w:rsidR="00613F96" w:rsidRDefault="00613F96" w:rsidP="00577845">
            <w:pPr>
              <w:tabs>
                <w:tab w:val="decimal" w:pos="1161"/>
              </w:tabs>
              <w:spacing w:after="0"/>
              <w:ind w:left="-143" w:firstLine="143"/>
              <w:rPr>
                <w:rFonts w:eastAsia="Arial"/>
                <w:szCs w:val="28"/>
                <w:lang w:val="en-GB" w:eastAsia="en-GB"/>
              </w:rPr>
            </w:pPr>
            <w:r>
              <w:rPr>
                <w:rFonts w:eastAsia="Arial"/>
                <w:szCs w:val="28"/>
                <w:lang w:val="en-GB" w:eastAsia="en-GB"/>
              </w:rPr>
              <w:t>1.8</w:t>
            </w:r>
          </w:p>
        </w:tc>
      </w:tr>
      <w:tr w:rsidR="00613F96" w:rsidRPr="00F26A5C" w14:paraId="50957BC9" w14:textId="77777777">
        <w:trPr>
          <w:trHeight w:val="142"/>
        </w:trPr>
        <w:tc>
          <w:tcPr>
            <w:tcW w:w="4004" w:type="dxa"/>
            <w:tcBorders>
              <w:top w:val="nil"/>
              <w:left w:val="nil"/>
              <w:bottom w:val="nil"/>
              <w:right w:val="nil"/>
            </w:tcBorders>
            <w:shd w:val="clear" w:color="auto" w:fill="FFFFFF"/>
            <w:tcMar>
              <w:left w:w="0" w:type="dxa"/>
              <w:right w:w="0" w:type="dxa"/>
            </w:tcMar>
          </w:tcPr>
          <w:p w14:paraId="3139A548" w14:textId="77777777" w:rsidR="00613F96" w:rsidRPr="003F466B" w:rsidRDefault="00613F96" w:rsidP="00613F96">
            <w:pPr>
              <w:spacing w:after="0"/>
              <w:rPr>
                <w:rFonts w:eastAsia="Arial"/>
                <w:szCs w:val="28"/>
                <w:lang w:eastAsia="en-GB"/>
              </w:rPr>
            </w:pPr>
            <w:r w:rsidRPr="003F466B">
              <w:rPr>
                <w:rFonts w:eastAsia="Arial"/>
                <w:szCs w:val="28"/>
                <w:lang w:eastAsia="en-GB"/>
              </w:rPr>
              <w:t>Deferred tax assets</w:t>
            </w:r>
          </w:p>
        </w:tc>
        <w:tc>
          <w:tcPr>
            <w:tcW w:w="22" w:type="dxa"/>
            <w:tcBorders>
              <w:top w:val="nil"/>
              <w:left w:val="nil"/>
              <w:bottom w:val="nil"/>
              <w:right w:val="nil"/>
            </w:tcBorders>
            <w:shd w:val="clear" w:color="auto" w:fill="FFFFFF"/>
            <w:tcMar>
              <w:left w:w="0" w:type="dxa"/>
              <w:right w:w="0" w:type="dxa"/>
            </w:tcMar>
          </w:tcPr>
          <w:p w14:paraId="0B867C1F"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4154773F" w14:textId="77777777" w:rsidR="00613F96" w:rsidRPr="003F466B" w:rsidRDefault="00613F96" w:rsidP="00613F96">
            <w:pPr>
              <w:spacing w:after="0"/>
              <w:jc w:val="center"/>
              <w:rPr>
                <w:rFonts w:eastAsia="Arial"/>
                <w:szCs w:val="28"/>
                <w:lang w:eastAsia="en-GB"/>
              </w:rPr>
            </w:pPr>
          </w:p>
        </w:tc>
        <w:tc>
          <w:tcPr>
            <w:tcW w:w="1362" w:type="dxa"/>
            <w:tcBorders>
              <w:top w:val="nil"/>
              <w:left w:val="nil"/>
              <w:right w:val="nil"/>
            </w:tcBorders>
            <w:shd w:val="clear" w:color="auto" w:fill="FFFFFF"/>
            <w:vAlign w:val="center"/>
          </w:tcPr>
          <w:p w14:paraId="46A82D6C" w14:textId="626CBE00"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16.</w:t>
            </w:r>
            <w:r w:rsidR="00F17E34">
              <w:rPr>
                <w:rFonts w:eastAsia="Arial"/>
                <w:szCs w:val="28"/>
                <w:lang w:eastAsia="en-GB"/>
              </w:rPr>
              <w:t>9</w:t>
            </w:r>
          </w:p>
        </w:tc>
        <w:tc>
          <w:tcPr>
            <w:tcW w:w="256" w:type="dxa"/>
            <w:tcBorders>
              <w:top w:val="nil"/>
              <w:left w:val="nil"/>
              <w:right w:val="nil"/>
            </w:tcBorders>
            <w:shd w:val="clear" w:color="auto" w:fill="FFFFFF"/>
          </w:tcPr>
          <w:p w14:paraId="1DEF3D61" w14:textId="1D75AE30"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FFFFFF"/>
            <w:vAlign w:val="center"/>
          </w:tcPr>
          <w:p w14:paraId="7E126423" w14:textId="107FD584" w:rsidR="00613F96" w:rsidRPr="004F6EE6" w:rsidRDefault="00613F96" w:rsidP="00613F96">
            <w:pPr>
              <w:tabs>
                <w:tab w:val="decimal" w:pos="915"/>
              </w:tabs>
              <w:spacing w:after="0"/>
              <w:rPr>
                <w:rFonts w:eastAsia="Arial"/>
                <w:szCs w:val="28"/>
                <w:lang w:eastAsia="en-GB"/>
              </w:rPr>
            </w:pPr>
            <w:r>
              <w:rPr>
                <w:rFonts w:eastAsia="Arial"/>
                <w:szCs w:val="28"/>
                <w:lang w:eastAsia="en-GB"/>
              </w:rPr>
              <w:t>19</w:t>
            </w:r>
            <w:r w:rsidRPr="00632714">
              <w:rPr>
                <w:rFonts w:eastAsia="Arial"/>
                <w:szCs w:val="28"/>
                <w:lang w:eastAsia="en-GB"/>
              </w:rPr>
              <w:t>.</w:t>
            </w:r>
            <w:r>
              <w:rPr>
                <w:rFonts w:eastAsia="Arial"/>
                <w:szCs w:val="28"/>
                <w:lang w:eastAsia="en-GB"/>
              </w:rPr>
              <w:t>4</w:t>
            </w:r>
          </w:p>
        </w:tc>
        <w:tc>
          <w:tcPr>
            <w:tcW w:w="283" w:type="dxa"/>
            <w:tcBorders>
              <w:top w:val="nil"/>
              <w:left w:val="nil"/>
              <w:bottom w:val="nil"/>
              <w:right w:val="nil"/>
            </w:tcBorders>
            <w:shd w:val="clear" w:color="auto" w:fill="FFFFFF"/>
            <w:tcMar>
              <w:left w:w="0" w:type="dxa"/>
              <w:right w:w="0" w:type="dxa"/>
            </w:tcMar>
          </w:tcPr>
          <w:p w14:paraId="229891DF"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5220D4ED" w14:textId="404C4C15" w:rsidR="00613F96" w:rsidRPr="007756EA" w:rsidRDefault="00613F96" w:rsidP="00577845">
            <w:pPr>
              <w:tabs>
                <w:tab w:val="decimal" w:pos="1161"/>
              </w:tabs>
              <w:spacing w:after="0"/>
              <w:ind w:left="-143" w:firstLine="143"/>
              <w:rPr>
                <w:rFonts w:eastAsia="Arial"/>
                <w:szCs w:val="28"/>
                <w:highlight w:val="yellow"/>
                <w:lang w:eastAsia="en-GB"/>
              </w:rPr>
            </w:pPr>
            <w:r>
              <w:rPr>
                <w:rFonts w:eastAsia="Arial"/>
                <w:szCs w:val="28"/>
                <w:lang w:val="en-GB" w:eastAsia="en-GB"/>
              </w:rPr>
              <w:t>16.1</w:t>
            </w:r>
          </w:p>
        </w:tc>
      </w:tr>
      <w:tr w:rsidR="00613F96" w:rsidRPr="00F26A5C" w14:paraId="3D1B30FD" w14:textId="77777777" w:rsidTr="00433FEC">
        <w:trPr>
          <w:trHeight w:val="154"/>
        </w:trPr>
        <w:tc>
          <w:tcPr>
            <w:tcW w:w="4004" w:type="dxa"/>
            <w:tcBorders>
              <w:top w:val="nil"/>
              <w:left w:val="nil"/>
              <w:bottom w:val="nil"/>
              <w:right w:val="nil"/>
            </w:tcBorders>
            <w:shd w:val="clear" w:color="auto" w:fill="FFFFFF"/>
            <w:tcMar>
              <w:left w:w="0" w:type="dxa"/>
              <w:right w:w="0" w:type="dxa"/>
            </w:tcMar>
          </w:tcPr>
          <w:p w14:paraId="11BAB93F" w14:textId="77777777" w:rsidR="00613F96" w:rsidRPr="003F466B" w:rsidRDefault="00613F96" w:rsidP="00613F96">
            <w:pPr>
              <w:spacing w:after="0"/>
              <w:rPr>
                <w:rFonts w:eastAsia="Arial"/>
                <w:szCs w:val="28"/>
                <w:lang w:eastAsia="en-GB"/>
              </w:rPr>
            </w:pPr>
            <w:r w:rsidRPr="003F466B">
              <w:rPr>
                <w:rFonts w:eastAsia="Arial"/>
                <w:szCs w:val="28"/>
                <w:lang w:eastAsia="en-GB"/>
              </w:rPr>
              <w:t>Trade and other receivables</w:t>
            </w:r>
          </w:p>
        </w:tc>
        <w:tc>
          <w:tcPr>
            <w:tcW w:w="22" w:type="dxa"/>
            <w:tcBorders>
              <w:top w:val="nil"/>
              <w:left w:val="nil"/>
              <w:bottom w:val="nil"/>
              <w:right w:val="nil"/>
            </w:tcBorders>
            <w:shd w:val="clear" w:color="auto" w:fill="FFFFFF"/>
            <w:tcMar>
              <w:left w:w="0" w:type="dxa"/>
              <w:right w:w="0" w:type="dxa"/>
            </w:tcMar>
          </w:tcPr>
          <w:p w14:paraId="43615697"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0843BB3F" w14:textId="77777777" w:rsidR="00613F96" w:rsidRPr="003F466B" w:rsidRDefault="00613F96" w:rsidP="00613F96">
            <w:pPr>
              <w:spacing w:after="0"/>
              <w:jc w:val="center"/>
              <w:rPr>
                <w:rFonts w:eastAsia="Arial"/>
                <w:szCs w:val="28"/>
                <w:lang w:eastAsia="en-GB"/>
              </w:rPr>
            </w:pPr>
          </w:p>
        </w:tc>
        <w:tc>
          <w:tcPr>
            <w:tcW w:w="1362" w:type="dxa"/>
            <w:tcBorders>
              <w:top w:val="nil"/>
              <w:left w:val="nil"/>
              <w:bottom w:val="single" w:sz="4" w:space="0" w:color="auto"/>
              <w:right w:val="nil"/>
            </w:tcBorders>
            <w:shd w:val="clear" w:color="auto" w:fill="FFFFFF"/>
          </w:tcPr>
          <w:p w14:paraId="78369B97" w14:textId="685D5B90" w:rsidR="00613F96" w:rsidRPr="005F0E7F" w:rsidRDefault="009837FB" w:rsidP="00613F96">
            <w:pPr>
              <w:tabs>
                <w:tab w:val="decimal" w:pos="968"/>
              </w:tabs>
              <w:spacing w:after="0"/>
              <w:jc w:val="both"/>
              <w:rPr>
                <w:rFonts w:eastAsia="Arial"/>
                <w:szCs w:val="28"/>
                <w:lang w:eastAsia="en-GB"/>
              </w:rPr>
            </w:pPr>
            <w:r w:rsidRPr="005F0E7F">
              <w:rPr>
                <w:rFonts w:eastAsia="Arial"/>
                <w:szCs w:val="28"/>
                <w:lang w:eastAsia="en-GB"/>
              </w:rPr>
              <w:t>0.4</w:t>
            </w:r>
          </w:p>
        </w:tc>
        <w:tc>
          <w:tcPr>
            <w:tcW w:w="256" w:type="dxa"/>
            <w:tcBorders>
              <w:top w:val="nil"/>
              <w:left w:val="nil"/>
              <w:right w:val="nil"/>
            </w:tcBorders>
            <w:shd w:val="clear" w:color="auto" w:fill="FFFFFF"/>
          </w:tcPr>
          <w:p w14:paraId="6AA38DF8" w14:textId="3CE354BD"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single" w:sz="4" w:space="0" w:color="auto"/>
              <w:right w:val="nil"/>
            </w:tcBorders>
            <w:shd w:val="clear" w:color="auto" w:fill="FFFFFF"/>
          </w:tcPr>
          <w:p w14:paraId="1F8A5091" w14:textId="07583ECF" w:rsidR="00613F96" w:rsidRPr="004F6EE6" w:rsidRDefault="00613F96" w:rsidP="00613F96">
            <w:pPr>
              <w:tabs>
                <w:tab w:val="decimal" w:pos="915"/>
              </w:tabs>
              <w:spacing w:after="0"/>
              <w:rPr>
                <w:rFonts w:eastAsia="Arial"/>
                <w:szCs w:val="28"/>
                <w:lang w:eastAsia="en-GB"/>
              </w:rPr>
            </w:pPr>
            <w:r w:rsidRPr="00632714">
              <w:rPr>
                <w:rFonts w:eastAsia="Arial"/>
                <w:szCs w:val="28"/>
                <w:lang w:eastAsia="en-GB"/>
              </w:rPr>
              <w:t>0.</w:t>
            </w:r>
            <w:r>
              <w:rPr>
                <w:rFonts w:eastAsia="Arial"/>
                <w:szCs w:val="28"/>
                <w:lang w:eastAsia="en-GB"/>
              </w:rPr>
              <w:t>3</w:t>
            </w:r>
          </w:p>
        </w:tc>
        <w:tc>
          <w:tcPr>
            <w:tcW w:w="283" w:type="dxa"/>
            <w:tcBorders>
              <w:top w:val="nil"/>
              <w:left w:val="nil"/>
              <w:bottom w:val="nil"/>
              <w:right w:val="nil"/>
            </w:tcBorders>
            <w:shd w:val="clear" w:color="auto" w:fill="FFFFFF"/>
            <w:tcMar>
              <w:left w:w="0" w:type="dxa"/>
              <w:right w:w="0" w:type="dxa"/>
            </w:tcMar>
          </w:tcPr>
          <w:p w14:paraId="18418C9E"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single" w:sz="4" w:space="0" w:color="auto"/>
              <w:right w:val="nil"/>
            </w:tcBorders>
            <w:shd w:val="clear" w:color="auto" w:fill="FFFFFF"/>
            <w:tcMar>
              <w:left w:w="0" w:type="dxa"/>
              <w:right w:w="0" w:type="dxa"/>
            </w:tcMar>
          </w:tcPr>
          <w:p w14:paraId="25BC36E2" w14:textId="5FA267FD" w:rsidR="00613F96" w:rsidRPr="007756EA" w:rsidRDefault="00613F96" w:rsidP="00577845">
            <w:pPr>
              <w:tabs>
                <w:tab w:val="decimal" w:pos="1161"/>
              </w:tabs>
              <w:spacing w:after="0"/>
              <w:ind w:left="-143" w:firstLine="143"/>
              <w:rPr>
                <w:rFonts w:eastAsia="Arial"/>
                <w:szCs w:val="28"/>
                <w:highlight w:val="yellow"/>
                <w:lang w:eastAsia="en-GB"/>
              </w:rPr>
            </w:pPr>
            <w:r>
              <w:rPr>
                <w:rFonts w:eastAsia="Arial"/>
                <w:szCs w:val="28"/>
                <w:lang w:val="en-GB" w:eastAsia="en-GB"/>
              </w:rPr>
              <w:t>0.4</w:t>
            </w:r>
          </w:p>
        </w:tc>
      </w:tr>
      <w:tr w:rsidR="00613F96" w:rsidRPr="00F26A5C" w14:paraId="4B4A8D22" w14:textId="77777777" w:rsidTr="00433FEC">
        <w:trPr>
          <w:trHeight w:val="63"/>
        </w:trPr>
        <w:tc>
          <w:tcPr>
            <w:tcW w:w="4004" w:type="dxa"/>
            <w:tcBorders>
              <w:top w:val="nil"/>
              <w:left w:val="nil"/>
              <w:bottom w:val="nil"/>
              <w:right w:val="nil"/>
            </w:tcBorders>
            <w:shd w:val="clear" w:color="auto" w:fill="FFFFFF"/>
            <w:tcMar>
              <w:left w:w="0" w:type="dxa"/>
              <w:right w:w="0" w:type="dxa"/>
            </w:tcMar>
          </w:tcPr>
          <w:p w14:paraId="44B0A17F" w14:textId="77777777" w:rsidR="00613F96" w:rsidRPr="003F466B" w:rsidRDefault="00613F96" w:rsidP="00613F96">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47305BC1" w14:textId="77777777" w:rsidR="00613F96" w:rsidRPr="003F466B" w:rsidRDefault="00613F96" w:rsidP="00613F96">
            <w:pPr>
              <w:spacing w:after="0"/>
              <w:jc w:val="center"/>
              <w:rPr>
                <w:rFonts w:eastAsia="Arial"/>
                <w:szCs w:val="28"/>
                <w:lang w:eastAsia="en-GB"/>
              </w:rPr>
            </w:pPr>
          </w:p>
        </w:tc>
        <w:tc>
          <w:tcPr>
            <w:tcW w:w="1558" w:type="dxa"/>
            <w:tcBorders>
              <w:left w:val="nil"/>
              <w:right w:val="nil"/>
            </w:tcBorders>
          </w:tcPr>
          <w:p w14:paraId="253CD40E" w14:textId="77777777" w:rsidR="00613F96" w:rsidRPr="003F466B" w:rsidRDefault="00613F96" w:rsidP="00613F96">
            <w:pPr>
              <w:spacing w:after="0"/>
              <w:jc w:val="center"/>
              <w:rPr>
                <w:rFonts w:eastAsia="Arial"/>
                <w:szCs w:val="28"/>
                <w:lang w:eastAsia="en-GB"/>
              </w:rPr>
            </w:pPr>
          </w:p>
        </w:tc>
        <w:tc>
          <w:tcPr>
            <w:tcW w:w="1362" w:type="dxa"/>
            <w:tcBorders>
              <w:top w:val="single" w:sz="4" w:space="0" w:color="auto"/>
              <w:left w:val="nil"/>
              <w:right w:val="nil"/>
            </w:tcBorders>
            <w:shd w:val="clear" w:color="auto" w:fill="FFFFFF"/>
          </w:tcPr>
          <w:p w14:paraId="19D639F5" w14:textId="166E71A4" w:rsidR="00613F96" w:rsidRPr="005F0E7F" w:rsidRDefault="009837FB" w:rsidP="00613F96">
            <w:pPr>
              <w:tabs>
                <w:tab w:val="decimal" w:pos="968"/>
              </w:tabs>
              <w:spacing w:after="0"/>
              <w:jc w:val="both"/>
              <w:rPr>
                <w:rFonts w:eastAsia="Arial"/>
                <w:b/>
                <w:szCs w:val="28"/>
                <w:lang w:eastAsia="en-GB"/>
              </w:rPr>
            </w:pPr>
            <w:r w:rsidRPr="005F0E7F">
              <w:rPr>
                <w:rFonts w:eastAsia="Arial"/>
                <w:b/>
                <w:szCs w:val="28"/>
                <w:lang w:eastAsia="en-GB"/>
              </w:rPr>
              <w:t>559.</w:t>
            </w:r>
            <w:r w:rsidR="00F17E34">
              <w:rPr>
                <w:rFonts w:eastAsia="Arial"/>
                <w:b/>
                <w:szCs w:val="28"/>
                <w:lang w:eastAsia="en-GB"/>
              </w:rPr>
              <w:t>5</w:t>
            </w:r>
          </w:p>
        </w:tc>
        <w:tc>
          <w:tcPr>
            <w:tcW w:w="256" w:type="dxa"/>
            <w:tcBorders>
              <w:left w:val="nil"/>
              <w:right w:val="nil"/>
            </w:tcBorders>
            <w:shd w:val="clear" w:color="auto" w:fill="FFFFFF"/>
          </w:tcPr>
          <w:p w14:paraId="644441EE" w14:textId="61FBF441"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single" w:sz="4" w:space="0" w:color="auto"/>
              <w:left w:val="nil"/>
              <w:right w:val="nil"/>
            </w:tcBorders>
            <w:shd w:val="clear" w:color="auto" w:fill="FFFFFF"/>
          </w:tcPr>
          <w:p w14:paraId="29A23D7A" w14:textId="250AF1A4" w:rsidR="00613F96" w:rsidRPr="004F6EE6" w:rsidRDefault="00613F96" w:rsidP="00613F96">
            <w:pPr>
              <w:tabs>
                <w:tab w:val="decimal" w:pos="915"/>
              </w:tabs>
              <w:spacing w:after="0"/>
              <w:rPr>
                <w:rFonts w:eastAsia="Arial"/>
                <w:b/>
                <w:bCs/>
                <w:szCs w:val="28"/>
                <w:lang w:eastAsia="en-GB"/>
              </w:rPr>
            </w:pPr>
            <w:r w:rsidRPr="00F2718C">
              <w:rPr>
                <w:rFonts w:eastAsia="Arial"/>
                <w:b/>
                <w:szCs w:val="28"/>
                <w:lang w:eastAsia="en-GB"/>
              </w:rPr>
              <w:t>655.9</w:t>
            </w:r>
          </w:p>
        </w:tc>
        <w:tc>
          <w:tcPr>
            <w:tcW w:w="283" w:type="dxa"/>
            <w:tcBorders>
              <w:top w:val="nil"/>
              <w:left w:val="nil"/>
              <w:right w:val="nil"/>
            </w:tcBorders>
            <w:shd w:val="clear" w:color="auto" w:fill="FFFFFF"/>
            <w:tcMar>
              <w:left w:w="0" w:type="dxa"/>
              <w:right w:w="0" w:type="dxa"/>
            </w:tcMar>
          </w:tcPr>
          <w:p w14:paraId="501D2804" w14:textId="77777777" w:rsidR="00613F96" w:rsidRPr="003F466B" w:rsidRDefault="00613F96" w:rsidP="00613F96">
            <w:pPr>
              <w:spacing w:after="0"/>
              <w:jc w:val="right"/>
              <w:rPr>
                <w:rFonts w:eastAsia="Arial"/>
                <w:b/>
                <w:bCs/>
                <w:szCs w:val="28"/>
                <w:lang w:eastAsia="en-GB"/>
              </w:rPr>
            </w:pPr>
            <w:r w:rsidRPr="003F466B">
              <w:rPr>
                <w:rFonts w:eastAsia="Arial"/>
                <w:b/>
                <w:bCs/>
                <w:szCs w:val="28"/>
                <w:lang w:eastAsia="en-GB"/>
              </w:rPr>
              <w:t xml:space="preserve"> </w:t>
            </w:r>
          </w:p>
        </w:tc>
        <w:tc>
          <w:tcPr>
            <w:tcW w:w="1417" w:type="dxa"/>
            <w:tcBorders>
              <w:top w:val="single" w:sz="4" w:space="0" w:color="auto"/>
              <w:left w:val="nil"/>
              <w:right w:val="nil"/>
            </w:tcBorders>
            <w:shd w:val="clear" w:color="auto" w:fill="FFFFFF"/>
            <w:tcMar>
              <w:left w:w="0" w:type="dxa"/>
              <w:right w:w="0" w:type="dxa"/>
            </w:tcMar>
          </w:tcPr>
          <w:p w14:paraId="09951239" w14:textId="280E4A0E" w:rsidR="00613F96" w:rsidRPr="00A758FF" w:rsidRDefault="00613F96" w:rsidP="00577845">
            <w:pPr>
              <w:tabs>
                <w:tab w:val="decimal" w:pos="1161"/>
              </w:tabs>
              <w:spacing w:after="0"/>
              <w:ind w:left="-143" w:firstLine="143"/>
              <w:rPr>
                <w:rFonts w:eastAsia="Arial"/>
                <w:b/>
                <w:bCs/>
                <w:szCs w:val="28"/>
                <w:highlight w:val="yellow"/>
                <w:lang w:eastAsia="en-GB"/>
              </w:rPr>
            </w:pPr>
            <w:r w:rsidRPr="00A758FF">
              <w:rPr>
                <w:rFonts w:eastAsia="Arial"/>
                <w:b/>
                <w:bCs/>
                <w:szCs w:val="28"/>
                <w:lang w:val="en-GB" w:eastAsia="en-GB"/>
              </w:rPr>
              <w:t>567.7</w:t>
            </w:r>
          </w:p>
        </w:tc>
      </w:tr>
      <w:tr w:rsidR="007756EA" w:rsidRPr="00F26A5C" w14:paraId="1D94623B" w14:textId="77777777" w:rsidTr="00433FEC">
        <w:trPr>
          <w:trHeight w:hRule="exact" w:val="317"/>
        </w:trPr>
        <w:tc>
          <w:tcPr>
            <w:tcW w:w="4004" w:type="dxa"/>
            <w:tcBorders>
              <w:top w:val="nil"/>
              <w:left w:val="nil"/>
              <w:bottom w:val="nil"/>
              <w:right w:val="nil"/>
            </w:tcBorders>
            <w:shd w:val="clear" w:color="auto" w:fill="FFFFFF"/>
            <w:tcMar>
              <w:left w:w="0" w:type="dxa"/>
              <w:right w:w="0" w:type="dxa"/>
            </w:tcMar>
          </w:tcPr>
          <w:p w14:paraId="1D73CC4E" w14:textId="77777777" w:rsidR="007756EA" w:rsidRPr="003F466B" w:rsidRDefault="007756EA" w:rsidP="007756EA">
            <w:pPr>
              <w:spacing w:after="0"/>
              <w:rPr>
                <w:rFonts w:eastAsia="Arial"/>
                <w:szCs w:val="28"/>
                <w:lang w:eastAsia="en-GB"/>
              </w:rPr>
            </w:pPr>
            <w:r w:rsidRPr="003F466B">
              <w:rPr>
                <w:rFonts w:eastAsia="Arial"/>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7E719A1C" w14:textId="77777777" w:rsidR="007756EA" w:rsidRPr="003F466B" w:rsidRDefault="007756EA" w:rsidP="007756EA">
            <w:pPr>
              <w:spacing w:after="0"/>
              <w:jc w:val="center"/>
              <w:rPr>
                <w:rFonts w:eastAsia="Arial"/>
                <w:szCs w:val="28"/>
                <w:lang w:eastAsia="en-GB"/>
              </w:rPr>
            </w:pPr>
          </w:p>
        </w:tc>
        <w:tc>
          <w:tcPr>
            <w:tcW w:w="1558" w:type="dxa"/>
            <w:tcBorders>
              <w:left w:val="nil"/>
              <w:bottom w:val="nil"/>
              <w:right w:val="nil"/>
            </w:tcBorders>
          </w:tcPr>
          <w:p w14:paraId="673212D7" w14:textId="77777777" w:rsidR="007756EA" w:rsidRPr="003F466B" w:rsidRDefault="007756EA" w:rsidP="007756EA">
            <w:pPr>
              <w:spacing w:after="0"/>
              <w:jc w:val="center"/>
              <w:rPr>
                <w:rFonts w:eastAsia="Arial"/>
                <w:szCs w:val="28"/>
                <w:lang w:eastAsia="en-GB"/>
              </w:rPr>
            </w:pPr>
          </w:p>
        </w:tc>
        <w:tc>
          <w:tcPr>
            <w:tcW w:w="1362" w:type="dxa"/>
            <w:tcBorders>
              <w:left w:val="nil"/>
              <w:bottom w:val="nil"/>
              <w:right w:val="nil"/>
            </w:tcBorders>
            <w:shd w:val="clear" w:color="auto" w:fill="FFFFFF"/>
          </w:tcPr>
          <w:p w14:paraId="4AF99923" w14:textId="77777777" w:rsidR="007756EA" w:rsidRPr="005F0E7F" w:rsidRDefault="007756EA" w:rsidP="007756EA">
            <w:pPr>
              <w:tabs>
                <w:tab w:val="decimal" w:pos="968"/>
              </w:tabs>
              <w:spacing w:after="0"/>
              <w:jc w:val="both"/>
              <w:rPr>
                <w:rFonts w:eastAsia="Arial"/>
                <w:szCs w:val="28"/>
                <w:lang w:eastAsia="en-GB"/>
              </w:rPr>
            </w:pPr>
          </w:p>
        </w:tc>
        <w:tc>
          <w:tcPr>
            <w:tcW w:w="256" w:type="dxa"/>
            <w:tcBorders>
              <w:left w:val="nil"/>
              <w:bottom w:val="nil"/>
              <w:right w:val="nil"/>
            </w:tcBorders>
            <w:shd w:val="clear" w:color="auto" w:fill="FFFFFF"/>
          </w:tcPr>
          <w:p w14:paraId="6C380BEB" w14:textId="4A7A2566"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left w:val="nil"/>
              <w:bottom w:val="nil"/>
              <w:right w:val="nil"/>
            </w:tcBorders>
            <w:shd w:val="clear" w:color="auto" w:fill="FFFFFF"/>
          </w:tcPr>
          <w:p w14:paraId="3D2E14EE"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left w:val="nil"/>
              <w:bottom w:val="nil"/>
              <w:right w:val="nil"/>
            </w:tcBorders>
            <w:shd w:val="clear" w:color="auto" w:fill="FFFFFF"/>
            <w:tcMar>
              <w:left w:w="0" w:type="dxa"/>
              <w:right w:w="0" w:type="dxa"/>
            </w:tcMar>
          </w:tcPr>
          <w:p w14:paraId="2BE5D14B"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left w:val="nil"/>
              <w:bottom w:val="nil"/>
              <w:right w:val="nil"/>
            </w:tcBorders>
            <w:shd w:val="clear" w:color="auto" w:fill="FFFFFF"/>
            <w:tcMar>
              <w:left w:w="0" w:type="dxa"/>
              <w:right w:w="0" w:type="dxa"/>
            </w:tcMar>
          </w:tcPr>
          <w:p w14:paraId="2A9AF421"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F26A5C" w14:paraId="4C7CB7BD" w14:textId="77777777" w:rsidTr="00433FEC">
        <w:trPr>
          <w:trHeight w:val="160"/>
        </w:trPr>
        <w:tc>
          <w:tcPr>
            <w:tcW w:w="4004" w:type="dxa"/>
            <w:tcBorders>
              <w:top w:val="nil"/>
              <w:left w:val="nil"/>
              <w:bottom w:val="nil"/>
              <w:right w:val="nil"/>
            </w:tcBorders>
            <w:shd w:val="clear" w:color="auto" w:fill="FFFFFF"/>
            <w:tcMar>
              <w:left w:w="0" w:type="dxa"/>
              <w:right w:w="0" w:type="dxa"/>
            </w:tcMar>
          </w:tcPr>
          <w:p w14:paraId="7562E56F" w14:textId="05CF6FB8" w:rsidR="007756EA" w:rsidRPr="003F466B" w:rsidRDefault="00A758FF" w:rsidP="007756EA">
            <w:pPr>
              <w:spacing w:after="0"/>
              <w:rPr>
                <w:rFonts w:eastAsia="Arial"/>
                <w:szCs w:val="28"/>
                <w:lang w:eastAsia="en-GB"/>
              </w:rPr>
            </w:pPr>
            <w:r w:rsidRPr="003F466B">
              <w:rPr>
                <w:rFonts w:eastAsia="Arial"/>
                <w:b/>
                <w:szCs w:val="28"/>
                <w:lang w:eastAsia="en-GB"/>
              </w:rPr>
              <w:t>Current assets</w:t>
            </w:r>
          </w:p>
        </w:tc>
        <w:tc>
          <w:tcPr>
            <w:tcW w:w="22" w:type="dxa"/>
            <w:tcBorders>
              <w:top w:val="nil"/>
              <w:left w:val="nil"/>
              <w:bottom w:val="nil"/>
              <w:right w:val="nil"/>
            </w:tcBorders>
            <w:shd w:val="clear" w:color="auto" w:fill="FFFFFF"/>
            <w:tcMar>
              <w:left w:w="0" w:type="dxa"/>
              <w:right w:w="0" w:type="dxa"/>
            </w:tcMar>
          </w:tcPr>
          <w:p w14:paraId="6E08C4D7" w14:textId="77777777" w:rsidR="007756EA" w:rsidRPr="003F466B" w:rsidRDefault="007756EA" w:rsidP="007756EA">
            <w:pPr>
              <w:spacing w:after="0"/>
              <w:jc w:val="center"/>
              <w:rPr>
                <w:rFonts w:eastAsia="Arial"/>
                <w:szCs w:val="28"/>
                <w:lang w:eastAsia="en-GB"/>
              </w:rPr>
            </w:pPr>
          </w:p>
        </w:tc>
        <w:tc>
          <w:tcPr>
            <w:tcW w:w="1558" w:type="dxa"/>
            <w:tcBorders>
              <w:top w:val="nil"/>
              <w:left w:val="nil"/>
              <w:bottom w:val="nil"/>
              <w:right w:val="nil"/>
            </w:tcBorders>
          </w:tcPr>
          <w:p w14:paraId="61744D23" w14:textId="77777777" w:rsidR="007756EA" w:rsidRPr="003F466B" w:rsidRDefault="007756EA" w:rsidP="007756EA">
            <w:pPr>
              <w:spacing w:after="0"/>
              <w:jc w:val="center"/>
              <w:rPr>
                <w:rFonts w:eastAsia="Arial"/>
                <w:szCs w:val="28"/>
                <w:lang w:eastAsia="en-GB"/>
              </w:rPr>
            </w:pPr>
          </w:p>
        </w:tc>
        <w:tc>
          <w:tcPr>
            <w:tcW w:w="1362" w:type="dxa"/>
            <w:tcBorders>
              <w:top w:val="nil"/>
              <w:left w:val="nil"/>
              <w:bottom w:val="nil"/>
              <w:right w:val="nil"/>
            </w:tcBorders>
            <w:shd w:val="clear" w:color="auto" w:fill="FFFFFF"/>
          </w:tcPr>
          <w:p w14:paraId="6E15B105" w14:textId="77777777" w:rsidR="007756EA" w:rsidRPr="005F0E7F" w:rsidRDefault="007756EA" w:rsidP="007756EA">
            <w:pPr>
              <w:tabs>
                <w:tab w:val="decimal" w:pos="968"/>
              </w:tabs>
              <w:spacing w:after="0"/>
              <w:jc w:val="both"/>
              <w:rPr>
                <w:rFonts w:eastAsia="Arial"/>
                <w:szCs w:val="28"/>
                <w:lang w:eastAsia="en-GB"/>
              </w:rPr>
            </w:pPr>
          </w:p>
        </w:tc>
        <w:tc>
          <w:tcPr>
            <w:tcW w:w="256" w:type="dxa"/>
            <w:tcBorders>
              <w:top w:val="nil"/>
              <w:left w:val="nil"/>
              <w:bottom w:val="nil"/>
              <w:right w:val="nil"/>
            </w:tcBorders>
            <w:shd w:val="clear" w:color="auto" w:fill="FFFFFF"/>
          </w:tcPr>
          <w:p w14:paraId="3D7226AF" w14:textId="6474C0CF"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FFFFFF"/>
          </w:tcPr>
          <w:p w14:paraId="5F42DAF8"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top w:val="nil"/>
              <w:left w:val="nil"/>
              <w:bottom w:val="nil"/>
              <w:right w:val="nil"/>
            </w:tcBorders>
            <w:shd w:val="clear" w:color="auto" w:fill="FFFFFF"/>
            <w:tcMar>
              <w:left w:w="0" w:type="dxa"/>
              <w:right w:w="0" w:type="dxa"/>
            </w:tcMar>
          </w:tcPr>
          <w:p w14:paraId="22D73C4E"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36313881"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F26A5C" w14:paraId="394BB801" w14:textId="77777777" w:rsidTr="00433FEC">
        <w:trPr>
          <w:trHeight w:val="170"/>
        </w:trPr>
        <w:tc>
          <w:tcPr>
            <w:tcW w:w="4004" w:type="dxa"/>
            <w:tcBorders>
              <w:top w:val="nil"/>
              <w:left w:val="nil"/>
              <w:bottom w:val="nil"/>
              <w:right w:val="nil"/>
            </w:tcBorders>
            <w:shd w:val="clear" w:color="auto" w:fill="FFFFFF"/>
            <w:tcMar>
              <w:left w:w="0" w:type="dxa"/>
              <w:right w:w="0" w:type="dxa"/>
            </w:tcMar>
          </w:tcPr>
          <w:p w14:paraId="66D7A280" w14:textId="674084FB" w:rsidR="007756EA" w:rsidRPr="003F466B" w:rsidRDefault="007756EA" w:rsidP="007756EA">
            <w:pPr>
              <w:spacing w:after="0"/>
              <w:rPr>
                <w:rFonts w:eastAsia="Arial"/>
                <w:szCs w:val="28"/>
                <w:lang w:eastAsia="en-GB"/>
              </w:rPr>
            </w:pPr>
            <w:r w:rsidRPr="003F466B">
              <w:rPr>
                <w:rFonts w:eastAsia="Arial"/>
                <w:szCs w:val="28"/>
                <w:lang w:eastAsia="en-GB"/>
              </w:rPr>
              <w:t>Financial assets</w:t>
            </w:r>
          </w:p>
        </w:tc>
        <w:tc>
          <w:tcPr>
            <w:tcW w:w="22" w:type="dxa"/>
            <w:tcBorders>
              <w:top w:val="nil"/>
              <w:left w:val="nil"/>
              <w:bottom w:val="nil"/>
              <w:right w:val="nil"/>
            </w:tcBorders>
            <w:shd w:val="clear" w:color="auto" w:fill="FFFFFF"/>
            <w:tcMar>
              <w:left w:w="0" w:type="dxa"/>
              <w:right w:w="0" w:type="dxa"/>
            </w:tcMar>
          </w:tcPr>
          <w:p w14:paraId="7982022E" w14:textId="77777777" w:rsidR="007756EA" w:rsidRPr="003F466B" w:rsidRDefault="007756EA" w:rsidP="007756EA">
            <w:pPr>
              <w:spacing w:after="0"/>
              <w:jc w:val="center"/>
              <w:rPr>
                <w:rFonts w:eastAsia="Arial"/>
                <w:szCs w:val="28"/>
                <w:lang w:eastAsia="en-GB"/>
              </w:rPr>
            </w:pPr>
          </w:p>
        </w:tc>
        <w:tc>
          <w:tcPr>
            <w:tcW w:w="1558" w:type="dxa"/>
            <w:tcBorders>
              <w:top w:val="nil"/>
              <w:left w:val="nil"/>
              <w:right w:val="nil"/>
            </w:tcBorders>
          </w:tcPr>
          <w:p w14:paraId="0B9A9E51" w14:textId="349B4CCE" w:rsidR="007756EA" w:rsidRPr="003F466B" w:rsidRDefault="007756EA" w:rsidP="007756EA">
            <w:pPr>
              <w:spacing w:after="0"/>
              <w:jc w:val="center"/>
              <w:rPr>
                <w:rFonts w:eastAsia="Arial"/>
                <w:szCs w:val="28"/>
                <w:lang w:eastAsia="en-GB"/>
              </w:rPr>
            </w:pPr>
            <w:r>
              <w:rPr>
                <w:rFonts w:eastAsia="Arial"/>
                <w:szCs w:val="28"/>
                <w:lang w:eastAsia="en-GB"/>
              </w:rPr>
              <w:t>11</w:t>
            </w:r>
          </w:p>
        </w:tc>
        <w:tc>
          <w:tcPr>
            <w:tcW w:w="1362" w:type="dxa"/>
            <w:tcBorders>
              <w:top w:val="nil"/>
              <w:left w:val="nil"/>
              <w:right w:val="nil"/>
            </w:tcBorders>
            <w:shd w:val="clear" w:color="auto" w:fill="FFFFFF"/>
          </w:tcPr>
          <w:p w14:paraId="77B213A2" w14:textId="77ED0D95" w:rsidR="007756EA" w:rsidRPr="005F0E7F" w:rsidRDefault="009837FB" w:rsidP="007756EA">
            <w:pPr>
              <w:tabs>
                <w:tab w:val="decimal" w:pos="968"/>
              </w:tabs>
              <w:spacing w:after="0"/>
              <w:jc w:val="both"/>
              <w:rPr>
                <w:rFonts w:eastAsia="Arial"/>
                <w:szCs w:val="28"/>
                <w:lang w:eastAsia="en-GB"/>
              </w:rPr>
            </w:pPr>
            <w:r w:rsidRPr="005F0E7F">
              <w:rPr>
                <w:rFonts w:eastAsia="Arial"/>
                <w:szCs w:val="28"/>
                <w:lang w:eastAsia="en-GB"/>
              </w:rPr>
              <w:t>469.9</w:t>
            </w:r>
          </w:p>
        </w:tc>
        <w:tc>
          <w:tcPr>
            <w:tcW w:w="256" w:type="dxa"/>
            <w:tcBorders>
              <w:top w:val="nil"/>
              <w:left w:val="nil"/>
              <w:right w:val="nil"/>
            </w:tcBorders>
            <w:shd w:val="clear" w:color="auto" w:fill="FFFFFF"/>
          </w:tcPr>
          <w:p w14:paraId="231B0E71" w14:textId="5134F544"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FFFFFF"/>
          </w:tcPr>
          <w:p w14:paraId="6005C6FC" w14:textId="7A685A94" w:rsidR="007756EA" w:rsidRPr="004F6EE6" w:rsidRDefault="007756EA" w:rsidP="007756EA">
            <w:pPr>
              <w:tabs>
                <w:tab w:val="decimal" w:pos="915"/>
              </w:tabs>
              <w:spacing w:after="0"/>
              <w:rPr>
                <w:rFonts w:eastAsia="Arial"/>
                <w:szCs w:val="28"/>
                <w:lang w:eastAsia="en-GB"/>
              </w:rPr>
            </w:pPr>
            <w:r>
              <w:rPr>
                <w:rFonts w:eastAsia="Arial"/>
                <w:szCs w:val="28"/>
                <w:lang w:eastAsia="en-GB"/>
              </w:rPr>
              <w:t>166</w:t>
            </w:r>
            <w:r w:rsidRPr="00632714">
              <w:rPr>
                <w:rFonts w:eastAsia="Arial"/>
                <w:szCs w:val="28"/>
                <w:lang w:eastAsia="en-GB"/>
              </w:rPr>
              <w:t>.</w:t>
            </w:r>
            <w:r>
              <w:rPr>
                <w:rFonts w:eastAsia="Arial"/>
                <w:szCs w:val="28"/>
                <w:lang w:eastAsia="en-GB"/>
              </w:rPr>
              <w:t>8</w:t>
            </w:r>
          </w:p>
        </w:tc>
        <w:tc>
          <w:tcPr>
            <w:tcW w:w="283" w:type="dxa"/>
            <w:tcBorders>
              <w:top w:val="nil"/>
              <w:left w:val="nil"/>
              <w:bottom w:val="nil"/>
              <w:right w:val="nil"/>
            </w:tcBorders>
            <w:shd w:val="clear" w:color="auto" w:fill="FFFFFF"/>
            <w:tcMar>
              <w:left w:w="0" w:type="dxa"/>
              <w:right w:w="0" w:type="dxa"/>
            </w:tcMar>
          </w:tcPr>
          <w:p w14:paraId="58AFABC1"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665CEEC4" w14:textId="6DF93292" w:rsidR="007756EA" w:rsidRPr="00613F96" w:rsidRDefault="00613F96" w:rsidP="00577845">
            <w:pPr>
              <w:tabs>
                <w:tab w:val="decimal" w:pos="1161"/>
              </w:tabs>
              <w:spacing w:after="0"/>
              <w:ind w:left="-143" w:firstLine="143"/>
              <w:rPr>
                <w:rFonts w:eastAsia="Arial"/>
                <w:szCs w:val="28"/>
                <w:lang w:eastAsia="en-GB"/>
              </w:rPr>
            </w:pPr>
            <w:r w:rsidRPr="00613F96">
              <w:rPr>
                <w:rFonts w:eastAsia="Arial"/>
                <w:szCs w:val="28"/>
                <w:lang w:eastAsia="en-GB"/>
              </w:rPr>
              <w:t>232.8</w:t>
            </w:r>
          </w:p>
        </w:tc>
      </w:tr>
      <w:tr w:rsidR="007756EA" w:rsidRPr="00F26A5C" w14:paraId="17D20C0C" w14:textId="77777777" w:rsidTr="00632714">
        <w:trPr>
          <w:trHeight w:val="165"/>
        </w:trPr>
        <w:tc>
          <w:tcPr>
            <w:tcW w:w="4004" w:type="dxa"/>
            <w:tcBorders>
              <w:top w:val="nil"/>
              <w:left w:val="nil"/>
              <w:bottom w:val="nil"/>
              <w:right w:val="nil"/>
            </w:tcBorders>
            <w:shd w:val="clear" w:color="auto" w:fill="FFFFFF"/>
            <w:tcMar>
              <w:left w:w="0" w:type="dxa"/>
              <w:right w:w="0" w:type="dxa"/>
            </w:tcMar>
          </w:tcPr>
          <w:p w14:paraId="4DE0A421" w14:textId="77777777" w:rsidR="007756EA" w:rsidRPr="003F466B" w:rsidRDefault="007756EA" w:rsidP="007756EA">
            <w:pPr>
              <w:spacing w:after="0"/>
              <w:rPr>
                <w:rFonts w:eastAsia="Arial"/>
                <w:szCs w:val="28"/>
                <w:lang w:eastAsia="en-GB"/>
              </w:rPr>
            </w:pPr>
            <w:r w:rsidRPr="003F466B">
              <w:rPr>
                <w:rFonts w:eastAsia="Arial"/>
                <w:szCs w:val="28"/>
                <w:lang w:eastAsia="en-GB"/>
              </w:rPr>
              <w:t>Trade and other receivables</w:t>
            </w:r>
          </w:p>
        </w:tc>
        <w:tc>
          <w:tcPr>
            <w:tcW w:w="22" w:type="dxa"/>
            <w:tcBorders>
              <w:top w:val="nil"/>
              <w:left w:val="nil"/>
              <w:bottom w:val="nil"/>
              <w:right w:val="nil"/>
            </w:tcBorders>
            <w:shd w:val="clear" w:color="auto" w:fill="FFFFFF"/>
            <w:tcMar>
              <w:left w:w="0" w:type="dxa"/>
              <w:right w:w="0" w:type="dxa"/>
            </w:tcMar>
          </w:tcPr>
          <w:p w14:paraId="3E055EEE" w14:textId="77777777" w:rsidR="007756EA" w:rsidRPr="003F466B" w:rsidRDefault="007756EA" w:rsidP="007756EA">
            <w:pPr>
              <w:spacing w:after="0"/>
              <w:jc w:val="center"/>
              <w:rPr>
                <w:rFonts w:eastAsia="Arial"/>
                <w:szCs w:val="28"/>
                <w:lang w:eastAsia="en-GB"/>
              </w:rPr>
            </w:pPr>
          </w:p>
        </w:tc>
        <w:tc>
          <w:tcPr>
            <w:tcW w:w="1558" w:type="dxa"/>
            <w:tcBorders>
              <w:top w:val="nil"/>
              <w:left w:val="nil"/>
              <w:bottom w:val="nil"/>
              <w:right w:val="nil"/>
            </w:tcBorders>
          </w:tcPr>
          <w:p w14:paraId="6F179B3D" w14:textId="77777777" w:rsidR="007756EA" w:rsidRPr="003F466B" w:rsidRDefault="007756EA" w:rsidP="007756EA">
            <w:pPr>
              <w:spacing w:after="0"/>
              <w:jc w:val="center"/>
              <w:rPr>
                <w:rFonts w:eastAsia="Arial"/>
                <w:szCs w:val="28"/>
                <w:lang w:eastAsia="en-GB"/>
              </w:rPr>
            </w:pPr>
          </w:p>
        </w:tc>
        <w:tc>
          <w:tcPr>
            <w:tcW w:w="1362" w:type="dxa"/>
            <w:tcBorders>
              <w:top w:val="nil"/>
              <w:left w:val="nil"/>
              <w:right w:val="nil"/>
            </w:tcBorders>
            <w:shd w:val="clear" w:color="auto" w:fill="FFFFFF"/>
          </w:tcPr>
          <w:p w14:paraId="1C8EE85B" w14:textId="7EAB6212" w:rsidR="007756EA" w:rsidRPr="005F0E7F" w:rsidRDefault="00F17E34" w:rsidP="007756EA">
            <w:pPr>
              <w:tabs>
                <w:tab w:val="decimal" w:pos="968"/>
              </w:tabs>
              <w:spacing w:after="0"/>
              <w:jc w:val="both"/>
              <w:rPr>
                <w:rFonts w:eastAsia="Arial"/>
                <w:szCs w:val="28"/>
                <w:lang w:eastAsia="en-GB"/>
              </w:rPr>
            </w:pPr>
            <w:r>
              <w:rPr>
                <w:rFonts w:eastAsia="Arial"/>
                <w:szCs w:val="28"/>
                <w:lang w:eastAsia="en-GB"/>
              </w:rPr>
              <w:t>166.7</w:t>
            </w:r>
          </w:p>
        </w:tc>
        <w:tc>
          <w:tcPr>
            <w:tcW w:w="256" w:type="dxa"/>
            <w:tcBorders>
              <w:top w:val="nil"/>
              <w:left w:val="nil"/>
              <w:right w:val="nil"/>
            </w:tcBorders>
            <w:shd w:val="clear" w:color="auto" w:fill="FFFFFF"/>
          </w:tcPr>
          <w:p w14:paraId="613E9E4B" w14:textId="05A81734"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FFFFFF"/>
          </w:tcPr>
          <w:p w14:paraId="3A4B8328" w14:textId="7D5B2F94" w:rsidR="007756EA" w:rsidRPr="004F6EE6" w:rsidRDefault="007756EA" w:rsidP="007756EA">
            <w:pPr>
              <w:tabs>
                <w:tab w:val="decimal" w:pos="915"/>
              </w:tabs>
              <w:spacing w:after="0"/>
              <w:rPr>
                <w:rFonts w:eastAsia="Arial"/>
                <w:szCs w:val="28"/>
                <w:lang w:eastAsia="en-GB"/>
              </w:rPr>
            </w:pPr>
            <w:r>
              <w:rPr>
                <w:rFonts w:eastAsia="Arial"/>
                <w:szCs w:val="28"/>
                <w:lang w:eastAsia="en-GB"/>
              </w:rPr>
              <w:t>205.7</w:t>
            </w:r>
          </w:p>
        </w:tc>
        <w:tc>
          <w:tcPr>
            <w:tcW w:w="283" w:type="dxa"/>
            <w:tcBorders>
              <w:top w:val="nil"/>
              <w:left w:val="nil"/>
              <w:right w:val="nil"/>
            </w:tcBorders>
            <w:shd w:val="clear" w:color="auto" w:fill="FFFFFF"/>
            <w:tcMar>
              <w:left w:w="0" w:type="dxa"/>
              <w:right w:w="0" w:type="dxa"/>
            </w:tcMar>
          </w:tcPr>
          <w:p w14:paraId="7DF37330"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7F96FA96" w14:textId="43A3BD01" w:rsidR="007756EA" w:rsidRPr="00613F96" w:rsidRDefault="007756EA" w:rsidP="00577845">
            <w:pPr>
              <w:tabs>
                <w:tab w:val="decimal" w:pos="1161"/>
              </w:tabs>
              <w:spacing w:after="0"/>
              <w:ind w:left="-143" w:firstLine="143"/>
              <w:rPr>
                <w:rFonts w:eastAsia="Arial"/>
                <w:szCs w:val="28"/>
                <w:lang w:eastAsia="en-GB"/>
              </w:rPr>
            </w:pPr>
            <w:r w:rsidRPr="00613F96">
              <w:rPr>
                <w:rFonts w:eastAsia="Arial"/>
                <w:szCs w:val="28"/>
                <w:lang w:eastAsia="en-GB"/>
              </w:rPr>
              <w:t>1</w:t>
            </w:r>
            <w:r w:rsidR="00613F96" w:rsidRPr="00613F96">
              <w:rPr>
                <w:rFonts w:eastAsia="Arial"/>
                <w:szCs w:val="28"/>
                <w:lang w:eastAsia="en-GB"/>
              </w:rPr>
              <w:t>37.6</w:t>
            </w:r>
          </w:p>
        </w:tc>
      </w:tr>
      <w:tr w:rsidR="00613F96" w:rsidRPr="00F26A5C" w14:paraId="425CF416" w14:textId="77777777" w:rsidTr="00F2575A">
        <w:trPr>
          <w:trHeight w:val="74"/>
        </w:trPr>
        <w:tc>
          <w:tcPr>
            <w:tcW w:w="4004" w:type="dxa"/>
            <w:tcBorders>
              <w:top w:val="nil"/>
              <w:left w:val="nil"/>
              <w:bottom w:val="nil"/>
              <w:right w:val="nil"/>
            </w:tcBorders>
            <w:shd w:val="clear" w:color="auto" w:fill="FFFFFF"/>
            <w:tcMar>
              <w:left w:w="0" w:type="dxa"/>
              <w:right w:w="0" w:type="dxa"/>
            </w:tcMar>
          </w:tcPr>
          <w:p w14:paraId="044BEEA6" w14:textId="21AC3A43" w:rsidR="00613F96" w:rsidRPr="003F466B" w:rsidRDefault="00613F96" w:rsidP="00613F96">
            <w:pPr>
              <w:spacing w:after="0"/>
              <w:rPr>
                <w:rFonts w:eastAsia="Arial"/>
                <w:szCs w:val="28"/>
                <w:lang w:eastAsia="en-GB"/>
              </w:rPr>
            </w:pPr>
            <w:r w:rsidRPr="00E40AA0">
              <w:rPr>
                <w:rFonts w:eastAsia="Arial"/>
                <w:szCs w:val="28"/>
                <w:lang w:eastAsia="en-GB"/>
              </w:rPr>
              <w:t>Cash and cash equivalents</w:t>
            </w:r>
          </w:p>
        </w:tc>
        <w:tc>
          <w:tcPr>
            <w:tcW w:w="22" w:type="dxa"/>
            <w:tcBorders>
              <w:top w:val="nil"/>
              <w:left w:val="nil"/>
              <w:bottom w:val="nil"/>
              <w:right w:val="nil"/>
            </w:tcBorders>
            <w:shd w:val="clear" w:color="auto" w:fill="FFFFFF"/>
            <w:tcMar>
              <w:left w:w="0" w:type="dxa"/>
              <w:right w:w="0" w:type="dxa"/>
            </w:tcMar>
          </w:tcPr>
          <w:p w14:paraId="700F086E"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0BC351A9" w14:textId="1AA09C7E" w:rsidR="00613F96" w:rsidRDefault="00613F96" w:rsidP="00613F96">
            <w:pPr>
              <w:spacing w:after="0"/>
              <w:jc w:val="center"/>
              <w:rPr>
                <w:rFonts w:eastAsia="Arial"/>
                <w:szCs w:val="28"/>
                <w:lang w:eastAsia="en-GB"/>
              </w:rPr>
            </w:pPr>
            <w:r>
              <w:rPr>
                <w:rFonts w:eastAsia="Arial"/>
                <w:szCs w:val="28"/>
                <w:lang w:eastAsia="en-GB"/>
              </w:rPr>
              <w:t>12</w:t>
            </w:r>
          </w:p>
        </w:tc>
        <w:tc>
          <w:tcPr>
            <w:tcW w:w="1362" w:type="dxa"/>
            <w:tcBorders>
              <w:top w:val="nil"/>
              <w:left w:val="nil"/>
              <w:right w:val="nil"/>
            </w:tcBorders>
            <w:shd w:val="clear" w:color="auto" w:fill="FFFFFF"/>
            <w:vAlign w:val="center"/>
          </w:tcPr>
          <w:p w14:paraId="5F2070DF" w14:textId="353AE0ED" w:rsidR="00613F96" w:rsidRPr="005F0E7F" w:rsidDel="00EA1BA5" w:rsidRDefault="00B44BAF" w:rsidP="00613F96">
            <w:pPr>
              <w:tabs>
                <w:tab w:val="decimal" w:pos="968"/>
              </w:tabs>
              <w:spacing w:after="0"/>
              <w:jc w:val="both"/>
              <w:rPr>
                <w:rFonts w:eastAsia="Arial"/>
                <w:szCs w:val="28"/>
                <w:lang w:eastAsia="en-GB"/>
              </w:rPr>
            </w:pPr>
            <w:r w:rsidRPr="005F0E7F">
              <w:rPr>
                <w:rFonts w:eastAsia="Arial"/>
                <w:szCs w:val="28"/>
                <w:lang w:eastAsia="en-GB"/>
              </w:rPr>
              <w:t>206.9</w:t>
            </w:r>
          </w:p>
        </w:tc>
        <w:tc>
          <w:tcPr>
            <w:tcW w:w="256" w:type="dxa"/>
            <w:tcBorders>
              <w:top w:val="nil"/>
              <w:left w:val="nil"/>
              <w:right w:val="nil"/>
            </w:tcBorders>
            <w:shd w:val="clear" w:color="auto" w:fill="FFFFFF"/>
          </w:tcPr>
          <w:p w14:paraId="7A9708DA" w14:textId="77777777" w:rsidR="00613F96" w:rsidRPr="003F466B" w:rsidRDefault="00613F96" w:rsidP="00613F96">
            <w:pPr>
              <w:spacing w:after="0"/>
              <w:jc w:val="right"/>
              <w:rPr>
                <w:rFonts w:eastAsia="Arial"/>
                <w:szCs w:val="28"/>
                <w:lang w:eastAsia="en-GB"/>
              </w:rPr>
            </w:pPr>
          </w:p>
        </w:tc>
        <w:tc>
          <w:tcPr>
            <w:tcW w:w="1276" w:type="dxa"/>
            <w:tcBorders>
              <w:top w:val="nil"/>
              <w:left w:val="nil"/>
              <w:right w:val="nil"/>
            </w:tcBorders>
            <w:shd w:val="clear" w:color="auto" w:fill="FFFFFF"/>
            <w:vAlign w:val="center"/>
          </w:tcPr>
          <w:p w14:paraId="0F3B9E57" w14:textId="1DD178CC" w:rsidR="00613F96" w:rsidRPr="004F6EE6" w:rsidRDefault="00613F96" w:rsidP="00613F96">
            <w:pPr>
              <w:tabs>
                <w:tab w:val="decimal" w:pos="915"/>
              </w:tabs>
              <w:spacing w:after="0"/>
              <w:rPr>
                <w:rFonts w:eastAsia="Arial"/>
                <w:szCs w:val="28"/>
                <w:lang w:eastAsia="en-GB"/>
              </w:rPr>
            </w:pPr>
            <w:r>
              <w:rPr>
                <w:rFonts w:eastAsia="Arial"/>
                <w:szCs w:val="28"/>
                <w:lang w:eastAsia="en-GB"/>
              </w:rPr>
              <w:t>284.0</w:t>
            </w:r>
          </w:p>
        </w:tc>
        <w:tc>
          <w:tcPr>
            <w:tcW w:w="283" w:type="dxa"/>
            <w:tcBorders>
              <w:top w:val="nil"/>
              <w:left w:val="nil"/>
              <w:right w:val="nil"/>
            </w:tcBorders>
            <w:shd w:val="clear" w:color="auto" w:fill="FFFFFF"/>
            <w:tcMar>
              <w:left w:w="0" w:type="dxa"/>
              <w:right w:w="0" w:type="dxa"/>
            </w:tcMar>
          </w:tcPr>
          <w:p w14:paraId="7D362EEB" w14:textId="77777777" w:rsidR="00613F96" w:rsidRPr="003F466B" w:rsidRDefault="00613F96" w:rsidP="00613F96">
            <w:pPr>
              <w:spacing w:after="0"/>
              <w:jc w:val="right"/>
              <w:rPr>
                <w:rFonts w:eastAsia="Arial"/>
                <w:szCs w:val="28"/>
                <w:lang w:eastAsia="en-GB"/>
              </w:rPr>
            </w:pPr>
          </w:p>
        </w:tc>
        <w:tc>
          <w:tcPr>
            <w:tcW w:w="1417" w:type="dxa"/>
            <w:tcBorders>
              <w:top w:val="nil"/>
              <w:left w:val="nil"/>
              <w:right w:val="nil"/>
            </w:tcBorders>
            <w:shd w:val="clear" w:color="auto" w:fill="FFFFFF"/>
            <w:tcMar>
              <w:left w:w="0" w:type="dxa"/>
              <w:right w:w="0" w:type="dxa"/>
            </w:tcMar>
            <w:vAlign w:val="center"/>
          </w:tcPr>
          <w:p w14:paraId="22B2D9DF" w14:textId="0FF075B7" w:rsidR="00613F96" w:rsidRPr="00613F96" w:rsidRDefault="00613F96" w:rsidP="00577845">
            <w:pPr>
              <w:tabs>
                <w:tab w:val="decimal" w:pos="1161"/>
              </w:tabs>
              <w:spacing w:after="0"/>
              <w:ind w:left="-143" w:firstLine="143"/>
              <w:rPr>
                <w:rFonts w:eastAsia="Arial"/>
                <w:szCs w:val="28"/>
                <w:lang w:eastAsia="en-GB"/>
              </w:rPr>
            </w:pPr>
            <w:r w:rsidRPr="00613F96">
              <w:rPr>
                <w:rFonts w:eastAsia="Arial"/>
                <w:szCs w:val="28"/>
                <w:lang w:eastAsia="en-GB"/>
              </w:rPr>
              <w:t>268.2</w:t>
            </w:r>
          </w:p>
        </w:tc>
      </w:tr>
      <w:tr w:rsidR="00613F96" w:rsidRPr="00F26A5C" w14:paraId="40397CBF" w14:textId="77777777">
        <w:trPr>
          <w:trHeight w:val="74"/>
        </w:trPr>
        <w:tc>
          <w:tcPr>
            <w:tcW w:w="4004" w:type="dxa"/>
            <w:tcBorders>
              <w:top w:val="nil"/>
              <w:left w:val="nil"/>
              <w:bottom w:val="nil"/>
              <w:right w:val="nil"/>
            </w:tcBorders>
            <w:shd w:val="clear" w:color="auto" w:fill="FFFFFF"/>
            <w:tcMar>
              <w:left w:w="0" w:type="dxa"/>
              <w:right w:w="0" w:type="dxa"/>
            </w:tcMar>
          </w:tcPr>
          <w:p w14:paraId="62747ABE" w14:textId="339EA786" w:rsidR="00613F96" w:rsidRPr="003F466B" w:rsidRDefault="00613F96" w:rsidP="00613F96">
            <w:pPr>
              <w:spacing w:after="0"/>
              <w:rPr>
                <w:rFonts w:eastAsia="Arial"/>
                <w:szCs w:val="28"/>
                <w:lang w:eastAsia="en-GB"/>
              </w:rPr>
            </w:pPr>
            <w:r w:rsidRPr="00E40AA0">
              <w:rPr>
                <w:rFonts w:eastAsia="Arial"/>
                <w:szCs w:val="28"/>
                <w:lang w:eastAsia="en-GB"/>
              </w:rPr>
              <w:t>Current tax asset</w:t>
            </w:r>
          </w:p>
        </w:tc>
        <w:tc>
          <w:tcPr>
            <w:tcW w:w="22" w:type="dxa"/>
            <w:tcBorders>
              <w:top w:val="nil"/>
              <w:left w:val="nil"/>
              <w:bottom w:val="nil"/>
              <w:right w:val="nil"/>
            </w:tcBorders>
            <w:shd w:val="clear" w:color="auto" w:fill="FFFFFF"/>
            <w:tcMar>
              <w:left w:w="0" w:type="dxa"/>
              <w:right w:w="0" w:type="dxa"/>
            </w:tcMar>
          </w:tcPr>
          <w:p w14:paraId="2995A5D7"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6D07E246" w14:textId="1EA049A5" w:rsidR="00613F96" w:rsidRPr="003F466B" w:rsidRDefault="00613F96" w:rsidP="00613F96">
            <w:pPr>
              <w:spacing w:after="0"/>
              <w:jc w:val="center"/>
              <w:rPr>
                <w:rFonts w:eastAsia="Arial"/>
                <w:szCs w:val="28"/>
                <w:lang w:eastAsia="en-GB"/>
              </w:rPr>
            </w:pPr>
          </w:p>
        </w:tc>
        <w:tc>
          <w:tcPr>
            <w:tcW w:w="1362" w:type="dxa"/>
            <w:tcBorders>
              <w:left w:val="nil"/>
              <w:bottom w:val="single" w:sz="4" w:space="0" w:color="auto"/>
              <w:right w:val="nil"/>
            </w:tcBorders>
            <w:shd w:val="clear" w:color="auto" w:fill="FFFFFF"/>
            <w:vAlign w:val="center"/>
          </w:tcPr>
          <w:p w14:paraId="629C57CF" w14:textId="7FC67040" w:rsidR="00613F96" w:rsidRPr="005F0E7F" w:rsidRDefault="00555833" w:rsidP="00613F96">
            <w:pPr>
              <w:tabs>
                <w:tab w:val="decimal" w:pos="968"/>
              </w:tabs>
              <w:spacing w:after="0"/>
              <w:jc w:val="both"/>
              <w:rPr>
                <w:rFonts w:eastAsia="Arial"/>
                <w:szCs w:val="28"/>
                <w:lang w:eastAsia="en-GB"/>
              </w:rPr>
            </w:pPr>
            <w:r>
              <w:rPr>
                <w:rFonts w:eastAsia="Arial"/>
                <w:szCs w:val="28"/>
                <w:lang w:eastAsia="en-GB"/>
              </w:rPr>
              <w:t>3.7</w:t>
            </w:r>
          </w:p>
        </w:tc>
        <w:tc>
          <w:tcPr>
            <w:tcW w:w="256" w:type="dxa"/>
            <w:tcBorders>
              <w:left w:val="nil"/>
              <w:right w:val="nil"/>
            </w:tcBorders>
            <w:shd w:val="clear" w:color="auto" w:fill="FFFFFF"/>
          </w:tcPr>
          <w:p w14:paraId="612581A9" w14:textId="3174A2F5"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left w:val="nil"/>
              <w:bottom w:val="single" w:sz="4" w:space="0" w:color="auto"/>
              <w:right w:val="nil"/>
            </w:tcBorders>
            <w:shd w:val="clear" w:color="auto" w:fill="FFFFFF"/>
            <w:vAlign w:val="center"/>
          </w:tcPr>
          <w:p w14:paraId="76EC1B50" w14:textId="231A6D67" w:rsidR="00613F96" w:rsidRPr="004F6EE6" w:rsidRDefault="009B401E" w:rsidP="00613F96">
            <w:pPr>
              <w:tabs>
                <w:tab w:val="decimal" w:pos="915"/>
              </w:tabs>
              <w:spacing w:after="0"/>
              <w:rPr>
                <w:rFonts w:eastAsia="Arial"/>
                <w:szCs w:val="28"/>
                <w:lang w:eastAsia="en-GB"/>
              </w:rPr>
            </w:pPr>
            <w:r>
              <w:rPr>
                <w:rFonts w:eastAsia="Arial"/>
                <w:szCs w:val="28"/>
                <w:lang w:eastAsia="en-GB"/>
              </w:rPr>
              <w:t>3.1</w:t>
            </w:r>
          </w:p>
        </w:tc>
        <w:tc>
          <w:tcPr>
            <w:tcW w:w="283" w:type="dxa"/>
            <w:tcBorders>
              <w:left w:val="nil"/>
              <w:bottom w:val="nil"/>
              <w:right w:val="nil"/>
            </w:tcBorders>
            <w:shd w:val="clear" w:color="auto" w:fill="FFFFFF"/>
            <w:tcMar>
              <w:left w:w="0" w:type="dxa"/>
              <w:right w:w="0" w:type="dxa"/>
            </w:tcMar>
          </w:tcPr>
          <w:p w14:paraId="5AE0D3FB" w14:textId="77777777"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417" w:type="dxa"/>
            <w:tcBorders>
              <w:left w:val="nil"/>
              <w:bottom w:val="single" w:sz="4" w:space="0" w:color="auto"/>
              <w:right w:val="nil"/>
            </w:tcBorders>
            <w:shd w:val="clear" w:color="auto" w:fill="FFFFFF"/>
            <w:tcMar>
              <w:left w:w="0" w:type="dxa"/>
              <w:right w:w="0" w:type="dxa"/>
            </w:tcMar>
            <w:vAlign w:val="center"/>
          </w:tcPr>
          <w:p w14:paraId="7E313133" w14:textId="080CF27E" w:rsidR="00613F96" w:rsidRPr="00613F96" w:rsidRDefault="00613F96" w:rsidP="00577845">
            <w:pPr>
              <w:tabs>
                <w:tab w:val="decimal" w:pos="1161"/>
              </w:tabs>
              <w:spacing w:after="0"/>
              <w:ind w:left="-143" w:firstLine="143"/>
              <w:rPr>
                <w:rFonts w:eastAsia="Arial"/>
                <w:szCs w:val="28"/>
                <w:lang w:eastAsia="en-GB"/>
              </w:rPr>
            </w:pPr>
            <w:r w:rsidRPr="00613F96">
              <w:rPr>
                <w:rFonts w:eastAsia="Arial"/>
                <w:szCs w:val="28"/>
                <w:lang w:eastAsia="en-GB"/>
              </w:rPr>
              <w:t>1.3</w:t>
            </w:r>
          </w:p>
        </w:tc>
      </w:tr>
      <w:tr w:rsidR="007756EA" w:rsidRPr="00F26A5C" w14:paraId="71089A6B" w14:textId="77777777" w:rsidTr="00433FEC">
        <w:tc>
          <w:tcPr>
            <w:tcW w:w="4004" w:type="dxa"/>
            <w:tcBorders>
              <w:top w:val="nil"/>
              <w:left w:val="nil"/>
              <w:bottom w:val="nil"/>
              <w:right w:val="nil"/>
            </w:tcBorders>
            <w:shd w:val="clear" w:color="auto" w:fill="FFFFFF"/>
            <w:tcMar>
              <w:left w:w="0" w:type="dxa"/>
              <w:right w:w="0" w:type="dxa"/>
            </w:tcMar>
          </w:tcPr>
          <w:p w14:paraId="787371BE" w14:textId="77777777" w:rsidR="007756EA" w:rsidRPr="003F466B" w:rsidRDefault="007756EA" w:rsidP="007756EA">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7FDF755D" w14:textId="77777777" w:rsidR="007756EA" w:rsidRPr="003F466B" w:rsidRDefault="007756EA" w:rsidP="007756EA">
            <w:pPr>
              <w:spacing w:after="0"/>
              <w:jc w:val="center"/>
              <w:rPr>
                <w:rFonts w:eastAsia="Arial"/>
                <w:szCs w:val="28"/>
                <w:lang w:eastAsia="en-GB"/>
              </w:rPr>
            </w:pPr>
          </w:p>
        </w:tc>
        <w:tc>
          <w:tcPr>
            <w:tcW w:w="1558" w:type="dxa"/>
            <w:tcBorders>
              <w:left w:val="nil"/>
              <w:right w:val="nil"/>
            </w:tcBorders>
          </w:tcPr>
          <w:p w14:paraId="3AA66DFE" w14:textId="77777777" w:rsidR="007756EA" w:rsidRPr="003F466B" w:rsidRDefault="007756EA" w:rsidP="007756EA">
            <w:pPr>
              <w:spacing w:after="0"/>
              <w:jc w:val="center"/>
              <w:rPr>
                <w:rFonts w:eastAsia="Arial"/>
                <w:szCs w:val="28"/>
                <w:lang w:eastAsia="en-GB"/>
              </w:rPr>
            </w:pPr>
          </w:p>
        </w:tc>
        <w:tc>
          <w:tcPr>
            <w:tcW w:w="1362" w:type="dxa"/>
            <w:tcBorders>
              <w:top w:val="single" w:sz="4" w:space="0" w:color="auto"/>
              <w:left w:val="nil"/>
              <w:bottom w:val="single" w:sz="4" w:space="0" w:color="auto"/>
              <w:right w:val="nil"/>
            </w:tcBorders>
            <w:shd w:val="clear" w:color="auto" w:fill="FFFFFF"/>
          </w:tcPr>
          <w:p w14:paraId="42D0D83D" w14:textId="2D52804F" w:rsidR="007756EA" w:rsidRPr="005F0E7F" w:rsidRDefault="00555833" w:rsidP="007756EA">
            <w:pPr>
              <w:tabs>
                <w:tab w:val="decimal" w:pos="968"/>
              </w:tabs>
              <w:spacing w:after="0"/>
              <w:jc w:val="both"/>
              <w:rPr>
                <w:rFonts w:eastAsia="Arial"/>
                <w:b/>
                <w:bCs/>
                <w:szCs w:val="28"/>
                <w:lang w:eastAsia="en-GB"/>
              </w:rPr>
            </w:pPr>
            <w:r>
              <w:rPr>
                <w:rFonts w:eastAsia="Arial"/>
                <w:b/>
                <w:bCs/>
                <w:szCs w:val="28"/>
                <w:lang w:eastAsia="en-GB"/>
              </w:rPr>
              <w:t>847</w:t>
            </w:r>
            <w:r w:rsidR="00F17E34">
              <w:rPr>
                <w:rFonts w:eastAsia="Arial"/>
                <w:b/>
                <w:bCs/>
                <w:szCs w:val="28"/>
                <w:lang w:eastAsia="en-GB"/>
              </w:rPr>
              <w:t>.</w:t>
            </w:r>
            <w:r>
              <w:rPr>
                <w:rFonts w:eastAsia="Arial"/>
                <w:b/>
                <w:bCs/>
                <w:szCs w:val="28"/>
                <w:lang w:eastAsia="en-GB"/>
              </w:rPr>
              <w:t>2</w:t>
            </w:r>
          </w:p>
        </w:tc>
        <w:tc>
          <w:tcPr>
            <w:tcW w:w="256" w:type="dxa"/>
            <w:tcBorders>
              <w:left w:val="nil"/>
              <w:right w:val="nil"/>
            </w:tcBorders>
            <w:shd w:val="clear" w:color="auto" w:fill="FFFFFF"/>
          </w:tcPr>
          <w:p w14:paraId="6A93FA52" w14:textId="22E192FE"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single" w:sz="4" w:space="0" w:color="auto"/>
              <w:left w:val="nil"/>
              <w:bottom w:val="single" w:sz="4" w:space="0" w:color="auto"/>
              <w:right w:val="nil"/>
            </w:tcBorders>
            <w:shd w:val="clear" w:color="auto" w:fill="FFFFFF"/>
          </w:tcPr>
          <w:p w14:paraId="49F701B1" w14:textId="656E5DC2" w:rsidR="007756EA" w:rsidRPr="004F6EE6" w:rsidRDefault="007756EA" w:rsidP="007756EA">
            <w:pPr>
              <w:tabs>
                <w:tab w:val="decimal" w:pos="915"/>
              </w:tabs>
              <w:spacing w:after="0"/>
              <w:rPr>
                <w:rFonts w:eastAsia="Arial"/>
                <w:b/>
                <w:bCs/>
                <w:szCs w:val="28"/>
                <w:lang w:eastAsia="en-GB"/>
              </w:rPr>
            </w:pPr>
            <w:r>
              <w:rPr>
                <w:rFonts w:eastAsia="Arial"/>
                <w:b/>
                <w:bCs/>
                <w:szCs w:val="28"/>
                <w:lang w:eastAsia="en-GB"/>
              </w:rPr>
              <w:t>659.6</w:t>
            </w:r>
          </w:p>
        </w:tc>
        <w:tc>
          <w:tcPr>
            <w:tcW w:w="283" w:type="dxa"/>
            <w:tcBorders>
              <w:top w:val="nil"/>
              <w:left w:val="nil"/>
              <w:bottom w:val="nil"/>
              <w:right w:val="nil"/>
            </w:tcBorders>
            <w:shd w:val="clear" w:color="auto" w:fill="FFFFFF"/>
            <w:tcMar>
              <w:left w:w="0" w:type="dxa"/>
              <w:right w:w="0" w:type="dxa"/>
            </w:tcMar>
          </w:tcPr>
          <w:p w14:paraId="2408BE57" w14:textId="77777777" w:rsidR="007756EA" w:rsidRPr="003F466B" w:rsidRDefault="007756EA" w:rsidP="007756EA">
            <w:pPr>
              <w:spacing w:after="0"/>
              <w:jc w:val="right"/>
              <w:rPr>
                <w:rFonts w:eastAsia="Arial"/>
                <w:b/>
                <w:bCs/>
                <w:szCs w:val="28"/>
                <w:lang w:eastAsia="en-GB"/>
              </w:rPr>
            </w:pPr>
            <w:r w:rsidRPr="003F466B">
              <w:rPr>
                <w:rFonts w:eastAsia="Arial"/>
                <w:b/>
                <w:bCs/>
                <w:szCs w:val="28"/>
                <w:lang w:eastAsia="en-GB"/>
              </w:rPr>
              <w:t xml:space="preserve"> </w:t>
            </w:r>
          </w:p>
        </w:tc>
        <w:tc>
          <w:tcPr>
            <w:tcW w:w="1417" w:type="dxa"/>
            <w:tcBorders>
              <w:top w:val="single" w:sz="4" w:space="0" w:color="auto"/>
              <w:left w:val="nil"/>
              <w:bottom w:val="single" w:sz="4" w:space="0" w:color="auto"/>
              <w:right w:val="nil"/>
            </w:tcBorders>
            <w:shd w:val="clear" w:color="auto" w:fill="FFFFFF"/>
            <w:tcMar>
              <w:left w:w="0" w:type="dxa"/>
              <w:right w:w="0" w:type="dxa"/>
            </w:tcMar>
          </w:tcPr>
          <w:p w14:paraId="7E7ADDAD" w14:textId="4E83C15E" w:rsidR="007756EA" w:rsidRPr="00613F96" w:rsidRDefault="00613F96" w:rsidP="00577845">
            <w:pPr>
              <w:tabs>
                <w:tab w:val="decimal" w:pos="1161"/>
              </w:tabs>
              <w:spacing w:after="0"/>
              <w:ind w:left="-143" w:firstLine="143"/>
              <w:rPr>
                <w:rFonts w:eastAsia="Arial"/>
                <w:b/>
                <w:bCs/>
                <w:szCs w:val="28"/>
                <w:lang w:eastAsia="en-GB"/>
              </w:rPr>
            </w:pPr>
            <w:r w:rsidRPr="00613F96">
              <w:rPr>
                <w:rFonts w:eastAsia="Arial"/>
                <w:b/>
                <w:bCs/>
                <w:szCs w:val="28"/>
                <w:lang w:eastAsia="en-GB"/>
              </w:rPr>
              <w:t>639.9</w:t>
            </w:r>
          </w:p>
        </w:tc>
      </w:tr>
      <w:tr w:rsidR="007756EA" w:rsidRPr="00F26A5C" w14:paraId="2BD96BDD" w14:textId="77777777" w:rsidTr="00433FEC">
        <w:tc>
          <w:tcPr>
            <w:tcW w:w="4004" w:type="dxa"/>
            <w:tcBorders>
              <w:top w:val="nil"/>
              <w:left w:val="nil"/>
              <w:bottom w:val="nil"/>
              <w:right w:val="nil"/>
            </w:tcBorders>
            <w:shd w:val="clear" w:color="auto" w:fill="FFFFFF"/>
            <w:tcMar>
              <w:left w:w="0" w:type="dxa"/>
              <w:right w:w="0" w:type="dxa"/>
            </w:tcMar>
            <w:vAlign w:val="bottom"/>
          </w:tcPr>
          <w:p w14:paraId="278E10A0" w14:textId="6467FC5B" w:rsidR="007756EA" w:rsidRPr="003F466B" w:rsidRDefault="00A758FF" w:rsidP="007756EA">
            <w:pPr>
              <w:spacing w:after="0"/>
              <w:rPr>
                <w:rFonts w:eastAsia="Arial"/>
                <w:szCs w:val="28"/>
                <w:lang w:eastAsia="en-GB"/>
              </w:rPr>
            </w:pPr>
            <w:r w:rsidRPr="003F466B">
              <w:rPr>
                <w:rFonts w:eastAsia="Arial"/>
                <w:b/>
                <w:szCs w:val="28"/>
                <w:lang w:eastAsia="en-GB"/>
              </w:rPr>
              <w:t>Total assets</w:t>
            </w:r>
          </w:p>
        </w:tc>
        <w:tc>
          <w:tcPr>
            <w:tcW w:w="22" w:type="dxa"/>
            <w:tcBorders>
              <w:top w:val="nil"/>
              <w:left w:val="nil"/>
              <w:bottom w:val="nil"/>
              <w:right w:val="nil"/>
            </w:tcBorders>
            <w:shd w:val="clear" w:color="auto" w:fill="FFFFFF"/>
            <w:tcMar>
              <w:left w:w="0" w:type="dxa"/>
              <w:right w:w="0" w:type="dxa"/>
            </w:tcMar>
          </w:tcPr>
          <w:p w14:paraId="10208ADE" w14:textId="77777777" w:rsidR="007756EA" w:rsidRPr="003F466B" w:rsidRDefault="007756EA" w:rsidP="007756EA">
            <w:pPr>
              <w:spacing w:after="0"/>
              <w:jc w:val="center"/>
              <w:rPr>
                <w:rFonts w:eastAsia="Arial"/>
                <w:szCs w:val="28"/>
                <w:lang w:eastAsia="en-GB"/>
              </w:rPr>
            </w:pPr>
          </w:p>
        </w:tc>
        <w:tc>
          <w:tcPr>
            <w:tcW w:w="1558" w:type="dxa"/>
            <w:tcBorders>
              <w:left w:val="nil"/>
              <w:right w:val="nil"/>
            </w:tcBorders>
          </w:tcPr>
          <w:p w14:paraId="4B7C17BA" w14:textId="77777777" w:rsidR="007756EA" w:rsidRPr="003F466B" w:rsidRDefault="007756EA" w:rsidP="007756EA">
            <w:pPr>
              <w:spacing w:after="0"/>
              <w:jc w:val="center"/>
              <w:rPr>
                <w:rFonts w:eastAsia="Arial"/>
                <w:szCs w:val="28"/>
                <w:lang w:eastAsia="en-GB"/>
              </w:rPr>
            </w:pPr>
          </w:p>
        </w:tc>
        <w:tc>
          <w:tcPr>
            <w:tcW w:w="1362" w:type="dxa"/>
            <w:tcBorders>
              <w:top w:val="single" w:sz="4" w:space="0" w:color="auto"/>
              <w:left w:val="nil"/>
              <w:bottom w:val="double" w:sz="4" w:space="0" w:color="auto"/>
              <w:right w:val="nil"/>
            </w:tcBorders>
            <w:shd w:val="clear" w:color="auto" w:fill="FFFFFF"/>
            <w:vAlign w:val="bottom"/>
          </w:tcPr>
          <w:p w14:paraId="046EC152" w14:textId="3BB7D5B9" w:rsidR="007756EA" w:rsidRPr="005F0E7F" w:rsidRDefault="00B44BAF" w:rsidP="007756EA">
            <w:pPr>
              <w:tabs>
                <w:tab w:val="decimal" w:pos="968"/>
              </w:tabs>
              <w:spacing w:after="0"/>
              <w:jc w:val="both"/>
              <w:rPr>
                <w:rFonts w:eastAsia="Arial"/>
                <w:b/>
                <w:bCs/>
                <w:szCs w:val="28"/>
                <w:lang w:eastAsia="en-GB"/>
              </w:rPr>
            </w:pPr>
            <w:r w:rsidRPr="005F0E7F">
              <w:rPr>
                <w:rFonts w:eastAsia="Arial"/>
                <w:b/>
                <w:bCs/>
                <w:szCs w:val="28"/>
                <w:lang w:eastAsia="en-GB"/>
              </w:rPr>
              <w:t>1</w:t>
            </w:r>
            <w:r w:rsidR="0079767B" w:rsidRPr="005F0E7F">
              <w:rPr>
                <w:rFonts w:eastAsia="Arial"/>
                <w:b/>
                <w:bCs/>
                <w:szCs w:val="28"/>
                <w:lang w:eastAsia="en-GB"/>
              </w:rPr>
              <w:t>,</w:t>
            </w:r>
            <w:r w:rsidR="00555833" w:rsidRPr="005F0E7F">
              <w:rPr>
                <w:rFonts w:eastAsia="Arial"/>
                <w:b/>
                <w:bCs/>
                <w:szCs w:val="28"/>
                <w:lang w:eastAsia="en-GB"/>
              </w:rPr>
              <w:t>4</w:t>
            </w:r>
            <w:r w:rsidR="00555833">
              <w:rPr>
                <w:rFonts w:eastAsia="Arial"/>
                <w:b/>
                <w:bCs/>
                <w:szCs w:val="28"/>
                <w:lang w:eastAsia="en-GB"/>
              </w:rPr>
              <w:t>06</w:t>
            </w:r>
            <w:r w:rsidRPr="005F0E7F">
              <w:rPr>
                <w:rFonts w:eastAsia="Arial"/>
                <w:b/>
                <w:bCs/>
                <w:szCs w:val="28"/>
                <w:lang w:eastAsia="en-GB"/>
              </w:rPr>
              <w:t>.</w:t>
            </w:r>
            <w:r w:rsidR="00555833">
              <w:rPr>
                <w:rFonts w:eastAsia="Arial"/>
                <w:b/>
                <w:bCs/>
                <w:szCs w:val="28"/>
                <w:lang w:eastAsia="en-GB"/>
              </w:rPr>
              <w:t>7</w:t>
            </w:r>
          </w:p>
        </w:tc>
        <w:tc>
          <w:tcPr>
            <w:tcW w:w="256" w:type="dxa"/>
            <w:tcBorders>
              <w:left w:val="nil"/>
              <w:right w:val="nil"/>
            </w:tcBorders>
            <w:shd w:val="clear" w:color="auto" w:fill="FFFFFF"/>
            <w:vAlign w:val="bottom"/>
          </w:tcPr>
          <w:p w14:paraId="62D8B7CF" w14:textId="61047E51"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single" w:sz="4" w:space="0" w:color="auto"/>
              <w:left w:val="nil"/>
              <w:bottom w:val="double" w:sz="4" w:space="0" w:color="auto"/>
              <w:right w:val="nil"/>
            </w:tcBorders>
            <w:shd w:val="clear" w:color="auto" w:fill="FFFFFF"/>
            <w:vAlign w:val="bottom"/>
          </w:tcPr>
          <w:p w14:paraId="2F1076E3" w14:textId="38F59930" w:rsidR="007756EA" w:rsidRPr="004F6EE6" w:rsidRDefault="007756EA" w:rsidP="007756EA">
            <w:pPr>
              <w:tabs>
                <w:tab w:val="decimal" w:pos="915"/>
              </w:tabs>
              <w:spacing w:after="0"/>
              <w:rPr>
                <w:rFonts w:eastAsia="Arial"/>
                <w:b/>
                <w:bCs/>
                <w:szCs w:val="28"/>
                <w:lang w:eastAsia="en-GB"/>
              </w:rPr>
            </w:pPr>
            <w:r w:rsidRPr="00632714">
              <w:rPr>
                <w:rFonts w:eastAsia="Arial"/>
                <w:b/>
                <w:szCs w:val="28"/>
                <w:lang w:eastAsia="en-GB"/>
              </w:rPr>
              <w:t>1,</w:t>
            </w:r>
            <w:r>
              <w:rPr>
                <w:rFonts w:eastAsia="Arial"/>
                <w:b/>
                <w:bCs/>
                <w:szCs w:val="28"/>
                <w:lang w:eastAsia="en-GB"/>
              </w:rPr>
              <w:t>315.5</w:t>
            </w:r>
          </w:p>
        </w:tc>
        <w:tc>
          <w:tcPr>
            <w:tcW w:w="283" w:type="dxa"/>
            <w:tcBorders>
              <w:top w:val="nil"/>
              <w:left w:val="nil"/>
              <w:bottom w:val="nil"/>
              <w:right w:val="nil"/>
            </w:tcBorders>
            <w:shd w:val="clear" w:color="auto" w:fill="FFFFFF"/>
            <w:tcMar>
              <w:left w:w="0" w:type="dxa"/>
              <w:right w:w="0" w:type="dxa"/>
            </w:tcMar>
            <w:vAlign w:val="bottom"/>
          </w:tcPr>
          <w:p w14:paraId="25ADB184" w14:textId="77777777" w:rsidR="007756EA" w:rsidRPr="003F466B" w:rsidRDefault="007756EA" w:rsidP="007756EA">
            <w:pPr>
              <w:spacing w:after="0"/>
              <w:jc w:val="right"/>
              <w:rPr>
                <w:rFonts w:eastAsia="Arial"/>
                <w:b/>
                <w:bCs/>
                <w:szCs w:val="28"/>
                <w:lang w:eastAsia="en-GB"/>
              </w:rPr>
            </w:pPr>
            <w:r w:rsidRPr="003F466B">
              <w:rPr>
                <w:rFonts w:eastAsia="Arial"/>
                <w:b/>
                <w:bCs/>
                <w:szCs w:val="28"/>
                <w:lang w:eastAsia="en-GB"/>
              </w:rPr>
              <w:t xml:space="preserve"> </w:t>
            </w:r>
          </w:p>
        </w:tc>
        <w:tc>
          <w:tcPr>
            <w:tcW w:w="1417" w:type="dxa"/>
            <w:tcBorders>
              <w:top w:val="single" w:sz="4" w:space="0" w:color="auto"/>
              <w:left w:val="nil"/>
              <w:bottom w:val="double" w:sz="4" w:space="0" w:color="auto"/>
              <w:right w:val="nil"/>
            </w:tcBorders>
            <w:shd w:val="clear" w:color="auto" w:fill="FFFFFF"/>
            <w:tcMar>
              <w:left w:w="0" w:type="dxa"/>
              <w:right w:w="0" w:type="dxa"/>
            </w:tcMar>
            <w:vAlign w:val="bottom"/>
          </w:tcPr>
          <w:p w14:paraId="137FE0A2" w14:textId="14295E43" w:rsidR="007756EA" w:rsidRPr="00613F96" w:rsidRDefault="007756EA" w:rsidP="00577845">
            <w:pPr>
              <w:tabs>
                <w:tab w:val="decimal" w:pos="1161"/>
              </w:tabs>
              <w:spacing w:after="0"/>
              <w:ind w:left="-143" w:firstLine="143"/>
              <w:rPr>
                <w:rFonts w:eastAsia="Arial"/>
                <w:b/>
                <w:bCs/>
                <w:szCs w:val="28"/>
                <w:lang w:eastAsia="en-GB"/>
              </w:rPr>
            </w:pPr>
            <w:r w:rsidRPr="00613F96">
              <w:rPr>
                <w:rFonts w:eastAsia="Arial"/>
                <w:b/>
                <w:bCs/>
                <w:szCs w:val="28"/>
                <w:lang w:eastAsia="en-GB"/>
              </w:rPr>
              <w:t>1,2</w:t>
            </w:r>
            <w:r w:rsidR="00613F96" w:rsidRPr="00613F96">
              <w:rPr>
                <w:rFonts w:eastAsia="Arial"/>
                <w:b/>
                <w:bCs/>
                <w:szCs w:val="28"/>
                <w:lang w:eastAsia="en-GB"/>
              </w:rPr>
              <w:t>07</w:t>
            </w:r>
            <w:r w:rsidRPr="00613F96">
              <w:rPr>
                <w:rFonts w:eastAsia="Arial"/>
                <w:b/>
                <w:bCs/>
                <w:szCs w:val="28"/>
                <w:lang w:eastAsia="en-GB"/>
              </w:rPr>
              <w:t>.</w:t>
            </w:r>
            <w:r w:rsidR="00613F96" w:rsidRPr="00613F96">
              <w:rPr>
                <w:rFonts w:eastAsia="Arial"/>
                <w:b/>
                <w:bCs/>
                <w:szCs w:val="28"/>
                <w:lang w:eastAsia="en-GB"/>
              </w:rPr>
              <w:t>6</w:t>
            </w:r>
          </w:p>
        </w:tc>
      </w:tr>
      <w:tr w:rsidR="007756EA" w:rsidRPr="00F26A5C" w14:paraId="46D050F1" w14:textId="77777777" w:rsidTr="00433FEC">
        <w:trPr>
          <w:trHeight w:val="255"/>
        </w:trPr>
        <w:tc>
          <w:tcPr>
            <w:tcW w:w="4004" w:type="dxa"/>
            <w:tcBorders>
              <w:top w:val="nil"/>
              <w:left w:val="nil"/>
              <w:bottom w:val="nil"/>
              <w:right w:val="nil"/>
            </w:tcBorders>
            <w:shd w:val="clear" w:color="auto" w:fill="FFFFFF"/>
            <w:tcMar>
              <w:left w:w="0" w:type="dxa"/>
              <w:right w:w="0" w:type="dxa"/>
            </w:tcMar>
          </w:tcPr>
          <w:p w14:paraId="4F0BBBED" w14:textId="77777777" w:rsidR="007756EA" w:rsidRPr="003F466B" w:rsidRDefault="007756EA" w:rsidP="007756EA">
            <w:pPr>
              <w:spacing w:after="0"/>
              <w:rPr>
                <w:rFonts w:eastAsia="Arial"/>
                <w:szCs w:val="28"/>
                <w:lang w:eastAsia="en-GB"/>
              </w:rPr>
            </w:pPr>
            <w:r w:rsidRPr="003F466B">
              <w:rPr>
                <w:rFonts w:eastAsia="Arial"/>
                <w:b/>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1035473F" w14:textId="77777777" w:rsidR="007756EA" w:rsidRPr="003F466B" w:rsidRDefault="007756EA" w:rsidP="007756EA">
            <w:pPr>
              <w:spacing w:after="0"/>
              <w:jc w:val="center"/>
              <w:rPr>
                <w:rFonts w:eastAsia="Arial"/>
                <w:szCs w:val="28"/>
                <w:lang w:eastAsia="en-GB"/>
              </w:rPr>
            </w:pPr>
          </w:p>
        </w:tc>
        <w:tc>
          <w:tcPr>
            <w:tcW w:w="1558" w:type="dxa"/>
            <w:tcBorders>
              <w:left w:val="nil"/>
              <w:right w:val="nil"/>
            </w:tcBorders>
          </w:tcPr>
          <w:p w14:paraId="66FAEEB0" w14:textId="77777777" w:rsidR="007756EA" w:rsidRPr="003F466B" w:rsidRDefault="007756EA" w:rsidP="007756EA">
            <w:pPr>
              <w:spacing w:after="0"/>
              <w:jc w:val="center"/>
              <w:rPr>
                <w:rFonts w:eastAsia="Arial"/>
                <w:szCs w:val="28"/>
                <w:lang w:eastAsia="en-GB"/>
              </w:rPr>
            </w:pPr>
          </w:p>
        </w:tc>
        <w:tc>
          <w:tcPr>
            <w:tcW w:w="1362" w:type="dxa"/>
            <w:tcBorders>
              <w:top w:val="double" w:sz="4" w:space="0" w:color="auto"/>
              <w:left w:val="nil"/>
              <w:right w:val="nil"/>
            </w:tcBorders>
            <w:shd w:val="clear" w:color="auto" w:fill="FFFFFF"/>
          </w:tcPr>
          <w:p w14:paraId="678A501B" w14:textId="77777777" w:rsidR="007756EA" w:rsidRPr="00211923" w:rsidRDefault="007756EA" w:rsidP="007756EA">
            <w:pPr>
              <w:tabs>
                <w:tab w:val="decimal" w:pos="968"/>
              </w:tabs>
              <w:spacing w:after="0"/>
              <w:jc w:val="both"/>
              <w:rPr>
                <w:rFonts w:eastAsia="Arial"/>
                <w:szCs w:val="28"/>
                <w:highlight w:val="yellow"/>
                <w:lang w:eastAsia="en-GB"/>
              </w:rPr>
            </w:pPr>
          </w:p>
        </w:tc>
        <w:tc>
          <w:tcPr>
            <w:tcW w:w="256" w:type="dxa"/>
            <w:tcBorders>
              <w:left w:val="nil"/>
              <w:right w:val="nil"/>
            </w:tcBorders>
            <w:shd w:val="clear" w:color="auto" w:fill="FFFFFF"/>
          </w:tcPr>
          <w:p w14:paraId="6C0CBE97" w14:textId="27FB1CBD"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double" w:sz="4" w:space="0" w:color="auto"/>
              <w:left w:val="nil"/>
              <w:right w:val="nil"/>
            </w:tcBorders>
            <w:shd w:val="clear" w:color="auto" w:fill="FFFFFF"/>
          </w:tcPr>
          <w:p w14:paraId="3FF89261" w14:textId="77777777" w:rsidR="007756EA" w:rsidRPr="004F6EE6" w:rsidRDefault="007756EA" w:rsidP="007756EA">
            <w:pPr>
              <w:tabs>
                <w:tab w:val="decimal" w:pos="915"/>
              </w:tabs>
              <w:spacing w:after="0"/>
              <w:rPr>
                <w:rFonts w:eastAsia="Arial"/>
                <w:szCs w:val="28"/>
                <w:lang w:eastAsia="en-GB"/>
              </w:rPr>
            </w:pPr>
          </w:p>
        </w:tc>
        <w:tc>
          <w:tcPr>
            <w:tcW w:w="283" w:type="dxa"/>
            <w:tcBorders>
              <w:top w:val="nil"/>
              <w:left w:val="nil"/>
              <w:bottom w:val="nil"/>
              <w:right w:val="nil"/>
            </w:tcBorders>
            <w:shd w:val="clear" w:color="auto" w:fill="FFFFFF"/>
            <w:tcMar>
              <w:left w:w="0" w:type="dxa"/>
              <w:right w:w="0" w:type="dxa"/>
            </w:tcMar>
          </w:tcPr>
          <w:p w14:paraId="3E145FE4"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double" w:sz="4" w:space="0" w:color="auto"/>
              <w:left w:val="nil"/>
              <w:bottom w:val="nil"/>
              <w:right w:val="nil"/>
            </w:tcBorders>
            <w:shd w:val="clear" w:color="auto" w:fill="FFFFFF"/>
            <w:tcMar>
              <w:left w:w="0" w:type="dxa"/>
              <w:right w:w="0" w:type="dxa"/>
            </w:tcMar>
          </w:tcPr>
          <w:p w14:paraId="2EAF80B3"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F26A5C" w14:paraId="7EF146FB" w14:textId="77777777" w:rsidTr="00433FEC">
        <w:trPr>
          <w:trHeight w:val="305"/>
        </w:trPr>
        <w:tc>
          <w:tcPr>
            <w:tcW w:w="4004" w:type="dxa"/>
            <w:tcBorders>
              <w:top w:val="nil"/>
              <w:left w:val="nil"/>
              <w:bottom w:val="nil"/>
              <w:right w:val="nil"/>
            </w:tcBorders>
            <w:shd w:val="clear" w:color="auto" w:fill="FFFFFF"/>
            <w:tcMar>
              <w:left w:w="0" w:type="dxa"/>
              <w:right w:w="0" w:type="dxa"/>
            </w:tcMar>
          </w:tcPr>
          <w:p w14:paraId="14CFD94F" w14:textId="455F10EB" w:rsidR="007756EA" w:rsidRPr="003F466B" w:rsidRDefault="00A758FF" w:rsidP="007756EA">
            <w:pPr>
              <w:spacing w:after="0"/>
              <w:rPr>
                <w:rFonts w:eastAsia="Arial"/>
                <w:szCs w:val="28"/>
                <w:lang w:eastAsia="en-GB"/>
              </w:rPr>
            </w:pPr>
            <w:r w:rsidRPr="003F466B">
              <w:rPr>
                <w:rFonts w:eastAsia="Arial"/>
                <w:b/>
                <w:szCs w:val="28"/>
                <w:lang w:eastAsia="en-GB"/>
              </w:rPr>
              <w:t>Equity</w:t>
            </w:r>
            <w:r>
              <w:rPr>
                <w:rFonts w:eastAsia="Arial"/>
                <w:b/>
                <w:szCs w:val="28"/>
                <w:lang w:eastAsia="en-GB"/>
              </w:rPr>
              <w:t xml:space="preserve"> attributable to shareholders</w:t>
            </w:r>
          </w:p>
        </w:tc>
        <w:tc>
          <w:tcPr>
            <w:tcW w:w="22" w:type="dxa"/>
            <w:tcBorders>
              <w:top w:val="nil"/>
              <w:left w:val="nil"/>
              <w:bottom w:val="nil"/>
              <w:right w:val="nil"/>
            </w:tcBorders>
            <w:shd w:val="clear" w:color="auto" w:fill="FFFFFF"/>
            <w:tcMar>
              <w:left w:w="0" w:type="dxa"/>
              <w:right w:w="0" w:type="dxa"/>
            </w:tcMar>
          </w:tcPr>
          <w:p w14:paraId="04D05716" w14:textId="77777777" w:rsidR="007756EA" w:rsidRPr="003F466B" w:rsidRDefault="007756EA" w:rsidP="007756EA">
            <w:pPr>
              <w:spacing w:after="0"/>
              <w:jc w:val="center"/>
              <w:rPr>
                <w:rFonts w:eastAsia="Arial"/>
                <w:szCs w:val="28"/>
                <w:lang w:eastAsia="en-GB"/>
              </w:rPr>
            </w:pPr>
          </w:p>
        </w:tc>
        <w:tc>
          <w:tcPr>
            <w:tcW w:w="1558" w:type="dxa"/>
            <w:tcBorders>
              <w:top w:val="nil"/>
              <w:left w:val="nil"/>
              <w:bottom w:val="nil"/>
              <w:right w:val="nil"/>
            </w:tcBorders>
          </w:tcPr>
          <w:p w14:paraId="47A9A0FD" w14:textId="77777777" w:rsidR="007756EA" w:rsidRPr="003F466B" w:rsidRDefault="007756EA" w:rsidP="007756EA">
            <w:pPr>
              <w:spacing w:after="0"/>
              <w:jc w:val="center"/>
              <w:rPr>
                <w:rFonts w:eastAsia="Arial"/>
                <w:szCs w:val="28"/>
                <w:lang w:eastAsia="en-GB"/>
              </w:rPr>
            </w:pPr>
          </w:p>
        </w:tc>
        <w:tc>
          <w:tcPr>
            <w:tcW w:w="1362" w:type="dxa"/>
            <w:tcBorders>
              <w:top w:val="nil"/>
              <w:left w:val="nil"/>
              <w:bottom w:val="nil"/>
              <w:right w:val="nil"/>
            </w:tcBorders>
            <w:shd w:val="clear" w:color="auto" w:fill="FFFFFF"/>
          </w:tcPr>
          <w:p w14:paraId="0D7C359F" w14:textId="77777777" w:rsidR="007756EA" w:rsidRPr="00211923" w:rsidRDefault="007756EA" w:rsidP="007756EA">
            <w:pPr>
              <w:tabs>
                <w:tab w:val="decimal" w:pos="968"/>
              </w:tabs>
              <w:spacing w:after="0"/>
              <w:jc w:val="both"/>
              <w:rPr>
                <w:rFonts w:eastAsia="Arial"/>
                <w:szCs w:val="28"/>
                <w:highlight w:val="yellow"/>
                <w:lang w:eastAsia="en-GB"/>
              </w:rPr>
            </w:pPr>
          </w:p>
        </w:tc>
        <w:tc>
          <w:tcPr>
            <w:tcW w:w="256" w:type="dxa"/>
            <w:tcBorders>
              <w:top w:val="nil"/>
              <w:left w:val="nil"/>
              <w:bottom w:val="nil"/>
              <w:right w:val="nil"/>
            </w:tcBorders>
            <w:shd w:val="clear" w:color="auto" w:fill="FFFFFF"/>
          </w:tcPr>
          <w:p w14:paraId="4D024196" w14:textId="403006A8"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FFFFFF"/>
          </w:tcPr>
          <w:p w14:paraId="6A9AE3C4"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top w:val="nil"/>
              <w:left w:val="nil"/>
              <w:bottom w:val="nil"/>
              <w:right w:val="nil"/>
            </w:tcBorders>
            <w:shd w:val="clear" w:color="auto" w:fill="FFFFFF"/>
            <w:tcMar>
              <w:left w:w="0" w:type="dxa"/>
              <w:right w:w="0" w:type="dxa"/>
            </w:tcMar>
          </w:tcPr>
          <w:p w14:paraId="5320D2F5"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2D49EB67"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613F96" w:rsidRPr="00F26A5C" w14:paraId="158C082E" w14:textId="77777777" w:rsidTr="00433FEC">
        <w:trPr>
          <w:trHeight w:val="108"/>
        </w:trPr>
        <w:tc>
          <w:tcPr>
            <w:tcW w:w="4004" w:type="dxa"/>
            <w:tcBorders>
              <w:top w:val="nil"/>
              <w:left w:val="nil"/>
              <w:bottom w:val="nil"/>
              <w:right w:val="nil"/>
            </w:tcBorders>
            <w:shd w:val="clear" w:color="auto" w:fill="FFFFFF"/>
            <w:tcMar>
              <w:left w:w="0" w:type="dxa"/>
              <w:right w:w="0" w:type="dxa"/>
            </w:tcMar>
          </w:tcPr>
          <w:p w14:paraId="1D54424E" w14:textId="77777777" w:rsidR="00613F96" w:rsidRPr="003F466B" w:rsidRDefault="00613F96" w:rsidP="00613F96">
            <w:pPr>
              <w:spacing w:after="0"/>
              <w:rPr>
                <w:rFonts w:eastAsia="Arial"/>
                <w:szCs w:val="28"/>
                <w:lang w:eastAsia="en-GB"/>
              </w:rPr>
            </w:pPr>
            <w:r w:rsidRPr="003F466B">
              <w:rPr>
                <w:rFonts w:eastAsia="Arial"/>
                <w:szCs w:val="28"/>
                <w:lang w:eastAsia="en-GB"/>
              </w:rPr>
              <w:t>Share capital</w:t>
            </w:r>
          </w:p>
        </w:tc>
        <w:tc>
          <w:tcPr>
            <w:tcW w:w="22" w:type="dxa"/>
            <w:tcBorders>
              <w:top w:val="nil"/>
              <w:left w:val="nil"/>
              <w:bottom w:val="nil"/>
              <w:right w:val="nil"/>
            </w:tcBorders>
            <w:shd w:val="clear" w:color="auto" w:fill="FFFFFF"/>
            <w:tcMar>
              <w:left w:w="0" w:type="dxa"/>
              <w:right w:w="0" w:type="dxa"/>
            </w:tcMar>
          </w:tcPr>
          <w:p w14:paraId="44807EA1" w14:textId="77777777" w:rsidR="00613F96" w:rsidRPr="003F466B"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1086CD98" w14:textId="77777777" w:rsidR="00613F96" w:rsidRPr="003F466B" w:rsidRDefault="00613F96" w:rsidP="00613F96">
            <w:pPr>
              <w:spacing w:after="0"/>
              <w:jc w:val="center"/>
              <w:rPr>
                <w:rFonts w:eastAsia="Arial"/>
                <w:szCs w:val="28"/>
                <w:lang w:eastAsia="en-GB"/>
              </w:rPr>
            </w:pPr>
            <w:r>
              <w:rPr>
                <w:rFonts w:eastAsia="Arial"/>
                <w:szCs w:val="28"/>
                <w:lang w:eastAsia="en-GB"/>
              </w:rPr>
              <w:t>14</w:t>
            </w:r>
          </w:p>
        </w:tc>
        <w:tc>
          <w:tcPr>
            <w:tcW w:w="1362" w:type="dxa"/>
            <w:tcBorders>
              <w:top w:val="nil"/>
              <w:left w:val="nil"/>
              <w:bottom w:val="nil"/>
              <w:right w:val="nil"/>
            </w:tcBorders>
            <w:shd w:val="clear" w:color="auto" w:fill="FFFFFF"/>
          </w:tcPr>
          <w:p w14:paraId="3B83D5DF" w14:textId="6FBA2E97" w:rsidR="00613F96" w:rsidRPr="00EB79CA" w:rsidRDefault="00B44BAF" w:rsidP="00613F96">
            <w:pPr>
              <w:tabs>
                <w:tab w:val="decimal" w:pos="968"/>
              </w:tabs>
              <w:spacing w:after="0"/>
              <w:jc w:val="both"/>
              <w:rPr>
                <w:rFonts w:eastAsia="Arial"/>
                <w:szCs w:val="28"/>
                <w:lang w:eastAsia="en-GB"/>
              </w:rPr>
            </w:pPr>
            <w:r>
              <w:rPr>
                <w:rFonts w:eastAsia="Arial"/>
                <w:szCs w:val="28"/>
                <w:lang w:eastAsia="en-GB"/>
              </w:rPr>
              <w:t>10.9</w:t>
            </w:r>
          </w:p>
        </w:tc>
        <w:tc>
          <w:tcPr>
            <w:tcW w:w="256" w:type="dxa"/>
            <w:tcBorders>
              <w:top w:val="nil"/>
              <w:left w:val="nil"/>
              <w:bottom w:val="nil"/>
              <w:right w:val="nil"/>
            </w:tcBorders>
            <w:shd w:val="clear" w:color="auto" w:fill="FFFFFF"/>
          </w:tcPr>
          <w:p w14:paraId="2C101122" w14:textId="7121DF63"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auto"/>
          </w:tcPr>
          <w:p w14:paraId="7F6E0796" w14:textId="194D9DB0"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10.9</w:t>
            </w:r>
          </w:p>
        </w:tc>
        <w:tc>
          <w:tcPr>
            <w:tcW w:w="283" w:type="dxa"/>
            <w:tcBorders>
              <w:top w:val="nil"/>
              <w:left w:val="nil"/>
              <w:bottom w:val="nil"/>
              <w:right w:val="nil"/>
            </w:tcBorders>
            <w:shd w:val="clear" w:color="auto" w:fill="FFFFFF"/>
            <w:tcMar>
              <w:left w:w="0" w:type="dxa"/>
              <w:right w:w="0" w:type="dxa"/>
            </w:tcMar>
          </w:tcPr>
          <w:p w14:paraId="3B25F536" w14:textId="77777777" w:rsidR="00613F96" w:rsidRPr="003F466B" w:rsidRDefault="00613F96" w:rsidP="00613F96">
            <w:pPr>
              <w:tabs>
                <w:tab w:val="decimal" w:pos="1117"/>
              </w:tabs>
              <w:spacing w:after="0"/>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3A3CEBDD" w14:textId="4D83E41E"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10.9</w:t>
            </w:r>
          </w:p>
        </w:tc>
      </w:tr>
      <w:tr w:rsidR="00613F96" w:rsidRPr="00F26A5C" w14:paraId="43DD0CB7" w14:textId="77777777" w:rsidTr="00433FEC">
        <w:trPr>
          <w:trHeight w:val="108"/>
        </w:trPr>
        <w:tc>
          <w:tcPr>
            <w:tcW w:w="4004" w:type="dxa"/>
            <w:tcBorders>
              <w:top w:val="nil"/>
              <w:left w:val="nil"/>
              <w:bottom w:val="nil"/>
              <w:right w:val="nil"/>
            </w:tcBorders>
            <w:shd w:val="clear" w:color="auto" w:fill="FFFFFF"/>
            <w:tcMar>
              <w:left w:w="0" w:type="dxa"/>
              <w:right w:w="0" w:type="dxa"/>
            </w:tcMar>
          </w:tcPr>
          <w:p w14:paraId="54C5E55C" w14:textId="77777777" w:rsidR="00613F96" w:rsidRPr="003F466B" w:rsidRDefault="00613F96" w:rsidP="00613F96">
            <w:pPr>
              <w:spacing w:after="0"/>
              <w:rPr>
                <w:rFonts w:eastAsia="Arial"/>
                <w:szCs w:val="28"/>
                <w:lang w:eastAsia="en-GB"/>
              </w:rPr>
            </w:pPr>
            <w:r w:rsidRPr="003F466B">
              <w:rPr>
                <w:rFonts w:eastAsia="Arial"/>
                <w:szCs w:val="28"/>
                <w:lang w:eastAsia="en-GB"/>
              </w:rPr>
              <w:t>Own share reserve</w:t>
            </w:r>
          </w:p>
        </w:tc>
        <w:tc>
          <w:tcPr>
            <w:tcW w:w="22" w:type="dxa"/>
            <w:tcBorders>
              <w:top w:val="nil"/>
              <w:left w:val="nil"/>
              <w:bottom w:val="nil"/>
              <w:right w:val="nil"/>
            </w:tcBorders>
            <w:shd w:val="clear" w:color="auto" w:fill="FFFFFF"/>
            <w:tcMar>
              <w:left w:w="0" w:type="dxa"/>
              <w:right w:w="0" w:type="dxa"/>
            </w:tcMar>
          </w:tcPr>
          <w:p w14:paraId="46FCCE0B" w14:textId="77777777" w:rsidR="00613F96" w:rsidRPr="003F466B"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6B794ABE" w14:textId="77777777" w:rsidR="00613F96" w:rsidRPr="003F466B" w:rsidRDefault="00613F96" w:rsidP="00613F96">
            <w:pPr>
              <w:spacing w:after="0"/>
              <w:jc w:val="center"/>
              <w:rPr>
                <w:rFonts w:eastAsia="Arial"/>
                <w:szCs w:val="28"/>
                <w:lang w:eastAsia="en-GB"/>
              </w:rPr>
            </w:pPr>
            <w:r>
              <w:rPr>
                <w:rFonts w:eastAsia="Arial"/>
                <w:szCs w:val="28"/>
                <w:lang w:eastAsia="en-GB"/>
              </w:rPr>
              <w:t>15</w:t>
            </w:r>
          </w:p>
        </w:tc>
        <w:tc>
          <w:tcPr>
            <w:tcW w:w="1362" w:type="dxa"/>
            <w:tcBorders>
              <w:top w:val="nil"/>
              <w:left w:val="nil"/>
              <w:bottom w:val="nil"/>
              <w:right w:val="nil"/>
            </w:tcBorders>
            <w:shd w:val="clear" w:color="auto" w:fill="FFFFFF"/>
          </w:tcPr>
          <w:p w14:paraId="51AC7B51" w14:textId="180777A2" w:rsidR="00613F96" w:rsidRPr="00EB79CA" w:rsidRDefault="0036571D" w:rsidP="00613F96">
            <w:pPr>
              <w:tabs>
                <w:tab w:val="decimal" w:pos="968"/>
              </w:tabs>
              <w:spacing w:after="0"/>
              <w:jc w:val="both"/>
              <w:rPr>
                <w:rFonts w:eastAsia="Arial"/>
                <w:szCs w:val="28"/>
                <w:lang w:eastAsia="en-GB"/>
              </w:rPr>
            </w:pPr>
            <w:r>
              <w:rPr>
                <w:rFonts w:eastAsia="Arial"/>
                <w:szCs w:val="28"/>
                <w:lang w:eastAsia="en-GB"/>
              </w:rPr>
              <w:t>(0.6)</w:t>
            </w:r>
          </w:p>
        </w:tc>
        <w:tc>
          <w:tcPr>
            <w:tcW w:w="256" w:type="dxa"/>
            <w:tcBorders>
              <w:top w:val="nil"/>
              <w:left w:val="nil"/>
              <w:bottom w:val="nil"/>
              <w:right w:val="nil"/>
            </w:tcBorders>
            <w:shd w:val="clear" w:color="auto" w:fill="FFFFFF"/>
          </w:tcPr>
          <w:p w14:paraId="19E47A84" w14:textId="4BB09E0F"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auto"/>
          </w:tcPr>
          <w:p w14:paraId="6D3CCD94" w14:textId="154165EE"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(0.8)</w:t>
            </w:r>
          </w:p>
        </w:tc>
        <w:tc>
          <w:tcPr>
            <w:tcW w:w="283" w:type="dxa"/>
            <w:tcBorders>
              <w:top w:val="nil"/>
              <w:left w:val="nil"/>
              <w:bottom w:val="nil"/>
              <w:right w:val="nil"/>
            </w:tcBorders>
            <w:shd w:val="clear" w:color="auto" w:fill="FFFFFF"/>
            <w:tcMar>
              <w:left w:w="0" w:type="dxa"/>
              <w:right w:w="0" w:type="dxa"/>
            </w:tcMar>
          </w:tcPr>
          <w:p w14:paraId="50A78660" w14:textId="77777777" w:rsidR="00613F96" w:rsidRPr="003F466B" w:rsidRDefault="00613F96" w:rsidP="00613F96">
            <w:pPr>
              <w:tabs>
                <w:tab w:val="decimal" w:pos="1117"/>
              </w:tabs>
              <w:spacing w:after="0"/>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45DAE206" w14:textId="5C00797A"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(0.7)</w:t>
            </w:r>
          </w:p>
        </w:tc>
      </w:tr>
      <w:tr w:rsidR="00613F96" w:rsidRPr="00F26A5C" w14:paraId="1ADB6834" w14:textId="77777777" w:rsidTr="00433FEC">
        <w:trPr>
          <w:trHeight w:val="108"/>
        </w:trPr>
        <w:tc>
          <w:tcPr>
            <w:tcW w:w="4004" w:type="dxa"/>
            <w:tcBorders>
              <w:top w:val="nil"/>
              <w:left w:val="nil"/>
              <w:bottom w:val="nil"/>
              <w:right w:val="nil"/>
            </w:tcBorders>
            <w:shd w:val="clear" w:color="auto" w:fill="FFFFFF"/>
            <w:tcMar>
              <w:left w:w="0" w:type="dxa"/>
              <w:right w:w="0" w:type="dxa"/>
            </w:tcMar>
          </w:tcPr>
          <w:p w14:paraId="07A0F63F" w14:textId="2A43D1F5" w:rsidR="00613F96" w:rsidRPr="003F466B" w:rsidRDefault="00613F96" w:rsidP="00613F96">
            <w:pPr>
              <w:spacing w:after="0"/>
              <w:rPr>
                <w:rFonts w:eastAsia="Arial"/>
                <w:szCs w:val="28"/>
                <w:lang w:eastAsia="en-GB"/>
              </w:rPr>
            </w:pPr>
            <w:r w:rsidRPr="003F466B">
              <w:rPr>
                <w:rFonts w:eastAsia="Arial"/>
                <w:szCs w:val="28"/>
                <w:lang w:eastAsia="en-GB"/>
              </w:rPr>
              <w:t>Other reserve</w:t>
            </w:r>
            <w:r>
              <w:rPr>
                <w:rFonts w:eastAsia="Arial"/>
                <w:szCs w:val="28"/>
                <w:lang w:eastAsia="en-GB"/>
              </w:rPr>
              <w:t>s</w:t>
            </w:r>
          </w:p>
        </w:tc>
        <w:tc>
          <w:tcPr>
            <w:tcW w:w="22" w:type="dxa"/>
            <w:tcBorders>
              <w:top w:val="nil"/>
              <w:left w:val="nil"/>
              <w:bottom w:val="nil"/>
              <w:right w:val="nil"/>
            </w:tcBorders>
            <w:shd w:val="clear" w:color="auto" w:fill="FFFFFF"/>
            <w:tcMar>
              <w:left w:w="0" w:type="dxa"/>
              <w:right w:w="0" w:type="dxa"/>
            </w:tcMar>
          </w:tcPr>
          <w:p w14:paraId="451371BA"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15FED82C" w14:textId="77777777" w:rsidR="00613F96" w:rsidRPr="003F466B" w:rsidRDefault="00613F96" w:rsidP="00613F96">
            <w:pPr>
              <w:spacing w:after="0"/>
              <w:jc w:val="center"/>
              <w:rPr>
                <w:rFonts w:eastAsia="Arial"/>
                <w:szCs w:val="28"/>
                <w:lang w:eastAsia="en-GB"/>
              </w:rPr>
            </w:pPr>
            <w:r>
              <w:rPr>
                <w:rFonts w:eastAsia="Arial"/>
                <w:szCs w:val="28"/>
                <w:lang w:eastAsia="en-GB"/>
              </w:rPr>
              <w:t>15</w:t>
            </w:r>
          </w:p>
        </w:tc>
        <w:tc>
          <w:tcPr>
            <w:tcW w:w="1362" w:type="dxa"/>
            <w:tcBorders>
              <w:top w:val="nil"/>
              <w:left w:val="nil"/>
              <w:right w:val="nil"/>
            </w:tcBorders>
            <w:shd w:val="clear" w:color="auto" w:fill="FFFFFF"/>
          </w:tcPr>
          <w:p w14:paraId="65E033C5" w14:textId="4B123AEB" w:rsidR="00613F96" w:rsidRPr="00EB79CA" w:rsidRDefault="005868CF" w:rsidP="00613F96">
            <w:pPr>
              <w:tabs>
                <w:tab w:val="decimal" w:pos="968"/>
              </w:tabs>
              <w:spacing w:after="0"/>
              <w:jc w:val="both"/>
              <w:rPr>
                <w:rFonts w:eastAsia="Arial"/>
                <w:szCs w:val="28"/>
                <w:lang w:eastAsia="en-GB"/>
              </w:rPr>
            </w:pPr>
            <w:r>
              <w:rPr>
                <w:rFonts w:eastAsia="Arial"/>
                <w:szCs w:val="28"/>
                <w:lang w:eastAsia="en-GB"/>
              </w:rPr>
              <w:t>250.3</w:t>
            </w:r>
          </w:p>
        </w:tc>
        <w:tc>
          <w:tcPr>
            <w:tcW w:w="256" w:type="dxa"/>
            <w:tcBorders>
              <w:top w:val="nil"/>
              <w:left w:val="nil"/>
              <w:right w:val="nil"/>
            </w:tcBorders>
            <w:shd w:val="clear" w:color="auto" w:fill="FFFFFF"/>
          </w:tcPr>
          <w:p w14:paraId="515A63DB" w14:textId="6103B268"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auto"/>
          </w:tcPr>
          <w:p w14:paraId="13B5AB9E" w14:textId="7D8532D4"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250.</w:t>
            </w:r>
            <w:r>
              <w:rPr>
                <w:rFonts w:eastAsia="Arial"/>
                <w:szCs w:val="28"/>
                <w:lang w:eastAsia="en-GB"/>
              </w:rPr>
              <w:t>3</w:t>
            </w:r>
          </w:p>
        </w:tc>
        <w:tc>
          <w:tcPr>
            <w:tcW w:w="283" w:type="dxa"/>
            <w:tcBorders>
              <w:top w:val="nil"/>
              <w:left w:val="nil"/>
              <w:bottom w:val="nil"/>
              <w:right w:val="nil"/>
            </w:tcBorders>
            <w:shd w:val="clear" w:color="auto" w:fill="FFFFFF"/>
            <w:tcMar>
              <w:left w:w="0" w:type="dxa"/>
              <w:right w:w="0" w:type="dxa"/>
            </w:tcMar>
          </w:tcPr>
          <w:p w14:paraId="3B8584D2" w14:textId="77777777" w:rsidR="00613F96" w:rsidRPr="003F466B" w:rsidRDefault="00613F96" w:rsidP="00613F96">
            <w:pPr>
              <w:tabs>
                <w:tab w:val="decimal" w:pos="1117"/>
              </w:tabs>
              <w:spacing w:after="0"/>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0C453D84" w14:textId="72D45E09"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250.3</w:t>
            </w:r>
          </w:p>
        </w:tc>
      </w:tr>
      <w:tr w:rsidR="00613F96" w:rsidRPr="00F26A5C" w14:paraId="037D4686" w14:textId="77777777" w:rsidTr="00433FEC">
        <w:trPr>
          <w:trHeight w:val="108"/>
        </w:trPr>
        <w:tc>
          <w:tcPr>
            <w:tcW w:w="4004" w:type="dxa"/>
            <w:tcBorders>
              <w:top w:val="nil"/>
              <w:left w:val="nil"/>
              <w:bottom w:val="nil"/>
              <w:right w:val="nil"/>
            </w:tcBorders>
            <w:shd w:val="clear" w:color="auto" w:fill="FFFFFF"/>
            <w:tcMar>
              <w:left w:w="0" w:type="dxa"/>
              <w:right w:w="0" w:type="dxa"/>
            </w:tcMar>
          </w:tcPr>
          <w:p w14:paraId="0AFC685C" w14:textId="77777777" w:rsidR="00613F96" w:rsidRPr="003F466B" w:rsidRDefault="00613F96" w:rsidP="00613F96">
            <w:pPr>
              <w:spacing w:after="0"/>
              <w:rPr>
                <w:rFonts w:eastAsia="Arial"/>
                <w:szCs w:val="28"/>
                <w:lang w:eastAsia="en-GB"/>
              </w:rPr>
            </w:pPr>
            <w:r w:rsidRPr="003F466B">
              <w:rPr>
                <w:rFonts w:eastAsia="Arial"/>
                <w:szCs w:val="28"/>
                <w:lang w:eastAsia="en-GB"/>
              </w:rPr>
              <w:t>Foreign currency translation reserve</w:t>
            </w:r>
          </w:p>
        </w:tc>
        <w:tc>
          <w:tcPr>
            <w:tcW w:w="22" w:type="dxa"/>
            <w:tcBorders>
              <w:top w:val="nil"/>
              <w:left w:val="nil"/>
              <w:bottom w:val="nil"/>
              <w:right w:val="nil"/>
            </w:tcBorders>
            <w:shd w:val="clear" w:color="auto" w:fill="FFFFFF"/>
            <w:tcMar>
              <w:left w:w="0" w:type="dxa"/>
              <w:right w:w="0" w:type="dxa"/>
            </w:tcMar>
          </w:tcPr>
          <w:p w14:paraId="103C5AEE" w14:textId="77777777" w:rsidR="00613F96" w:rsidRPr="003F466B"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76791734" w14:textId="77777777" w:rsidR="00613F96" w:rsidRPr="003F466B" w:rsidRDefault="00613F96" w:rsidP="00613F96">
            <w:pPr>
              <w:spacing w:after="0"/>
              <w:jc w:val="center"/>
              <w:rPr>
                <w:rFonts w:eastAsia="Arial"/>
                <w:szCs w:val="28"/>
                <w:lang w:eastAsia="en-GB"/>
              </w:rPr>
            </w:pPr>
            <w:r>
              <w:rPr>
                <w:rFonts w:eastAsia="Arial"/>
                <w:szCs w:val="28"/>
                <w:lang w:eastAsia="en-GB"/>
              </w:rPr>
              <w:t>15</w:t>
            </w:r>
          </w:p>
        </w:tc>
        <w:tc>
          <w:tcPr>
            <w:tcW w:w="1362" w:type="dxa"/>
            <w:tcBorders>
              <w:top w:val="nil"/>
              <w:left w:val="nil"/>
              <w:right w:val="nil"/>
            </w:tcBorders>
            <w:shd w:val="clear" w:color="auto" w:fill="FFFFFF"/>
          </w:tcPr>
          <w:p w14:paraId="5452698E" w14:textId="3C46001C"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1.2</w:t>
            </w:r>
          </w:p>
        </w:tc>
        <w:tc>
          <w:tcPr>
            <w:tcW w:w="256" w:type="dxa"/>
            <w:tcBorders>
              <w:top w:val="nil"/>
              <w:left w:val="nil"/>
              <w:bottom w:val="nil"/>
              <w:right w:val="nil"/>
            </w:tcBorders>
            <w:shd w:val="clear" w:color="auto" w:fill="FFFFFF"/>
          </w:tcPr>
          <w:p w14:paraId="5DBB4ED3" w14:textId="652EED4C"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right w:val="nil"/>
            </w:tcBorders>
            <w:shd w:val="clear" w:color="auto" w:fill="auto"/>
          </w:tcPr>
          <w:p w14:paraId="75CBE651" w14:textId="5112294B"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1.6</w:t>
            </w:r>
          </w:p>
        </w:tc>
        <w:tc>
          <w:tcPr>
            <w:tcW w:w="283" w:type="dxa"/>
            <w:tcBorders>
              <w:top w:val="nil"/>
              <w:left w:val="nil"/>
              <w:bottom w:val="nil"/>
              <w:right w:val="nil"/>
            </w:tcBorders>
            <w:shd w:val="clear" w:color="auto" w:fill="FFFFFF"/>
            <w:tcMar>
              <w:left w:w="0" w:type="dxa"/>
              <w:right w:w="0" w:type="dxa"/>
            </w:tcMar>
          </w:tcPr>
          <w:p w14:paraId="2A4FA052" w14:textId="77777777" w:rsidR="00613F96" w:rsidRPr="003F466B" w:rsidRDefault="00613F96" w:rsidP="00613F96">
            <w:pPr>
              <w:tabs>
                <w:tab w:val="decimal" w:pos="1117"/>
              </w:tabs>
              <w:spacing w:after="0"/>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4BC63D09" w14:textId="23590605"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2.0</w:t>
            </w:r>
          </w:p>
        </w:tc>
      </w:tr>
      <w:tr w:rsidR="00613F96" w:rsidRPr="00F26A5C" w14:paraId="516E7417" w14:textId="77777777" w:rsidTr="00433FEC">
        <w:trPr>
          <w:trHeight w:val="108"/>
        </w:trPr>
        <w:tc>
          <w:tcPr>
            <w:tcW w:w="4004" w:type="dxa"/>
            <w:tcBorders>
              <w:top w:val="nil"/>
              <w:left w:val="nil"/>
              <w:bottom w:val="nil"/>
              <w:right w:val="nil"/>
            </w:tcBorders>
            <w:shd w:val="clear" w:color="auto" w:fill="FFFFFF"/>
            <w:tcMar>
              <w:left w:w="0" w:type="dxa"/>
              <w:right w:w="0" w:type="dxa"/>
            </w:tcMar>
          </w:tcPr>
          <w:p w14:paraId="66581CE7" w14:textId="77777777" w:rsidR="00613F96" w:rsidRPr="003F466B" w:rsidRDefault="00613F96" w:rsidP="00613F96">
            <w:pPr>
              <w:spacing w:after="0"/>
              <w:rPr>
                <w:rFonts w:eastAsia="Arial"/>
                <w:szCs w:val="28"/>
                <w:lang w:eastAsia="en-GB"/>
              </w:rPr>
            </w:pPr>
            <w:r w:rsidRPr="003F466B">
              <w:rPr>
                <w:rFonts w:eastAsia="Arial"/>
                <w:szCs w:val="28"/>
                <w:lang w:eastAsia="en-GB"/>
              </w:rPr>
              <w:t>Retained earnings</w:t>
            </w:r>
          </w:p>
        </w:tc>
        <w:tc>
          <w:tcPr>
            <w:tcW w:w="22" w:type="dxa"/>
            <w:tcBorders>
              <w:top w:val="nil"/>
              <w:left w:val="nil"/>
              <w:bottom w:val="nil"/>
              <w:right w:val="nil"/>
            </w:tcBorders>
            <w:shd w:val="clear" w:color="auto" w:fill="FFFFFF"/>
            <w:tcMar>
              <w:left w:w="0" w:type="dxa"/>
              <w:right w:w="0" w:type="dxa"/>
            </w:tcMar>
          </w:tcPr>
          <w:p w14:paraId="5D59C3E6" w14:textId="77777777" w:rsidR="00613F96" w:rsidRPr="003F466B" w:rsidRDefault="00613F96" w:rsidP="00613F96">
            <w:pPr>
              <w:spacing w:after="0"/>
              <w:jc w:val="center"/>
              <w:rPr>
                <w:rFonts w:eastAsia="Arial"/>
                <w:szCs w:val="28"/>
                <w:lang w:eastAsia="en-GB"/>
              </w:rPr>
            </w:pPr>
          </w:p>
        </w:tc>
        <w:tc>
          <w:tcPr>
            <w:tcW w:w="1558" w:type="dxa"/>
            <w:tcBorders>
              <w:top w:val="nil"/>
              <w:left w:val="nil"/>
              <w:right w:val="nil"/>
            </w:tcBorders>
          </w:tcPr>
          <w:p w14:paraId="57BD43AB" w14:textId="77777777" w:rsidR="00613F96" w:rsidRPr="003F466B" w:rsidRDefault="00613F96" w:rsidP="00613F96">
            <w:pPr>
              <w:spacing w:after="0"/>
              <w:jc w:val="center"/>
              <w:rPr>
                <w:rFonts w:eastAsia="Arial"/>
                <w:szCs w:val="28"/>
                <w:lang w:eastAsia="en-GB"/>
              </w:rPr>
            </w:pPr>
            <w:r>
              <w:rPr>
                <w:rFonts w:eastAsia="Arial"/>
                <w:szCs w:val="28"/>
                <w:lang w:eastAsia="en-GB"/>
              </w:rPr>
              <w:t>15</w:t>
            </w:r>
          </w:p>
        </w:tc>
        <w:tc>
          <w:tcPr>
            <w:tcW w:w="1362" w:type="dxa"/>
            <w:tcBorders>
              <w:top w:val="nil"/>
              <w:left w:val="nil"/>
              <w:bottom w:val="single" w:sz="4" w:space="0" w:color="auto"/>
              <w:right w:val="nil"/>
            </w:tcBorders>
            <w:shd w:val="clear" w:color="auto" w:fill="FFFFFF"/>
          </w:tcPr>
          <w:p w14:paraId="6B3DCE49" w14:textId="025C94DF"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543.</w:t>
            </w:r>
            <w:r w:rsidR="00105375">
              <w:rPr>
                <w:rFonts w:eastAsia="Arial"/>
                <w:szCs w:val="28"/>
                <w:lang w:eastAsia="en-GB"/>
              </w:rPr>
              <w:t>8</w:t>
            </w:r>
          </w:p>
        </w:tc>
        <w:tc>
          <w:tcPr>
            <w:tcW w:w="256" w:type="dxa"/>
            <w:tcBorders>
              <w:top w:val="nil"/>
              <w:left w:val="nil"/>
              <w:right w:val="nil"/>
            </w:tcBorders>
            <w:shd w:val="clear" w:color="auto" w:fill="FFFFFF"/>
          </w:tcPr>
          <w:p w14:paraId="0C2EF762" w14:textId="78A84A78"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single" w:sz="4" w:space="0" w:color="auto"/>
              <w:right w:val="nil"/>
            </w:tcBorders>
            <w:shd w:val="clear" w:color="auto" w:fill="auto"/>
          </w:tcPr>
          <w:p w14:paraId="00D52679" w14:textId="2F680B25"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58</w:t>
            </w:r>
            <w:r>
              <w:rPr>
                <w:rFonts w:eastAsia="Arial"/>
                <w:szCs w:val="28"/>
                <w:lang w:eastAsia="en-GB"/>
              </w:rPr>
              <w:t>6</w:t>
            </w:r>
            <w:r w:rsidRPr="00F2575A">
              <w:rPr>
                <w:rFonts w:eastAsia="Arial"/>
                <w:szCs w:val="28"/>
                <w:lang w:eastAsia="en-GB"/>
              </w:rPr>
              <w:t>.</w:t>
            </w:r>
            <w:r>
              <w:rPr>
                <w:rFonts w:eastAsia="Arial"/>
                <w:szCs w:val="28"/>
                <w:lang w:eastAsia="en-GB"/>
              </w:rPr>
              <w:t>7</w:t>
            </w:r>
          </w:p>
        </w:tc>
        <w:tc>
          <w:tcPr>
            <w:tcW w:w="283" w:type="dxa"/>
            <w:tcBorders>
              <w:top w:val="nil"/>
              <w:left w:val="nil"/>
              <w:right w:val="nil"/>
            </w:tcBorders>
            <w:shd w:val="clear" w:color="auto" w:fill="FFFFFF"/>
            <w:tcMar>
              <w:left w:w="0" w:type="dxa"/>
              <w:right w:w="0" w:type="dxa"/>
            </w:tcMar>
          </w:tcPr>
          <w:p w14:paraId="0C31A875" w14:textId="77777777" w:rsidR="00613F96" w:rsidRPr="003F466B" w:rsidRDefault="00613F96" w:rsidP="00613F96">
            <w:pPr>
              <w:tabs>
                <w:tab w:val="decimal" w:pos="1117"/>
              </w:tabs>
              <w:spacing w:after="0"/>
              <w:rPr>
                <w:rFonts w:eastAsia="Arial"/>
                <w:szCs w:val="28"/>
                <w:lang w:eastAsia="en-GB"/>
              </w:rPr>
            </w:pPr>
            <w:r w:rsidRPr="003F466B">
              <w:rPr>
                <w:rFonts w:eastAsia="Arial"/>
                <w:szCs w:val="28"/>
                <w:lang w:eastAsia="en-GB"/>
              </w:rPr>
              <w:t xml:space="preserve"> </w:t>
            </w:r>
          </w:p>
        </w:tc>
        <w:tc>
          <w:tcPr>
            <w:tcW w:w="1417" w:type="dxa"/>
            <w:tcBorders>
              <w:top w:val="nil"/>
              <w:left w:val="nil"/>
              <w:bottom w:val="single" w:sz="4" w:space="0" w:color="auto"/>
              <w:right w:val="nil"/>
            </w:tcBorders>
            <w:shd w:val="clear" w:color="auto" w:fill="FFFFFF"/>
            <w:tcMar>
              <w:left w:w="0" w:type="dxa"/>
              <w:right w:w="0" w:type="dxa"/>
            </w:tcMar>
          </w:tcPr>
          <w:p w14:paraId="68184255" w14:textId="66CFF8D5"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527.0</w:t>
            </w:r>
          </w:p>
        </w:tc>
      </w:tr>
      <w:tr w:rsidR="00613F96" w:rsidRPr="00F26A5C" w14:paraId="5BE1C197" w14:textId="77777777" w:rsidTr="00433FEC">
        <w:trPr>
          <w:trHeight w:val="108"/>
        </w:trPr>
        <w:tc>
          <w:tcPr>
            <w:tcW w:w="4004" w:type="dxa"/>
            <w:tcBorders>
              <w:top w:val="nil"/>
              <w:left w:val="nil"/>
              <w:bottom w:val="nil"/>
              <w:right w:val="nil"/>
            </w:tcBorders>
            <w:shd w:val="clear" w:color="auto" w:fill="FFFFFF"/>
            <w:tcMar>
              <w:left w:w="0" w:type="dxa"/>
              <w:right w:w="0" w:type="dxa"/>
            </w:tcMar>
            <w:vAlign w:val="bottom"/>
          </w:tcPr>
          <w:p w14:paraId="22035E77" w14:textId="77777777" w:rsidR="00613F96" w:rsidRPr="003F466B" w:rsidRDefault="00613F96" w:rsidP="00613F96">
            <w:pPr>
              <w:spacing w:after="0"/>
              <w:rPr>
                <w:rFonts w:eastAsia="Arial"/>
                <w:b/>
                <w:szCs w:val="28"/>
                <w:lang w:eastAsia="en-GB"/>
              </w:rPr>
            </w:pPr>
            <w:r w:rsidRPr="003F466B">
              <w:rPr>
                <w:rFonts w:eastAsia="Arial"/>
                <w:b/>
                <w:szCs w:val="28"/>
                <w:lang w:eastAsia="en-GB"/>
              </w:rPr>
              <w:t>Capital and reserves attributable to owners of Jupiter Fund Management plc</w:t>
            </w:r>
          </w:p>
        </w:tc>
        <w:tc>
          <w:tcPr>
            <w:tcW w:w="22" w:type="dxa"/>
            <w:tcBorders>
              <w:top w:val="nil"/>
              <w:left w:val="nil"/>
              <w:bottom w:val="nil"/>
              <w:right w:val="nil"/>
            </w:tcBorders>
            <w:shd w:val="clear" w:color="auto" w:fill="FFFFFF"/>
            <w:tcMar>
              <w:left w:w="0" w:type="dxa"/>
              <w:right w:w="0" w:type="dxa"/>
            </w:tcMar>
          </w:tcPr>
          <w:p w14:paraId="764BD152" w14:textId="77777777" w:rsidR="00613F96" w:rsidRPr="003F466B" w:rsidRDefault="00613F96" w:rsidP="00613F96">
            <w:pPr>
              <w:spacing w:after="0"/>
              <w:jc w:val="center"/>
              <w:rPr>
                <w:rFonts w:eastAsia="Arial"/>
                <w:szCs w:val="28"/>
                <w:lang w:eastAsia="en-GB"/>
              </w:rPr>
            </w:pPr>
          </w:p>
        </w:tc>
        <w:tc>
          <w:tcPr>
            <w:tcW w:w="1558" w:type="dxa"/>
            <w:tcBorders>
              <w:left w:val="nil"/>
              <w:right w:val="nil"/>
            </w:tcBorders>
          </w:tcPr>
          <w:p w14:paraId="55AA2BAD" w14:textId="77777777" w:rsidR="00613F96" w:rsidRPr="003F466B" w:rsidRDefault="00613F96" w:rsidP="00613F96">
            <w:pPr>
              <w:spacing w:after="0"/>
              <w:jc w:val="center"/>
              <w:rPr>
                <w:rFonts w:eastAsia="Arial"/>
                <w:szCs w:val="28"/>
                <w:lang w:eastAsia="en-GB"/>
              </w:rPr>
            </w:pPr>
          </w:p>
        </w:tc>
        <w:tc>
          <w:tcPr>
            <w:tcW w:w="1362" w:type="dxa"/>
            <w:tcBorders>
              <w:top w:val="single" w:sz="4" w:space="0" w:color="auto"/>
              <w:left w:val="nil"/>
              <w:right w:val="nil"/>
            </w:tcBorders>
            <w:shd w:val="clear" w:color="auto" w:fill="FFFFFF"/>
            <w:vAlign w:val="bottom"/>
          </w:tcPr>
          <w:p w14:paraId="026BAEC2" w14:textId="52CD290F" w:rsidR="00613F96" w:rsidRPr="00423552" w:rsidRDefault="003002F3" w:rsidP="00613F96">
            <w:pPr>
              <w:tabs>
                <w:tab w:val="decimal" w:pos="968"/>
              </w:tabs>
              <w:spacing w:after="0"/>
              <w:jc w:val="both"/>
              <w:rPr>
                <w:rFonts w:eastAsia="Arial"/>
                <w:b/>
                <w:szCs w:val="28"/>
                <w:lang w:eastAsia="en-GB"/>
              </w:rPr>
            </w:pPr>
            <w:r>
              <w:rPr>
                <w:rFonts w:eastAsia="Arial"/>
                <w:b/>
                <w:szCs w:val="28"/>
                <w:lang w:eastAsia="en-GB"/>
              </w:rPr>
              <w:t>805.</w:t>
            </w:r>
            <w:r w:rsidR="00105375">
              <w:rPr>
                <w:rFonts w:eastAsia="Arial"/>
                <w:b/>
                <w:szCs w:val="28"/>
                <w:lang w:eastAsia="en-GB"/>
              </w:rPr>
              <w:t>6</w:t>
            </w:r>
          </w:p>
        </w:tc>
        <w:tc>
          <w:tcPr>
            <w:tcW w:w="256" w:type="dxa"/>
            <w:tcBorders>
              <w:left w:val="nil"/>
              <w:right w:val="nil"/>
            </w:tcBorders>
            <w:shd w:val="clear" w:color="auto" w:fill="FFFFFF"/>
            <w:vAlign w:val="bottom"/>
          </w:tcPr>
          <w:p w14:paraId="46CD7018" w14:textId="3D1FA78D" w:rsidR="00613F96" w:rsidRPr="003F466B" w:rsidRDefault="00613F96" w:rsidP="00613F96">
            <w:pPr>
              <w:spacing w:after="0"/>
              <w:jc w:val="right"/>
              <w:rPr>
                <w:rFonts w:eastAsia="Arial"/>
                <w:szCs w:val="28"/>
                <w:lang w:eastAsia="en-GB"/>
              </w:rPr>
            </w:pPr>
          </w:p>
        </w:tc>
        <w:tc>
          <w:tcPr>
            <w:tcW w:w="1276" w:type="dxa"/>
            <w:tcBorders>
              <w:top w:val="single" w:sz="4" w:space="0" w:color="auto"/>
              <w:left w:val="nil"/>
              <w:right w:val="nil"/>
            </w:tcBorders>
            <w:shd w:val="clear" w:color="auto" w:fill="auto"/>
            <w:vAlign w:val="bottom"/>
          </w:tcPr>
          <w:p w14:paraId="52521D16" w14:textId="677D47E1" w:rsidR="00613F96" w:rsidRPr="004F6EE6" w:rsidRDefault="00613F96" w:rsidP="00613F96">
            <w:pPr>
              <w:tabs>
                <w:tab w:val="decimal" w:pos="915"/>
              </w:tabs>
              <w:spacing w:after="0"/>
              <w:rPr>
                <w:rFonts w:eastAsia="Arial"/>
                <w:b/>
                <w:bCs/>
                <w:szCs w:val="28"/>
                <w:lang w:eastAsia="en-GB"/>
              </w:rPr>
            </w:pPr>
            <w:r w:rsidRPr="00423552">
              <w:rPr>
                <w:rFonts w:eastAsia="Arial"/>
                <w:b/>
                <w:szCs w:val="28"/>
                <w:lang w:eastAsia="en-GB"/>
              </w:rPr>
              <w:t>848.7</w:t>
            </w:r>
          </w:p>
        </w:tc>
        <w:tc>
          <w:tcPr>
            <w:tcW w:w="283" w:type="dxa"/>
            <w:tcBorders>
              <w:left w:val="nil"/>
              <w:right w:val="nil"/>
            </w:tcBorders>
            <w:shd w:val="clear" w:color="auto" w:fill="FFFFFF"/>
            <w:tcMar>
              <w:left w:w="0" w:type="dxa"/>
              <w:right w:w="0" w:type="dxa"/>
            </w:tcMar>
            <w:vAlign w:val="bottom"/>
          </w:tcPr>
          <w:p w14:paraId="3332C310" w14:textId="77777777" w:rsidR="00613F96" w:rsidRPr="003F466B" w:rsidRDefault="00613F96" w:rsidP="00613F96">
            <w:pPr>
              <w:tabs>
                <w:tab w:val="decimal" w:pos="1117"/>
              </w:tabs>
              <w:spacing w:after="0"/>
              <w:rPr>
                <w:rFonts w:eastAsia="Arial"/>
                <w:b/>
                <w:bCs/>
                <w:szCs w:val="28"/>
                <w:lang w:eastAsia="en-GB"/>
              </w:rPr>
            </w:pPr>
          </w:p>
        </w:tc>
        <w:tc>
          <w:tcPr>
            <w:tcW w:w="1417" w:type="dxa"/>
            <w:tcBorders>
              <w:top w:val="single" w:sz="4" w:space="0" w:color="auto"/>
              <w:left w:val="nil"/>
              <w:right w:val="nil"/>
            </w:tcBorders>
            <w:shd w:val="clear" w:color="auto" w:fill="FFFFFF"/>
            <w:tcMar>
              <w:left w:w="0" w:type="dxa"/>
              <w:right w:w="0" w:type="dxa"/>
            </w:tcMar>
            <w:vAlign w:val="bottom"/>
          </w:tcPr>
          <w:p w14:paraId="3D721022" w14:textId="6E2BBA28" w:rsidR="00613F96" w:rsidRPr="007756EA" w:rsidRDefault="00613F96" w:rsidP="00577845">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789.5</w:t>
            </w:r>
          </w:p>
        </w:tc>
      </w:tr>
      <w:tr w:rsidR="00613F96" w:rsidRPr="001A452D" w14:paraId="3D1D58CF" w14:textId="77777777" w:rsidTr="00433FEC">
        <w:trPr>
          <w:trHeight w:val="108"/>
        </w:trPr>
        <w:tc>
          <w:tcPr>
            <w:tcW w:w="4004" w:type="dxa"/>
            <w:tcBorders>
              <w:top w:val="nil"/>
              <w:left w:val="nil"/>
              <w:bottom w:val="nil"/>
              <w:right w:val="nil"/>
            </w:tcBorders>
            <w:shd w:val="clear" w:color="auto" w:fill="FFFFFF"/>
            <w:tcMar>
              <w:left w:w="0" w:type="dxa"/>
              <w:right w:w="0" w:type="dxa"/>
            </w:tcMar>
            <w:vAlign w:val="bottom"/>
          </w:tcPr>
          <w:p w14:paraId="7ECCA481" w14:textId="77777777" w:rsidR="00613F96" w:rsidRPr="003F466B" w:rsidRDefault="00613F96" w:rsidP="00613F96">
            <w:pPr>
              <w:spacing w:after="0"/>
              <w:rPr>
                <w:rFonts w:eastAsia="Arial"/>
                <w:bCs/>
                <w:szCs w:val="28"/>
                <w:lang w:eastAsia="en-GB"/>
              </w:rPr>
            </w:pPr>
            <w:r w:rsidRPr="003F466B">
              <w:rPr>
                <w:rFonts w:eastAsia="Arial"/>
                <w:bCs/>
                <w:szCs w:val="28"/>
                <w:lang w:eastAsia="en-GB"/>
              </w:rPr>
              <w:t>Non-controlling interests</w:t>
            </w:r>
          </w:p>
        </w:tc>
        <w:tc>
          <w:tcPr>
            <w:tcW w:w="22" w:type="dxa"/>
            <w:tcBorders>
              <w:top w:val="nil"/>
              <w:left w:val="nil"/>
              <w:bottom w:val="nil"/>
              <w:right w:val="nil"/>
            </w:tcBorders>
            <w:shd w:val="clear" w:color="auto" w:fill="FFFFFF"/>
            <w:tcMar>
              <w:left w:w="0" w:type="dxa"/>
              <w:right w:w="0" w:type="dxa"/>
            </w:tcMar>
          </w:tcPr>
          <w:p w14:paraId="0BCFE33A" w14:textId="77777777" w:rsidR="00613F96" w:rsidRPr="003F466B" w:rsidRDefault="00613F96" w:rsidP="00613F96">
            <w:pPr>
              <w:spacing w:after="0"/>
              <w:jc w:val="center"/>
              <w:rPr>
                <w:rFonts w:eastAsia="Arial"/>
                <w:bCs/>
                <w:szCs w:val="28"/>
                <w:lang w:eastAsia="en-GB"/>
              </w:rPr>
            </w:pPr>
          </w:p>
        </w:tc>
        <w:tc>
          <w:tcPr>
            <w:tcW w:w="1558" w:type="dxa"/>
            <w:tcBorders>
              <w:left w:val="nil"/>
              <w:right w:val="nil"/>
            </w:tcBorders>
          </w:tcPr>
          <w:p w14:paraId="414CCD03" w14:textId="18919D12" w:rsidR="00613F96" w:rsidRPr="003F466B" w:rsidRDefault="00613F96" w:rsidP="00613F96">
            <w:pPr>
              <w:spacing w:after="0"/>
              <w:jc w:val="center"/>
              <w:rPr>
                <w:rFonts w:eastAsia="Arial"/>
                <w:bCs/>
                <w:szCs w:val="28"/>
                <w:lang w:eastAsia="en-GB"/>
              </w:rPr>
            </w:pPr>
          </w:p>
        </w:tc>
        <w:tc>
          <w:tcPr>
            <w:tcW w:w="1362" w:type="dxa"/>
            <w:tcBorders>
              <w:left w:val="nil"/>
              <w:bottom w:val="single" w:sz="4" w:space="0" w:color="auto"/>
              <w:right w:val="nil"/>
            </w:tcBorders>
            <w:shd w:val="clear" w:color="auto" w:fill="FFFFFF"/>
            <w:vAlign w:val="bottom"/>
          </w:tcPr>
          <w:p w14:paraId="63CBBAC1" w14:textId="4B2E89A5"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w:t>
            </w:r>
          </w:p>
        </w:tc>
        <w:tc>
          <w:tcPr>
            <w:tcW w:w="256" w:type="dxa"/>
            <w:tcBorders>
              <w:left w:val="nil"/>
              <w:right w:val="nil"/>
            </w:tcBorders>
            <w:shd w:val="clear" w:color="auto" w:fill="FFFFFF"/>
            <w:vAlign w:val="bottom"/>
          </w:tcPr>
          <w:p w14:paraId="2CC21E00" w14:textId="781BF67B" w:rsidR="00613F96" w:rsidRPr="003F466B" w:rsidRDefault="00613F96" w:rsidP="00613F96">
            <w:pPr>
              <w:spacing w:after="0"/>
              <w:jc w:val="right"/>
              <w:rPr>
                <w:rFonts w:eastAsia="Arial"/>
                <w:bCs/>
                <w:szCs w:val="28"/>
                <w:lang w:eastAsia="en-GB"/>
              </w:rPr>
            </w:pPr>
          </w:p>
        </w:tc>
        <w:tc>
          <w:tcPr>
            <w:tcW w:w="1276" w:type="dxa"/>
            <w:tcBorders>
              <w:left w:val="nil"/>
              <w:bottom w:val="single" w:sz="4" w:space="0" w:color="auto"/>
              <w:right w:val="nil"/>
            </w:tcBorders>
            <w:shd w:val="clear" w:color="auto" w:fill="auto"/>
            <w:vAlign w:val="bottom"/>
          </w:tcPr>
          <w:p w14:paraId="2E05AA69" w14:textId="21ED2B4B" w:rsidR="00613F96" w:rsidRPr="004F6EE6" w:rsidRDefault="00613F96" w:rsidP="00613F96">
            <w:pPr>
              <w:tabs>
                <w:tab w:val="decimal" w:pos="915"/>
              </w:tabs>
              <w:spacing w:after="0"/>
              <w:rPr>
                <w:rFonts w:eastAsia="Arial"/>
                <w:bCs/>
                <w:szCs w:val="28"/>
                <w:lang w:eastAsia="en-GB"/>
              </w:rPr>
            </w:pPr>
            <w:r w:rsidRPr="00F2575A">
              <w:rPr>
                <w:rFonts w:eastAsia="Arial"/>
                <w:szCs w:val="28"/>
                <w:lang w:eastAsia="en-GB"/>
              </w:rPr>
              <w:t>0.5</w:t>
            </w:r>
          </w:p>
        </w:tc>
        <w:tc>
          <w:tcPr>
            <w:tcW w:w="283" w:type="dxa"/>
            <w:tcBorders>
              <w:left w:val="nil"/>
              <w:right w:val="nil"/>
            </w:tcBorders>
            <w:shd w:val="clear" w:color="auto" w:fill="FFFFFF"/>
            <w:tcMar>
              <w:left w:w="0" w:type="dxa"/>
              <w:right w:w="0" w:type="dxa"/>
            </w:tcMar>
            <w:vAlign w:val="bottom"/>
          </w:tcPr>
          <w:p w14:paraId="2A6751C4" w14:textId="77777777" w:rsidR="00613F96" w:rsidRPr="003F466B" w:rsidRDefault="00613F96" w:rsidP="00613F96">
            <w:pPr>
              <w:tabs>
                <w:tab w:val="decimal" w:pos="1117"/>
              </w:tabs>
              <w:spacing w:after="0"/>
              <w:rPr>
                <w:rFonts w:eastAsia="Arial"/>
                <w:bCs/>
                <w:szCs w:val="28"/>
                <w:lang w:eastAsia="en-GB"/>
              </w:rPr>
            </w:pPr>
          </w:p>
        </w:tc>
        <w:tc>
          <w:tcPr>
            <w:tcW w:w="1417" w:type="dxa"/>
            <w:tcBorders>
              <w:left w:val="nil"/>
              <w:bottom w:val="single" w:sz="4" w:space="0" w:color="auto"/>
              <w:right w:val="nil"/>
            </w:tcBorders>
            <w:shd w:val="clear" w:color="auto" w:fill="FFFFFF"/>
            <w:tcMar>
              <w:left w:w="0" w:type="dxa"/>
              <w:right w:w="0" w:type="dxa"/>
            </w:tcMar>
            <w:vAlign w:val="bottom"/>
          </w:tcPr>
          <w:p w14:paraId="58B89AF4" w14:textId="4DCF97A2" w:rsidR="00613F96" w:rsidRPr="007756EA" w:rsidRDefault="00613F96" w:rsidP="00577845">
            <w:pPr>
              <w:tabs>
                <w:tab w:val="decimal" w:pos="1161"/>
              </w:tabs>
              <w:spacing w:after="0"/>
              <w:ind w:left="-143" w:firstLine="143"/>
              <w:rPr>
                <w:rFonts w:eastAsia="Arial"/>
                <w:bCs/>
                <w:szCs w:val="28"/>
                <w:highlight w:val="yellow"/>
                <w:lang w:eastAsia="en-GB"/>
              </w:rPr>
            </w:pPr>
            <w:r w:rsidRPr="0068710E">
              <w:rPr>
                <w:sz w:val="16"/>
              </w:rPr>
              <w:t>–</w:t>
            </w:r>
          </w:p>
        </w:tc>
      </w:tr>
      <w:tr w:rsidR="00613F96" w:rsidRPr="00F26A5C" w14:paraId="0FF43AC0" w14:textId="77777777" w:rsidTr="00433FEC">
        <w:trPr>
          <w:trHeight w:val="108"/>
        </w:trPr>
        <w:tc>
          <w:tcPr>
            <w:tcW w:w="4004" w:type="dxa"/>
            <w:tcBorders>
              <w:top w:val="nil"/>
              <w:left w:val="nil"/>
              <w:bottom w:val="nil"/>
              <w:right w:val="nil"/>
            </w:tcBorders>
            <w:shd w:val="clear" w:color="auto" w:fill="FFFFFF"/>
            <w:tcMar>
              <w:left w:w="0" w:type="dxa"/>
              <w:right w:w="0" w:type="dxa"/>
            </w:tcMar>
            <w:vAlign w:val="bottom"/>
          </w:tcPr>
          <w:p w14:paraId="29E4D2B2" w14:textId="242A368F" w:rsidR="00613F96" w:rsidRPr="003F466B" w:rsidRDefault="00A758FF" w:rsidP="00613F96">
            <w:pPr>
              <w:spacing w:after="0"/>
              <w:rPr>
                <w:rFonts w:eastAsia="Arial"/>
                <w:szCs w:val="28"/>
                <w:lang w:eastAsia="en-GB"/>
              </w:rPr>
            </w:pPr>
            <w:r w:rsidRPr="003F466B">
              <w:rPr>
                <w:rFonts w:eastAsia="Arial"/>
                <w:b/>
                <w:szCs w:val="28"/>
                <w:lang w:eastAsia="en-GB"/>
              </w:rPr>
              <w:t>Total equity</w:t>
            </w:r>
          </w:p>
        </w:tc>
        <w:tc>
          <w:tcPr>
            <w:tcW w:w="22" w:type="dxa"/>
            <w:tcBorders>
              <w:top w:val="nil"/>
              <w:left w:val="nil"/>
              <w:bottom w:val="nil"/>
              <w:right w:val="nil"/>
            </w:tcBorders>
            <w:shd w:val="clear" w:color="auto" w:fill="FFFFFF"/>
            <w:tcMar>
              <w:left w:w="0" w:type="dxa"/>
              <w:right w:w="0" w:type="dxa"/>
            </w:tcMar>
          </w:tcPr>
          <w:p w14:paraId="4A73B3CE" w14:textId="77777777" w:rsidR="00613F96" w:rsidRPr="003F466B" w:rsidRDefault="00613F96" w:rsidP="00613F96">
            <w:pPr>
              <w:spacing w:after="0"/>
              <w:jc w:val="center"/>
              <w:rPr>
                <w:rFonts w:eastAsia="Arial"/>
                <w:szCs w:val="28"/>
                <w:lang w:eastAsia="en-GB"/>
              </w:rPr>
            </w:pPr>
          </w:p>
        </w:tc>
        <w:tc>
          <w:tcPr>
            <w:tcW w:w="1558" w:type="dxa"/>
            <w:tcBorders>
              <w:left w:val="nil"/>
              <w:right w:val="nil"/>
            </w:tcBorders>
          </w:tcPr>
          <w:p w14:paraId="53C5C811" w14:textId="77777777" w:rsidR="00613F96" w:rsidRPr="003F466B" w:rsidRDefault="00613F96" w:rsidP="00613F96">
            <w:pPr>
              <w:spacing w:after="0"/>
              <w:jc w:val="center"/>
              <w:rPr>
                <w:rFonts w:eastAsia="Arial"/>
                <w:szCs w:val="28"/>
                <w:lang w:eastAsia="en-GB"/>
              </w:rPr>
            </w:pPr>
          </w:p>
        </w:tc>
        <w:tc>
          <w:tcPr>
            <w:tcW w:w="1362" w:type="dxa"/>
            <w:tcBorders>
              <w:top w:val="single" w:sz="4" w:space="0" w:color="auto"/>
              <w:left w:val="nil"/>
              <w:bottom w:val="double" w:sz="4" w:space="0" w:color="auto"/>
              <w:right w:val="nil"/>
            </w:tcBorders>
            <w:shd w:val="clear" w:color="auto" w:fill="FFFFFF"/>
            <w:vAlign w:val="bottom"/>
          </w:tcPr>
          <w:p w14:paraId="385B60DD" w14:textId="16C9287F" w:rsidR="00613F96" w:rsidRPr="00F2718C" w:rsidRDefault="003002F3" w:rsidP="00613F96">
            <w:pPr>
              <w:tabs>
                <w:tab w:val="decimal" w:pos="968"/>
              </w:tabs>
              <w:spacing w:after="0"/>
              <w:jc w:val="both"/>
              <w:rPr>
                <w:rFonts w:eastAsia="Arial"/>
                <w:b/>
                <w:szCs w:val="28"/>
                <w:lang w:eastAsia="en-GB"/>
              </w:rPr>
            </w:pPr>
            <w:r>
              <w:rPr>
                <w:rFonts w:eastAsia="Arial"/>
                <w:b/>
                <w:szCs w:val="28"/>
                <w:lang w:eastAsia="en-GB"/>
              </w:rPr>
              <w:t>805.</w:t>
            </w:r>
            <w:r w:rsidR="00105375">
              <w:rPr>
                <w:rFonts w:eastAsia="Arial"/>
                <w:b/>
                <w:szCs w:val="28"/>
                <w:lang w:eastAsia="en-GB"/>
              </w:rPr>
              <w:t>6</w:t>
            </w:r>
          </w:p>
        </w:tc>
        <w:tc>
          <w:tcPr>
            <w:tcW w:w="256" w:type="dxa"/>
            <w:tcBorders>
              <w:left w:val="nil"/>
              <w:right w:val="nil"/>
            </w:tcBorders>
            <w:shd w:val="clear" w:color="auto" w:fill="FFFFFF"/>
            <w:vAlign w:val="bottom"/>
          </w:tcPr>
          <w:p w14:paraId="7FC338AF" w14:textId="19C86870" w:rsidR="00613F96" w:rsidRPr="003F466B" w:rsidRDefault="00613F96" w:rsidP="00613F96">
            <w:pPr>
              <w:spacing w:after="0"/>
              <w:jc w:val="right"/>
              <w:rPr>
                <w:rFonts w:eastAsia="Arial"/>
                <w:szCs w:val="28"/>
                <w:lang w:eastAsia="en-GB"/>
              </w:rPr>
            </w:pPr>
            <w:r w:rsidRPr="003F466B">
              <w:rPr>
                <w:rFonts w:eastAsia="Arial"/>
                <w:szCs w:val="28"/>
                <w:lang w:eastAsia="en-GB"/>
              </w:rPr>
              <w:t xml:space="preserve"> </w:t>
            </w:r>
          </w:p>
        </w:tc>
        <w:tc>
          <w:tcPr>
            <w:tcW w:w="1276" w:type="dxa"/>
            <w:tcBorders>
              <w:top w:val="single" w:sz="4" w:space="0" w:color="auto"/>
              <w:left w:val="nil"/>
              <w:bottom w:val="double" w:sz="4" w:space="0" w:color="auto"/>
              <w:right w:val="nil"/>
            </w:tcBorders>
            <w:shd w:val="clear" w:color="auto" w:fill="auto"/>
            <w:vAlign w:val="bottom"/>
          </w:tcPr>
          <w:p w14:paraId="7F629F43" w14:textId="55810F10" w:rsidR="00613F96" w:rsidRPr="004F6EE6" w:rsidRDefault="00613F96" w:rsidP="00613F96">
            <w:pPr>
              <w:tabs>
                <w:tab w:val="decimal" w:pos="915"/>
              </w:tabs>
              <w:spacing w:after="0"/>
              <w:rPr>
                <w:rFonts w:eastAsia="Arial"/>
                <w:b/>
                <w:bCs/>
                <w:szCs w:val="28"/>
                <w:lang w:eastAsia="en-GB"/>
              </w:rPr>
            </w:pPr>
            <w:r w:rsidRPr="00F2718C">
              <w:rPr>
                <w:rFonts w:eastAsia="Arial"/>
                <w:b/>
                <w:szCs w:val="28"/>
                <w:lang w:eastAsia="en-GB"/>
              </w:rPr>
              <w:t>849.2</w:t>
            </w:r>
          </w:p>
        </w:tc>
        <w:tc>
          <w:tcPr>
            <w:tcW w:w="283" w:type="dxa"/>
            <w:tcBorders>
              <w:left w:val="nil"/>
              <w:bottom w:val="nil"/>
              <w:right w:val="nil"/>
            </w:tcBorders>
            <w:shd w:val="clear" w:color="auto" w:fill="FFFFFF"/>
            <w:tcMar>
              <w:left w:w="0" w:type="dxa"/>
              <w:right w:w="0" w:type="dxa"/>
            </w:tcMar>
            <w:vAlign w:val="bottom"/>
          </w:tcPr>
          <w:p w14:paraId="0584B9C4" w14:textId="77777777" w:rsidR="00613F96" w:rsidRPr="003F466B" w:rsidRDefault="00613F96" w:rsidP="00613F96">
            <w:pPr>
              <w:tabs>
                <w:tab w:val="decimal" w:pos="1117"/>
              </w:tabs>
              <w:spacing w:after="0"/>
              <w:rPr>
                <w:rFonts w:eastAsia="Arial"/>
                <w:b/>
                <w:bCs/>
                <w:szCs w:val="28"/>
                <w:lang w:eastAsia="en-GB"/>
              </w:rPr>
            </w:pPr>
            <w:r w:rsidRPr="003F466B">
              <w:rPr>
                <w:rFonts w:eastAsia="Arial"/>
                <w:b/>
                <w:bCs/>
                <w:szCs w:val="28"/>
                <w:lang w:eastAsia="en-GB"/>
              </w:rPr>
              <w:t xml:space="preserve"> </w:t>
            </w:r>
          </w:p>
        </w:tc>
        <w:tc>
          <w:tcPr>
            <w:tcW w:w="1417" w:type="dxa"/>
            <w:tcBorders>
              <w:top w:val="single" w:sz="4" w:space="0" w:color="auto"/>
              <w:left w:val="nil"/>
              <w:bottom w:val="double" w:sz="4" w:space="0" w:color="auto"/>
              <w:right w:val="nil"/>
            </w:tcBorders>
            <w:shd w:val="clear" w:color="auto" w:fill="FFFFFF"/>
            <w:tcMar>
              <w:left w:w="0" w:type="dxa"/>
              <w:right w:w="0" w:type="dxa"/>
            </w:tcMar>
            <w:vAlign w:val="bottom"/>
          </w:tcPr>
          <w:p w14:paraId="4FD74162" w14:textId="7CE831F6" w:rsidR="00613F96" w:rsidRPr="007756EA" w:rsidRDefault="00613F96" w:rsidP="00577845">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789.5</w:t>
            </w:r>
          </w:p>
        </w:tc>
      </w:tr>
      <w:tr w:rsidR="007756EA" w:rsidRPr="00F26A5C" w14:paraId="3508B0D1" w14:textId="77777777" w:rsidTr="00433FEC">
        <w:trPr>
          <w:trHeight w:val="227"/>
        </w:trPr>
        <w:tc>
          <w:tcPr>
            <w:tcW w:w="4004" w:type="dxa"/>
            <w:tcBorders>
              <w:top w:val="nil"/>
              <w:left w:val="nil"/>
              <w:bottom w:val="nil"/>
              <w:right w:val="nil"/>
            </w:tcBorders>
            <w:shd w:val="clear" w:color="auto" w:fill="FFFFFF"/>
            <w:tcMar>
              <w:left w:w="0" w:type="dxa"/>
              <w:right w:w="0" w:type="dxa"/>
            </w:tcMar>
          </w:tcPr>
          <w:p w14:paraId="277E8BAD" w14:textId="7FEF552C" w:rsidR="007756EA" w:rsidRPr="003F466B" w:rsidRDefault="007756EA" w:rsidP="007756EA">
            <w:pPr>
              <w:spacing w:after="0"/>
              <w:rPr>
                <w:rFonts w:eastAsia="Arial"/>
                <w:szCs w:val="28"/>
                <w:lang w:eastAsia="en-GB"/>
              </w:rPr>
            </w:pPr>
            <w:r w:rsidRPr="003F466B">
              <w:rPr>
                <w:rFonts w:eastAsia="Arial"/>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3CC140F7" w14:textId="77777777" w:rsidR="007756EA" w:rsidRPr="003F466B" w:rsidRDefault="007756EA" w:rsidP="007756EA">
            <w:pPr>
              <w:spacing w:after="0"/>
              <w:jc w:val="center"/>
              <w:rPr>
                <w:rFonts w:eastAsia="Arial"/>
                <w:szCs w:val="28"/>
                <w:lang w:eastAsia="en-GB"/>
              </w:rPr>
            </w:pPr>
          </w:p>
        </w:tc>
        <w:tc>
          <w:tcPr>
            <w:tcW w:w="1558" w:type="dxa"/>
            <w:tcBorders>
              <w:left w:val="nil"/>
              <w:bottom w:val="nil"/>
              <w:right w:val="nil"/>
            </w:tcBorders>
          </w:tcPr>
          <w:p w14:paraId="5CE62AC1" w14:textId="77777777" w:rsidR="007756EA" w:rsidRPr="003F466B" w:rsidRDefault="007756EA" w:rsidP="007756EA">
            <w:pPr>
              <w:spacing w:after="0"/>
              <w:jc w:val="center"/>
              <w:rPr>
                <w:rFonts w:eastAsia="Arial"/>
                <w:szCs w:val="28"/>
                <w:lang w:eastAsia="en-GB"/>
              </w:rPr>
            </w:pPr>
          </w:p>
        </w:tc>
        <w:tc>
          <w:tcPr>
            <w:tcW w:w="1362" w:type="dxa"/>
            <w:tcBorders>
              <w:top w:val="double" w:sz="4" w:space="0" w:color="auto"/>
              <w:left w:val="nil"/>
              <w:bottom w:val="nil"/>
              <w:right w:val="nil"/>
            </w:tcBorders>
            <w:shd w:val="clear" w:color="auto" w:fill="FFFFFF"/>
          </w:tcPr>
          <w:p w14:paraId="1F7E7FFA" w14:textId="77777777" w:rsidR="007756EA" w:rsidRPr="00F2575A" w:rsidRDefault="007756EA" w:rsidP="007756EA">
            <w:pPr>
              <w:tabs>
                <w:tab w:val="decimal" w:pos="968"/>
              </w:tabs>
              <w:spacing w:after="0"/>
              <w:jc w:val="both"/>
              <w:rPr>
                <w:rFonts w:eastAsia="Arial"/>
                <w:szCs w:val="28"/>
                <w:lang w:eastAsia="en-GB"/>
              </w:rPr>
            </w:pPr>
          </w:p>
        </w:tc>
        <w:tc>
          <w:tcPr>
            <w:tcW w:w="256" w:type="dxa"/>
            <w:tcBorders>
              <w:left w:val="nil"/>
              <w:bottom w:val="nil"/>
              <w:right w:val="nil"/>
            </w:tcBorders>
            <w:shd w:val="clear" w:color="auto" w:fill="FFFFFF"/>
          </w:tcPr>
          <w:p w14:paraId="69930323" w14:textId="249FBF66"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double" w:sz="4" w:space="0" w:color="auto"/>
              <w:left w:val="nil"/>
              <w:bottom w:val="nil"/>
              <w:right w:val="nil"/>
            </w:tcBorders>
            <w:shd w:val="clear" w:color="auto" w:fill="auto"/>
          </w:tcPr>
          <w:p w14:paraId="47EC41D6"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top w:val="nil"/>
              <w:left w:val="nil"/>
              <w:bottom w:val="nil"/>
              <w:right w:val="nil"/>
            </w:tcBorders>
            <w:shd w:val="clear" w:color="auto" w:fill="FFFFFF"/>
            <w:tcMar>
              <w:left w:w="0" w:type="dxa"/>
              <w:right w:w="0" w:type="dxa"/>
            </w:tcMar>
          </w:tcPr>
          <w:p w14:paraId="4DA68CB4"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double" w:sz="4" w:space="0" w:color="auto"/>
              <w:left w:val="nil"/>
              <w:right w:val="nil"/>
            </w:tcBorders>
            <w:shd w:val="clear" w:color="auto" w:fill="FFFFFF"/>
            <w:tcMar>
              <w:left w:w="0" w:type="dxa"/>
              <w:right w:w="0" w:type="dxa"/>
            </w:tcMar>
          </w:tcPr>
          <w:p w14:paraId="0970A6B1"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F26A5C" w14:paraId="17DFA933" w14:textId="77777777" w:rsidTr="00433FEC">
        <w:trPr>
          <w:trHeight w:val="227"/>
        </w:trPr>
        <w:tc>
          <w:tcPr>
            <w:tcW w:w="4004" w:type="dxa"/>
            <w:tcBorders>
              <w:top w:val="nil"/>
              <w:left w:val="nil"/>
              <w:bottom w:val="nil"/>
              <w:right w:val="nil"/>
            </w:tcBorders>
            <w:shd w:val="clear" w:color="auto" w:fill="FFFFFF"/>
            <w:tcMar>
              <w:left w:w="0" w:type="dxa"/>
              <w:right w:w="0" w:type="dxa"/>
            </w:tcMar>
          </w:tcPr>
          <w:p w14:paraId="395689AA" w14:textId="77777777" w:rsidR="007756EA" w:rsidRPr="003F466B" w:rsidRDefault="007756EA" w:rsidP="007756EA">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47EC08A3" w14:textId="77777777" w:rsidR="007756EA" w:rsidRPr="003F466B" w:rsidRDefault="007756EA" w:rsidP="007756EA">
            <w:pPr>
              <w:spacing w:after="0"/>
              <w:jc w:val="center"/>
              <w:rPr>
                <w:rFonts w:eastAsia="Arial"/>
                <w:szCs w:val="28"/>
                <w:lang w:eastAsia="en-GB"/>
              </w:rPr>
            </w:pPr>
          </w:p>
        </w:tc>
        <w:tc>
          <w:tcPr>
            <w:tcW w:w="1558" w:type="dxa"/>
            <w:tcBorders>
              <w:left w:val="nil"/>
              <w:bottom w:val="nil"/>
              <w:right w:val="nil"/>
            </w:tcBorders>
          </w:tcPr>
          <w:p w14:paraId="451432CD" w14:textId="77777777" w:rsidR="007756EA" w:rsidRPr="003F466B" w:rsidRDefault="007756EA" w:rsidP="007756EA">
            <w:pPr>
              <w:spacing w:after="0"/>
              <w:jc w:val="center"/>
              <w:rPr>
                <w:rFonts w:eastAsia="Arial"/>
                <w:szCs w:val="28"/>
                <w:lang w:eastAsia="en-GB"/>
              </w:rPr>
            </w:pPr>
          </w:p>
        </w:tc>
        <w:tc>
          <w:tcPr>
            <w:tcW w:w="1362" w:type="dxa"/>
            <w:tcBorders>
              <w:left w:val="nil"/>
              <w:bottom w:val="nil"/>
              <w:right w:val="nil"/>
            </w:tcBorders>
            <w:shd w:val="clear" w:color="auto" w:fill="FFFFFF"/>
          </w:tcPr>
          <w:p w14:paraId="50261150" w14:textId="77777777" w:rsidR="007756EA" w:rsidRPr="00F2575A" w:rsidRDefault="007756EA" w:rsidP="007756EA">
            <w:pPr>
              <w:tabs>
                <w:tab w:val="decimal" w:pos="968"/>
              </w:tabs>
              <w:spacing w:after="0"/>
              <w:jc w:val="both"/>
              <w:rPr>
                <w:rFonts w:eastAsia="Arial"/>
                <w:szCs w:val="28"/>
                <w:lang w:eastAsia="en-GB"/>
              </w:rPr>
            </w:pPr>
          </w:p>
        </w:tc>
        <w:tc>
          <w:tcPr>
            <w:tcW w:w="256" w:type="dxa"/>
            <w:tcBorders>
              <w:left w:val="nil"/>
              <w:bottom w:val="nil"/>
              <w:right w:val="nil"/>
            </w:tcBorders>
            <w:shd w:val="clear" w:color="auto" w:fill="FFFFFF"/>
          </w:tcPr>
          <w:p w14:paraId="09C6C104" w14:textId="53005E14" w:rsidR="007756EA" w:rsidRPr="003F466B" w:rsidRDefault="007756EA" w:rsidP="007756EA">
            <w:pPr>
              <w:spacing w:after="0"/>
              <w:jc w:val="right"/>
              <w:rPr>
                <w:rFonts w:eastAsia="Arial"/>
                <w:szCs w:val="28"/>
                <w:lang w:eastAsia="en-GB"/>
              </w:rPr>
            </w:pPr>
          </w:p>
        </w:tc>
        <w:tc>
          <w:tcPr>
            <w:tcW w:w="1276" w:type="dxa"/>
            <w:tcBorders>
              <w:left w:val="nil"/>
              <w:bottom w:val="nil"/>
              <w:right w:val="nil"/>
            </w:tcBorders>
            <w:shd w:val="clear" w:color="auto" w:fill="FFFFFF"/>
          </w:tcPr>
          <w:p w14:paraId="28E76B94"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top w:val="nil"/>
              <w:left w:val="nil"/>
              <w:bottom w:val="nil"/>
              <w:right w:val="nil"/>
            </w:tcBorders>
            <w:shd w:val="clear" w:color="auto" w:fill="FFFFFF"/>
            <w:tcMar>
              <w:left w:w="0" w:type="dxa"/>
              <w:right w:w="0" w:type="dxa"/>
            </w:tcMar>
          </w:tcPr>
          <w:p w14:paraId="5116DE49" w14:textId="77777777" w:rsidR="007756EA" w:rsidRPr="003F466B" w:rsidRDefault="007756EA" w:rsidP="007756EA">
            <w:pPr>
              <w:spacing w:after="0"/>
              <w:jc w:val="right"/>
              <w:rPr>
                <w:rFonts w:eastAsia="Arial"/>
                <w:szCs w:val="28"/>
                <w:lang w:eastAsia="en-GB"/>
              </w:rPr>
            </w:pPr>
          </w:p>
        </w:tc>
        <w:tc>
          <w:tcPr>
            <w:tcW w:w="1417" w:type="dxa"/>
            <w:tcBorders>
              <w:left w:val="nil"/>
              <w:bottom w:val="nil"/>
              <w:right w:val="nil"/>
            </w:tcBorders>
            <w:shd w:val="clear" w:color="auto" w:fill="FFFFFF"/>
            <w:tcMar>
              <w:left w:w="0" w:type="dxa"/>
              <w:right w:w="0" w:type="dxa"/>
            </w:tcMar>
          </w:tcPr>
          <w:p w14:paraId="755A8855"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F26A5C" w14:paraId="29F5D182" w14:textId="77777777" w:rsidTr="00433FEC">
        <w:trPr>
          <w:trHeight w:hRule="exact" w:val="255"/>
        </w:trPr>
        <w:tc>
          <w:tcPr>
            <w:tcW w:w="4004" w:type="dxa"/>
            <w:tcBorders>
              <w:top w:val="nil"/>
              <w:left w:val="nil"/>
              <w:bottom w:val="nil"/>
              <w:right w:val="nil"/>
            </w:tcBorders>
            <w:shd w:val="clear" w:color="auto" w:fill="FFFFFF"/>
            <w:tcMar>
              <w:left w:w="0" w:type="dxa"/>
              <w:right w:w="0" w:type="dxa"/>
            </w:tcMar>
          </w:tcPr>
          <w:p w14:paraId="37730E45" w14:textId="6FBF7BDB" w:rsidR="007756EA" w:rsidRPr="003F466B" w:rsidRDefault="00A758FF" w:rsidP="007756EA">
            <w:pPr>
              <w:spacing w:after="0"/>
              <w:rPr>
                <w:rFonts w:eastAsia="Arial"/>
                <w:b/>
                <w:szCs w:val="28"/>
                <w:lang w:eastAsia="en-GB"/>
              </w:rPr>
            </w:pPr>
            <w:r w:rsidRPr="003F466B">
              <w:rPr>
                <w:rFonts w:eastAsia="Arial"/>
                <w:b/>
                <w:szCs w:val="28"/>
                <w:lang w:eastAsia="en-GB"/>
              </w:rPr>
              <w:t>Non-current liabilities</w:t>
            </w:r>
          </w:p>
          <w:p w14:paraId="53F74E06" w14:textId="77777777" w:rsidR="007756EA" w:rsidRPr="003F466B" w:rsidRDefault="007756EA" w:rsidP="007756EA">
            <w:pPr>
              <w:spacing w:after="0"/>
              <w:rPr>
                <w:rFonts w:eastAsia="Arial"/>
                <w:b/>
                <w:szCs w:val="28"/>
                <w:lang w:eastAsia="en-GB"/>
              </w:rPr>
            </w:pPr>
          </w:p>
          <w:p w14:paraId="517917AB" w14:textId="77777777" w:rsidR="007756EA" w:rsidRPr="003F466B" w:rsidRDefault="007756EA" w:rsidP="007756EA">
            <w:pPr>
              <w:spacing w:after="0"/>
              <w:rPr>
                <w:rFonts w:eastAsia="Arial"/>
                <w:b/>
                <w:szCs w:val="28"/>
                <w:lang w:eastAsia="en-GB"/>
              </w:rPr>
            </w:pPr>
          </w:p>
          <w:p w14:paraId="2D8DCCA5" w14:textId="77777777" w:rsidR="007756EA" w:rsidRPr="003F466B" w:rsidRDefault="007756EA" w:rsidP="007756EA">
            <w:pPr>
              <w:spacing w:after="0"/>
              <w:rPr>
                <w:rFonts w:eastAsia="Arial"/>
                <w:b/>
                <w:szCs w:val="28"/>
                <w:lang w:eastAsia="en-GB"/>
              </w:rPr>
            </w:pPr>
          </w:p>
          <w:p w14:paraId="33F0A165" w14:textId="77777777" w:rsidR="007756EA" w:rsidRPr="003F466B" w:rsidRDefault="007756EA" w:rsidP="007756EA">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316C7629" w14:textId="77777777" w:rsidR="007756EA" w:rsidRPr="003F466B" w:rsidRDefault="007756EA" w:rsidP="007756EA">
            <w:pPr>
              <w:spacing w:after="0"/>
              <w:jc w:val="right"/>
              <w:rPr>
                <w:rFonts w:eastAsia="Arial"/>
                <w:szCs w:val="28"/>
                <w:lang w:eastAsia="en-GB"/>
              </w:rPr>
            </w:pPr>
          </w:p>
        </w:tc>
        <w:tc>
          <w:tcPr>
            <w:tcW w:w="1558" w:type="dxa"/>
            <w:tcBorders>
              <w:top w:val="nil"/>
              <w:left w:val="nil"/>
              <w:bottom w:val="nil"/>
              <w:right w:val="nil"/>
            </w:tcBorders>
          </w:tcPr>
          <w:p w14:paraId="28FDCDE6" w14:textId="77777777" w:rsidR="007756EA" w:rsidRPr="003F466B" w:rsidRDefault="007756EA" w:rsidP="007756EA">
            <w:pPr>
              <w:spacing w:after="0"/>
              <w:jc w:val="center"/>
              <w:rPr>
                <w:rFonts w:eastAsia="Arial"/>
                <w:szCs w:val="28"/>
                <w:lang w:eastAsia="en-GB"/>
              </w:rPr>
            </w:pPr>
          </w:p>
          <w:p w14:paraId="2BD0C394" w14:textId="77777777" w:rsidR="007756EA" w:rsidRPr="003F466B" w:rsidRDefault="007756EA" w:rsidP="007756EA">
            <w:pPr>
              <w:spacing w:after="0"/>
              <w:jc w:val="center"/>
              <w:rPr>
                <w:rFonts w:eastAsia="Arial"/>
                <w:szCs w:val="28"/>
                <w:lang w:eastAsia="en-GB"/>
              </w:rPr>
            </w:pPr>
          </w:p>
        </w:tc>
        <w:tc>
          <w:tcPr>
            <w:tcW w:w="1362" w:type="dxa"/>
            <w:tcBorders>
              <w:top w:val="nil"/>
              <w:left w:val="nil"/>
              <w:bottom w:val="nil"/>
              <w:right w:val="nil"/>
            </w:tcBorders>
            <w:shd w:val="clear" w:color="auto" w:fill="FFFFFF"/>
          </w:tcPr>
          <w:p w14:paraId="59FC4B81" w14:textId="77777777" w:rsidR="007756EA" w:rsidRPr="00F2575A" w:rsidRDefault="007756EA" w:rsidP="007756EA">
            <w:pPr>
              <w:tabs>
                <w:tab w:val="decimal" w:pos="968"/>
              </w:tabs>
              <w:spacing w:after="0"/>
              <w:jc w:val="both"/>
              <w:rPr>
                <w:rFonts w:eastAsia="Arial"/>
                <w:szCs w:val="28"/>
                <w:lang w:eastAsia="en-GB"/>
              </w:rPr>
            </w:pPr>
          </w:p>
        </w:tc>
        <w:tc>
          <w:tcPr>
            <w:tcW w:w="256" w:type="dxa"/>
            <w:tcBorders>
              <w:top w:val="nil"/>
              <w:left w:val="nil"/>
              <w:bottom w:val="nil"/>
              <w:right w:val="nil"/>
            </w:tcBorders>
            <w:shd w:val="clear" w:color="auto" w:fill="FFFFFF"/>
          </w:tcPr>
          <w:p w14:paraId="307E9520" w14:textId="5F73010D"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276" w:type="dxa"/>
            <w:tcBorders>
              <w:top w:val="nil"/>
              <w:left w:val="nil"/>
              <w:bottom w:val="nil"/>
              <w:right w:val="nil"/>
            </w:tcBorders>
            <w:shd w:val="clear" w:color="auto" w:fill="FFFFFF"/>
          </w:tcPr>
          <w:p w14:paraId="032BB695" w14:textId="77777777" w:rsidR="007756EA" w:rsidRPr="00162EE2" w:rsidRDefault="007756EA" w:rsidP="007756EA">
            <w:pPr>
              <w:tabs>
                <w:tab w:val="decimal" w:pos="915"/>
              </w:tabs>
              <w:spacing w:after="0"/>
              <w:rPr>
                <w:rFonts w:eastAsia="Arial"/>
                <w:szCs w:val="28"/>
                <w:highlight w:val="yellow"/>
                <w:lang w:eastAsia="en-GB"/>
              </w:rPr>
            </w:pPr>
          </w:p>
        </w:tc>
        <w:tc>
          <w:tcPr>
            <w:tcW w:w="283" w:type="dxa"/>
            <w:tcBorders>
              <w:top w:val="nil"/>
              <w:left w:val="nil"/>
              <w:bottom w:val="nil"/>
              <w:right w:val="nil"/>
            </w:tcBorders>
            <w:shd w:val="clear" w:color="auto" w:fill="FFFFFF"/>
            <w:tcMar>
              <w:left w:w="0" w:type="dxa"/>
              <w:right w:w="0" w:type="dxa"/>
            </w:tcMar>
          </w:tcPr>
          <w:p w14:paraId="3F083052" w14:textId="77777777" w:rsidR="007756EA" w:rsidRPr="003F466B" w:rsidRDefault="007756EA" w:rsidP="007756EA">
            <w:pPr>
              <w:spacing w:after="0"/>
              <w:jc w:val="right"/>
              <w:rPr>
                <w:rFonts w:eastAsia="Arial"/>
                <w:szCs w:val="28"/>
                <w:lang w:eastAsia="en-GB"/>
              </w:rPr>
            </w:pPr>
            <w:r w:rsidRPr="003F466B">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38328A7D"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613F96" w:rsidRPr="00D33273" w14:paraId="6581B2E2" w14:textId="77777777" w:rsidTr="00433FEC">
        <w:trPr>
          <w:trHeight w:hRule="exact" w:val="227"/>
        </w:trPr>
        <w:tc>
          <w:tcPr>
            <w:tcW w:w="4004" w:type="dxa"/>
            <w:tcBorders>
              <w:top w:val="nil"/>
              <w:left w:val="nil"/>
              <w:bottom w:val="nil"/>
              <w:right w:val="nil"/>
            </w:tcBorders>
            <w:shd w:val="clear" w:color="auto" w:fill="FFFFFF"/>
            <w:tcMar>
              <w:left w:w="0" w:type="dxa"/>
              <w:right w:w="0" w:type="dxa"/>
            </w:tcMar>
          </w:tcPr>
          <w:p w14:paraId="0C8B54EC" w14:textId="77777777" w:rsidR="00613F96" w:rsidRPr="00D33273" w:rsidRDefault="00613F96" w:rsidP="00613F96">
            <w:pPr>
              <w:spacing w:after="0"/>
              <w:rPr>
                <w:rFonts w:eastAsia="Arial"/>
                <w:bCs/>
                <w:szCs w:val="28"/>
                <w:lang w:eastAsia="en-GB"/>
              </w:rPr>
            </w:pPr>
            <w:r w:rsidRPr="00D33273">
              <w:rPr>
                <w:rFonts w:eastAsia="Arial"/>
                <w:bCs/>
                <w:szCs w:val="28"/>
                <w:lang w:eastAsia="en-GB"/>
              </w:rPr>
              <w:t xml:space="preserve">Loans and borrowings </w:t>
            </w:r>
          </w:p>
        </w:tc>
        <w:tc>
          <w:tcPr>
            <w:tcW w:w="22" w:type="dxa"/>
            <w:tcBorders>
              <w:top w:val="nil"/>
              <w:left w:val="nil"/>
              <w:bottom w:val="nil"/>
              <w:right w:val="nil"/>
            </w:tcBorders>
            <w:shd w:val="clear" w:color="auto" w:fill="FFFFFF"/>
            <w:tcMar>
              <w:left w:w="0" w:type="dxa"/>
              <w:right w:w="0" w:type="dxa"/>
            </w:tcMar>
          </w:tcPr>
          <w:p w14:paraId="5845A971" w14:textId="77777777" w:rsidR="00613F96" w:rsidRPr="00D33273" w:rsidRDefault="00613F96" w:rsidP="00613F96">
            <w:pPr>
              <w:spacing w:after="0"/>
              <w:jc w:val="right"/>
              <w:rPr>
                <w:rFonts w:eastAsia="Arial"/>
                <w:szCs w:val="28"/>
                <w:lang w:eastAsia="en-GB"/>
              </w:rPr>
            </w:pPr>
          </w:p>
        </w:tc>
        <w:tc>
          <w:tcPr>
            <w:tcW w:w="1558" w:type="dxa"/>
            <w:tcBorders>
              <w:top w:val="nil"/>
              <w:left w:val="nil"/>
              <w:bottom w:val="nil"/>
              <w:right w:val="nil"/>
            </w:tcBorders>
          </w:tcPr>
          <w:p w14:paraId="03822760" w14:textId="77777777" w:rsidR="00613F96" w:rsidRPr="00D33273" w:rsidRDefault="00613F96" w:rsidP="00613F96">
            <w:pPr>
              <w:spacing w:after="0"/>
              <w:jc w:val="center"/>
              <w:rPr>
                <w:rFonts w:eastAsia="Arial"/>
                <w:szCs w:val="28"/>
                <w:lang w:eastAsia="en-GB"/>
              </w:rPr>
            </w:pPr>
            <w:r w:rsidRPr="00D33273">
              <w:rPr>
                <w:rFonts w:eastAsia="Arial"/>
                <w:szCs w:val="28"/>
                <w:lang w:eastAsia="en-GB"/>
              </w:rPr>
              <w:t>13</w:t>
            </w:r>
          </w:p>
        </w:tc>
        <w:tc>
          <w:tcPr>
            <w:tcW w:w="1362" w:type="dxa"/>
            <w:tcBorders>
              <w:top w:val="nil"/>
              <w:left w:val="nil"/>
              <w:bottom w:val="nil"/>
              <w:right w:val="nil"/>
            </w:tcBorders>
            <w:shd w:val="clear" w:color="auto" w:fill="FFFFFF"/>
          </w:tcPr>
          <w:p w14:paraId="1C89DF69" w14:textId="3B4E3EF5"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49.8</w:t>
            </w:r>
          </w:p>
        </w:tc>
        <w:tc>
          <w:tcPr>
            <w:tcW w:w="256" w:type="dxa"/>
            <w:tcBorders>
              <w:top w:val="nil"/>
              <w:left w:val="nil"/>
              <w:bottom w:val="nil"/>
              <w:right w:val="nil"/>
            </w:tcBorders>
            <w:shd w:val="clear" w:color="auto" w:fill="FFFFFF"/>
          </w:tcPr>
          <w:p w14:paraId="7F8EFF69" w14:textId="3EE97066" w:rsidR="00613F96" w:rsidRPr="00D33273" w:rsidRDefault="00613F96" w:rsidP="00613F96">
            <w:pPr>
              <w:spacing w:after="0"/>
              <w:jc w:val="right"/>
              <w:rPr>
                <w:rFonts w:eastAsia="Arial"/>
                <w:szCs w:val="28"/>
                <w:lang w:eastAsia="en-GB"/>
              </w:rPr>
            </w:pPr>
          </w:p>
        </w:tc>
        <w:tc>
          <w:tcPr>
            <w:tcW w:w="1276" w:type="dxa"/>
            <w:tcBorders>
              <w:top w:val="nil"/>
              <w:left w:val="nil"/>
              <w:bottom w:val="nil"/>
              <w:right w:val="nil"/>
            </w:tcBorders>
            <w:shd w:val="clear" w:color="auto" w:fill="FFFFFF"/>
          </w:tcPr>
          <w:p w14:paraId="2BE950BD" w14:textId="4F06FB9D"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49.6</w:t>
            </w:r>
          </w:p>
        </w:tc>
        <w:tc>
          <w:tcPr>
            <w:tcW w:w="283" w:type="dxa"/>
            <w:tcBorders>
              <w:top w:val="nil"/>
              <w:left w:val="nil"/>
              <w:bottom w:val="nil"/>
              <w:right w:val="nil"/>
            </w:tcBorders>
            <w:shd w:val="clear" w:color="auto" w:fill="FFFFFF"/>
            <w:tcMar>
              <w:left w:w="0" w:type="dxa"/>
              <w:right w:w="0" w:type="dxa"/>
            </w:tcMar>
          </w:tcPr>
          <w:p w14:paraId="30CB2439" w14:textId="77777777" w:rsidR="00613F96" w:rsidRPr="00D33273" w:rsidRDefault="00613F96" w:rsidP="00613F96">
            <w:pPr>
              <w:spacing w:after="0"/>
              <w:jc w:val="right"/>
              <w:rPr>
                <w:rFonts w:eastAsia="Arial"/>
                <w:szCs w:val="28"/>
                <w:lang w:eastAsia="en-GB"/>
              </w:rPr>
            </w:pPr>
          </w:p>
        </w:tc>
        <w:tc>
          <w:tcPr>
            <w:tcW w:w="1417" w:type="dxa"/>
            <w:tcBorders>
              <w:top w:val="nil"/>
              <w:left w:val="nil"/>
              <w:bottom w:val="nil"/>
              <w:right w:val="nil"/>
            </w:tcBorders>
            <w:shd w:val="clear" w:color="auto" w:fill="FFFFFF"/>
            <w:tcMar>
              <w:left w:w="0" w:type="dxa"/>
              <w:right w:w="0" w:type="dxa"/>
            </w:tcMar>
          </w:tcPr>
          <w:p w14:paraId="7C397612" w14:textId="69F9B1DA"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49.7</w:t>
            </w:r>
          </w:p>
        </w:tc>
      </w:tr>
      <w:tr w:rsidR="00613F96" w:rsidRPr="00D33273" w14:paraId="78BA2615" w14:textId="77777777" w:rsidTr="00CC2E72">
        <w:trPr>
          <w:trHeight w:val="74"/>
        </w:trPr>
        <w:tc>
          <w:tcPr>
            <w:tcW w:w="4004" w:type="dxa"/>
            <w:tcBorders>
              <w:top w:val="nil"/>
              <w:left w:val="nil"/>
              <w:bottom w:val="nil"/>
              <w:right w:val="nil"/>
            </w:tcBorders>
            <w:shd w:val="clear" w:color="auto" w:fill="FFFFFF"/>
            <w:tcMar>
              <w:left w:w="0" w:type="dxa"/>
              <w:right w:w="0" w:type="dxa"/>
            </w:tcMar>
          </w:tcPr>
          <w:p w14:paraId="4253E87B" w14:textId="77777777" w:rsidR="00613F96" w:rsidRPr="00D33273" w:rsidRDefault="00613F96" w:rsidP="00613F96">
            <w:pPr>
              <w:spacing w:after="0"/>
              <w:rPr>
                <w:rFonts w:eastAsia="Arial"/>
                <w:szCs w:val="28"/>
                <w:lang w:eastAsia="en-GB"/>
              </w:rPr>
            </w:pPr>
            <w:r w:rsidRPr="00D33273">
              <w:rPr>
                <w:rFonts w:eastAsia="Arial"/>
                <w:szCs w:val="28"/>
                <w:lang w:eastAsia="en-GB"/>
              </w:rPr>
              <w:t>Trade and other payables</w:t>
            </w:r>
          </w:p>
        </w:tc>
        <w:tc>
          <w:tcPr>
            <w:tcW w:w="22" w:type="dxa"/>
            <w:tcBorders>
              <w:top w:val="nil"/>
              <w:left w:val="nil"/>
              <w:bottom w:val="nil"/>
              <w:right w:val="nil"/>
            </w:tcBorders>
            <w:shd w:val="clear" w:color="auto" w:fill="FFFFFF"/>
            <w:tcMar>
              <w:left w:w="0" w:type="dxa"/>
              <w:right w:w="0" w:type="dxa"/>
            </w:tcMar>
          </w:tcPr>
          <w:p w14:paraId="280A7F84" w14:textId="77777777" w:rsidR="00613F96" w:rsidRPr="00D33273"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35CAB3B6" w14:textId="77777777" w:rsidR="00613F96" w:rsidRPr="00D33273" w:rsidRDefault="00613F96" w:rsidP="00613F96">
            <w:pPr>
              <w:spacing w:after="0"/>
              <w:jc w:val="center"/>
              <w:rPr>
                <w:rFonts w:eastAsia="Arial"/>
                <w:szCs w:val="28"/>
                <w:lang w:eastAsia="en-GB"/>
              </w:rPr>
            </w:pPr>
          </w:p>
        </w:tc>
        <w:tc>
          <w:tcPr>
            <w:tcW w:w="1362" w:type="dxa"/>
            <w:tcBorders>
              <w:top w:val="nil"/>
              <w:left w:val="nil"/>
              <w:right w:val="nil"/>
            </w:tcBorders>
            <w:shd w:val="clear" w:color="auto" w:fill="FFFFFF"/>
          </w:tcPr>
          <w:p w14:paraId="4088476A" w14:textId="02A11ED8"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52.3</w:t>
            </w:r>
          </w:p>
        </w:tc>
        <w:tc>
          <w:tcPr>
            <w:tcW w:w="256" w:type="dxa"/>
            <w:tcBorders>
              <w:top w:val="nil"/>
              <w:left w:val="nil"/>
              <w:bottom w:val="nil"/>
              <w:right w:val="nil"/>
            </w:tcBorders>
            <w:shd w:val="clear" w:color="auto" w:fill="FFFFFF"/>
          </w:tcPr>
          <w:p w14:paraId="143B3D56" w14:textId="704C7743"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right w:val="nil"/>
            </w:tcBorders>
            <w:shd w:val="clear" w:color="auto" w:fill="FFFFFF"/>
          </w:tcPr>
          <w:p w14:paraId="3FACD54C" w14:textId="58BF7B68"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81.</w:t>
            </w:r>
            <w:r>
              <w:rPr>
                <w:rFonts w:eastAsia="Arial"/>
                <w:szCs w:val="28"/>
                <w:lang w:eastAsia="en-GB"/>
              </w:rPr>
              <w:t>8</w:t>
            </w:r>
          </w:p>
        </w:tc>
        <w:tc>
          <w:tcPr>
            <w:tcW w:w="283" w:type="dxa"/>
            <w:tcBorders>
              <w:top w:val="nil"/>
              <w:left w:val="nil"/>
              <w:bottom w:val="nil"/>
              <w:right w:val="nil"/>
            </w:tcBorders>
            <w:shd w:val="clear" w:color="auto" w:fill="FFFFFF"/>
            <w:tcMar>
              <w:left w:w="0" w:type="dxa"/>
              <w:right w:w="0" w:type="dxa"/>
            </w:tcMar>
          </w:tcPr>
          <w:p w14:paraId="647FA245" w14:textId="77777777"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0F810CDB" w14:textId="59AC6251"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59.7</w:t>
            </w:r>
          </w:p>
        </w:tc>
      </w:tr>
      <w:tr w:rsidR="00613F96" w:rsidRPr="00D33273" w14:paraId="11D18581" w14:textId="77777777" w:rsidTr="00CC2E72">
        <w:trPr>
          <w:trHeight w:val="169"/>
        </w:trPr>
        <w:tc>
          <w:tcPr>
            <w:tcW w:w="4004" w:type="dxa"/>
            <w:tcBorders>
              <w:top w:val="nil"/>
              <w:left w:val="nil"/>
              <w:bottom w:val="nil"/>
              <w:right w:val="nil"/>
            </w:tcBorders>
            <w:shd w:val="clear" w:color="auto" w:fill="FFFFFF"/>
            <w:tcMar>
              <w:left w:w="0" w:type="dxa"/>
              <w:right w:w="0" w:type="dxa"/>
            </w:tcMar>
          </w:tcPr>
          <w:p w14:paraId="25722630" w14:textId="77777777" w:rsidR="00613F96" w:rsidRPr="00D33273" w:rsidRDefault="00613F96" w:rsidP="00613F96">
            <w:pPr>
              <w:spacing w:after="0"/>
              <w:rPr>
                <w:rFonts w:eastAsia="Arial"/>
                <w:szCs w:val="28"/>
                <w:lang w:eastAsia="en-GB"/>
              </w:rPr>
            </w:pPr>
            <w:r w:rsidRPr="00D33273">
              <w:rPr>
                <w:rFonts w:eastAsia="Arial"/>
                <w:szCs w:val="28"/>
                <w:lang w:eastAsia="en-GB"/>
              </w:rPr>
              <w:t>Deferred tax liabilities</w:t>
            </w:r>
          </w:p>
        </w:tc>
        <w:tc>
          <w:tcPr>
            <w:tcW w:w="22" w:type="dxa"/>
            <w:tcBorders>
              <w:top w:val="nil"/>
              <w:left w:val="nil"/>
              <w:bottom w:val="nil"/>
              <w:right w:val="nil"/>
            </w:tcBorders>
            <w:shd w:val="clear" w:color="auto" w:fill="FFFFFF"/>
            <w:tcMar>
              <w:left w:w="0" w:type="dxa"/>
              <w:right w:w="0" w:type="dxa"/>
            </w:tcMar>
          </w:tcPr>
          <w:p w14:paraId="272FD768" w14:textId="77777777" w:rsidR="00613F96" w:rsidRPr="00D33273" w:rsidRDefault="00613F96" w:rsidP="00613F96">
            <w:pPr>
              <w:spacing w:after="0"/>
              <w:jc w:val="right"/>
              <w:rPr>
                <w:rFonts w:eastAsia="Arial"/>
                <w:szCs w:val="28"/>
                <w:lang w:eastAsia="en-GB"/>
              </w:rPr>
            </w:pPr>
          </w:p>
        </w:tc>
        <w:tc>
          <w:tcPr>
            <w:tcW w:w="1558" w:type="dxa"/>
            <w:tcBorders>
              <w:top w:val="nil"/>
              <w:left w:val="nil"/>
              <w:right w:val="nil"/>
            </w:tcBorders>
          </w:tcPr>
          <w:p w14:paraId="71676DB2" w14:textId="77777777" w:rsidR="00613F96" w:rsidRPr="00D33273" w:rsidRDefault="00613F96" w:rsidP="00613F96">
            <w:pPr>
              <w:spacing w:after="0"/>
              <w:jc w:val="center"/>
              <w:rPr>
                <w:rFonts w:eastAsia="Arial"/>
                <w:szCs w:val="28"/>
                <w:lang w:eastAsia="en-GB"/>
              </w:rPr>
            </w:pPr>
          </w:p>
        </w:tc>
        <w:tc>
          <w:tcPr>
            <w:tcW w:w="1362" w:type="dxa"/>
            <w:tcBorders>
              <w:top w:val="nil"/>
              <w:left w:val="nil"/>
              <w:bottom w:val="single" w:sz="4" w:space="0" w:color="auto"/>
              <w:right w:val="nil"/>
            </w:tcBorders>
            <w:shd w:val="clear" w:color="auto" w:fill="FFFFFF"/>
          </w:tcPr>
          <w:p w14:paraId="7AC01D46" w14:textId="51D23987" w:rsidR="00613F96" w:rsidRPr="00EB79CA" w:rsidRDefault="003002F3" w:rsidP="00613F96">
            <w:pPr>
              <w:tabs>
                <w:tab w:val="decimal" w:pos="968"/>
              </w:tabs>
              <w:spacing w:after="0"/>
              <w:jc w:val="both"/>
              <w:rPr>
                <w:rFonts w:eastAsia="Arial"/>
                <w:szCs w:val="28"/>
                <w:lang w:eastAsia="en-GB"/>
              </w:rPr>
            </w:pPr>
            <w:r>
              <w:rPr>
                <w:rFonts w:eastAsia="Arial"/>
                <w:szCs w:val="28"/>
                <w:lang w:eastAsia="en-GB"/>
              </w:rPr>
              <w:t>-</w:t>
            </w:r>
          </w:p>
        </w:tc>
        <w:tc>
          <w:tcPr>
            <w:tcW w:w="256" w:type="dxa"/>
            <w:tcBorders>
              <w:top w:val="nil"/>
              <w:left w:val="nil"/>
              <w:right w:val="nil"/>
            </w:tcBorders>
            <w:shd w:val="clear" w:color="auto" w:fill="FFFFFF"/>
          </w:tcPr>
          <w:p w14:paraId="2D7B3A70" w14:textId="472893EF"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bottom w:val="single" w:sz="4" w:space="0" w:color="auto"/>
              <w:right w:val="nil"/>
            </w:tcBorders>
            <w:shd w:val="clear" w:color="auto" w:fill="FFFFFF"/>
          </w:tcPr>
          <w:p w14:paraId="6B7DB712" w14:textId="7D4A94BE" w:rsidR="00613F96" w:rsidRPr="004F6EE6" w:rsidRDefault="00613F96" w:rsidP="00613F96">
            <w:pPr>
              <w:tabs>
                <w:tab w:val="decimal" w:pos="915"/>
              </w:tabs>
              <w:spacing w:after="0"/>
              <w:rPr>
                <w:rFonts w:eastAsia="Arial"/>
                <w:szCs w:val="28"/>
                <w:lang w:eastAsia="en-GB"/>
              </w:rPr>
            </w:pPr>
            <w:r>
              <w:rPr>
                <w:rFonts w:eastAsia="Arial"/>
                <w:szCs w:val="28"/>
                <w:lang w:eastAsia="en-GB"/>
              </w:rPr>
              <w:t>4</w:t>
            </w:r>
            <w:r w:rsidRPr="00F2575A">
              <w:rPr>
                <w:rFonts w:eastAsia="Arial"/>
                <w:szCs w:val="28"/>
                <w:lang w:eastAsia="en-GB"/>
              </w:rPr>
              <w:t>.5</w:t>
            </w:r>
          </w:p>
        </w:tc>
        <w:tc>
          <w:tcPr>
            <w:tcW w:w="283" w:type="dxa"/>
            <w:tcBorders>
              <w:top w:val="nil"/>
              <w:left w:val="nil"/>
              <w:bottom w:val="nil"/>
              <w:right w:val="nil"/>
            </w:tcBorders>
            <w:shd w:val="clear" w:color="auto" w:fill="FFFFFF"/>
            <w:tcMar>
              <w:left w:w="0" w:type="dxa"/>
              <w:right w:w="0" w:type="dxa"/>
            </w:tcMar>
          </w:tcPr>
          <w:p w14:paraId="50E52C51" w14:textId="77777777"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417" w:type="dxa"/>
            <w:tcBorders>
              <w:top w:val="nil"/>
              <w:left w:val="nil"/>
              <w:bottom w:val="single" w:sz="4" w:space="0" w:color="auto"/>
              <w:right w:val="nil"/>
            </w:tcBorders>
            <w:shd w:val="clear" w:color="auto" w:fill="FFFFFF"/>
            <w:tcMar>
              <w:left w:w="0" w:type="dxa"/>
              <w:right w:w="0" w:type="dxa"/>
            </w:tcMar>
          </w:tcPr>
          <w:p w14:paraId="02E20628" w14:textId="76687AF9"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2.3</w:t>
            </w:r>
          </w:p>
        </w:tc>
      </w:tr>
      <w:tr w:rsidR="00613F96" w:rsidRPr="00D33273" w14:paraId="0CD89720" w14:textId="77777777" w:rsidTr="00CC2E72">
        <w:trPr>
          <w:trHeight w:val="168"/>
        </w:trPr>
        <w:tc>
          <w:tcPr>
            <w:tcW w:w="4004" w:type="dxa"/>
            <w:tcBorders>
              <w:top w:val="nil"/>
              <w:left w:val="nil"/>
              <w:bottom w:val="nil"/>
              <w:right w:val="nil"/>
            </w:tcBorders>
            <w:shd w:val="clear" w:color="auto" w:fill="FFFFFF"/>
            <w:tcMar>
              <w:left w:w="0" w:type="dxa"/>
              <w:right w:w="0" w:type="dxa"/>
            </w:tcMar>
          </w:tcPr>
          <w:p w14:paraId="53539C76" w14:textId="77777777" w:rsidR="00613F96" w:rsidRPr="00D33273" w:rsidRDefault="00613F96" w:rsidP="00613F96">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49A633CF" w14:textId="77777777" w:rsidR="00613F96" w:rsidRPr="00D33273" w:rsidRDefault="00613F96" w:rsidP="00613F96">
            <w:pPr>
              <w:spacing w:after="0"/>
              <w:jc w:val="right"/>
              <w:rPr>
                <w:rFonts w:eastAsia="Arial"/>
                <w:szCs w:val="28"/>
                <w:lang w:eastAsia="en-GB"/>
              </w:rPr>
            </w:pPr>
          </w:p>
        </w:tc>
        <w:tc>
          <w:tcPr>
            <w:tcW w:w="1558" w:type="dxa"/>
            <w:tcBorders>
              <w:left w:val="nil"/>
              <w:right w:val="nil"/>
            </w:tcBorders>
          </w:tcPr>
          <w:p w14:paraId="081E56FB" w14:textId="77777777" w:rsidR="00613F96" w:rsidRPr="00D33273" w:rsidRDefault="00613F96" w:rsidP="00613F96">
            <w:pPr>
              <w:spacing w:after="0"/>
              <w:jc w:val="center"/>
              <w:rPr>
                <w:rFonts w:eastAsia="Arial"/>
                <w:szCs w:val="28"/>
                <w:lang w:eastAsia="en-GB"/>
              </w:rPr>
            </w:pPr>
          </w:p>
        </w:tc>
        <w:tc>
          <w:tcPr>
            <w:tcW w:w="1362" w:type="dxa"/>
            <w:tcBorders>
              <w:top w:val="single" w:sz="4" w:space="0" w:color="auto"/>
              <w:left w:val="nil"/>
              <w:right w:val="nil"/>
            </w:tcBorders>
            <w:shd w:val="clear" w:color="auto" w:fill="FFFFFF"/>
          </w:tcPr>
          <w:p w14:paraId="48250A7A" w14:textId="0083FAFB" w:rsidR="00613F96" w:rsidRPr="00F2718C" w:rsidRDefault="00C73D01" w:rsidP="00613F96">
            <w:pPr>
              <w:tabs>
                <w:tab w:val="decimal" w:pos="968"/>
              </w:tabs>
              <w:spacing w:after="0"/>
              <w:jc w:val="both"/>
              <w:rPr>
                <w:rFonts w:eastAsia="Arial"/>
                <w:b/>
                <w:szCs w:val="28"/>
                <w:lang w:eastAsia="en-GB"/>
              </w:rPr>
            </w:pPr>
            <w:r>
              <w:rPr>
                <w:rFonts w:eastAsia="Arial"/>
                <w:b/>
                <w:szCs w:val="28"/>
                <w:lang w:eastAsia="en-GB"/>
              </w:rPr>
              <w:t>102.1</w:t>
            </w:r>
          </w:p>
        </w:tc>
        <w:tc>
          <w:tcPr>
            <w:tcW w:w="256" w:type="dxa"/>
            <w:tcBorders>
              <w:left w:val="nil"/>
              <w:right w:val="nil"/>
            </w:tcBorders>
            <w:shd w:val="clear" w:color="auto" w:fill="FFFFFF"/>
          </w:tcPr>
          <w:p w14:paraId="39D0110A" w14:textId="37300463"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single" w:sz="4" w:space="0" w:color="auto"/>
              <w:left w:val="nil"/>
              <w:right w:val="nil"/>
            </w:tcBorders>
            <w:shd w:val="clear" w:color="auto" w:fill="FFFFFF"/>
          </w:tcPr>
          <w:p w14:paraId="7E2A89B1" w14:textId="7A567E2E" w:rsidR="00613F96" w:rsidRPr="004F6EE6" w:rsidRDefault="00613F96" w:rsidP="00613F96">
            <w:pPr>
              <w:tabs>
                <w:tab w:val="decimal" w:pos="915"/>
              </w:tabs>
              <w:spacing w:after="0"/>
              <w:rPr>
                <w:rFonts w:eastAsia="Arial"/>
                <w:b/>
                <w:bCs/>
                <w:szCs w:val="28"/>
                <w:lang w:eastAsia="en-GB"/>
              </w:rPr>
            </w:pPr>
            <w:r w:rsidRPr="00F2718C">
              <w:rPr>
                <w:rFonts w:eastAsia="Arial"/>
                <w:b/>
                <w:szCs w:val="28"/>
                <w:lang w:eastAsia="en-GB"/>
              </w:rPr>
              <w:t>135.9</w:t>
            </w:r>
          </w:p>
        </w:tc>
        <w:tc>
          <w:tcPr>
            <w:tcW w:w="283" w:type="dxa"/>
            <w:tcBorders>
              <w:top w:val="nil"/>
              <w:left w:val="nil"/>
              <w:right w:val="nil"/>
            </w:tcBorders>
            <w:shd w:val="clear" w:color="auto" w:fill="FFFFFF"/>
            <w:tcMar>
              <w:left w:w="0" w:type="dxa"/>
              <w:right w:w="0" w:type="dxa"/>
            </w:tcMar>
          </w:tcPr>
          <w:p w14:paraId="40F13C11"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top w:val="single" w:sz="4" w:space="0" w:color="auto"/>
              <w:left w:val="nil"/>
              <w:right w:val="nil"/>
            </w:tcBorders>
            <w:shd w:val="clear" w:color="auto" w:fill="FFFFFF"/>
            <w:tcMar>
              <w:left w:w="0" w:type="dxa"/>
              <w:right w:w="0" w:type="dxa"/>
            </w:tcMar>
          </w:tcPr>
          <w:p w14:paraId="019A4041" w14:textId="1108A5F1" w:rsidR="00613F96" w:rsidRPr="007756EA" w:rsidRDefault="00613F96" w:rsidP="00577845">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111.7</w:t>
            </w:r>
          </w:p>
        </w:tc>
      </w:tr>
      <w:tr w:rsidR="007756EA" w:rsidRPr="00D33273" w14:paraId="5434332E" w14:textId="77777777" w:rsidTr="00433FEC">
        <w:trPr>
          <w:trHeight w:val="151"/>
        </w:trPr>
        <w:tc>
          <w:tcPr>
            <w:tcW w:w="4004" w:type="dxa"/>
            <w:tcBorders>
              <w:top w:val="nil"/>
              <w:left w:val="nil"/>
              <w:bottom w:val="nil"/>
              <w:right w:val="nil"/>
            </w:tcBorders>
            <w:shd w:val="clear" w:color="auto" w:fill="FFFFFF"/>
            <w:tcMar>
              <w:left w:w="0" w:type="dxa"/>
              <w:right w:w="0" w:type="dxa"/>
            </w:tcMar>
          </w:tcPr>
          <w:p w14:paraId="2C115D3E" w14:textId="77777777" w:rsidR="007756EA" w:rsidRPr="00D33273" w:rsidRDefault="007756EA" w:rsidP="007756EA">
            <w:pPr>
              <w:spacing w:after="0"/>
              <w:rPr>
                <w:rFonts w:eastAsia="Arial"/>
                <w:szCs w:val="28"/>
                <w:lang w:eastAsia="en-GB"/>
              </w:rPr>
            </w:pPr>
            <w:r w:rsidRPr="00D33273">
              <w:rPr>
                <w:rFonts w:eastAsia="Arial"/>
                <w:b/>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3132E7B5" w14:textId="77777777" w:rsidR="007756EA" w:rsidRPr="00D33273" w:rsidRDefault="007756EA" w:rsidP="007756EA">
            <w:pPr>
              <w:spacing w:after="0"/>
              <w:jc w:val="right"/>
              <w:rPr>
                <w:rFonts w:eastAsia="Arial"/>
                <w:szCs w:val="28"/>
                <w:lang w:eastAsia="en-GB"/>
              </w:rPr>
            </w:pPr>
          </w:p>
        </w:tc>
        <w:tc>
          <w:tcPr>
            <w:tcW w:w="1558" w:type="dxa"/>
            <w:tcBorders>
              <w:left w:val="nil"/>
              <w:bottom w:val="nil"/>
              <w:right w:val="nil"/>
            </w:tcBorders>
          </w:tcPr>
          <w:p w14:paraId="08EFD43A" w14:textId="77777777" w:rsidR="007756EA" w:rsidRPr="00D33273" w:rsidRDefault="007756EA" w:rsidP="007756EA">
            <w:pPr>
              <w:spacing w:after="0"/>
              <w:jc w:val="center"/>
              <w:rPr>
                <w:rFonts w:eastAsia="Arial"/>
                <w:szCs w:val="28"/>
                <w:lang w:eastAsia="en-GB"/>
              </w:rPr>
            </w:pPr>
          </w:p>
        </w:tc>
        <w:tc>
          <w:tcPr>
            <w:tcW w:w="1362" w:type="dxa"/>
            <w:tcBorders>
              <w:left w:val="nil"/>
              <w:bottom w:val="nil"/>
              <w:right w:val="nil"/>
            </w:tcBorders>
            <w:shd w:val="clear" w:color="auto" w:fill="FFFFFF"/>
          </w:tcPr>
          <w:p w14:paraId="0A26F093" w14:textId="77777777" w:rsidR="007756EA" w:rsidRPr="00F2575A" w:rsidRDefault="007756EA" w:rsidP="007756EA">
            <w:pPr>
              <w:tabs>
                <w:tab w:val="decimal" w:pos="968"/>
              </w:tabs>
              <w:spacing w:after="0"/>
              <w:jc w:val="both"/>
              <w:rPr>
                <w:rFonts w:eastAsia="Arial"/>
                <w:szCs w:val="28"/>
                <w:lang w:eastAsia="en-GB"/>
              </w:rPr>
            </w:pPr>
          </w:p>
        </w:tc>
        <w:tc>
          <w:tcPr>
            <w:tcW w:w="256" w:type="dxa"/>
            <w:tcBorders>
              <w:left w:val="nil"/>
              <w:bottom w:val="nil"/>
              <w:right w:val="nil"/>
            </w:tcBorders>
            <w:shd w:val="clear" w:color="auto" w:fill="FFFFFF"/>
          </w:tcPr>
          <w:p w14:paraId="6618FE60" w14:textId="500FD338" w:rsidR="007756EA" w:rsidRPr="00D33273" w:rsidRDefault="007756EA" w:rsidP="007756EA">
            <w:pPr>
              <w:spacing w:after="0"/>
              <w:jc w:val="right"/>
              <w:rPr>
                <w:rFonts w:eastAsia="Arial"/>
                <w:szCs w:val="28"/>
                <w:lang w:eastAsia="en-GB"/>
              </w:rPr>
            </w:pPr>
            <w:r w:rsidRPr="00D33273">
              <w:rPr>
                <w:rFonts w:eastAsia="Arial"/>
                <w:szCs w:val="28"/>
                <w:lang w:eastAsia="en-GB"/>
              </w:rPr>
              <w:t xml:space="preserve"> </w:t>
            </w:r>
          </w:p>
        </w:tc>
        <w:tc>
          <w:tcPr>
            <w:tcW w:w="1276" w:type="dxa"/>
            <w:tcBorders>
              <w:left w:val="nil"/>
              <w:bottom w:val="nil"/>
              <w:right w:val="nil"/>
            </w:tcBorders>
            <w:shd w:val="clear" w:color="auto" w:fill="FFFFFF"/>
          </w:tcPr>
          <w:p w14:paraId="67E39478" w14:textId="77777777" w:rsidR="007756EA" w:rsidRPr="004F6EE6" w:rsidRDefault="007756EA" w:rsidP="007756EA">
            <w:pPr>
              <w:tabs>
                <w:tab w:val="decimal" w:pos="915"/>
              </w:tabs>
              <w:spacing w:after="0"/>
              <w:rPr>
                <w:rFonts w:eastAsia="Arial"/>
                <w:szCs w:val="28"/>
                <w:lang w:eastAsia="en-GB"/>
              </w:rPr>
            </w:pPr>
          </w:p>
        </w:tc>
        <w:tc>
          <w:tcPr>
            <w:tcW w:w="283" w:type="dxa"/>
            <w:tcBorders>
              <w:left w:val="nil"/>
              <w:bottom w:val="nil"/>
              <w:right w:val="nil"/>
            </w:tcBorders>
            <w:shd w:val="clear" w:color="auto" w:fill="FFFFFF"/>
            <w:tcMar>
              <w:left w:w="0" w:type="dxa"/>
              <w:right w:w="0" w:type="dxa"/>
            </w:tcMar>
          </w:tcPr>
          <w:p w14:paraId="20C3B981" w14:textId="77777777" w:rsidR="007756EA" w:rsidRPr="00D33273" w:rsidRDefault="007756EA" w:rsidP="007756EA">
            <w:pPr>
              <w:spacing w:after="0"/>
              <w:jc w:val="right"/>
              <w:rPr>
                <w:rFonts w:eastAsia="Arial"/>
                <w:szCs w:val="28"/>
                <w:lang w:eastAsia="en-GB"/>
              </w:rPr>
            </w:pPr>
            <w:r w:rsidRPr="00D33273">
              <w:rPr>
                <w:rFonts w:eastAsia="Arial"/>
                <w:szCs w:val="28"/>
                <w:lang w:eastAsia="en-GB"/>
              </w:rPr>
              <w:t xml:space="preserve"> </w:t>
            </w:r>
          </w:p>
        </w:tc>
        <w:tc>
          <w:tcPr>
            <w:tcW w:w="1417" w:type="dxa"/>
            <w:tcBorders>
              <w:left w:val="nil"/>
              <w:bottom w:val="nil"/>
              <w:right w:val="nil"/>
            </w:tcBorders>
            <w:shd w:val="clear" w:color="auto" w:fill="FFFFFF"/>
            <w:tcMar>
              <w:left w:w="0" w:type="dxa"/>
              <w:right w:w="0" w:type="dxa"/>
            </w:tcMar>
          </w:tcPr>
          <w:p w14:paraId="0FB051A6"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7756EA" w:rsidRPr="00D33273" w14:paraId="5A72DBC1" w14:textId="77777777" w:rsidTr="00433FEC">
        <w:trPr>
          <w:trHeight w:hRule="exact" w:val="255"/>
        </w:trPr>
        <w:tc>
          <w:tcPr>
            <w:tcW w:w="4004" w:type="dxa"/>
            <w:tcBorders>
              <w:top w:val="nil"/>
              <w:left w:val="nil"/>
              <w:bottom w:val="nil"/>
              <w:right w:val="nil"/>
            </w:tcBorders>
            <w:shd w:val="clear" w:color="auto" w:fill="FFFFFF"/>
            <w:tcMar>
              <w:left w:w="0" w:type="dxa"/>
              <w:right w:w="0" w:type="dxa"/>
            </w:tcMar>
          </w:tcPr>
          <w:p w14:paraId="77F1098D" w14:textId="5E020AAA" w:rsidR="007756EA" w:rsidRPr="00D33273" w:rsidRDefault="00A758FF" w:rsidP="007756EA">
            <w:pPr>
              <w:spacing w:after="0"/>
              <w:rPr>
                <w:rFonts w:eastAsia="Arial"/>
                <w:szCs w:val="28"/>
                <w:lang w:eastAsia="en-GB"/>
              </w:rPr>
            </w:pPr>
            <w:r w:rsidRPr="00D33273">
              <w:rPr>
                <w:rFonts w:eastAsia="Arial"/>
                <w:b/>
                <w:szCs w:val="28"/>
                <w:lang w:eastAsia="en-GB"/>
              </w:rPr>
              <w:t>Current liabilities</w:t>
            </w:r>
          </w:p>
        </w:tc>
        <w:tc>
          <w:tcPr>
            <w:tcW w:w="22" w:type="dxa"/>
            <w:tcBorders>
              <w:top w:val="nil"/>
              <w:left w:val="nil"/>
              <w:bottom w:val="nil"/>
              <w:right w:val="nil"/>
            </w:tcBorders>
            <w:shd w:val="clear" w:color="auto" w:fill="FFFFFF"/>
            <w:tcMar>
              <w:left w:w="0" w:type="dxa"/>
              <w:right w:w="0" w:type="dxa"/>
            </w:tcMar>
          </w:tcPr>
          <w:p w14:paraId="75084D3F" w14:textId="77777777" w:rsidR="007756EA" w:rsidRPr="00D33273" w:rsidRDefault="007756EA" w:rsidP="007756EA">
            <w:pPr>
              <w:spacing w:after="0"/>
              <w:jc w:val="right"/>
              <w:rPr>
                <w:rFonts w:eastAsia="Arial"/>
                <w:szCs w:val="28"/>
                <w:lang w:eastAsia="en-GB"/>
              </w:rPr>
            </w:pPr>
          </w:p>
        </w:tc>
        <w:tc>
          <w:tcPr>
            <w:tcW w:w="1558" w:type="dxa"/>
            <w:tcBorders>
              <w:top w:val="nil"/>
              <w:left w:val="nil"/>
              <w:bottom w:val="nil"/>
              <w:right w:val="nil"/>
            </w:tcBorders>
          </w:tcPr>
          <w:p w14:paraId="5A8860CC" w14:textId="77777777" w:rsidR="007756EA" w:rsidRPr="00D33273" w:rsidRDefault="007756EA" w:rsidP="007756EA">
            <w:pPr>
              <w:spacing w:after="0"/>
              <w:jc w:val="center"/>
              <w:rPr>
                <w:rFonts w:eastAsia="Arial"/>
                <w:szCs w:val="28"/>
                <w:lang w:eastAsia="en-GB"/>
              </w:rPr>
            </w:pPr>
          </w:p>
        </w:tc>
        <w:tc>
          <w:tcPr>
            <w:tcW w:w="1362" w:type="dxa"/>
            <w:tcBorders>
              <w:top w:val="nil"/>
              <w:left w:val="nil"/>
              <w:bottom w:val="nil"/>
              <w:right w:val="nil"/>
            </w:tcBorders>
            <w:shd w:val="clear" w:color="auto" w:fill="FFFFFF"/>
          </w:tcPr>
          <w:p w14:paraId="68721128" w14:textId="77777777" w:rsidR="007756EA" w:rsidRPr="00F2575A" w:rsidRDefault="007756EA" w:rsidP="007756EA">
            <w:pPr>
              <w:tabs>
                <w:tab w:val="decimal" w:pos="968"/>
              </w:tabs>
              <w:spacing w:after="0"/>
              <w:jc w:val="both"/>
              <w:rPr>
                <w:rFonts w:eastAsia="Arial"/>
                <w:szCs w:val="28"/>
                <w:lang w:eastAsia="en-GB"/>
              </w:rPr>
            </w:pPr>
          </w:p>
        </w:tc>
        <w:tc>
          <w:tcPr>
            <w:tcW w:w="256" w:type="dxa"/>
            <w:tcBorders>
              <w:top w:val="nil"/>
              <w:left w:val="nil"/>
              <w:bottom w:val="nil"/>
              <w:right w:val="nil"/>
            </w:tcBorders>
            <w:shd w:val="clear" w:color="auto" w:fill="FFFFFF"/>
          </w:tcPr>
          <w:p w14:paraId="07FDD6CD" w14:textId="12E7FA17" w:rsidR="007756EA" w:rsidRPr="00D33273" w:rsidRDefault="007756EA" w:rsidP="007756EA">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bottom w:val="nil"/>
              <w:right w:val="nil"/>
            </w:tcBorders>
            <w:shd w:val="clear" w:color="auto" w:fill="FFFFFF"/>
          </w:tcPr>
          <w:p w14:paraId="30262AEC" w14:textId="77777777" w:rsidR="007756EA" w:rsidRPr="004F6EE6" w:rsidRDefault="007756EA" w:rsidP="007756EA">
            <w:pPr>
              <w:tabs>
                <w:tab w:val="decimal" w:pos="915"/>
              </w:tabs>
              <w:spacing w:after="0"/>
              <w:rPr>
                <w:rFonts w:eastAsia="Arial"/>
                <w:szCs w:val="28"/>
                <w:lang w:eastAsia="en-GB"/>
              </w:rPr>
            </w:pPr>
          </w:p>
        </w:tc>
        <w:tc>
          <w:tcPr>
            <w:tcW w:w="283" w:type="dxa"/>
            <w:tcBorders>
              <w:top w:val="nil"/>
              <w:left w:val="nil"/>
              <w:bottom w:val="nil"/>
              <w:right w:val="nil"/>
            </w:tcBorders>
            <w:shd w:val="clear" w:color="auto" w:fill="FFFFFF"/>
            <w:tcMar>
              <w:left w:w="0" w:type="dxa"/>
              <w:right w:w="0" w:type="dxa"/>
            </w:tcMar>
          </w:tcPr>
          <w:p w14:paraId="43497F45" w14:textId="77777777" w:rsidR="007756EA" w:rsidRPr="00D33273" w:rsidRDefault="007756EA" w:rsidP="007756EA">
            <w:pPr>
              <w:spacing w:after="0"/>
              <w:jc w:val="right"/>
              <w:rPr>
                <w:rFonts w:eastAsia="Arial"/>
                <w:szCs w:val="28"/>
                <w:lang w:eastAsia="en-GB"/>
              </w:rPr>
            </w:pPr>
            <w:r w:rsidRPr="00D33273">
              <w:rPr>
                <w:rFonts w:eastAsia="Arial"/>
                <w:szCs w:val="28"/>
                <w:lang w:eastAsia="en-GB"/>
              </w:rPr>
              <w:t xml:space="preserve"> </w:t>
            </w:r>
          </w:p>
        </w:tc>
        <w:tc>
          <w:tcPr>
            <w:tcW w:w="1417" w:type="dxa"/>
            <w:tcBorders>
              <w:top w:val="nil"/>
              <w:left w:val="nil"/>
              <w:bottom w:val="nil"/>
              <w:right w:val="nil"/>
            </w:tcBorders>
            <w:shd w:val="clear" w:color="auto" w:fill="FFFFFF"/>
            <w:tcMar>
              <w:left w:w="0" w:type="dxa"/>
              <w:right w:w="0" w:type="dxa"/>
            </w:tcMar>
          </w:tcPr>
          <w:p w14:paraId="75A4443E" w14:textId="77777777" w:rsidR="007756EA" w:rsidRPr="007756EA" w:rsidRDefault="007756EA" w:rsidP="00577845">
            <w:pPr>
              <w:tabs>
                <w:tab w:val="decimal" w:pos="1161"/>
              </w:tabs>
              <w:spacing w:after="0"/>
              <w:ind w:left="-143" w:firstLine="143"/>
              <w:rPr>
                <w:rFonts w:eastAsia="Arial"/>
                <w:szCs w:val="28"/>
                <w:highlight w:val="yellow"/>
                <w:lang w:eastAsia="en-GB"/>
              </w:rPr>
            </w:pPr>
          </w:p>
        </w:tc>
      </w:tr>
      <w:tr w:rsidR="00613F96" w:rsidRPr="00D33273" w14:paraId="06ACBFA2" w14:textId="77777777" w:rsidTr="00613F96">
        <w:trPr>
          <w:trHeight w:val="74"/>
        </w:trPr>
        <w:tc>
          <w:tcPr>
            <w:tcW w:w="4004" w:type="dxa"/>
            <w:tcBorders>
              <w:top w:val="nil"/>
              <w:left w:val="nil"/>
              <w:bottom w:val="nil"/>
              <w:right w:val="nil"/>
            </w:tcBorders>
            <w:shd w:val="clear" w:color="auto" w:fill="FFFFFF"/>
            <w:tcMar>
              <w:left w:w="0" w:type="dxa"/>
              <w:right w:w="0" w:type="dxa"/>
            </w:tcMar>
          </w:tcPr>
          <w:p w14:paraId="47F022F3" w14:textId="77777777" w:rsidR="00613F96" w:rsidRDefault="00613F96" w:rsidP="004E2E06">
            <w:pPr>
              <w:spacing w:after="0"/>
              <w:rPr>
                <w:rFonts w:eastAsia="Arial"/>
                <w:szCs w:val="28"/>
                <w:lang w:eastAsia="en-GB"/>
              </w:rPr>
            </w:pPr>
            <w:r w:rsidRPr="00D33273">
              <w:rPr>
                <w:rFonts w:eastAsia="Arial"/>
                <w:szCs w:val="28"/>
                <w:lang w:eastAsia="en-GB"/>
              </w:rPr>
              <w:t>Financial liabilities at fair value through profit or loss</w:t>
            </w:r>
          </w:p>
          <w:p w14:paraId="206842F5" w14:textId="35DA5FFB" w:rsidR="00A758FF" w:rsidRPr="00D33273" w:rsidRDefault="00A758FF" w:rsidP="00931935">
            <w:pPr>
              <w:spacing w:after="0"/>
              <w:rPr>
                <w:rFonts w:eastAsia="Arial"/>
                <w:szCs w:val="28"/>
                <w:lang w:eastAsia="en-GB"/>
              </w:rPr>
            </w:pPr>
            <w:r>
              <w:rPr>
                <w:rFonts w:eastAsia="Arial"/>
                <w:szCs w:val="28"/>
                <w:lang w:eastAsia="en-GB"/>
              </w:rPr>
              <w:t>(FVTPL)</w:t>
            </w:r>
          </w:p>
        </w:tc>
        <w:tc>
          <w:tcPr>
            <w:tcW w:w="22" w:type="dxa"/>
            <w:tcBorders>
              <w:top w:val="nil"/>
              <w:left w:val="nil"/>
              <w:bottom w:val="nil"/>
              <w:right w:val="nil"/>
            </w:tcBorders>
            <w:shd w:val="clear" w:color="auto" w:fill="FFFFFF"/>
            <w:tcMar>
              <w:left w:w="0" w:type="dxa"/>
              <w:right w:w="0" w:type="dxa"/>
            </w:tcMar>
          </w:tcPr>
          <w:p w14:paraId="5ADD849F" w14:textId="77777777" w:rsidR="00613F96" w:rsidRPr="00D33273" w:rsidRDefault="00613F96" w:rsidP="00613F96">
            <w:pPr>
              <w:spacing w:after="0"/>
              <w:jc w:val="right"/>
              <w:rPr>
                <w:rFonts w:eastAsia="Arial"/>
                <w:szCs w:val="28"/>
                <w:lang w:eastAsia="en-GB"/>
              </w:rPr>
            </w:pPr>
          </w:p>
        </w:tc>
        <w:tc>
          <w:tcPr>
            <w:tcW w:w="1558" w:type="dxa"/>
            <w:tcBorders>
              <w:top w:val="nil"/>
              <w:left w:val="nil"/>
              <w:bottom w:val="nil"/>
              <w:right w:val="nil"/>
            </w:tcBorders>
          </w:tcPr>
          <w:p w14:paraId="7F35BCDF" w14:textId="7DAB8794" w:rsidR="00613F96" w:rsidRPr="00D33273" w:rsidRDefault="00613F96" w:rsidP="00613F96">
            <w:pPr>
              <w:spacing w:after="0"/>
              <w:jc w:val="center"/>
              <w:rPr>
                <w:rFonts w:eastAsia="Arial"/>
                <w:szCs w:val="28"/>
                <w:lang w:eastAsia="en-GB"/>
              </w:rPr>
            </w:pPr>
            <w:r>
              <w:rPr>
                <w:rFonts w:eastAsia="Arial"/>
                <w:szCs w:val="28"/>
                <w:lang w:eastAsia="en-GB"/>
              </w:rPr>
              <w:t>11</w:t>
            </w:r>
          </w:p>
        </w:tc>
        <w:tc>
          <w:tcPr>
            <w:tcW w:w="1362" w:type="dxa"/>
            <w:tcBorders>
              <w:top w:val="nil"/>
              <w:left w:val="nil"/>
              <w:bottom w:val="nil"/>
              <w:right w:val="nil"/>
            </w:tcBorders>
            <w:shd w:val="clear" w:color="auto" w:fill="FFFFFF"/>
          </w:tcPr>
          <w:p w14:paraId="252B3329" w14:textId="1F8D0130" w:rsidR="00613F96" w:rsidRPr="00EB79CA" w:rsidRDefault="00F10A1E" w:rsidP="00613F96">
            <w:pPr>
              <w:tabs>
                <w:tab w:val="decimal" w:pos="968"/>
              </w:tabs>
              <w:spacing w:after="0"/>
              <w:jc w:val="both"/>
              <w:rPr>
                <w:rFonts w:eastAsia="Arial"/>
                <w:szCs w:val="28"/>
                <w:lang w:eastAsia="en-GB"/>
              </w:rPr>
            </w:pPr>
            <w:r>
              <w:rPr>
                <w:rFonts w:eastAsia="Arial"/>
                <w:szCs w:val="28"/>
                <w:lang w:eastAsia="en-GB"/>
              </w:rPr>
              <w:t>250.9</w:t>
            </w:r>
          </w:p>
        </w:tc>
        <w:tc>
          <w:tcPr>
            <w:tcW w:w="256" w:type="dxa"/>
            <w:tcBorders>
              <w:top w:val="nil"/>
              <w:left w:val="nil"/>
              <w:bottom w:val="nil"/>
              <w:right w:val="nil"/>
            </w:tcBorders>
            <w:shd w:val="clear" w:color="auto" w:fill="FFFFFF"/>
          </w:tcPr>
          <w:p w14:paraId="52EF7D28" w14:textId="7B090C56" w:rsidR="00613F96" w:rsidRPr="00D33273" w:rsidRDefault="00613F96" w:rsidP="00613F96">
            <w:pPr>
              <w:spacing w:after="0"/>
              <w:jc w:val="center"/>
              <w:rPr>
                <w:rFonts w:eastAsia="Arial"/>
                <w:szCs w:val="28"/>
                <w:lang w:eastAsia="en-GB"/>
              </w:rPr>
            </w:pPr>
            <w:r w:rsidRPr="00D33273">
              <w:rPr>
                <w:rFonts w:eastAsia="Arial"/>
                <w:szCs w:val="28"/>
                <w:lang w:eastAsia="en-GB"/>
              </w:rPr>
              <w:t xml:space="preserve"> </w:t>
            </w:r>
          </w:p>
        </w:tc>
        <w:tc>
          <w:tcPr>
            <w:tcW w:w="1276" w:type="dxa"/>
            <w:tcBorders>
              <w:top w:val="nil"/>
              <w:left w:val="nil"/>
              <w:bottom w:val="nil"/>
              <w:right w:val="nil"/>
            </w:tcBorders>
            <w:shd w:val="clear" w:color="auto" w:fill="FFFFFF"/>
          </w:tcPr>
          <w:p w14:paraId="48A14185" w14:textId="4CE0AAD5"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48.</w:t>
            </w:r>
            <w:r>
              <w:rPr>
                <w:rFonts w:eastAsia="Arial"/>
                <w:szCs w:val="28"/>
                <w:lang w:eastAsia="en-GB"/>
              </w:rPr>
              <w:t>5</w:t>
            </w:r>
          </w:p>
        </w:tc>
        <w:tc>
          <w:tcPr>
            <w:tcW w:w="283" w:type="dxa"/>
            <w:tcBorders>
              <w:top w:val="nil"/>
              <w:left w:val="nil"/>
              <w:bottom w:val="nil"/>
              <w:right w:val="nil"/>
            </w:tcBorders>
            <w:shd w:val="clear" w:color="auto" w:fill="FFFFFF"/>
            <w:tcMar>
              <w:left w:w="0" w:type="dxa"/>
              <w:right w:w="0" w:type="dxa"/>
            </w:tcMar>
          </w:tcPr>
          <w:p w14:paraId="6D5B6AEC" w14:textId="77777777" w:rsidR="00613F96" w:rsidRPr="00D33273" w:rsidRDefault="00613F96" w:rsidP="00613F96">
            <w:pPr>
              <w:spacing w:after="0"/>
              <w:jc w:val="center"/>
              <w:rPr>
                <w:rFonts w:eastAsia="Arial"/>
                <w:szCs w:val="28"/>
                <w:lang w:eastAsia="en-GB"/>
              </w:rPr>
            </w:pPr>
            <w:r w:rsidRPr="00D33273">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6721D73E" w14:textId="6DAF4838" w:rsidR="00613F96" w:rsidRPr="007756EA" w:rsidRDefault="00613F96" w:rsidP="00577845">
            <w:pPr>
              <w:tabs>
                <w:tab w:val="decimal" w:pos="1161"/>
              </w:tabs>
              <w:spacing w:after="0"/>
              <w:ind w:left="-143" w:firstLine="143"/>
              <w:rPr>
                <w:rFonts w:eastAsia="Arial"/>
                <w:szCs w:val="28"/>
                <w:highlight w:val="yellow"/>
                <w:lang w:eastAsia="en-GB"/>
              </w:rPr>
            </w:pPr>
            <w:r w:rsidRPr="001368F7">
              <w:rPr>
                <w:rFonts w:eastAsia="Arial"/>
                <w:szCs w:val="28"/>
                <w:lang w:val="en-GB" w:eastAsia="en-GB"/>
              </w:rPr>
              <w:t>80.3</w:t>
            </w:r>
          </w:p>
        </w:tc>
      </w:tr>
      <w:tr w:rsidR="00613F96" w:rsidRPr="00D33273" w14:paraId="5E3EEDB3" w14:textId="77777777" w:rsidTr="00613F96">
        <w:trPr>
          <w:trHeight w:val="74"/>
        </w:trPr>
        <w:tc>
          <w:tcPr>
            <w:tcW w:w="4004" w:type="dxa"/>
            <w:tcBorders>
              <w:top w:val="nil"/>
              <w:left w:val="nil"/>
              <w:bottom w:val="nil"/>
              <w:right w:val="nil"/>
            </w:tcBorders>
            <w:shd w:val="clear" w:color="auto" w:fill="FFFFFF"/>
            <w:tcMar>
              <w:left w:w="0" w:type="dxa"/>
              <w:right w:w="0" w:type="dxa"/>
            </w:tcMar>
          </w:tcPr>
          <w:p w14:paraId="1DEC74DE" w14:textId="34588699" w:rsidR="00613F96" w:rsidRPr="00D33273" w:rsidRDefault="00613F96" w:rsidP="00613F96">
            <w:pPr>
              <w:spacing w:after="0"/>
              <w:rPr>
                <w:rFonts w:eastAsia="Arial"/>
                <w:szCs w:val="28"/>
                <w:lang w:eastAsia="en-GB"/>
              </w:rPr>
            </w:pPr>
            <w:r w:rsidRPr="00D33273">
              <w:rPr>
                <w:rFonts w:eastAsia="Arial"/>
                <w:szCs w:val="28"/>
                <w:lang w:eastAsia="en-GB"/>
              </w:rPr>
              <w:t>Trade and other payables</w:t>
            </w:r>
            <w:r w:rsidR="00D9641E" w:rsidRPr="00D9641E">
              <w:rPr>
                <w:rFonts w:eastAsia="Arial"/>
                <w:szCs w:val="28"/>
                <w:vertAlign w:val="superscript"/>
                <w:lang w:eastAsia="en-GB"/>
              </w:rPr>
              <w:t>1</w:t>
            </w:r>
          </w:p>
        </w:tc>
        <w:tc>
          <w:tcPr>
            <w:tcW w:w="22" w:type="dxa"/>
            <w:tcBorders>
              <w:top w:val="nil"/>
              <w:left w:val="nil"/>
              <w:bottom w:val="nil"/>
              <w:right w:val="nil"/>
            </w:tcBorders>
            <w:shd w:val="clear" w:color="auto" w:fill="FFFFFF"/>
            <w:tcMar>
              <w:left w:w="0" w:type="dxa"/>
              <w:right w:w="0" w:type="dxa"/>
            </w:tcMar>
          </w:tcPr>
          <w:p w14:paraId="134C2DA9" w14:textId="77777777" w:rsidR="00613F96" w:rsidRPr="00D33273"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6C806B08" w14:textId="77777777" w:rsidR="00613F96" w:rsidRPr="00D33273" w:rsidRDefault="00613F96" w:rsidP="00613F96">
            <w:pPr>
              <w:spacing w:after="0"/>
              <w:jc w:val="center"/>
              <w:rPr>
                <w:rFonts w:eastAsia="Arial"/>
                <w:szCs w:val="28"/>
                <w:lang w:eastAsia="en-GB"/>
              </w:rPr>
            </w:pPr>
          </w:p>
        </w:tc>
        <w:tc>
          <w:tcPr>
            <w:tcW w:w="1362" w:type="dxa"/>
            <w:tcBorders>
              <w:top w:val="nil"/>
              <w:left w:val="nil"/>
              <w:right w:val="nil"/>
            </w:tcBorders>
            <w:shd w:val="clear" w:color="auto" w:fill="FFFFFF"/>
          </w:tcPr>
          <w:p w14:paraId="5D95912F" w14:textId="71409D1C" w:rsidR="00613F96" w:rsidRPr="00EB79CA" w:rsidRDefault="00105375" w:rsidP="00613F96">
            <w:pPr>
              <w:tabs>
                <w:tab w:val="decimal" w:pos="968"/>
              </w:tabs>
              <w:spacing w:after="0"/>
              <w:jc w:val="both"/>
              <w:rPr>
                <w:rFonts w:eastAsia="Arial"/>
                <w:szCs w:val="28"/>
                <w:lang w:eastAsia="en-GB"/>
              </w:rPr>
            </w:pPr>
            <w:r>
              <w:rPr>
                <w:rFonts w:eastAsia="Arial"/>
                <w:szCs w:val="28"/>
                <w:lang w:eastAsia="en-GB"/>
              </w:rPr>
              <w:t>24</w:t>
            </w:r>
            <w:r w:rsidR="009471C9">
              <w:rPr>
                <w:rFonts w:eastAsia="Arial"/>
                <w:szCs w:val="28"/>
                <w:lang w:eastAsia="en-GB"/>
              </w:rPr>
              <w:t>3.9</w:t>
            </w:r>
          </w:p>
        </w:tc>
        <w:tc>
          <w:tcPr>
            <w:tcW w:w="256" w:type="dxa"/>
            <w:tcBorders>
              <w:top w:val="nil"/>
              <w:left w:val="nil"/>
              <w:bottom w:val="nil"/>
              <w:right w:val="nil"/>
            </w:tcBorders>
            <w:shd w:val="clear" w:color="auto" w:fill="FFFFFF"/>
          </w:tcPr>
          <w:p w14:paraId="23CFE10A" w14:textId="05565F60"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right w:val="nil"/>
            </w:tcBorders>
            <w:shd w:val="clear" w:color="auto" w:fill="FFFFFF"/>
          </w:tcPr>
          <w:p w14:paraId="78F910A0" w14:textId="67735F62" w:rsidR="00613F96" w:rsidRPr="004F6EE6" w:rsidRDefault="00613F96" w:rsidP="00613F96">
            <w:pPr>
              <w:tabs>
                <w:tab w:val="decimal" w:pos="915"/>
              </w:tabs>
              <w:spacing w:after="0"/>
              <w:rPr>
                <w:rFonts w:eastAsia="Arial"/>
                <w:szCs w:val="28"/>
                <w:lang w:eastAsia="en-GB"/>
              </w:rPr>
            </w:pPr>
            <w:r w:rsidRPr="00F2575A">
              <w:rPr>
                <w:rFonts w:eastAsia="Arial"/>
                <w:szCs w:val="28"/>
                <w:lang w:eastAsia="en-GB"/>
              </w:rPr>
              <w:t>2</w:t>
            </w:r>
            <w:r w:rsidR="009B401E">
              <w:rPr>
                <w:rFonts w:eastAsia="Arial"/>
                <w:szCs w:val="28"/>
                <w:lang w:eastAsia="en-GB"/>
              </w:rPr>
              <w:t>80.2</w:t>
            </w:r>
          </w:p>
        </w:tc>
        <w:tc>
          <w:tcPr>
            <w:tcW w:w="283" w:type="dxa"/>
            <w:tcBorders>
              <w:top w:val="nil"/>
              <w:left w:val="nil"/>
              <w:bottom w:val="nil"/>
              <w:right w:val="nil"/>
            </w:tcBorders>
            <w:shd w:val="clear" w:color="auto" w:fill="FFFFFF"/>
            <w:tcMar>
              <w:left w:w="0" w:type="dxa"/>
              <w:right w:w="0" w:type="dxa"/>
            </w:tcMar>
          </w:tcPr>
          <w:p w14:paraId="05FFBBB8" w14:textId="77777777"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417" w:type="dxa"/>
            <w:tcBorders>
              <w:top w:val="nil"/>
              <w:left w:val="nil"/>
              <w:right w:val="nil"/>
            </w:tcBorders>
            <w:shd w:val="clear" w:color="auto" w:fill="FFFFFF"/>
            <w:tcMar>
              <w:left w:w="0" w:type="dxa"/>
              <w:right w:w="0" w:type="dxa"/>
            </w:tcMar>
          </w:tcPr>
          <w:p w14:paraId="3ED14368" w14:textId="5ADA8762" w:rsidR="00613F96" w:rsidRPr="007756EA" w:rsidRDefault="00613F96" w:rsidP="00577845">
            <w:pPr>
              <w:tabs>
                <w:tab w:val="decimal" w:pos="1161"/>
              </w:tabs>
              <w:spacing w:after="0"/>
              <w:ind w:left="-143" w:firstLine="143"/>
              <w:rPr>
                <w:rFonts w:eastAsia="Arial"/>
                <w:szCs w:val="28"/>
                <w:highlight w:val="yellow"/>
                <w:lang w:eastAsia="en-GB"/>
              </w:rPr>
            </w:pPr>
            <w:r>
              <w:rPr>
                <w:rFonts w:eastAsia="Arial"/>
                <w:szCs w:val="28"/>
                <w:lang w:val="en-GB" w:eastAsia="en-GB"/>
              </w:rPr>
              <w:t>221.4</w:t>
            </w:r>
          </w:p>
        </w:tc>
      </w:tr>
      <w:tr w:rsidR="00613F96" w:rsidRPr="00D33273" w14:paraId="28E54534" w14:textId="77777777" w:rsidTr="00CE181C">
        <w:trPr>
          <w:trHeight w:val="74"/>
        </w:trPr>
        <w:tc>
          <w:tcPr>
            <w:tcW w:w="4004" w:type="dxa"/>
            <w:tcBorders>
              <w:top w:val="nil"/>
              <w:left w:val="nil"/>
              <w:bottom w:val="nil"/>
              <w:right w:val="nil"/>
            </w:tcBorders>
            <w:shd w:val="clear" w:color="auto" w:fill="FFFFFF"/>
            <w:tcMar>
              <w:left w:w="0" w:type="dxa"/>
              <w:right w:w="0" w:type="dxa"/>
            </w:tcMar>
          </w:tcPr>
          <w:p w14:paraId="616F2013" w14:textId="43305846" w:rsidR="00613F96" w:rsidRPr="00D33273" w:rsidRDefault="00613F96" w:rsidP="00613F96">
            <w:pPr>
              <w:spacing w:after="0"/>
              <w:rPr>
                <w:rFonts w:eastAsia="Arial"/>
                <w:szCs w:val="28"/>
                <w:lang w:eastAsia="en-GB"/>
              </w:rPr>
            </w:pPr>
            <w:r>
              <w:rPr>
                <w:rFonts w:eastAsia="Arial"/>
                <w:szCs w:val="28"/>
                <w:lang w:eastAsia="en-GB"/>
              </w:rPr>
              <w:t>Provisions</w:t>
            </w:r>
            <w:r w:rsidR="00D9641E" w:rsidRPr="00D9641E">
              <w:rPr>
                <w:rFonts w:eastAsia="Arial"/>
                <w:szCs w:val="28"/>
                <w:vertAlign w:val="superscript"/>
                <w:lang w:eastAsia="en-GB"/>
              </w:rPr>
              <w:t>1</w:t>
            </w:r>
          </w:p>
        </w:tc>
        <w:tc>
          <w:tcPr>
            <w:tcW w:w="22" w:type="dxa"/>
            <w:tcBorders>
              <w:top w:val="nil"/>
              <w:left w:val="nil"/>
              <w:bottom w:val="nil"/>
              <w:right w:val="nil"/>
            </w:tcBorders>
            <w:shd w:val="clear" w:color="auto" w:fill="FFFFFF"/>
            <w:tcMar>
              <w:left w:w="0" w:type="dxa"/>
              <w:right w:w="0" w:type="dxa"/>
            </w:tcMar>
          </w:tcPr>
          <w:p w14:paraId="7F2E5091" w14:textId="77777777" w:rsidR="00613F96" w:rsidRPr="00D33273" w:rsidRDefault="00613F96" w:rsidP="00613F96">
            <w:pPr>
              <w:spacing w:after="0"/>
              <w:jc w:val="center"/>
              <w:rPr>
                <w:rFonts w:eastAsia="Arial"/>
                <w:szCs w:val="28"/>
                <w:lang w:eastAsia="en-GB"/>
              </w:rPr>
            </w:pPr>
          </w:p>
        </w:tc>
        <w:tc>
          <w:tcPr>
            <w:tcW w:w="1558" w:type="dxa"/>
            <w:tcBorders>
              <w:top w:val="nil"/>
              <w:left w:val="nil"/>
              <w:bottom w:val="nil"/>
              <w:right w:val="nil"/>
            </w:tcBorders>
          </w:tcPr>
          <w:p w14:paraId="2ED5B872" w14:textId="77777777" w:rsidR="00613F96" w:rsidRPr="00D33273" w:rsidRDefault="00613F96" w:rsidP="00613F96">
            <w:pPr>
              <w:spacing w:after="0"/>
              <w:jc w:val="center"/>
              <w:rPr>
                <w:rFonts w:eastAsia="Arial"/>
                <w:szCs w:val="28"/>
                <w:lang w:eastAsia="en-GB"/>
              </w:rPr>
            </w:pPr>
          </w:p>
        </w:tc>
        <w:tc>
          <w:tcPr>
            <w:tcW w:w="1362" w:type="dxa"/>
            <w:tcBorders>
              <w:top w:val="nil"/>
              <w:left w:val="nil"/>
              <w:right w:val="nil"/>
            </w:tcBorders>
            <w:shd w:val="clear" w:color="auto" w:fill="FFFFFF"/>
          </w:tcPr>
          <w:p w14:paraId="5811CB4C" w14:textId="56D82A97" w:rsidR="00613F96" w:rsidRPr="00EB79CA" w:rsidRDefault="009471C9" w:rsidP="00613F96">
            <w:pPr>
              <w:tabs>
                <w:tab w:val="decimal" w:pos="968"/>
              </w:tabs>
              <w:spacing w:after="0"/>
              <w:jc w:val="both"/>
              <w:rPr>
                <w:rFonts w:eastAsia="Arial"/>
                <w:szCs w:val="28"/>
                <w:lang w:eastAsia="en-GB"/>
              </w:rPr>
            </w:pPr>
            <w:r>
              <w:rPr>
                <w:rFonts w:eastAsia="Arial"/>
                <w:szCs w:val="28"/>
                <w:lang w:eastAsia="en-GB"/>
              </w:rPr>
              <w:t>3.4</w:t>
            </w:r>
          </w:p>
        </w:tc>
        <w:tc>
          <w:tcPr>
            <w:tcW w:w="256" w:type="dxa"/>
            <w:tcBorders>
              <w:top w:val="nil"/>
              <w:left w:val="nil"/>
              <w:bottom w:val="nil"/>
              <w:right w:val="nil"/>
            </w:tcBorders>
            <w:shd w:val="clear" w:color="auto" w:fill="FFFFFF"/>
          </w:tcPr>
          <w:p w14:paraId="3DB1134D" w14:textId="77777777" w:rsidR="00613F96" w:rsidRPr="00D33273" w:rsidRDefault="00613F96" w:rsidP="00613F96">
            <w:pPr>
              <w:spacing w:after="0"/>
              <w:jc w:val="right"/>
              <w:rPr>
                <w:rFonts w:eastAsia="Arial"/>
                <w:szCs w:val="28"/>
                <w:lang w:eastAsia="en-GB"/>
              </w:rPr>
            </w:pPr>
          </w:p>
        </w:tc>
        <w:tc>
          <w:tcPr>
            <w:tcW w:w="1276" w:type="dxa"/>
            <w:tcBorders>
              <w:top w:val="nil"/>
              <w:left w:val="nil"/>
              <w:right w:val="nil"/>
            </w:tcBorders>
            <w:shd w:val="clear" w:color="auto" w:fill="FFFFFF"/>
          </w:tcPr>
          <w:p w14:paraId="4D3E5201" w14:textId="547A61D0" w:rsidR="00613F96" w:rsidRPr="00F2575A" w:rsidRDefault="009B401E" w:rsidP="00613F96">
            <w:pPr>
              <w:tabs>
                <w:tab w:val="decimal" w:pos="915"/>
              </w:tabs>
              <w:spacing w:after="0"/>
              <w:rPr>
                <w:rFonts w:eastAsia="Arial"/>
                <w:szCs w:val="28"/>
                <w:lang w:eastAsia="en-GB"/>
              </w:rPr>
            </w:pPr>
            <w:r>
              <w:rPr>
                <w:rFonts w:eastAsia="Arial"/>
                <w:szCs w:val="28"/>
                <w:lang w:eastAsia="en-GB"/>
              </w:rPr>
              <w:t>1.7</w:t>
            </w:r>
          </w:p>
        </w:tc>
        <w:tc>
          <w:tcPr>
            <w:tcW w:w="283" w:type="dxa"/>
            <w:tcBorders>
              <w:top w:val="nil"/>
              <w:left w:val="nil"/>
              <w:bottom w:val="nil"/>
              <w:right w:val="nil"/>
            </w:tcBorders>
            <w:shd w:val="clear" w:color="auto" w:fill="FFFFFF"/>
            <w:tcMar>
              <w:left w:w="0" w:type="dxa"/>
              <w:right w:w="0" w:type="dxa"/>
            </w:tcMar>
          </w:tcPr>
          <w:p w14:paraId="6ADCD2D1" w14:textId="77777777" w:rsidR="00613F96" w:rsidRPr="00D33273" w:rsidRDefault="00613F96" w:rsidP="00613F96">
            <w:pPr>
              <w:spacing w:after="0"/>
              <w:jc w:val="right"/>
              <w:rPr>
                <w:rFonts w:eastAsia="Arial"/>
                <w:szCs w:val="28"/>
                <w:lang w:eastAsia="en-GB"/>
              </w:rPr>
            </w:pPr>
          </w:p>
        </w:tc>
        <w:tc>
          <w:tcPr>
            <w:tcW w:w="1417" w:type="dxa"/>
            <w:tcBorders>
              <w:left w:val="nil"/>
              <w:right w:val="nil"/>
            </w:tcBorders>
            <w:shd w:val="clear" w:color="auto" w:fill="FFFFFF"/>
            <w:tcMar>
              <w:left w:w="0" w:type="dxa"/>
              <w:right w:w="0" w:type="dxa"/>
            </w:tcMar>
          </w:tcPr>
          <w:p w14:paraId="34908FB1" w14:textId="0C88B0C4" w:rsidR="00613F96" w:rsidRPr="007756EA" w:rsidRDefault="00613F96" w:rsidP="00577845">
            <w:pPr>
              <w:tabs>
                <w:tab w:val="decimal" w:pos="1161"/>
              </w:tabs>
              <w:spacing w:after="0"/>
              <w:ind w:left="-143" w:firstLine="143"/>
              <w:rPr>
                <w:rFonts w:eastAsia="Arial"/>
                <w:szCs w:val="28"/>
                <w:highlight w:val="yellow"/>
                <w:lang w:eastAsia="en-GB"/>
              </w:rPr>
            </w:pPr>
            <w:r>
              <w:rPr>
                <w:rFonts w:eastAsia="Arial"/>
                <w:szCs w:val="28"/>
                <w:lang w:val="en-GB" w:eastAsia="en-GB"/>
              </w:rPr>
              <w:t>4.7</w:t>
            </w:r>
          </w:p>
        </w:tc>
      </w:tr>
      <w:tr w:rsidR="00D9470F" w:rsidRPr="00D33273" w14:paraId="1049D681" w14:textId="77777777" w:rsidTr="00CE181C">
        <w:trPr>
          <w:trHeight w:val="74"/>
        </w:trPr>
        <w:tc>
          <w:tcPr>
            <w:tcW w:w="4004" w:type="dxa"/>
            <w:tcBorders>
              <w:top w:val="nil"/>
              <w:left w:val="nil"/>
              <w:bottom w:val="nil"/>
              <w:right w:val="nil"/>
            </w:tcBorders>
            <w:shd w:val="clear" w:color="auto" w:fill="FFFFFF"/>
            <w:tcMar>
              <w:left w:w="0" w:type="dxa"/>
              <w:right w:w="0" w:type="dxa"/>
            </w:tcMar>
          </w:tcPr>
          <w:p w14:paraId="0D17A83F" w14:textId="34672ED0" w:rsidR="00D9470F" w:rsidRDefault="00D9470F" w:rsidP="00613F96">
            <w:pPr>
              <w:spacing w:after="0"/>
              <w:rPr>
                <w:rFonts w:eastAsia="Arial"/>
                <w:szCs w:val="28"/>
                <w:lang w:eastAsia="en-GB"/>
              </w:rPr>
            </w:pPr>
            <w:r>
              <w:rPr>
                <w:rFonts w:eastAsia="Arial"/>
                <w:szCs w:val="28"/>
                <w:lang w:eastAsia="en-GB"/>
              </w:rPr>
              <w:t>Current tax liability</w:t>
            </w:r>
          </w:p>
        </w:tc>
        <w:tc>
          <w:tcPr>
            <w:tcW w:w="22" w:type="dxa"/>
            <w:tcBorders>
              <w:top w:val="nil"/>
              <w:left w:val="nil"/>
              <w:bottom w:val="nil"/>
              <w:right w:val="nil"/>
            </w:tcBorders>
            <w:shd w:val="clear" w:color="auto" w:fill="FFFFFF"/>
            <w:tcMar>
              <w:left w:w="0" w:type="dxa"/>
              <w:right w:w="0" w:type="dxa"/>
            </w:tcMar>
          </w:tcPr>
          <w:p w14:paraId="5F9E379A" w14:textId="77777777" w:rsidR="00D9470F" w:rsidRPr="00D33273" w:rsidRDefault="00D9470F" w:rsidP="00613F96">
            <w:pPr>
              <w:spacing w:after="0"/>
              <w:jc w:val="center"/>
              <w:rPr>
                <w:rFonts w:eastAsia="Arial"/>
                <w:szCs w:val="28"/>
                <w:lang w:eastAsia="en-GB"/>
              </w:rPr>
            </w:pPr>
          </w:p>
        </w:tc>
        <w:tc>
          <w:tcPr>
            <w:tcW w:w="1558" w:type="dxa"/>
            <w:tcBorders>
              <w:top w:val="nil"/>
              <w:left w:val="nil"/>
              <w:bottom w:val="nil"/>
              <w:right w:val="nil"/>
            </w:tcBorders>
          </w:tcPr>
          <w:p w14:paraId="53C7EA0F" w14:textId="77777777" w:rsidR="00D9470F" w:rsidRPr="00D33273" w:rsidRDefault="00D9470F" w:rsidP="00613F96">
            <w:pPr>
              <w:spacing w:after="0"/>
              <w:jc w:val="center"/>
              <w:rPr>
                <w:rFonts w:eastAsia="Arial"/>
                <w:szCs w:val="28"/>
                <w:lang w:eastAsia="en-GB"/>
              </w:rPr>
            </w:pPr>
          </w:p>
        </w:tc>
        <w:tc>
          <w:tcPr>
            <w:tcW w:w="1362" w:type="dxa"/>
            <w:tcBorders>
              <w:top w:val="nil"/>
              <w:left w:val="nil"/>
              <w:right w:val="nil"/>
            </w:tcBorders>
            <w:shd w:val="clear" w:color="auto" w:fill="FFFFFF"/>
          </w:tcPr>
          <w:p w14:paraId="376B167E" w14:textId="1F9CB7BD" w:rsidR="00D9470F" w:rsidRDefault="00D9470F" w:rsidP="00613F96">
            <w:pPr>
              <w:tabs>
                <w:tab w:val="decimal" w:pos="968"/>
              </w:tabs>
              <w:spacing w:after="0"/>
              <w:jc w:val="both"/>
              <w:rPr>
                <w:rFonts w:eastAsia="Arial"/>
                <w:szCs w:val="28"/>
                <w:lang w:eastAsia="en-GB"/>
              </w:rPr>
            </w:pPr>
            <w:r>
              <w:rPr>
                <w:rFonts w:eastAsia="Arial"/>
                <w:szCs w:val="28"/>
                <w:lang w:eastAsia="en-GB"/>
              </w:rPr>
              <w:t>0.</w:t>
            </w:r>
            <w:r w:rsidR="00555833">
              <w:rPr>
                <w:rFonts w:eastAsia="Arial"/>
                <w:szCs w:val="28"/>
                <w:lang w:eastAsia="en-GB"/>
              </w:rPr>
              <w:t>8</w:t>
            </w:r>
          </w:p>
        </w:tc>
        <w:tc>
          <w:tcPr>
            <w:tcW w:w="256" w:type="dxa"/>
            <w:tcBorders>
              <w:top w:val="nil"/>
              <w:left w:val="nil"/>
              <w:bottom w:val="nil"/>
              <w:right w:val="nil"/>
            </w:tcBorders>
            <w:shd w:val="clear" w:color="auto" w:fill="FFFFFF"/>
          </w:tcPr>
          <w:p w14:paraId="224ABFD5" w14:textId="77777777" w:rsidR="00D9470F" w:rsidRPr="00D33273" w:rsidRDefault="00D9470F" w:rsidP="00613F96">
            <w:pPr>
              <w:spacing w:after="0"/>
              <w:jc w:val="right"/>
              <w:rPr>
                <w:rFonts w:eastAsia="Arial"/>
                <w:szCs w:val="28"/>
                <w:lang w:eastAsia="en-GB"/>
              </w:rPr>
            </w:pPr>
          </w:p>
        </w:tc>
        <w:tc>
          <w:tcPr>
            <w:tcW w:w="1276" w:type="dxa"/>
            <w:tcBorders>
              <w:top w:val="nil"/>
              <w:left w:val="nil"/>
              <w:right w:val="nil"/>
            </w:tcBorders>
            <w:shd w:val="clear" w:color="auto" w:fill="FFFFFF"/>
          </w:tcPr>
          <w:p w14:paraId="28AE22FA" w14:textId="13AE6957" w:rsidR="00D9470F" w:rsidRDefault="00D9470F" w:rsidP="00613F96">
            <w:pPr>
              <w:tabs>
                <w:tab w:val="decimal" w:pos="915"/>
              </w:tabs>
              <w:spacing w:after="0"/>
              <w:rPr>
                <w:rFonts w:eastAsia="Arial"/>
                <w:szCs w:val="28"/>
                <w:lang w:eastAsia="en-GB"/>
              </w:rPr>
            </w:pPr>
            <w:r>
              <w:rPr>
                <w:rFonts w:eastAsia="Arial"/>
                <w:szCs w:val="28"/>
                <w:lang w:eastAsia="en-GB"/>
              </w:rPr>
              <w:t>-</w:t>
            </w:r>
          </w:p>
        </w:tc>
        <w:tc>
          <w:tcPr>
            <w:tcW w:w="283" w:type="dxa"/>
            <w:tcBorders>
              <w:top w:val="nil"/>
              <w:left w:val="nil"/>
              <w:bottom w:val="nil"/>
              <w:right w:val="nil"/>
            </w:tcBorders>
            <w:shd w:val="clear" w:color="auto" w:fill="FFFFFF"/>
            <w:tcMar>
              <w:left w:w="0" w:type="dxa"/>
              <w:right w:w="0" w:type="dxa"/>
            </w:tcMar>
          </w:tcPr>
          <w:p w14:paraId="3B808712" w14:textId="77777777" w:rsidR="00D9470F" w:rsidRPr="00D33273" w:rsidRDefault="00D9470F" w:rsidP="00613F96">
            <w:pPr>
              <w:spacing w:after="0"/>
              <w:jc w:val="right"/>
              <w:rPr>
                <w:rFonts w:eastAsia="Arial"/>
                <w:szCs w:val="28"/>
                <w:lang w:eastAsia="en-GB"/>
              </w:rPr>
            </w:pPr>
          </w:p>
        </w:tc>
        <w:tc>
          <w:tcPr>
            <w:tcW w:w="1417" w:type="dxa"/>
            <w:tcBorders>
              <w:left w:val="nil"/>
              <w:bottom w:val="single" w:sz="4" w:space="0" w:color="auto"/>
              <w:right w:val="nil"/>
            </w:tcBorders>
            <w:shd w:val="clear" w:color="auto" w:fill="FFFFFF"/>
            <w:tcMar>
              <w:left w:w="0" w:type="dxa"/>
              <w:right w:w="0" w:type="dxa"/>
            </w:tcMar>
          </w:tcPr>
          <w:p w14:paraId="4CCA847F" w14:textId="3EE0912C" w:rsidR="00D9470F" w:rsidRDefault="00D9470F" w:rsidP="00577845">
            <w:pPr>
              <w:tabs>
                <w:tab w:val="decimal" w:pos="1161"/>
              </w:tabs>
              <w:spacing w:after="0"/>
              <w:ind w:left="-143" w:firstLine="143"/>
              <w:rPr>
                <w:rFonts w:eastAsia="Arial"/>
                <w:szCs w:val="28"/>
                <w:lang w:val="en-GB" w:eastAsia="en-GB"/>
              </w:rPr>
            </w:pPr>
            <w:r>
              <w:rPr>
                <w:rFonts w:eastAsia="Arial"/>
                <w:szCs w:val="28"/>
                <w:lang w:val="en-GB" w:eastAsia="en-GB"/>
              </w:rPr>
              <w:t>-</w:t>
            </w:r>
          </w:p>
        </w:tc>
      </w:tr>
      <w:tr w:rsidR="00613F96" w:rsidRPr="00D33273" w14:paraId="4CF37966" w14:textId="77777777" w:rsidTr="00CC2E72">
        <w:tc>
          <w:tcPr>
            <w:tcW w:w="4004" w:type="dxa"/>
            <w:tcBorders>
              <w:top w:val="nil"/>
              <w:left w:val="nil"/>
              <w:bottom w:val="nil"/>
              <w:right w:val="nil"/>
            </w:tcBorders>
            <w:shd w:val="clear" w:color="auto" w:fill="FFFFFF"/>
            <w:tcMar>
              <w:left w:w="0" w:type="dxa"/>
              <w:right w:w="0" w:type="dxa"/>
            </w:tcMar>
          </w:tcPr>
          <w:p w14:paraId="06E15C23" w14:textId="77777777" w:rsidR="00613F96" w:rsidRPr="00D33273" w:rsidRDefault="00613F96" w:rsidP="00613F96">
            <w:pPr>
              <w:spacing w:after="0"/>
              <w:rPr>
                <w:rFonts w:eastAsia="Arial"/>
                <w:szCs w:val="28"/>
                <w:lang w:eastAsia="en-GB"/>
              </w:rPr>
            </w:pPr>
          </w:p>
        </w:tc>
        <w:tc>
          <w:tcPr>
            <w:tcW w:w="22" w:type="dxa"/>
            <w:tcBorders>
              <w:top w:val="nil"/>
              <w:left w:val="nil"/>
              <w:bottom w:val="nil"/>
              <w:right w:val="nil"/>
            </w:tcBorders>
            <w:shd w:val="clear" w:color="auto" w:fill="FFFFFF"/>
            <w:tcMar>
              <w:left w:w="0" w:type="dxa"/>
              <w:right w:w="0" w:type="dxa"/>
            </w:tcMar>
          </w:tcPr>
          <w:p w14:paraId="0E986F0E" w14:textId="77777777" w:rsidR="00613F96" w:rsidRPr="00D33273" w:rsidRDefault="00613F96" w:rsidP="00613F96">
            <w:pPr>
              <w:spacing w:after="0"/>
              <w:jc w:val="center"/>
              <w:rPr>
                <w:rFonts w:eastAsia="Arial"/>
                <w:szCs w:val="28"/>
                <w:lang w:eastAsia="en-GB"/>
              </w:rPr>
            </w:pPr>
          </w:p>
        </w:tc>
        <w:tc>
          <w:tcPr>
            <w:tcW w:w="1558" w:type="dxa"/>
            <w:tcBorders>
              <w:left w:val="nil"/>
              <w:right w:val="nil"/>
            </w:tcBorders>
          </w:tcPr>
          <w:p w14:paraId="08E91261" w14:textId="77777777" w:rsidR="00613F96" w:rsidRPr="00D33273" w:rsidRDefault="00613F96" w:rsidP="00613F96">
            <w:pPr>
              <w:spacing w:after="0"/>
              <w:jc w:val="center"/>
              <w:rPr>
                <w:rFonts w:eastAsia="Arial"/>
                <w:szCs w:val="28"/>
                <w:lang w:eastAsia="en-GB"/>
              </w:rPr>
            </w:pPr>
          </w:p>
        </w:tc>
        <w:tc>
          <w:tcPr>
            <w:tcW w:w="1362" w:type="dxa"/>
            <w:tcBorders>
              <w:top w:val="single" w:sz="4" w:space="0" w:color="auto"/>
              <w:left w:val="nil"/>
              <w:right w:val="nil"/>
            </w:tcBorders>
            <w:shd w:val="clear" w:color="auto" w:fill="FFFFFF"/>
          </w:tcPr>
          <w:p w14:paraId="2DEE0408" w14:textId="03D3B1F1" w:rsidR="00613F96" w:rsidRPr="00F2718C" w:rsidRDefault="00555833" w:rsidP="00613F96">
            <w:pPr>
              <w:tabs>
                <w:tab w:val="decimal" w:pos="968"/>
              </w:tabs>
              <w:spacing w:after="0"/>
              <w:jc w:val="both"/>
              <w:rPr>
                <w:rFonts w:eastAsia="Arial"/>
                <w:b/>
                <w:szCs w:val="28"/>
                <w:lang w:eastAsia="en-GB"/>
              </w:rPr>
            </w:pPr>
            <w:r>
              <w:rPr>
                <w:rFonts w:eastAsia="Arial"/>
                <w:b/>
                <w:szCs w:val="28"/>
                <w:lang w:eastAsia="en-GB"/>
              </w:rPr>
              <w:t>499</w:t>
            </w:r>
            <w:r w:rsidR="00105375">
              <w:rPr>
                <w:rFonts w:eastAsia="Arial"/>
                <w:b/>
                <w:szCs w:val="28"/>
                <w:lang w:eastAsia="en-GB"/>
              </w:rPr>
              <w:t>.</w:t>
            </w:r>
            <w:r>
              <w:rPr>
                <w:rFonts w:eastAsia="Arial"/>
                <w:b/>
                <w:szCs w:val="28"/>
                <w:lang w:eastAsia="en-GB"/>
              </w:rPr>
              <w:t>0</w:t>
            </w:r>
          </w:p>
        </w:tc>
        <w:tc>
          <w:tcPr>
            <w:tcW w:w="256" w:type="dxa"/>
            <w:tcBorders>
              <w:left w:val="nil"/>
              <w:right w:val="nil"/>
            </w:tcBorders>
            <w:shd w:val="clear" w:color="auto" w:fill="FFFFFF"/>
          </w:tcPr>
          <w:p w14:paraId="229C35CE" w14:textId="3F976442"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single" w:sz="4" w:space="0" w:color="auto"/>
              <w:left w:val="nil"/>
              <w:right w:val="nil"/>
            </w:tcBorders>
            <w:shd w:val="clear" w:color="auto" w:fill="FFFFFF"/>
          </w:tcPr>
          <w:p w14:paraId="5DC8D243" w14:textId="4CE9EE3D" w:rsidR="00613F96" w:rsidRPr="004F6EE6" w:rsidRDefault="00613F96" w:rsidP="00613F96">
            <w:pPr>
              <w:tabs>
                <w:tab w:val="decimal" w:pos="915"/>
              </w:tabs>
              <w:spacing w:after="0"/>
              <w:rPr>
                <w:rFonts w:eastAsia="Arial"/>
                <w:b/>
                <w:bCs/>
                <w:szCs w:val="28"/>
                <w:lang w:eastAsia="en-GB"/>
              </w:rPr>
            </w:pPr>
            <w:r w:rsidRPr="00F2718C">
              <w:rPr>
                <w:rFonts w:eastAsia="Arial"/>
                <w:b/>
                <w:szCs w:val="28"/>
                <w:lang w:eastAsia="en-GB"/>
              </w:rPr>
              <w:t>330.4</w:t>
            </w:r>
          </w:p>
        </w:tc>
        <w:tc>
          <w:tcPr>
            <w:tcW w:w="283" w:type="dxa"/>
            <w:tcBorders>
              <w:top w:val="nil"/>
              <w:left w:val="nil"/>
              <w:right w:val="nil"/>
            </w:tcBorders>
            <w:shd w:val="clear" w:color="auto" w:fill="FFFFFF"/>
            <w:tcMar>
              <w:left w:w="0" w:type="dxa"/>
              <w:right w:w="0" w:type="dxa"/>
            </w:tcMar>
          </w:tcPr>
          <w:p w14:paraId="7C37378B"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top w:val="single" w:sz="4" w:space="0" w:color="auto"/>
              <w:left w:val="nil"/>
              <w:right w:val="nil"/>
            </w:tcBorders>
            <w:shd w:val="clear" w:color="auto" w:fill="FFFFFF"/>
            <w:tcMar>
              <w:left w:w="0" w:type="dxa"/>
              <w:right w:w="0" w:type="dxa"/>
            </w:tcMar>
          </w:tcPr>
          <w:p w14:paraId="6D5ABC37" w14:textId="4BEFE144" w:rsidR="00613F96" w:rsidRPr="007756EA" w:rsidRDefault="00613F96" w:rsidP="00577845">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306.4</w:t>
            </w:r>
          </w:p>
        </w:tc>
      </w:tr>
      <w:tr w:rsidR="00613F96" w:rsidRPr="00D33273" w14:paraId="1E74A7DD" w14:textId="77777777" w:rsidTr="00433FEC">
        <w:tc>
          <w:tcPr>
            <w:tcW w:w="4004" w:type="dxa"/>
            <w:tcBorders>
              <w:top w:val="nil"/>
              <w:left w:val="nil"/>
              <w:bottom w:val="nil"/>
              <w:right w:val="nil"/>
            </w:tcBorders>
            <w:shd w:val="clear" w:color="auto" w:fill="FFFFFF"/>
            <w:tcMar>
              <w:left w:w="0" w:type="dxa"/>
              <w:right w:w="0" w:type="dxa"/>
            </w:tcMar>
          </w:tcPr>
          <w:p w14:paraId="33851BCB" w14:textId="77777777" w:rsidR="00613F96" w:rsidRPr="00D33273" w:rsidRDefault="00613F96" w:rsidP="00613F96">
            <w:pPr>
              <w:spacing w:after="0"/>
              <w:rPr>
                <w:rFonts w:eastAsia="Arial"/>
                <w:szCs w:val="28"/>
                <w:lang w:eastAsia="en-GB"/>
              </w:rPr>
            </w:pPr>
            <w:r w:rsidRPr="00D33273">
              <w:rPr>
                <w:rFonts w:eastAsia="Arial"/>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1487F724" w14:textId="77777777" w:rsidR="00613F96" w:rsidRPr="00D33273" w:rsidRDefault="00613F96" w:rsidP="00613F96">
            <w:pPr>
              <w:spacing w:after="0"/>
              <w:jc w:val="right"/>
              <w:rPr>
                <w:rFonts w:eastAsia="Arial"/>
                <w:szCs w:val="28"/>
                <w:lang w:eastAsia="en-GB"/>
              </w:rPr>
            </w:pPr>
          </w:p>
        </w:tc>
        <w:tc>
          <w:tcPr>
            <w:tcW w:w="1558" w:type="dxa"/>
            <w:tcBorders>
              <w:left w:val="nil"/>
              <w:right w:val="nil"/>
            </w:tcBorders>
          </w:tcPr>
          <w:p w14:paraId="3F20E2FD" w14:textId="77777777" w:rsidR="00613F96" w:rsidRPr="00D33273" w:rsidRDefault="00613F96" w:rsidP="00613F96">
            <w:pPr>
              <w:spacing w:after="0"/>
              <w:jc w:val="center"/>
              <w:rPr>
                <w:rFonts w:eastAsia="Arial"/>
                <w:szCs w:val="28"/>
                <w:lang w:eastAsia="en-GB"/>
              </w:rPr>
            </w:pPr>
          </w:p>
        </w:tc>
        <w:tc>
          <w:tcPr>
            <w:tcW w:w="1362" w:type="dxa"/>
            <w:tcBorders>
              <w:left w:val="nil"/>
              <w:right w:val="nil"/>
            </w:tcBorders>
            <w:shd w:val="clear" w:color="auto" w:fill="FFFFFF"/>
          </w:tcPr>
          <w:p w14:paraId="463ABB17" w14:textId="77777777" w:rsidR="00613F96" w:rsidRPr="00EB79CA" w:rsidRDefault="00613F96" w:rsidP="00613F96">
            <w:pPr>
              <w:tabs>
                <w:tab w:val="decimal" w:pos="968"/>
              </w:tabs>
              <w:spacing w:after="0"/>
              <w:jc w:val="both"/>
              <w:rPr>
                <w:rFonts w:eastAsia="Arial"/>
                <w:szCs w:val="28"/>
                <w:lang w:eastAsia="en-GB"/>
              </w:rPr>
            </w:pPr>
          </w:p>
        </w:tc>
        <w:tc>
          <w:tcPr>
            <w:tcW w:w="256" w:type="dxa"/>
            <w:tcBorders>
              <w:left w:val="nil"/>
              <w:right w:val="nil"/>
            </w:tcBorders>
            <w:shd w:val="clear" w:color="auto" w:fill="FFFFFF"/>
          </w:tcPr>
          <w:p w14:paraId="648AD737" w14:textId="1F1D6865"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left w:val="nil"/>
              <w:right w:val="nil"/>
            </w:tcBorders>
            <w:shd w:val="clear" w:color="auto" w:fill="FFFFFF"/>
          </w:tcPr>
          <w:p w14:paraId="3D6F5596" w14:textId="77777777" w:rsidR="00613F96" w:rsidRPr="004F6EE6" w:rsidRDefault="00613F96" w:rsidP="00613F96">
            <w:pPr>
              <w:tabs>
                <w:tab w:val="decimal" w:pos="915"/>
              </w:tabs>
              <w:spacing w:after="0"/>
              <w:rPr>
                <w:rFonts w:eastAsia="Arial"/>
                <w:b/>
                <w:bCs/>
                <w:szCs w:val="28"/>
                <w:lang w:eastAsia="en-GB"/>
              </w:rPr>
            </w:pPr>
          </w:p>
        </w:tc>
        <w:tc>
          <w:tcPr>
            <w:tcW w:w="283" w:type="dxa"/>
            <w:tcBorders>
              <w:left w:val="nil"/>
              <w:bottom w:val="nil"/>
              <w:right w:val="nil"/>
            </w:tcBorders>
            <w:shd w:val="clear" w:color="auto" w:fill="FFFFFF"/>
            <w:tcMar>
              <w:left w:w="0" w:type="dxa"/>
              <w:right w:w="0" w:type="dxa"/>
            </w:tcMar>
          </w:tcPr>
          <w:p w14:paraId="733337F3"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left w:val="nil"/>
              <w:right w:val="nil"/>
            </w:tcBorders>
            <w:shd w:val="clear" w:color="auto" w:fill="FFFFFF"/>
            <w:tcMar>
              <w:left w:w="0" w:type="dxa"/>
              <w:right w:w="0" w:type="dxa"/>
            </w:tcMar>
          </w:tcPr>
          <w:p w14:paraId="0EF66B07" w14:textId="77777777" w:rsidR="00613F96" w:rsidRPr="007756EA" w:rsidRDefault="00613F96" w:rsidP="00577845">
            <w:pPr>
              <w:tabs>
                <w:tab w:val="decimal" w:pos="1161"/>
              </w:tabs>
              <w:spacing w:after="0"/>
              <w:ind w:left="-143" w:firstLine="143"/>
              <w:rPr>
                <w:rFonts w:eastAsia="Arial"/>
                <w:b/>
                <w:bCs/>
                <w:szCs w:val="28"/>
                <w:highlight w:val="yellow"/>
                <w:lang w:eastAsia="en-GB"/>
              </w:rPr>
            </w:pPr>
          </w:p>
        </w:tc>
      </w:tr>
      <w:tr w:rsidR="00613F96" w:rsidRPr="00D33273" w14:paraId="6331B6B0" w14:textId="77777777" w:rsidTr="00433FEC">
        <w:tc>
          <w:tcPr>
            <w:tcW w:w="4004" w:type="dxa"/>
            <w:tcBorders>
              <w:top w:val="nil"/>
              <w:left w:val="nil"/>
              <w:bottom w:val="nil"/>
              <w:right w:val="nil"/>
            </w:tcBorders>
            <w:shd w:val="clear" w:color="auto" w:fill="FFFFFF"/>
            <w:tcMar>
              <w:left w:w="0" w:type="dxa"/>
              <w:right w:w="0" w:type="dxa"/>
            </w:tcMar>
          </w:tcPr>
          <w:p w14:paraId="7C588539" w14:textId="7348AD55" w:rsidR="00613F96" w:rsidRPr="00D33273" w:rsidRDefault="00A758FF" w:rsidP="00613F96">
            <w:pPr>
              <w:spacing w:after="0"/>
              <w:rPr>
                <w:rFonts w:eastAsia="Arial"/>
                <w:szCs w:val="28"/>
                <w:lang w:eastAsia="en-GB"/>
              </w:rPr>
            </w:pPr>
            <w:r w:rsidRPr="00D33273">
              <w:rPr>
                <w:rFonts w:eastAsia="Arial"/>
                <w:b/>
                <w:szCs w:val="28"/>
                <w:lang w:eastAsia="en-GB"/>
              </w:rPr>
              <w:t>Total liabilities</w:t>
            </w:r>
          </w:p>
        </w:tc>
        <w:tc>
          <w:tcPr>
            <w:tcW w:w="22" w:type="dxa"/>
            <w:tcBorders>
              <w:top w:val="nil"/>
              <w:left w:val="nil"/>
              <w:bottom w:val="nil"/>
              <w:right w:val="nil"/>
            </w:tcBorders>
            <w:shd w:val="clear" w:color="auto" w:fill="FFFFFF"/>
            <w:tcMar>
              <w:left w:w="0" w:type="dxa"/>
              <w:right w:w="0" w:type="dxa"/>
            </w:tcMar>
          </w:tcPr>
          <w:p w14:paraId="6AFBE7E5" w14:textId="77777777" w:rsidR="00613F96" w:rsidRPr="00D33273" w:rsidRDefault="00613F96" w:rsidP="00613F96">
            <w:pPr>
              <w:spacing w:after="0"/>
              <w:jc w:val="right"/>
              <w:rPr>
                <w:rFonts w:eastAsia="Arial"/>
                <w:szCs w:val="28"/>
                <w:lang w:eastAsia="en-GB"/>
              </w:rPr>
            </w:pPr>
          </w:p>
        </w:tc>
        <w:tc>
          <w:tcPr>
            <w:tcW w:w="1558" w:type="dxa"/>
            <w:tcBorders>
              <w:top w:val="nil"/>
              <w:left w:val="nil"/>
              <w:right w:val="nil"/>
            </w:tcBorders>
          </w:tcPr>
          <w:p w14:paraId="5CFC36B3" w14:textId="77777777" w:rsidR="00613F96" w:rsidRPr="00D33273" w:rsidRDefault="00613F96" w:rsidP="00613F96">
            <w:pPr>
              <w:spacing w:after="0"/>
              <w:jc w:val="center"/>
              <w:rPr>
                <w:rFonts w:eastAsia="Arial"/>
                <w:szCs w:val="28"/>
                <w:lang w:eastAsia="en-GB"/>
              </w:rPr>
            </w:pPr>
          </w:p>
        </w:tc>
        <w:tc>
          <w:tcPr>
            <w:tcW w:w="1362" w:type="dxa"/>
            <w:tcBorders>
              <w:top w:val="nil"/>
              <w:left w:val="nil"/>
              <w:bottom w:val="double" w:sz="4" w:space="0" w:color="auto"/>
              <w:right w:val="nil"/>
            </w:tcBorders>
            <w:shd w:val="clear" w:color="auto" w:fill="FFFFFF"/>
          </w:tcPr>
          <w:p w14:paraId="5FE1256E" w14:textId="0772E630" w:rsidR="00613F96" w:rsidRPr="00F2718C" w:rsidRDefault="00555833" w:rsidP="00613F96">
            <w:pPr>
              <w:tabs>
                <w:tab w:val="decimal" w:pos="968"/>
              </w:tabs>
              <w:spacing w:after="0"/>
              <w:jc w:val="both"/>
              <w:rPr>
                <w:rFonts w:eastAsia="Arial"/>
                <w:b/>
                <w:szCs w:val="28"/>
                <w:lang w:eastAsia="en-GB"/>
              </w:rPr>
            </w:pPr>
            <w:r>
              <w:rPr>
                <w:rFonts w:eastAsia="Arial"/>
                <w:b/>
                <w:szCs w:val="28"/>
                <w:lang w:eastAsia="en-GB"/>
              </w:rPr>
              <w:t>601</w:t>
            </w:r>
            <w:r w:rsidR="00105375">
              <w:rPr>
                <w:rFonts w:eastAsia="Arial"/>
                <w:b/>
                <w:szCs w:val="28"/>
                <w:lang w:eastAsia="en-GB"/>
              </w:rPr>
              <w:t>.</w:t>
            </w:r>
            <w:r>
              <w:rPr>
                <w:rFonts w:eastAsia="Arial"/>
                <w:b/>
                <w:szCs w:val="28"/>
                <w:lang w:eastAsia="en-GB"/>
              </w:rPr>
              <w:t>1</w:t>
            </w:r>
          </w:p>
        </w:tc>
        <w:tc>
          <w:tcPr>
            <w:tcW w:w="256" w:type="dxa"/>
            <w:tcBorders>
              <w:top w:val="nil"/>
              <w:left w:val="nil"/>
              <w:right w:val="nil"/>
            </w:tcBorders>
            <w:shd w:val="clear" w:color="auto" w:fill="FFFFFF"/>
          </w:tcPr>
          <w:p w14:paraId="2D26EC0E" w14:textId="5628375F"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bottom w:val="double" w:sz="4" w:space="0" w:color="auto"/>
              <w:right w:val="nil"/>
            </w:tcBorders>
            <w:shd w:val="clear" w:color="auto" w:fill="FFFFFF"/>
          </w:tcPr>
          <w:p w14:paraId="493AA050" w14:textId="5EDB2449" w:rsidR="00613F96" w:rsidRPr="004F6EE6" w:rsidRDefault="00613F96" w:rsidP="00613F96">
            <w:pPr>
              <w:tabs>
                <w:tab w:val="decimal" w:pos="915"/>
              </w:tabs>
              <w:spacing w:after="0"/>
              <w:rPr>
                <w:rFonts w:eastAsia="Arial"/>
                <w:b/>
                <w:bCs/>
                <w:szCs w:val="28"/>
                <w:lang w:eastAsia="en-GB"/>
              </w:rPr>
            </w:pPr>
            <w:r w:rsidRPr="00F2718C">
              <w:rPr>
                <w:rFonts w:eastAsia="Arial"/>
                <w:b/>
                <w:szCs w:val="28"/>
                <w:lang w:eastAsia="en-GB"/>
              </w:rPr>
              <w:t>466.3</w:t>
            </w:r>
          </w:p>
        </w:tc>
        <w:tc>
          <w:tcPr>
            <w:tcW w:w="283" w:type="dxa"/>
            <w:tcBorders>
              <w:top w:val="nil"/>
              <w:left w:val="nil"/>
              <w:bottom w:val="nil"/>
              <w:right w:val="nil"/>
            </w:tcBorders>
            <w:shd w:val="clear" w:color="auto" w:fill="FFFFFF"/>
            <w:tcMar>
              <w:left w:w="0" w:type="dxa"/>
              <w:right w:w="0" w:type="dxa"/>
            </w:tcMar>
          </w:tcPr>
          <w:p w14:paraId="692504FC"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top w:val="nil"/>
              <w:left w:val="nil"/>
              <w:bottom w:val="double" w:sz="4" w:space="0" w:color="auto"/>
              <w:right w:val="nil"/>
            </w:tcBorders>
            <w:shd w:val="clear" w:color="auto" w:fill="FFFFFF"/>
            <w:tcMar>
              <w:left w:w="0" w:type="dxa"/>
              <w:right w:w="0" w:type="dxa"/>
            </w:tcMar>
          </w:tcPr>
          <w:p w14:paraId="4C3D3547" w14:textId="77AFD74D" w:rsidR="00613F96" w:rsidRPr="007756EA" w:rsidRDefault="00613F96" w:rsidP="00577845">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418.1</w:t>
            </w:r>
          </w:p>
        </w:tc>
      </w:tr>
      <w:tr w:rsidR="00613F96" w:rsidRPr="00D33273" w14:paraId="3D9AF34D" w14:textId="77777777" w:rsidTr="00433FEC">
        <w:tc>
          <w:tcPr>
            <w:tcW w:w="4004" w:type="dxa"/>
            <w:tcBorders>
              <w:top w:val="nil"/>
              <w:left w:val="nil"/>
              <w:bottom w:val="nil"/>
              <w:right w:val="nil"/>
            </w:tcBorders>
            <w:shd w:val="clear" w:color="auto" w:fill="FFFFFF"/>
            <w:tcMar>
              <w:left w:w="0" w:type="dxa"/>
              <w:right w:w="0" w:type="dxa"/>
            </w:tcMar>
          </w:tcPr>
          <w:p w14:paraId="053A6C3C" w14:textId="77777777" w:rsidR="00613F96" w:rsidRPr="00D33273" w:rsidRDefault="00613F96" w:rsidP="00613F96">
            <w:pPr>
              <w:spacing w:after="0"/>
              <w:rPr>
                <w:rFonts w:eastAsia="Arial"/>
                <w:szCs w:val="28"/>
                <w:lang w:eastAsia="en-GB"/>
              </w:rPr>
            </w:pPr>
            <w:r w:rsidRPr="00D33273">
              <w:rPr>
                <w:rFonts w:eastAsia="Arial"/>
                <w:szCs w:val="28"/>
                <w:lang w:eastAsia="en-GB"/>
              </w:rPr>
              <w:t xml:space="preserve"> </w:t>
            </w:r>
          </w:p>
        </w:tc>
        <w:tc>
          <w:tcPr>
            <w:tcW w:w="22" w:type="dxa"/>
            <w:tcBorders>
              <w:top w:val="nil"/>
              <w:left w:val="nil"/>
              <w:bottom w:val="nil"/>
              <w:right w:val="nil"/>
            </w:tcBorders>
            <w:shd w:val="clear" w:color="auto" w:fill="FFFFFF"/>
            <w:tcMar>
              <w:left w:w="0" w:type="dxa"/>
              <w:right w:w="0" w:type="dxa"/>
            </w:tcMar>
          </w:tcPr>
          <w:p w14:paraId="2D56FBA9" w14:textId="77777777" w:rsidR="00613F96" w:rsidRPr="00D33273" w:rsidRDefault="00613F96" w:rsidP="00613F96">
            <w:pPr>
              <w:spacing w:after="0"/>
              <w:jc w:val="right"/>
              <w:rPr>
                <w:rFonts w:eastAsia="Arial"/>
                <w:szCs w:val="28"/>
                <w:lang w:eastAsia="en-GB"/>
              </w:rPr>
            </w:pPr>
          </w:p>
        </w:tc>
        <w:tc>
          <w:tcPr>
            <w:tcW w:w="1558" w:type="dxa"/>
            <w:tcBorders>
              <w:left w:val="nil"/>
              <w:right w:val="nil"/>
            </w:tcBorders>
          </w:tcPr>
          <w:p w14:paraId="7D014F44" w14:textId="77777777" w:rsidR="00613F96" w:rsidRPr="00D33273" w:rsidRDefault="00613F96" w:rsidP="00613F96">
            <w:pPr>
              <w:spacing w:after="0"/>
              <w:jc w:val="right"/>
              <w:rPr>
                <w:rFonts w:eastAsia="Arial"/>
                <w:szCs w:val="28"/>
                <w:lang w:eastAsia="en-GB"/>
              </w:rPr>
            </w:pPr>
            <w:r w:rsidRPr="00D33273">
              <w:rPr>
                <w:rFonts w:eastAsia="Arial"/>
                <w:b/>
                <w:szCs w:val="28"/>
                <w:lang w:eastAsia="en-GB"/>
              </w:rPr>
              <w:t xml:space="preserve"> </w:t>
            </w:r>
          </w:p>
        </w:tc>
        <w:tc>
          <w:tcPr>
            <w:tcW w:w="1362" w:type="dxa"/>
            <w:tcBorders>
              <w:top w:val="double" w:sz="4" w:space="0" w:color="auto"/>
              <w:left w:val="nil"/>
              <w:right w:val="nil"/>
            </w:tcBorders>
            <w:shd w:val="clear" w:color="auto" w:fill="FFFFFF"/>
          </w:tcPr>
          <w:p w14:paraId="6D37793C" w14:textId="77777777" w:rsidR="00613F96" w:rsidRPr="00EB79CA" w:rsidRDefault="00613F96" w:rsidP="00613F96">
            <w:pPr>
              <w:tabs>
                <w:tab w:val="decimal" w:pos="968"/>
              </w:tabs>
              <w:spacing w:after="0"/>
              <w:jc w:val="both"/>
              <w:rPr>
                <w:rFonts w:eastAsia="Arial"/>
                <w:szCs w:val="28"/>
                <w:lang w:eastAsia="en-GB"/>
              </w:rPr>
            </w:pPr>
          </w:p>
        </w:tc>
        <w:tc>
          <w:tcPr>
            <w:tcW w:w="256" w:type="dxa"/>
            <w:tcBorders>
              <w:left w:val="nil"/>
              <w:right w:val="nil"/>
            </w:tcBorders>
            <w:shd w:val="clear" w:color="auto" w:fill="FFFFFF"/>
          </w:tcPr>
          <w:p w14:paraId="72279590" w14:textId="5B65D8B5"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double" w:sz="4" w:space="0" w:color="auto"/>
              <w:left w:val="nil"/>
              <w:right w:val="nil"/>
            </w:tcBorders>
            <w:shd w:val="clear" w:color="auto" w:fill="FFFFFF"/>
          </w:tcPr>
          <w:p w14:paraId="73A19EBC" w14:textId="77777777" w:rsidR="00613F96" w:rsidRPr="004F6EE6" w:rsidRDefault="00613F96" w:rsidP="00613F96">
            <w:pPr>
              <w:tabs>
                <w:tab w:val="decimal" w:pos="915"/>
              </w:tabs>
              <w:spacing w:after="0"/>
              <w:rPr>
                <w:rFonts w:eastAsia="Arial"/>
                <w:b/>
                <w:bCs/>
                <w:szCs w:val="28"/>
                <w:lang w:eastAsia="en-GB"/>
              </w:rPr>
            </w:pPr>
          </w:p>
        </w:tc>
        <w:tc>
          <w:tcPr>
            <w:tcW w:w="283" w:type="dxa"/>
            <w:tcBorders>
              <w:top w:val="nil"/>
              <w:left w:val="nil"/>
              <w:bottom w:val="nil"/>
              <w:right w:val="nil"/>
            </w:tcBorders>
            <w:shd w:val="clear" w:color="auto" w:fill="FFFFFF"/>
            <w:tcMar>
              <w:left w:w="0" w:type="dxa"/>
              <w:right w:w="0" w:type="dxa"/>
            </w:tcMar>
          </w:tcPr>
          <w:p w14:paraId="1A538205"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top w:val="double" w:sz="4" w:space="0" w:color="auto"/>
              <w:left w:val="nil"/>
              <w:right w:val="nil"/>
            </w:tcBorders>
            <w:shd w:val="clear" w:color="auto" w:fill="FFFFFF"/>
            <w:tcMar>
              <w:left w:w="0" w:type="dxa"/>
              <w:right w:w="0" w:type="dxa"/>
            </w:tcMar>
          </w:tcPr>
          <w:p w14:paraId="10AFA6B4" w14:textId="77777777" w:rsidR="00613F96" w:rsidRPr="007756EA" w:rsidRDefault="00613F96" w:rsidP="00577845">
            <w:pPr>
              <w:tabs>
                <w:tab w:val="decimal" w:pos="1161"/>
              </w:tabs>
              <w:spacing w:after="0"/>
              <w:ind w:left="-143" w:firstLine="143"/>
              <w:rPr>
                <w:rFonts w:eastAsia="Arial"/>
                <w:b/>
                <w:bCs/>
                <w:szCs w:val="28"/>
                <w:highlight w:val="yellow"/>
                <w:lang w:eastAsia="en-GB"/>
              </w:rPr>
            </w:pPr>
          </w:p>
        </w:tc>
      </w:tr>
      <w:tr w:rsidR="00613F96" w:rsidRPr="00F26A5C" w14:paraId="7CAF5228" w14:textId="77777777" w:rsidTr="00433FEC">
        <w:tc>
          <w:tcPr>
            <w:tcW w:w="4004" w:type="dxa"/>
            <w:tcBorders>
              <w:top w:val="nil"/>
              <w:left w:val="nil"/>
              <w:bottom w:val="nil"/>
              <w:right w:val="nil"/>
            </w:tcBorders>
            <w:shd w:val="clear" w:color="auto" w:fill="FFFFFF"/>
            <w:tcMar>
              <w:left w:w="0" w:type="dxa"/>
              <w:right w:w="0" w:type="dxa"/>
            </w:tcMar>
            <w:vAlign w:val="bottom"/>
          </w:tcPr>
          <w:p w14:paraId="7C749561" w14:textId="00C27D86" w:rsidR="00613F96" w:rsidRPr="00D33273" w:rsidRDefault="00A758FF" w:rsidP="00613F96">
            <w:pPr>
              <w:spacing w:after="0"/>
              <w:rPr>
                <w:rFonts w:eastAsia="Arial"/>
                <w:szCs w:val="28"/>
                <w:lang w:eastAsia="en-GB"/>
              </w:rPr>
            </w:pPr>
            <w:r w:rsidRPr="00D33273">
              <w:rPr>
                <w:rFonts w:eastAsia="Arial"/>
                <w:b/>
                <w:szCs w:val="28"/>
                <w:lang w:eastAsia="en-GB"/>
              </w:rPr>
              <w:t>Total equity and liabilities</w:t>
            </w:r>
          </w:p>
        </w:tc>
        <w:tc>
          <w:tcPr>
            <w:tcW w:w="22" w:type="dxa"/>
            <w:tcBorders>
              <w:top w:val="nil"/>
              <w:left w:val="nil"/>
              <w:bottom w:val="nil"/>
              <w:right w:val="nil"/>
            </w:tcBorders>
            <w:shd w:val="clear" w:color="auto" w:fill="FFFFFF"/>
            <w:tcMar>
              <w:left w:w="0" w:type="dxa"/>
              <w:right w:w="0" w:type="dxa"/>
            </w:tcMar>
          </w:tcPr>
          <w:p w14:paraId="1F93A439" w14:textId="77777777" w:rsidR="00613F96" w:rsidRPr="00D33273" w:rsidRDefault="00613F96" w:rsidP="00613F96">
            <w:pPr>
              <w:spacing w:after="0"/>
              <w:jc w:val="right"/>
              <w:rPr>
                <w:rFonts w:eastAsia="Arial"/>
                <w:szCs w:val="28"/>
                <w:lang w:eastAsia="en-GB"/>
              </w:rPr>
            </w:pPr>
          </w:p>
        </w:tc>
        <w:tc>
          <w:tcPr>
            <w:tcW w:w="1558" w:type="dxa"/>
            <w:tcBorders>
              <w:top w:val="nil"/>
              <w:left w:val="nil"/>
              <w:right w:val="nil"/>
            </w:tcBorders>
          </w:tcPr>
          <w:p w14:paraId="7E0FED74" w14:textId="77777777" w:rsidR="00613F96" w:rsidRPr="00D33273" w:rsidRDefault="00613F96" w:rsidP="00613F96">
            <w:pPr>
              <w:spacing w:after="0"/>
              <w:jc w:val="right"/>
              <w:rPr>
                <w:rFonts w:eastAsia="Arial"/>
                <w:szCs w:val="28"/>
                <w:lang w:eastAsia="en-GB"/>
              </w:rPr>
            </w:pPr>
            <w:r w:rsidRPr="00D33273">
              <w:rPr>
                <w:rFonts w:eastAsia="Arial"/>
                <w:b/>
                <w:szCs w:val="28"/>
                <w:lang w:eastAsia="en-GB"/>
              </w:rPr>
              <w:t xml:space="preserve"> </w:t>
            </w:r>
          </w:p>
        </w:tc>
        <w:tc>
          <w:tcPr>
            <w:tcW w:w="1362" w:type="dxa"/>
            <w:tcBorders>
              <w:top w:val="nil"/>
              <w:left w:val="nil"/>
              <w:bottom w:val="double" w:sz="4" w:space="0" w:color="auto"/>
              <w:right w:val="nil"/>
            </w:tcBorders>
            <w:shd w:val="clear" w:color="auto" w:fill="FFFFFF"/>
            <w:vAlign w:val="bottom"/>
          </w:tcPr>
          <w:p w14:paraId="2DB02611" w14:textId="35BE210D" w:rsidR="00613F96" w:rsidRPr="00F2718C" w:rsidRDefault="0079767B" w:rsidP="00613F96">
            <w:pPr>
              <w:tabs>
                <w:tab w:val="decimal" w:pos="968"/>
              </w:tabs>
              <w:spacing w:after="0"/>
              <w:jc w:val="both"/>
              <w:rPr>
                <w:rFonts w:eastAsia="Arial"/>
                <w:b/>
                <w:szCs w:val="28"/>
                <w:lang w:eastAsia="en-GB"/>
              </w:rPr>
            </w:pPr>
            <w:r>
              <w:rPr>
                <w:rFonts w:eastAsia="Arial"/>
                <w:b/>
                <w:szCs w:val="28"/>
                <w:lang w:eastAsia="en-GB"/>
              </w:rPr>
              <w:t>1,</w:t>
            </w:r>
            <w:r w:rsidR="00555833">
              <w:rPr>
                <w:rFonts w:eastAsia="Arial"/>
                <w:b/>
                <w:szCs w:val="28"/>
                <w:lang w:eastAsia="en-GB"/>
              </w:rPr>
              <w:t>406</w:t>
            </w:r>
            <w:r w:rsidR="00105375">
              <w:rPr>
                <w:rFonts w:eastAsia="Arial"/>
                <w:b/>
                <w:szCs w:val="28"/>
                <w:lang w:eastAsia="en-GB"/>
              </w:rPr>
              <w:t>.</w:t>
            </w:r>
            <w:r w:rsidR="00555833">
              <w:rPr>
                <w:rFonts w:eastAsia="Arial"/>
                <w:b/>
                <w:szCs w:val="28"/>
                <w:lang w:eastAsia="en-GB"/>
              </w:rPr>
              <w:t>7</w:t>
            </w:r>
          </w:p>
        </w:tc>
        <w:tc>
          <w:tcPr>
            <w:tcW w:w="256" w:type="dxa"/>
            <w:tcBorders>
              <w:top w:val="nil"/>
              <w:left w:val="nil"/>
              <w:right w:val="nil"/>
            </w:tcBorders>
            <w:shd w:val="clear" w:color="auto" w:fill="FFFFFF"/>
            <w:vAlign w:val="bottom"/>
          </w:tcPr>
          <w:p w14:paraId="49F5D811" w14:textId="0432D8B4" w:rsidR="00613F96" w:rsidRPr="00D33273" w:rsidRDefault="00613F96" w:rsidP="00613F96">
            <w:pPr>
              <w:spacing w:after="0"/>
              <w:jc w:val="right"/>
              <w:rPr>
                <w:rFonts w:eastAsia="Arial"/>
                <w:szCs w:val="28"/>
                <w:lang w:eastAsia="en-GB"/>
              </w:rPr>
            </w:pPr>
            <w:r w:rsidRPr="00D33273">
              <w:rPr>
                <w:rFonts w:eastAsia="Arial"/>
                <w:szCs w:val="28"/>
                <w:lang w:eastAsia="en-GB"/>
              </w:rPr>
              <w:t xml:space="preserve"> </w:t>
            </w:r>
          </w:p>
        </w:tc>
        <w:tc>
          <w:tcPr>
            <w:tcW w:w="1276" w:type="dxa"/>
            <w:tcBorders>
              <w:top w:val="nil"/>
              <w:left w:val="nil"/>
              <w:bottom w:val="double" w:sz="4" w:space="0" w:color="auto"/>
              <w:right w:val="nil"/>
            </w:tcBorders>
            <w:shd w:val="clear" w:color="auto" w:fill="FFFFFF"/>
            <w:vAlign w:val="bottom"/>
          </w:tcPr>
          <w:p w14:paraId="776EDE29" w14:textId="1B1918B1" w:rsidR="00613F96" w:rsidRPr="004F6EE6" w:rsidRDefault="00613F96" w:rsidP="00613F96">
            <w:pPr>
              <w:tabs>
                <w:tab w:val="decimal" w:pos="915"/>
              </w:tabs>
              <w:spacing w:after="0"/>
              <w:jc w:val="both"/>
              <w:rPr>
                <w:rFonts w:eastAsia="Arial"/>
                <w:b/>
                <w:bCs/>
                <w:szCs w:val="28"/>
                <w:lang w:eastAsia="en-GB"/>
              </w:rPr>
            </w:pPr>
            <w:r w:rsidRPr="00F2718C">
              <w:rPr>
                <w:rFonts w:eastAsia="Arial"/>
                <w:b/>
                <w:szCs w:val="28"/>
                <w:lang w:eastAsia="en-GB"/>
              </w:rPr>
              <w:t>1,315.5</w:t>
            </w:r>
          </w:p>
        </w:tc>
        <w:tc>
          <w:tcPr>
            <w:tcW w:w="283" w:type="dxa"/>
            <w:tcBorders>
              <w:top w:val="nil"/>
              <w:left w:val="nil"/>
              <w:bottom w:val="nil"/>
              <w:right w:val="nil"/>
            </w:tcBorders>
            <w:shd w:val="clear" w:color="auto" w:fill="FFFFFF"/>
            <w:tcMar>
              <w:left w:w="0" w:type="dxa"/>
              <w:right w:w="0" w:type="dxa"/>
            </w:tcMar>
            <w:vAlign w:val="bottom"/>
          </w:tcPr>
          <w:p w14:paraId="734DD0DD" w14:textId="77777777" w:rsidR="00613F96" w:rsidRPr="00D33273" w:rsidRDefault="00613F96" w:rsidP="00613F96">
            <w:pPr>
              <w:spacing w:after="0"/>
              <w:jc w:val="right"/>
              <w:rPr>
                <w:rFonts w:eastAsia="Arial"/>
                <w:b/>
                <w:bCs/>
                <w:szCs w:val="28"/>
                <w:lang w:eastAsia="en-GB"/>
              </w:rPr>
            </w:pPr>
            <w:r w:rsidRPr="00D33273">
              <w:rPr>
                <w:rFonts w:eastAsia="Arial"/>
                <w:b/>
                <w:bCs/>
                <w:szCs w:val="28"/>
                <w:lang w:eastAsia="en-GB"/>
              </w:rPr>
              <w:t xml:space="preserve"> </w:t>
            </w:r>
          </w:p>
        </w:tc>
        <w:tc>
          <w:tcPr>
            <w:tcW w:w="1417" w:type="dxa"/>
            <w:tcBorders>
              <w:top w:val="nil"/>
              <w:left w:val="nil"/>
              <w:bottom w:val="double" w:sz="4" w:space="0" w:color="auto"/>
              <w:right w:val="nil"/>
            </w:tcBorders>
            <w:shd w:val="clear" w:color="auto" w:fill="FFFFFF"/>
            <w:tcMar>
              <w:left w:w="0" w:type="dxa"/>
              <w:right w:w="0" w:type="dxa"/>
            </w:tcMar>
            <w:vAlign w:val="bottom"/>
          </w:tcPr>
          <w:p w14:paraId="0B52A5CD" w14:textId="486A61F1" w:rsidR="00613F96" w:rsidRPr="007756EA" w:rsidRDefault="00613F96" w:rsidP="00613F96">
            <w:pPr>
              <w:tabs>
                <w:tab w:val="decimal" w:pos="1161"/>
              </w:tabs>
              <w:spacing w:after="0"/>
              <w:ind w:left="-143" w:firstLine="143"/>
              <w:rPr>
                <w:rFonts w:eastAsia="Arial"/>
                <w:b/>
                <w:bCs/>
                <w:szCs w:val="28"/>
                <w:highlight w:val="yellow"/>
                <w:lang w:eastAsia="en-GB"/>
              </w:rPr>
            </w:pPr>
            <w:r w:rsidRPr="001368F7">
              <w:rPr>
                <w:rFonts w:eastAsia="Arial"/>
                <w:b/>
                <w:szCs w:val="28"/>
                <w:lang w:val="en-GB" w:eastAsia="en-GB"/>
              </w:rPr>
              <w:t>1,207.6</w:t>
            </w:r>
          </w:p>
        </w:tc>
      </w:tr>
    </w:tbl>
    <w:p w14:paraId="6CEFBA92" w14:textId="77777777" w:rsidR="00463BBB" w:rsidRDefault="00463BBB" w:rsidP="00463BBB">
      <w:pPr>
        <w:rPr>
          <w:rFonts w:eastAsia="Arial"/>
          <w:b/>
          <w:bCs/>
          <w:sz w:val="16"/>
          <w:vertAlign w:val="superscript"/>
          <w:lang w:eastAsia="en-GB"/>
        </w:rPr>
      </w:pPr>
    </w:p>
    <w:p w14:paraId="50324A48" w14:textId="33036DC4" w:rsidR="00D9641E" w:rsidRDefault="00D9641E" w:rsidP="00D9641E">
      <w:pPr>
        <w:pStyle w:val="Footnote"/>
      </w:pPr>
      <w:r>
        <w:rPr>
          <w:vertAlign w:val="superscript"/>
        </w:rPr>
        <w:t>1</w:t>
      </w:r>
      <w:r w:rsidRPr="001368F7">
        <w:t>In the Group’s 202</w:t>
      </w:r>
      <w:r>
        <w:t>3</w:t>
      </w:r>
      <w:r w:rsidRPr="001368F7">
        <w:t xml:space="preserve"> </w:t>
      </w:r>
      <w:r>
        <w:t>Interim</w:t>
      </w:r>
      <w:r w:rsidRPr="001368F7">
        <w:t xml:space="preserve"> Report and Accounts, these lines were aggregated as ’</w:t>
      </w:r>
      <w:r>
        <w:t>Trade and other payables</w:t>
      </w:r>
      <w:r w:rsidRPr="001368F7">
        <w:t>’.</w:t>
      </w:r>
    </w:p>
    <w:p w14:paraId="2EEC6EFF" w14:textId="1E40D36B" w:rsidR="0081027E" w:rsidRDefault="0081027E">
      <w:pPr>
        <w:rPr>
          <w:rFonts w:eastAsiaTheme="minorHAnsi"/>
          <w:sz w:val="20"/>
          <w:lang w:val="en-GB" w:eastAsia="en-US"/>
        </w:rPr>
      </w:pPr>
    </w:p>
    <w:tbl>
      <w:tblPr>
        <w:tblStyle w:val="TableGrid"/>
        <w:tblW w:w="0" w:type="auto"/>
        <w:tblInd w:w="-142" w:type="dxa"/>
        <w:tblLook w:val="04A0" w:firstRow="1" w:lastRow="0" w:firstColumn="1" w:lastColumn="0" w:noHBand="0" w:noVBand="1"/>
      </w:tblPr>
      <w:tblGrid>
        <w:gridCol w:w="10347"/>
      </w:tblGrid>
      <w:tr w:rsidR="002042C7" w:rsidRPr="000949AC" w14:paraId="51C0210F" w14:textId="77777777" w:rsidTr="009F40EF">
        <w:trPr>
          <w:trHeight w:val="708"/>
        </w:trPr>
        <w:tc>
          <w:tcPr>
            <w:tcW w:w="10347" w:type="dxa"/>
          </w:tcPr>
          <w:p w14:paraId="7CF5DE68" w14:textId="77777777" w:rsidR="00B87F64" w:rsidRDefault="00B87F64" w:rsidP="00A97AF6">
            <w:pPr>
              <w:pStyle w:val="Heading"/>
              <w:spacing w:after="120"/>
              <w:rPr>
                <w:sz w:val="52"/>
                <w:szCs w:val="40"/>
              </w:rPr>
            </w:pPr>
            <w:r w:rsidRPr="00DC5425">
              <w:rPr>
                <w:sz w:val="52"/>
                <w:szCs w:val="40"/>
              </w:rPr>
              <w:lastRenderedPageBreak/>
              <w:t>Consolidated statement of changes in equity</w:t>
            </w:r>
          </w:p>
          <w:p w14:paraId="7F623DA1" w14:textId="2C475E59" w:rsidR="00B87F64" w:rsidRPr="000949AC" w:rsidRDefault="00B87F64" w:rsidP="00B87F64">
            <w:pPr>
              <w:pStyle w:val="Heading"/>
              <w:spacing w:after="120"/>
            </w:pPr>
            <w:r w:rsidRPr="004C5302">
              <w:rPr>
                <w:sz w:val="24"/>
                <w:szCs w:val="18"/>
              </w:rPr>
              <w:t xml:space="preserve">for the six months ended 30 June </w:t>
            </w:r>
            <w:r w:rsidR="00E85F7E">
              <w:rPr>
                <w:sz w:val="24"/>
                <w:szCs w:val="18"/>
              </w:rPr>
              <w:t>2024</w:t>
            </w:r>
          </w:p>
        </w:tc>
      </w:tr>
      <w:tr w:rsidR="002042C7" w:rsidRPr="00A517F6" w14:paraId="55781B6F" w14:textId="77777777" w:rsidTr="009F40EF">
        <w:trPr>
          <w:trHeight w:hRule="exact" w:val="284"/>
        </w:trPr>
        <w:tc>
          <w:tcPr>
            <w:tcW w:w="10347" w:type="dxa"/>
            <w:shd w:val="clear" w:color="auto" w:fill="16293F" w:themeFill="text1"/>
          </w:tcPr>
          <w:p w14:paraId="0752AB47" w14:textId="77777777" w:rsidR="00B87F64" w:rsidRPr="00A517F6" w:rsidRDefault="00B87F64" w:rsidP="00A97AF6">
            <w:pPr>
              <w:pStyle w:val="Bodytext0"/>
              <w:spacing w:before="0" w:line="240" w:lineRule="auto"/>
              <w:rPr>
                <w:sz w:val="16"/>
                <w:szCs w:val="18"/>
              </w:rPr>
            </w:pPr>
          </w:p>
        </w:tc>
      </w:tr>
    </w:tbl>
    <w:tbl>
      <w:tblPr>
        <w:tblW w:w="10105" w:type="dxa"/>
        <w:tblInd w:w="-142" w:type="dxa"/>
        <w:tblLayout w:type="fixed"/>
        <w:tblLook w:val="0000" w:firstRow="0" w:lastRow="0" w:firstColumn="0" w:lastColumn="0" w:noHBand="0" w:noVBand="0"/>
      </w:tblPr>
      <w:tblGrid>
        <w:gridCol w:w="3255"/>
        <w:gridCol w:w="343"/>
        <w:gridCol w:w="841"/>
        <w:gridCol w:w="680"/>
        <w:gridCol w:w="884"/>
        <w:gridCol w:w="834"/>
        <w:gridCol w:w="779"/>
        <w:gridCol w:w="842"/>
        <w:gridCol w:w="901"/>
        <w:gridCol w:w="737"/>
        <w:gridCol w:w="9"/>
      </w:tblGrid>
      <w:tr w:rsidR="00F96B3F" w:rsidRPr="006D1589" w14:paraId="07C8F9FD" w14:textId="77777777" w:rsidTr="75D94440">
        <w:trPr>
          <w:trHeight w:val="1096"/>
        </w:trPr>
        <w:tc>
          <w:tcPr>
            <w:tcW w:w="3255" w:type="dxa"/>
            <w:tcBorders>
              <w:top w:val="nil"/>
              <w:left w:val="nil"/>
              <w:right w:val="nil"/>
            </w:tcBorders>
            <w:shd w:val="clear" w:color="auto" w:fill="FFFFFF" w:themeFill="background1"/>
            <w:tcMar>
              <w:left w:w="0" w:type="dxa"/>
              <w:right w:w="0" w:type="dxa"/>
            </w:tcMar>
            <w:vAlign w:val="bottom"/>
          </w:tcPr>
          <w:p w14:paraId="373AFBE6" w14:textId="44071FC3" w:rsidR="00304299" w:rsidRPr="006D1589" w:rsidRDefault="00304299" w:rsidP="00A97AF6">
            <w:pPr>
              <w:spacing w:after="0"/>
              <w:rPr>
                <w:rFonts w:eastAsia="Arial"/>
                <w:b/>
                <w:bCs/>
                <w:color w:val="003D7F" w:themeColor="accent2" w:themeShade="BF"/>
                <w:sz w:val="16"/>
                <w:szCs w:val="24"/>
                <w:lang w:eastAsia="en-GB"/>
              </w:rPr>
            </w:pPr>
          </w:p>
        </w:tc>
        <w:tc>
          <w:tcPr>
            <w:tcW w:w="343" w:type="dxa"/>
            <w:tcBorders>
              <w:left w:val="nil"/>
              <w:right w:val="nil"/>
            </w:tcBorders>
            <w:shd w:val="clear" w:color="auto" w:fill="FFFFFF" w:themeFill="background1"/>
          </w:tcPr>
          <w:p w14:paraId="6CDE8902" w14:textId="77777777" w:rsidR="00304299" w:rsidRPr="006D1589" w:rsidRDefault="00304299" w:rsidP="00A97AF6">
            <w:pPr>
              <w:spacing w:after="0"/>
              <w:jc w:val="right"/>
              <w:rPr>
                <w:rFonts w:eastAsia="Arial"/>
                <w:b/>
                <w:bCs/>
                <w:color w:val="003D7F" w:themeColor="accent2" w:themeShade="BF"/>
                <w:sz w:val="16"/>
                <w:szCs w:val="24"/>
                <w:lang w:eastAsia="en-GB"/>
              </w:rPr>
            </w:pPr>
          </w:p>
        </w:tc>
        <w:tc>
          <w:tcPr>
            <w:tcW w:w="841" w:type="dxa"/>
            <w:tcBorders>
              <w:left w:val="nil"/>
              <w:right w:val="nil"/>
            </w:tcBorders>
            <w:shd w:val="clear" w:color="auto" w:fill="FFFFFF" w:themeFill="background1"/>
            <w:vAlign w:val="bottom"/>
          </w:tcPr>
          <w:p w14:paraId="274AED7B"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Share </w:t>
            </w:r>
          </w:p>
          <w:p w14:paraId="00855CF5"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capital </w:t>
            </w:r>
          </w:p>
        </w:tc>
        <w:tc>
          <w:tcPr>
            <w:tcW w:w="680" w:type="dxa"/>
            <w:tcBorders>
              <w:left w:val="nil"/>
              <w:right w:val="nil"/>
            </w:tcBorders>
            <w:shd w:val="clear" w:color="auto" w:fill="FFFFFF" w:themeFill="background1"/>
            <w:tcMar>
              <w:left w:w="0" w:type="dxa"/>
              <w:right w:w="0" w:type="dxa"/>
            </w:tcMar>
            <w:vAlign w:val="bottom"/>
          </w:tcPr>
          <w:p w14:paraId="174BCB3E"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51C0D1C1"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6D3BC259" w14:textId="194ACA9A" w:rsidR="00304299" w:rsidRPr="0001162A" w:rsidRDefault="00304299" w:rsidP="00C87079">
            <w:pPr>
              <w:tabs>
                <w:tab w:val="right" w:pos="555"/>
              </w:tabs>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Own </w:t>
            </w:r>
          </w:p>
          <w:p w14:paraId="289BC1C6" w14:textId="654B3BC7" w:rsidR="00304299" w:rsidRPr="0001162A" w:rsidRDefault="00304299" w:rsidP="00C87079">
            <w:pPr>
              <w:tabs>
                <w:tab w:val="right" w:pos="555"/>
              </w:tabs>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share </w:t>
            </w:r>
          </w:p>
          <w:p w14:paraId="7A65A311" w14:textId="12412639" w:rsidR="00304299" w:rsidRPr="0001162A" w:rsidRDefault="00304299" w:rsidP="00C87079">
            <w:pPr>
              <w:tabs>
                <w:tab w:val="right" w:pos="555"/>
              </w:tabs>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reserve</w:t>
            </w:r>
          </w:p>
        </w:tc>
        <w:tc>
          <w:tcPr>
            <w:tcW w:w="884" w:type="dxa"/>
            <w:tcBorders>
              <w:left w:val="nil"/>
              <w:right w:val="nil"/>
            </w:tcBorders>
            <w:shd w:val="clear" w:color="auto" w:fill="FFFFFF" w:themeFill="background1"/>
            <w:tcMar>
              <w:left w:w="0" w:type="dxa"/>
              <w:right w:w="0" w:type="dxa"/>
            </w:tcMar>
            <w:vAlign w:val="bottom"/>
          </w:tcPr>
          <w:p w14:paraId="282DB0B9"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7BE17242"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12E95201"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1BFBA5F1"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Other  </w:t>
            </w:r>
          </w:p>
          <w:p w14:paraId="167A80A0" w14:textId="021C8022" w:rsidR="00304299" w:rsidRPr="0001162A" w:rsidRDefault="00304299" w:rsidP="00187315">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reserves</w:t>
            </w:r>
          </w:p>
        </w:tc>
        <w:tc>
          <w:tcPr>
            <w:tcW w:w="834" w:type="dxa"/>
            <w:tcBorders>
              <w:left w:val="nil"/>
              <w:right w:val="nil"/>
            </w:tcBorders>
            <w:shd w:val="clear" w:color="auto" w:fill="FFFFFF" w:themeFill="background1"/>
            <w:tcMar>
              <w:left w:w="0" w:type="dxa"/>
              <w:right w:w="0" w:type="dxa"/>
            </w:tcMar>
            <w:vAlign w:val="bottom"/>
          </w:tcPr>
          <w:p w14:paraId="74A52C79"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7FA8208E"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Foreign  </w:t>
            </w:r>
          </w:p>
          <w:p w14:paraId="6FF5D880"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 xml:space="preserve">currency  </w:t>
            </w:r>
          </w:p>
          <w:p w14:paraId="457F9C83" w14:textId="18E033D8"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translation</w:t>
            </w:r>
          </w:p>
          <w:p w14:paraId="4BA42ABA"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reserve </w:t>
            </w:r>
          </w:p>
        </w:tc>
        <w:tc>
          <w:tcPr>
            <w:tcW w:w="779" w:type="dxa"/>
            <w:tcBorders>
              <w:left w:val="nil"/>
              <w:right w:val="nil"/>
            </w:tcBorders>
            <w:shd w:val="clear" w:color="auto" w:fill="FFFFFF" w:themeFill="background1"/>
            <w:tcMar>
              <w:left w:w="0" w:type="dxa"/>
              <w:right w:w="0" w:type="dxa"/>
            </w:tcMar>
            <w:vAlign w:val="bottom"/>
          </w:tcPr>
          <w:p w14:paraId="7407F2F1"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6FFFEB6D"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47F7B9BF"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p>
          <w:p w14:paraId="059DA5B0"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Retained earnings </w:t>
            </w:r>
          </w:p>
        </w:tc>
        <w:tc>
          <w:tcPr>
            <w:tcW w:w="842" w:type="dxa"/>
            <w:tcBorders>
              <w:left w:val="nil"/>
              <w:right w:val="nil"/>
            </w:tcBorders>
            <w:shd w:val="clear" w:color="auto" w:fill="FFFFFF" w:themeFill="background1"/>
            <w:vAlign w:val="bottom"/>
          </w:tcPr>
          <w:p w14:paraId="0BEA077D" w14:textId="77777777" w:rsidR="00304299" w:rsidRPr="0001162A" w:rsidRDefault="00304299" w:rsidP="00A97AF6">
            <w:pPr>
              <w:tabs>
                <w:tab w:val="right" w:pos="589"/>
              </w:tabs>
              <w:spacing w:after="0"/>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ab/>
              <w:t>Total</w:t>
            </w:r>
          </w:p>
        </w:tc>
        <w:tc>
          <w:tcPr>
            <w:tcW w:w="901" w:type="dxa"/>
            <w:tcBorders>
              <w:left w:val="nil"/>
              <w:right w:val="nil"/>
            </w:tcBorders>
            <w:shd w:val="clear" w:color="auto" w:fill="FFFFFF" w:themeFill="background1"/>
            <w:vAlign w:val="bottom"/>
          </w:tcPr>
          <w:p w14:paraId="2C2E02E1" w14:textId="77777777" w:rsidR="00304299" w:rsidRPr="0001162A" w:rsidRDefault="00304299" w:rsidP="00A97AF6">
            <w:pPr>
              <w:spacing w:after="0"/>
              <w:ind w:left="-135" w:right="-77"/>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Non-controlling interests</w:t>
            </w:r>
          </w:p>
        </w:tc>
        <w:tc>
          <w:tcPr>
            <w:tcW w:w="746" w:type="dxa"/>
            <w:gridSpan w:val="2"/>
            <w:tcBorders>
              <w:left w:val="nil"/>
              <w:right w:val="nil"/>
            </w:tcBorders>
            <w:shd w:val="clear" w:color="auto" w:fill="FFFFFF" w:themeFill="background1"/>
            <w:vAlign w:val="bottom"/>
          </w:tcPr>
          <w:p w14:paraId="7C313B9D" w14:textId="77777777" w:rsidR="00304299" w:rsidRPr="0001162A" w:rsidRDefault="00304299" w:rsidP="00A97AF6">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Total equity</w:t>
            </w:r>
          </w:p>
        </w:tc>
      </w:tr>
      <w:tr w:rsidR="00F96B3F" w:rsidRPr="0012410F" w14:paraId="494FBBE8" w14:textId="77777777" w:rsidTr="75D94440">
        <w:trPr>
          <w:trHeight w:val="354"/>
        </w:trPr>
        <w:tc>
          <w:tcPr>
            <w:tcW w:w="3255" w:type="dxa"/>
            <w:tcBorders>
              <w:top w:val="nil"/>
              <w:left w:val="nil"/>
              <w:right w:val="nil"/>
            </w:tcBorders>
            <w:shd w:val="clear" w:color="auto" w:fill="FFFFFF" w:themeFill="background1"/>
            <w:tcMar>
              <w:left w:w="0" w:type="dxa"/>
              <w:right w:w="0" w:type="dxa"/>
            </w:tcMar>
          </w:tcPr>
          <w:p w14:paraId="442B0D71" w14:textId="77777777" w:rsidR="00304299" w:rsidRPr="0012410F" w:rsidRDefault="00304299" w:rsidP="00E23684">
            <w:pPr>
              <w:spacing w:after="0"/>
              <w:jc w:val="right"/>
              <w:rPr>
                <w:rFonts w:eastAsia="Arial"/>
                <w:b/>
                <w:bCs/>
                <w:color w:val="003D7F" w:themeColor="accent2" w:themeShade="BF"/>
                <w:sz w:val="16"/>
                <w:szCs w:val="24"/>
                <w:lang w:eastAsia="en-GB"/>
              </w:rPr>
            </w:pPr>
            <w:r w:rsidRPr="0012410F">
              <w:rPr>
                <w:rFonts w:eastAsia="Arial"/>
                <w:b/>
                <w:bCs/>
                <w:color w:val="003D7F" w:themeColor="accent2" w:themeShade="BF"/>
                <w:sz w:val="16"/>
                <w:szCs w:val="24"/>
                <w:lang w:eastAsia="en-GB"/>
              </w:rPr>
              <w:t xml:space="preserve"> </w:t>
            </w:r>
          </w:p>
        </w:tc>
        <w:tc>
          <w:tcPr>
            <w:tcW w:w="343" w:type="dxa"/>
            <w:tcBorders>
              <w:top w:val="nil"/>
              <w:left w:val="nil"/>
              <w:right w:val="nil"/>
            </w:tcBorders>
            <w:shd w:val="clear" w:color="auto" w:fill="FFFFFF" w:themeFill="background1"/>
          </w:tcPr>
          <w:p w14:paraId="42AF7A2C" w14:textId="77777777" w:rsidR="00304299" w:rsidRPr="0012410F" w:rsidRDefault="00304299" w:rsidP="00E23684">
            <w:pPr>
              <w:spacing w:after="0"/>
              <w:jc w:val="right"/>
              <w:rPr>
                <w:rFonts w:eastAsia="Arial"/>
                <w:b/>
                <w:bCs/>
                <w:color w:val="003D7F" w:themeColor="accent2" w:themeShade="BF"/>
                <w:sz w:val="16"/>
                <w:szCs w:val="24"/>
                <w:lang w:eastAsia="en-GB"/>
              </w:rPr>
            </w:pPr>
          </w:p>
        </w:tc>
        <w:tc>
          <w:tcPr>
            <w:tcW w:w="841" w:type="dxa"/>
            <w:tcBorders>
              <w:top w:val="nil"/>
              <w:left w:val="nil"/>
              <w:right w:val="nil"/>
            </w:tcBorders>
            <w:shd w:val="clear" w:color="auto" w:fill="FFFFFF" w:themeFill="background1"/>
          </w:tcPr>
          <w:p w14:paraId="60EEC6D2"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c>
          <w:tcPr>
            <w:tcW w:w="680" w:type="dxa"/>
            <w:tcBorders>
              <w:top w:val="nil"/>
              <w:left w:val="nil"/>
              <w:right w:val="nil"/>
            </w:tcBorders>
            <w:shd w:val="clear" w:color="auto" w:fill="FFFFFF" w:themeFill="background1"/>
            <w:tcMar>
              <w:left w:w="0" w:type="dxa"/>
              <w:right w:w="0" w:type="dxa"/>
            </w:tcMar>
          </w:tcPr>
          <w:p w14:paraId="434E4227" w14:textId="77777777" w:rsidR="00304299" w:rsidRPr="0001162A" w:rsidRDefault="00304299" w:rsidP="00E23684">
            <w:pPr>
              <w:tabs>
                <w:tab w:val="right" w:pos="747"/>
              </w:tabs>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ab/>
              <w:t>£m </w:t>
            </w:r>
          </w:p>
        </w:tc>
        <w:tc>
          <w:tcPr>
            <w:tcW w:w="884" w:type="dxa"/>
            <w:tcBorders>
              <w:top w:val="nil"/>
              <w:left w:val="nil"/>
              <w:right w:val="nil"/>
            </w:tcBorders>
            <w:shd w:val="clear" w:color="auto" w:fill="FFFFFF" w:themeFill="background1"/>
            <w:tcMar>
              <w:left w:w="0" w:type="dxa"/>
              <w:right w:w="0" w:type="dxa"/>
            </w:tcMar>
          </w:tcPr>
          <w:p w14:paraId="2C4CA02B"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c>
          <w:tcPr>
            <w:tcW w:w="834" w:type="dxa"/>
            <w:tcBorders>
              <w:top w:val="nil"/>
              <w:left w:val="nil"/>
              <w:right w:val="nil"/>
            </w:tcBorders>
            <w:shd w:val="clear" w:color="auto" w:fill="FFFFFF" w:themeFill="background1"/>
            <w:tcMar>
              <w:left w:w="0" w:type="dxa"/>
              <w:right w:w="0" w:type="dxa"/>
            </w:tcMar>
          </w:tcPr>
          <w:p w14:paraId="12A96ED6"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c>
          <w:tcPr>
            <w:tcW w:w="779" w:type="dxa"/>
            <w:tcBorders>
              <w:top w:val="nil"/>
              <w:left w:val="nil"/>
              <w:right w:val="nil"/>
            </w:tcBorders>
            <w:shd w:val="clear" w:color="auto" w:fill="FFFFFF" w:themeFill="background1"/>
            <w:tcMar>
              <w:left w:w="0" w:type="dxa"/>
              <w:right w:w="0" w:type="dxa"/>
            </w:tcMar>
          </w:tcPr>
          <w:p w14:paraId="090DB9B9"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c>
          <w:tcPr>
            <w:tcW w:w="842" w:type="dxa"/>
            <w:tcBorders>
              <w:top w:val="nil"/>
              <w:left w:val="nil"/>
              <w:right w:val="nil"/>
            </w:tcBorders>
            <w:shd w:val="clear" w:color="auto" w:fill="FFFFFF" w:themeFill="background1"/>
          </w:tcPr>
          <w:p w14:paraId="6E9AA799" w14:textId="77777777" w:rsidR="00304299" w:rsidRPr="0001162A" w:rsidRDefault="00304299" w:rsidP="00E23684">
            <w:pPr>
              <w:tabs>
                <w:tab w:val="right" w:pos="490"/>
              </w:tabs>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ab/>
              <w:t>£m</w:t>
            </w:r>
          </w:p>
        </w:tc>
        <w:tc>
          <w:tcPr>
            <w:tcW w:w="901" w:type="dxa"/>
            <w:tcBorders>
              <w:top w:val="nil"/>
              <w:left w:val="nil"/>
              <w:right w:val="nil"/>
            </w:tcBorders>
            <w:shd w:val="clear" w:color="auto" w:fill="FFFFFF" w:themeFill="background1"/>
          </w:tcPr>
          <w:p w14:paraId="3E1C9E08"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c>
          <w:tcPr>
            <w:tcW w:w="746" w:type="dxa"/>
            <w:gridSpan w:val="2"/>
            <w:tcBorders>
              <w:top w:val="nil"/>
              <w:left w:val="nil"/>
              <w:right w:val="nil"/>
            </w:tcBorders>
            <w:shd w:val="clear" w:color="auto" w:fill="FFFFFF" w:themeFill="background1"/>
          </w:tcPr>
          <w:p w14:paraId="6AE75FB6" w14:textId="77777777" w:rsidR="00304299" w:rsidRPr="0001162A" w:rsidRDefault="00304299" w:rsidP="00E23684">
            <w:pPr>
              <w:spacing w:after="0"/>
              <w:jc w:val="right"/>
              <w:rPr>
                <w:rFonts w:ascii="Source Sans Pro Semibold" w:eastAsia="Arial" w:hAnsi="Source Sans Pro Semibold"/>
                <w:color w:val="003D7F" w:themeColor="accent2" w:themeShade="BF"/>
                <w:sz w:val="16"/>
                <w:szCs w:val="24"/>
                <w:lang w:eastAsia="en-GB"/>
              </w:rPr>
            </w:pPr>
            <w:r w:rsidRPr="0001162A">
              <w:rPr>
                <w:rFonts w:ascii="Source Sans Pro Semibold" w:eastAsia="Arial" w:hAnsi="Source Sans Pro Semibold"/>
                <w:color w:val="003D7F" w:themeColor="accent2" w:themeShade="BF"/>
                <w:sz w:val="16"/>
                <w:szCs w:val="24"/>
                <w:lang w:eastAsia="en-GB"/>
              </w:rPr>
              <w:t>£m </w:t>
            </w:r>
          </w:p>
        </w:tc>
      </w:tr>
      <w:tr w:rsidR="00CB3AA6" w:rsidRPr="00EF169A" w14:paraId="20502F0C" w14:textId="77777777" w:rsidTr="75D94440">
        <w:trPr>
          <w:gridAfter w:val="1"/>
          <w:wAfter w:w="9" w:type="dxa"/>
          <w:trHeight w:val="234"/>
        </w:trPr>
        <w:tc>
          <w:tcPr>
            <w:tcW w:w="3255" w:type="dxa"/>
            <w:tcBorders>
              <w:top w:val="nil"/>
              <w:left w:val="nil"/>
              <w:right w:val="nil"/>
            </w:tcBorders>
            <w:shd w:val="clear" w:color="auto" w:fill="FFFFFF" w:themeFill="background1"/>
            <w:tcMar>
              <w:left w:w="0" w:type="dxa"/>
              <w:right w:w="0" w:type="dxa"/>
            </w:tcMar>
            <w:vAlign w:val="bottom"/>
          </w:tcPr>
          <w:p w14:paraId="31FD5A8C" w14:textId="3D99D91E" w:rsidR="00270D37" w:rsidRPr="00480440" w:rsidRDefault="00270D37" w:rsidP="00270D37">
            <w:pPr>
              <w:spacing w:after="0"/>
              <w:rPr>
                <w:rFonts w:eastAsia="Arial"/>
                <w:sz w:val="16"/>
                <w:szCs w:val="24"/>
                <w:lang w:eastAsia="en-GB"/>
              </w:rPr>
            </w:pPr>
            <w:r w:rsidRPr="00480440">
              <w:rPr>
                <w:rFonts w:eastAsia="Arial"/>
                <w:b/>
                <w:sz w:val="16"/>
                <w:szCs w:val="24"/>
                <w:lang w:eastAsia="en-GB"/>
              </w:rPr>
              <w:t xml:space="preserve">At </w:t>
            </w:r>
            <w:r>
              <w:rPr>
                <w:rFonts w:eastAsia="Arial"/>
                <w:b/>
                <w:sz w:val="16"/>
                <w:szCs w:val="24"/>
                <w:lang w:eastAsia="en-GB"/>
              </w:rPr>
              <w:t>1</w:t>
            </w:r>
            <w:r w:rsidRPr="00480440">
              <w:rPr>
                <w:rFonts w:eastAsia="Arial"/>
                <w:b/>
                <w:sz w:val="16"/>
                <w:szCs w:val="24"/>
                <w:lang w:eastAsia="en-GB"/>
              </w:rPr>
              <w:t xml:space="preserve"> </w:t>
            </w:r>
            <w:r>
              <w:rPr>
                <w:rFonts w:eastAsia="Arial"/>
                <w:b/>
                <w:sz w:val="16"/>
                <w:szCs w:val="24"/>
                <w:lang w:eastAsia="en-GB"/>
              </w:rPr>
              <w:t>January</w:t>
            </w:r>
            <w:r w:rsidRPr="00480440">
              <w:rPr>
                <w:rFonts w:eastAsia="Arial"/>
                <w:b/>
                <w:sz w:val="16"/>
                <w:szCs w:val="24"/>
                <w:lang w:eastAsia="en-GB"/>
              </w:rPr>
              <w:t xml:space="preserve"> </w:t>
            </w:r>
            <w:r>
              <w:rPr>
                <w:rFonts w:eastAsia="Arial"/>
                <w:b/>
                <w:sz w:val="16"/>
                <w:szCs w:val="24"/>
                <w:lang w:eastAsia="en-GB"/>
              </w:rPr>
              <w:t xml:space="preserve">2023 </w:t>
            </w:r>
          </w:p>
        </w:tc>
        <w:tc>
          <w:tcPr>
            <w:tcW w:w="343" w:type="dxa"/>
            <w:tcBorders>
              <w:top w:val="nil"/>
              <w:left w:val="nil"/>
              <w:right w:val="nil"/>
            </w:tcBorders>
          </w:tcPr>
          <w:p w14:paraId="5F878A25" w14:textId="77777777" w:rsidR="00270D37" w:rsidRPr="00480440" w:rsidRDefault="00270D37" w:rsidP="00270D37">
            <w:pPr>
              <w:spacing w:after="0"/>
              <w:jc w:val="right"/>
              <w:rPr>
                <w:rFonts w:eastAsia="Arial"/>
                <w:sz w:val="16"/>
                <w:szCs w:val="24"/>
                <w:lang w:eastAsia="en-GB"/>
              </w:rPr>
            </w:pPr>
          </w:p>
        </w:tc>
        <w:tc>
          <w:tcPr>
            <w:tcW w:w="841" w:type="dxa"/>
            <w:tcBorders>
              <w:left w:val="nil"/>
              <w:right w:val="nil"/>
            </w:tcBorders>
            <w:vAlign w:val="bottom"/>
          </w:tcPr>
          <w:p w14:paraId="6DCB8CBF" w14:textId="70ED4594" w:rsidR="00270D37" w:rsidRPr="00EF169A" w:rsidRDefault="00270D37" w:rsidP="002408DA">
            <w:pPr>
              <w:tabs>
                <w:tab w:val="decimal" w:pos="483"/>
              </w:tabs>
              <w:spacing w:after="0"/>
              <w:jc w:val="right"/>
              <w:rPr>
                <w:b/>
                <w:sz w:val="16"/>
              </w:rPr>
            </w:pPr>
            <w:r w:rsidRPr="00304299">
              <w:rPr>
                <w:rFonts w:eastAsia="Arial"/>
                <w:b/>
                <w:sz w:val="16"/>
                <w:szCs w:val="24"/>
                <w:lang w:eastAsia="en-GB"/>
              </w:rPr>
              <w:t>10.9</w:t>
            </w:r>
          </w:p>
        </w:tc>
        <w:tc>
          <w:tcPr>
            <w:tcW w:w="680" w:type="dxa"/>
            <w:tcBorders>
              <w:left w:val="nil"/>
              <w:right w:val="nil"/>
            </w:tcBorders>
            <w:shd w:val="clear" w:color="auto" w:fill="auto"/>
            <w:tcMar>
              <w:left w:w="0" w:type="dxa"/>
              <w:right w:w="0" w:type="dxa"/>
            </w:tcMar>
            <w:vAlign w:val="bottom"/>
          </w:tcPr>
          <w:p w14:paraId="164E1E80" w14:textId="7C37B7A3" w:rsidR="00270D37" w:rsidRPr="00EF169A" w:rsidRDefault="00270D37" w:rsidP="00577845">
            <w:pPr>
              <w:tabs>
                <w:tab w:val="decimal" w:pos="533"/>
              </w:tabs>
              <w:spacing w:after="0"/>
              <w:rPr>
                <w:b/>
                <w:sz w:val="16"/>
              </w:rPr>
            </w:pPr>
            <w:r w:rsidRPr="00304299">
              <w:rPr>
                <w:rFonts w:eastAsia="Arial"/>
                <w:b/>
                <w:sz w:val="16"/>
                <w:szCs w:val="24"/>
                <w:lang w:eastAsia="en-GB"/>
              </w:rPr>
              <w:t>(0.</w:t>
            </w:r>
            <w:r w:rsidRPr="00304299">
              <w:rPr>
                <w:rFonts w:eastAsia="Arial"/>
                <w:b/>
                <w:bCs/>
                <w:sz w:val="16"/>
                <w:szCs w:val="24"/>
                <w:lang w:eastAsia="en-GB"/>
              </w:rPr>
              <w:t>5</w:t>
            </w:r>
            <w:r w:rsidRPr="00304299">
              <w:rPr>
                <w:rFonts w:eastAsia="Arial"/>
                <w:b/>
                <w:sz w:val="16"/>
                <w:szCs w:val="24"/>
                <w:lang w:eastAsia="en-GB"/>
              </w:rPr>
              <w:t>)</w:t>
            </w:r>
          </w:p>
        </w:tc>
        <w:tc>
          <w:tcPr>
            <w:tcW w:w="884" w:type="dxa"/>
            <w:tcBorders>
              <w:left w:val="nil"/>
              <w:right w:val="nil"/>
            </w:tcBorders>
            <w:shd w:val="clear" w:color="auto" w:fill="auto"/>
            <w:tcMar>
              <w:left w:w="0" w:type="dxa"/>
              <w:right w:w="0" w:type="dxa"/>
            </w:tcMar>
            <w:vAlign w:val="bottom"/>
          </w:tcPr>
          <w:p w14:paraId="4DF4DEAE" w14:textId="37EB4C22" w:rsidR="00270D37" w:rsidRPr="00EF169A" w:rsidRDefault="00270D37" w:rsidP="00577845">
            <w:pPr>
              <w:tabs>
                <w:tab w:val="decimal" w:pos="749"/>
              </w:tabs>
              <w:spacing w:after="0"/>
              <w:rPr>
                <w:b/>
                <w:sz w:val="16"/>
              </w:rPr>
            </w:pPr>
            <w:r w:rsidRPr="00304299">
              <w:rPr>
                <w:rFonts w:eastAsia="Arial"/>
                <w:b/>
                <w:sz w:val="16"/>
                <w:szCs w:val="24"/>
                <w:lang w:eastAsia="en-GB"/>
              </w:rPr>
              <w:t>250.3</w:t>
            </w:r>
          </w:p>
        </w:tc>
        <w:tc>
          <w:tcPr>
            <w:tcW w:w="834" w:type="dxa"/>
            <w:tcBorders>
              <w:left w:val="nil"/>
              <w:right w:val="nil"/>
            </w:tcBorders>
            <w:shd w:val="clear" w:color="auto" w:fill="auto"/>
            <w:tcMar>
              <w:left w:w="0" w:type="dxa"/>
              <w:right w:w="0" w:type="dxa"/>
            </w:tcMar>
            <w:vAlign w:val="bottom"/>
          </w:tcPr>
          <w:p w14:paraId="460F8C4E" w14:textId="6E7C5E22" w:rsidR="00270D37" w:rsidRPr="00EF169A" w:rsidRDefault="00270D37" w:rsidP="00577845">
            <w:pPr>
              <w:tabs>
                <w:tab w:val="decimal" w:pos="667"/>
              </w:tabs>
              <w:spacing w:after="0"/>
              <w:rPr>
                <w:b/>
                <w:sz w:val="16"/>
              </w:rPr>
            </w:pPr>
            <w:r w:rsidRPr="00304299">
              <w:rPr>
                <w:rFonts w:eastAsia="Arial"/>
                <w:b/>
                <w:bCs/>
                <w:sz w:val="16"/>
                <w:szCs w:val="24"/>
                <w:lang w:eastAsia="en-GB"/>
              </w:rPr>
              <w:t>3.7</w:t>
            </w:r>
          </w:p>
        </w:tc>
        <w:tc>
          <w:tcPr>
            <w:tcW w:w="779" w:type="dxa"/>
            <w:tcBorders>
              <w:left w:val="nil"/>
              <w:right w:val="nil"/>
            </w:tcBorders>
            <w:shd w:val="clear" w:color="auto" w:fill="auto"/>
            <w:tcMar>
              <w:left w:w="0" w:type="dxa"/>
              <w:right w:w="0" w:type="dxa"/>
            </w:tcMar>
            <w:vAlign w:val="bottom"/>
          </w:tcPr>
          <w:p w14:paraId="5D867708" w14:textId="4E6597FA" w:rsidR="00270D37" w:rsidRPr="00EF169A" w:rsidRDefault="00270D37" w:rsidP="00577845">
            <w:pPr>
              <w:tabs>
                <w:tab w:val="decimal" w:pos="541"/>
              </w:tabs>
              <w:spacing w:after="0"/>
              <w:rPr>
                <w:b/>
                <w:sz w:val="16"/>
              </w:rPr>
            </w:pPr>
            <w:r w:rsidRPr="00304299">
              <w:rPr>
                <w:rFonts w:eastAsia="Arial"/>
                <w:b/>
                <w:bCs/>
                <w:sz w:val="16"/>
                <w:szCs w:val="24"/>
                <w:lang w:eastAsia="en-GB"/>
              </w:rPr>
              <w:t>578.9</w:t>
            </w:r>
          </w:p>
        </w:tc>
        <w:tc>
          <w:tcPr>
            <w:tcW w:w="842" w:type="dxa"/>
            <w:tcBorders>
              <w:left w:val="nil"/>
              <w:right w:val="nil"/>
            </w:tcBorders>
            <w:vAlign w:val="bottom"/>
          </w:tcPr>
          <w:p w14:paraId="0A9160ED" w14:textId="2CD09574" w:rsidR="00270D37" w:rsidRPr="00EF169A" w:rsidRDefault="00270D37" w:rsidP="00577845">
            <w:pPr>
              <w:tabs>
                <w:tab w:val="decimal" w:pos="435"/>
              </w:tabs>
              <w:spacing w:after="0"/>
              <w:rPr>
                <w:b/>
                <w:sz w:val="16"/>
              </w:rPr>
            </w:pPr>
            <w:r w:rsidRPr="00304299">
              <w:rPr>
                <w:rFonts w:eastAsia="Arial"/>
                <w:b/>
                <w:bCs/>
                <w:sz w:val="16"/>
                <w:szCs w:val="24"/>
                <w:lang w:eastAsia="en-GB"/>
              </w:rPr>
              <w:t>843.3</w:t>
            </w:r>
          </w:p>
        </w:tc>
        <w:tc>
          <w:tcPr>
            <w:tcW w:w="901" w:type="dxa"/>
            <w:tcBorders>
              <w:left w:val="nil"/>
              <w:right w:val="nil"/>
            </w:tcBorders>
            <w:vAlign w:val="bottom"/>
          </w:tcPr>
          <w:p w14:paraId="0640109C" w14:textId="49D884D0" w:rsidR="00270D37" w:rsidRPr="00EF169A" w:rsidRDefault="00270D37" w:rsidP="00577845">
            <w:pPr>
              <w:tabs>
                <w:tab w:val="decimal" w:pos="541"/>
              </w:tabs>
              <w:spacing w:after="0"/>
              <w:rPr>
                <w:b/>
                <w:sz w:val="16"/>
              </w:rPr>
            </w:pPr>
            <w:r w:rsidRPr="00304299">
              <w:rPr>
                <w:rFonts w:eastAsia="Arial"/>
                <w:b/>
                <w:bCs/>
                <w:sz w:val="16"/>
                <w:szCs w:val="24"/>
                <w:lang w:eastAsia="en-GB"/>
              </w:rPr>
              <w:t>0.6</w:t>
            </w:r>
          </w:p>
        </w:tc>
        <w:tc>
          <w:tcPr>
            <w:tcW w:w="737" w:type="dxa"/>
            <w:tcBorders>
              <w:left w:val="nil"/>
              <w:right w:val="nil"/>
            </w:tcBorders>
            <w:vAlign w:val="bottom"/>
          </w:tcPr>
          <w:p w14:paraId="62C9E01A" w14:textId="54CA04E3" w:rsidR="00270D37" w:rsidRPr="00EF169A" w:rsidRDefault="00270D37" w:rsidP="00577845">
            <w:pPr>
              <w:tabs>
                <w:tab w:val="decimal" w:pos="354"/>
              </w:tabs>
              <w:spacing w:after="0"/>
              <w:rPr>
                <w:b/>
                <w:sz w:val="16"/>
              </w:rPr>
            </w:pPr>
            <w:r w:rsidRPr="00304299">
              <w:rPr>
                <w:rFonts w:eastAsia="Arial"/>
                <w:b/>
                <w:bCs/>
                <w:sz w:val="16"/>
                <w:szCs w:val="24"/>
                <w:lang w:eastAsia="en-GB"/>
              </w:rPr>
              <w:t>843.9</w:t>
            </w:r>
          </w:p>
        </w:tc>
      </w:tr>
      <w:tr w:rsidR="00CB3AA6" w:rsidRPr="00EF169A" w14:paraId="453050E0" w14:textId="77777777" w:rsidTr="75D94440">
        <w:trPr>
          <w:gridAfter w:val="1"/>
          <w:wAfter w:w="9" w:type="dxa"/>
          <w:trHeight w:val="234"/>
        </w:trPr>
        <w:tc>
          <w:tcPr>
            <w:tcW w:w="3255" w:type="dxa"/>
            <w:tcBorders>
              <w:top w:val="nil"/>
              <w:left w:val="nil"/>
              <w:right w:val="nil"/>
            </w:tcBorders>
            <w:shd w:val="clear" w:color="auto" w:fill="FFFFFF" w:themeFill="background1"/>
            <w:tcMar>
              <w:left w:w="0" w:type="dxa"/>
              <w:right w:w="0" w:type="dxa"/>
            </w:tcMar>
            <w:vAlign w:val="bottom"/>
          </w:tcPr>
          <w:p w14:paraId="3B520DB0" w14:textId="374FCC3C" w:rsidR="00270D37" w:rsidRPr="00480440" w:rsidRDefault="00270D37" w:rsidP="00270D37">
            <w:pPr>
              <w:spacing w:after="0"/>
              <w:rPr>
                <w:rFonts w:eastAsia="Arial"/>
                <w:sz w:val="16"/>
                <w:szCs w:val="24"/>
                <w:lang w:eastAsia="en-GB"/>
              </w:rPr>
            </w:pPr>
            <w:r w:rsidRPr="00480440">
              <w:rPr>
                <w:rFonts w:eastAsia="Arial"/>
                <w:sz w:val="16"/>
                <w:szCs w:val="24"/>
                <w:lang w:eastAsia="en-GB"/>
              </w:rPr>
              <w:t>Profit</w:t>
            </w:r>
            <w:r w:rsidR="00447730">
              <w:rPr>
                <w:rFonts w:eastAsia="Arial"/>
                <w:sz w:val="16"/>
                <w:szCs w:val="24"/>
                <w:lang w:eastAsia="en-GB"/>
              </w:rPr>
              <w:t>/(loss)</w:t>
            </w:r>
            <w:r w:rsidRPr="00480440">
              <w:rPr>
                <w:rFonts w:eastAsia="Arial"/>
                <w:sz w:val="16"/>
                <w:szCs w:val="24"/>
                <w:lang w:eastAsia="en-GB"/>
              </w:rPr>
              <w:t xml:space="preserve"> for the </w:t>
            </w:r>
            <w:r>
              <w:rPr>
                <w:rFonts w:eastAsia="Arial"/>
                <w:sz w:val="16"/>
                <w:szCs w:val="24"/>
                <w:lang w:eastAsia="en-GB"/>
              </w:rPr>
              <w:t>period</w:t>
            </w:r>
          </w:p>
        </w:tc>
        <w:tc>
          <w:tcPr>
            <w:tcW w:w="343" w:type="dxa"/>
            <w:tcBorders>
              <w:top w:val="nil"/>
              <w:left w:val="nil"/>
              <w:right w:val="nil"/>
            </w:tcBorders>
          </w:tcPr>
          <w:p w14:paraId="55E3E1EB" w14:textId="77777777" w:rsidR="00270D37" w:rsidRPr="00480440" w:rsidRDefault="00270D37" w:rsidP="00270D37">
            <w:pPr>
              <w:spacing w:after="0"/>
              <w:jc w:val="right"/>
              <w:rPr>
                <w:rFonts w:eastAsia="Arial"/>
                <w:sz w:val="16"/>
                <w:szCs w:val="24"/>
                <w:lang w:eastAsia="en-GB"/>
              </w:rPr>
            </w:pPr>
          </w:p>
        </w:tc>
        <w:tc>
          <w:tcPr>
            <w:tcW w:w="841" w:type="dxa"/>
            <w:tcBorders>
              <w:left w:val="nil"/>
              <w:right w:val="nil"/>
            </w:tcBorders>
            <w:vAlign w:val="bottom"/>
          </w:tcPr>
          <w:p w14:paraId="225ECB11" w14:textId="7F7399F0" w:rsidR="00270D37" w:rsidRPr="00EF169A" w:rsidRDefault="00270D37" w:rsidP="002408DA">
            <w:pPr>
              <w:tabs>
                <w:tab w:val="decimal" w:pos="483"/>
              </w:tabs>
              <w:spacing w:after="0"/>
              <w:jc w:val="right"/>
              <w:rPr>
                <w:rFonts w:eastAsia="Arial"/>
                <w:sz w:val="16"/>
                <w:szCs w:val="24"/>
                <w:lang w:eastAsia="en-GB"/>
              </w:rPr>
            </w:pPr>
            <w:r w:rsidRPr="00304299">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29A104B9" w14:textId="4F8A1E0B" w:rsidR="00270D37" w:rsidRPr="00EF169A" w:rsidRDefault="00270D37" w:rsidP="00577845">
            <w:pPr>
              <w:tabs>
                <w:tab w:val="decimal" w:pos="533"/>
              </w:tabs>
              <w:spacing w:after="0"/>
              <w:rPr>
                <w:rFonts w:eastAsia="Arial"/>
                <w:sz w:val="16"/>
                <w:szCs w:val="24"/>
                <w:lang w:eastAsia="en-GB"/>
              </w:rPr>
            </w:pPr>
            <w:r w:rsidRPr="00304299">
              <w:rPr>
                <w:rFonts w:eastAsia="Arial"/>
                <w:sz w:val="16"/>
                <w:szCs w:val="24"/>
                <w:lang w:eastAsia="en-GB"/>
              </w:rPr>
              <w:t>-</w:t>
            </w:r>
          </w:p>
        </w:tc>
        <w:tc>
          <w:tcPr>
            <w:tcW w:w="884" w:type="dxa"/>
            <w:tcBorders>
              <w:left w:val="nil"/>
              <w:right w:val="nil"/>
            </w:tcBorders>
            <w:shd w:val="clear" w:color="auto" w:fill="auto"/>
            <w:tcMar>
              <w:left w:w="0" w:type="dxa"/>
              <w:right w:w="0" w:type="dxa"/>
            </w:tcMar>
            <w:vAlign w:val="bottom"/>
          </w:tcPr>
          <w:p w14:paraId="213EF3DE" w14:textId="678E8A1F" w:rsidR="00270D37" w:rsidRPr="00EF169A" w:rsidRDefault="00270D37" w:rsidP="00577845">
            <w:pPr>
              <w:tabs>
                <w:tab w:val="decimal" w:pos="749"/>
              </w:tabs>
              <w:spacing w:after="0"/>
              <w:rPr>
                <w:rFonts w:eastAsia="Arial"/>
                <w:sz w:val="16"/>
                <w:szCs w:val="24"/>
                <w:lang w:eastAsia="en-GB"/>
              </w:rPr>
            </w:pPr>
            <w:r w:rsidRPr="00304299">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071E4A24" w14:textId="0F05E68D" w:rsidR="00270D37" w:rsidRPr="00EF169A" w:rsidRDefault="00270D37" w:rsidP="00577845">
            <w:pPr>
              <w:tabs>
                <w:tab w:val="decimal" w:pos="667"/>
              </w:tabs>
              <w:spacing w:after="0"/>
              <w:rPr>
                <w:rFonts w:eastAsia="Arial"/>
                <w:sz w:val="16"/>
                <w:szCs w:val="24"/>
                <w:lang w:eastAsia="en-GB"/>
              </w:rPr>
            </w:pPr>
            <w:r w:rsidRPr="00304299">
              <w:rPr>
                <w:rFonts w:eastAsia="Arial"/>
                <w:sz w:val="16"/>
                <w:szCs w:val="24"/>
                <w:lang w:eastAsia="en-GB"/>
              </w:rPr>
              <w:t>-</w:t>
            </w:r>
          </w:p>
        </w:tc>
        <w:tc>
          <w:tcPr>
            <w:tcW w:w="779" w:type="dxa"/>
            <w:tcBorders>
              <w:left w:val="nil"/>
              <w:right w:val="nil"/>
            </w:tcBorders>
            <w:shd w:val="clear" w:color="auto" w:fill="auto"/>
            <w:tcMar>
              <w:left w:w="0" w:type="dxa"/>
              <w:right w:w="0" w:type="dxa"/>
            </w:tcMar>
            <w:vAlign w:val="bottom"/>
          </w:tcPr>
          <w:p w14:paraId="300F0D4A" w14:textId="3EAF23CD" w:rsidR="00270D37" w:rsidRPr="00EF169A" w:rsidRDefault="00270D37" w:rsidP="00577845">
            <w:pPr>
              <w:tabs>
                <w:tab w:val="decimal" w:pos="541"/>
              </w:tabs>
              <w:spacing w:after="0"/>
              <w:rPr>
                <w:rFonts w:eastAsia="Arial"/>
                <w:sz w:val="16"/>
                <w:szCs w:val="24"/>
                <w:lang w:eastAsia="en-GB"/>
              </w:rPr>
            </w:pPr>
            <w:r w:rsidRPr="003254A4">
              <w:rPr>
                <w:rFonts w:eastAsia="Arial"/>
                <w:sz w:val="16"/>
                <w:szCs w:val="24"/>
                <w:lang w:eastAsia="en-GB"/>
              </w:rPr>
              <w:t>24.3</w:t>
            </w:r>
          </w:p>
        </w:tc>
        <w:tc>
          <w:tcPr>
            <w:tcW w:w="842" w:type="dxa"/>
            <w:tcBorders>
              <w:left w:val="nil"/>
              <w:right w:val="nil"/>
            </w:tcBorders>
            <w:vAlign w:val="bottom"/>
          </w:tcPr>
          <w:p w14:paraId="4C7D8AED" w14:textId="10ECEB04" w:rsidR="00270D37" w:rsidRPr="00EF169A" w:rsidRDefault="00270D37" w:rsidP="00577845">
            <w:pPr>
              <w:tabs>
                <w:tab w:val="decimal" w:pos="435"/>
              </w:tabs>
              <w:spacing w:after="0"/>
              <w:rPr>
                <w:rFonts w:eastAsia="Arial"/>
                <w:sz w:val="16"/>
                <w:szCs w:val="24"/>
                <w:lang w:eastAsia="en-GB"/>
              </w:rPr>
            </w:pPr>
            <w:r w:rsidRPr="003254A4">
              <w:rPr>
                <w:rFonts w:eastAsia="Arial"/>
                <w:sz w:val="16"/>
                <w:szCs w:val="24"/>
                <w:lang w:eastAsia="en-GB"/>
              </w:rPr>
              <w:t>24.3</w:t>
            </w:r>
          </w:p>
        </w:tc>
        <w:tc>
          <w:tcPr>
            <w:tcW w:w="901" w:type="dxa"/>
            <w:tcBorders>
              <w:left w:val="nil"/>
              <w:right w:val="nil"/>
            </w:tcBorders>
            <w:vAlign w:val="bottom"/>
          </w:tcPr>
          <w:p w14:paraId="07478509" w14:textId="72ADC5A9" w:rsidR="00270D37" w:rsidRPr="00EF169A" w:rsidRDefault="00270D37" w:rsidP="00577845">
            <w:pPr>
              <w:tabs>
                <w:tab w:val="decimal" w:pos="541"/>
              </w:tabs>
              <w:spacing w:after="0"/>
              <w:rPr>
                <w:sz w:val="16"/>
              </w:rPr>
            </w:pPr>
            <w:r w:rsidRPr="003254A4">
              <w:rPr>
                <w:rFonts w:eastAsia="Arial"/>
                <w:sz w:val="16"/>
                <w:szCs w:val="24"/>
                <w:lang w:eastAsia="en-GB"/>
              </w:rPr>
              <w:t>(0.1)</w:t>
            </w:r>
          </w:p>
        </w:tc>
        <w:tc>
          <w:tcPr>
            <w:tcW w:w="737" w:type="dxa"/>
            <w:tcBorders>
              <w:left w:val="nil"/>
              <w:right w:val="nil"/>
            </w:tcBorders>
            <w:vAlign w:val="bottom"/>
          </w:tcPr>
          <w:p w14:paraId="5DC76310" w14:textId="792888FB" w:rsidR="00270D37" w:rsidRPr="00EF169A" w:rsidRDefault="00270D37" w:rsidP="00577845">
            <w:pPr>
              <w:tabs>
                <w:tab w:val="decimal" w:pos="354"/>
              </w:tabs>
              <w:spacing w:after="0"/>
              <w:rPr>
                <w:sz w:val="16"/>
              </w:rPr>
            </w:pPr>
            <w:r>
              <w:rPr>
                <w:rFonts w:eastAsia="Arial"/>
                <w:sz w:val="16"/>
                <w:szCs w:val="24"/>
                <w:lang w:eastAsia="en-GB"/>
              </w:rPr>
              <w:t>24.2</w:t>
            </w:r>
          </w:p>
        </w:tc>
      </w:tr>
      <w:tr w:rsidR="00CB3AA6" w:rsidRPr="00480440" w14:paraId="11215B89" w14:textId="77777777" w:rsidTr="75D94440">
        <w:trPr>
          <w:trHeight w:val="234"/>
        </w:trPr>
        <w:tc>
          <w:tcPr>
            <w:tcW w:w="3255" w:type="dxa"/>
            <w:tcBorders>
              <w:left w:val="nil"/>
              <w:right w:val="nil"/>
            </w:tcBorders>
            <w:shd w:val="clear" w:color="auto" w:fill="FFFFFF" w:themeFill="background1"/>
            <w:tcMar>
              <w:left w:w="0" w:type="dxa"/>
              <w:right w:w="0" w:type="dxa"/>
            </w:tcMar>
            <w:vAlign w:val="bottom"/>
          </w:tcPr>
          <w:p w14:paraId="699B8913" w14:textId="77777777" w:rsidR="00270D37" w:rsidRPr="00480440" w:rsidRDefault="00270D37" w:rsidP="00270D37">
            <w:pPr>
              <w:spacing w:after="0"/>
              <w:rPr>
                <w:rFonts w:eastAsia="Arial"/>
                <w:b/>
                <w:sz w:val="16"/>
                <w:szCs w:val="24"/>
                <w:lang w:eastAsia="en-GB"/>
              </w:rPr>
            </w:pPr>
            <w:r w:rsidRPr="00480440">
              <w:rPr>
                <w:rFonts w:eastAsia="Arial"/>
                <w:sz w:val="16"/>
                <w:szCs w:val="24"/>
                <w:lang w:eastAsia="en-GB"/>
              </w:rPr>
              <w:t>Exchange movements on translation of subsidiary undertakings</w:t>
            </w:r>
          </w:p>
        </w:tc>
        <w:tc>
          <w:tcPr>
            <w:tcW w:w="343" w:type="dxa"/>
            <w:tcBorders>
              <w:left w:val="nil"/>
              <w:right w:val="nil"/>
            </w:tcBorders>
          </w:tcPr>
          <w:p w14:paraId="0EE686BB" w14:textId="77777777" w:rsidR="00270D37" w:rsidRPr="00480440" w:rsidRDefault="00270D37" w:rsidP="00270D37">
            <w:pPr>
              <w:spacing w:after="0"/>
              <w:jc w:val="right"/>
              <w:rPr>
                <w:rFonts w:eastAsia="Arial"/>
                <w:sz w:val="16"/>
                <w:szCs w:val="24"/>
                <w:lang w:eastAsia="en-GB"/>
              </w:rPr>
            </w:pPr>
          </w:p>
        </w:tc>
        <w:tc>
          <w:tcPr>
            <w:tcW w:w="841" w:type="dxa"/>
            <w:tcBorders>
              <w:left w:val="nil"/>
              <w:bottom w:val="single" w:sz="4" w:space="0" w:color="auto"/>
              <w:right w:val="nil"/>
            </w:tcBorders>
            <w:vAlign w:val="bottom"/>
          </w:tcPr>
          <w:p w14:paraId="3CCB6BD5" w14:textId="0297B4DB" w:rsidR="00270D37" w:rsidRPr="00EF169A" w:rsidRDefault="00270D37" w:rsidP="002408DA">
            <w:pPr>
              <w:tabs>
                <w:tab w:val="decimal" w:pos="483"/>
              </w:tabs>
              <w:spacing w:after="0"/>
              <w:jc w:val="right"/>
              <w:rPr>
                <w:rFonts w:eastAsia="Arial"/>
                <w:b/>
                <w:bCs/>
                <w:sz w:val="16"/>
                <w:szCs w:val="24"/>
                <w:lang w:eastAsia="en-GB"/>
              </w:rPr>
            </w:pPr>
            <w:r w:rsidRPr="00304299">
              <w:rPr>
                <w:rFonts w:eastAsia="Arial"/>
                <w:sz w:val="16"/>
                <w:szCs w:val="24"/>
                <w:lang w:eastAsia="en-GB"/>
              </w:rPr>
              <w:t>-</w:t>
            </w:r>
          </w:p>
        </w:tc>
        <w:tc>
          <w:tcPr>
            <w:tcW w:w="680" w:type="dxa"/>
            <w:tcBorders>
              <w:left w:val="nil"/>
              <w:bottom w:val="single" w:sz="4" w:space="0" w:color="auto"/>
              <w:right w:val="nil"/>
            </w:tcBorders>
            <w:shd w:val="clear" w:color="auto" w:fill="auto"/>
            <w:tcMar>
              <w:left w:w="0" w:type="dxa"/>
              <w:right w:w="0" w:type="dxa"/>
            </w:tcMar>
            <w:vAlign w:val="bottom"/>
          </w:tcPr>
          <w:p w14:paraId="62F4912F" w14:textId="0F648652" w:rsidR="00270D37" w:rsidRPr="00EF169A" w:rsidRDefault="00270D37" w:rsidP="00577845">
            <w:pPr>
              <w:tabs>
                <w:tab w:val="decimal" w:pos="533"/>
              </w:tabs>
              <w:spacing w:after="0"/>
              <w:rPr>
                <w:rFonts w:eastAsia="Arial"/>
                <w:b/>
                <w:bCs/>
                <w:sz w:val="16"/>
                <w:szCs w:val="24"/>
                <w:lang w:eastAsia="en-GB"/>
              </w:rPr>
            </w:pPr>
            <w:r w:rsidRPr="00304299">
              <w:rPr>
                <w:rFonts w:eastAsia="Arial"/>
                <w:sz w:val="16"/>
                <w:szCs w:val="24"/>
                <w:lang w:eastAsia="en-GB"/>
              </w:rPr>
              <w:t>-</w:t>
            </w:r>
          </w:p>
        </w:tc>
        <w:tc>
          <w:tcPr>
            <w:tcW w:w="884" w:type="dxa"/>
            <w:tcBorders>
              <w:left w:val="nil"/>
              <w:bottom w:val="single" w:sz="4" w:space="0" w:color="auto"/>
              <w:right w:val="nil"/>
            </w:tcBorders>
            <w:shd w:val="clear" w:color="auto" w:fill="auto"/>
            <w:tcMar>
              <w:left w:w="0" w:type="dxa"/>
              <w:right w:w="0" w:type="dxa"/>
            </w:tcMar>
            <w:vAlign w:val="bottom"/>
          </w:tcPr>
          <w:p w14:paraId="5B72AADD" w14:textId="709115FE" w:rsidR="00270D37" w:rsidRPr="00EF169A" w:rsidRDefault="00270D37" w:rsidP="00577845">
            <w:pPr>
              <w:tabs>
                <w:tab w:val="decimal" w:pos="749"/>
              </w:tabs>
              <w:spacing w:after="0"/>
              <w:rPr>
                <w:rFonts w:eastAsia="Arial"/>
                <w:b/>
                <w:bCs/>
                <w:sz w:val="16"/>
                <w:szCs w:val="24"/>
                <w:lang w:eastAsia="en-GB"/>
              </w:rPr>
            </w:pPr>
            <w:r w:rsidRPr="00304299">
              <w:rPr>
                <w:rFonts w:eastAsia="Arial"/>
                <w:sz w:val="16"/>
                <w:szCs w:val="24"/>
                <w:lang w:eastAsia="en-GB"/>
              </w:rPr>
              <w:t>-</w:t>
            </w:r>
          </w:p>
        </w:tc>
        <w:tc>
          <w:tcPr>
            <w:tcW w:w="834" w:type="dxa"/>
            <w:tcBorders>
              <w:left w:val="nil"/>
              <w:bottom w:val="single" w:sz="4" w:space="0" w:color="auto"/>
              <w:right w:val="nil"/>
            </w:tcBorders>
            <w:shd w:val="clear" w:color="auto" w:fill="auto"/>
            <w:tcMar>
              <w:left w:w="0" w:type="dxa"/>
              <w:right w:w="0" w:type="dxa"/>
            </w:tcMar>
            <w:vAlign w:val="bottom"/>
          </w:tcPr>
          <w:p w14:paraId="5911C49D" w14:textId="37CA45D9" w:rsidR="00270D37" w:rsidRPr="00EF169A" w:rsidRDefault="00270D37" w:rsidP="00577845">
            <w:pPr>
              <w:tabs>
                <w:tab w:val="decimal" w:pos="667"/>
              </w:tabs>
              <w:spacing w:after="0"/>
              <w:rPr>
                <w:rFonts w:eastAsia="Arial"/>
                <w:b/>
                <w:bCs/>
                <w:sz w:val="16"/>
                <w:szCs w:val="24"/>
                <w:lang w:eastAsia="en-GB"/>
              </w:rPr>
            </w:pPr>
            <w:r w:rsidRPr="00F2575A">
              <w:rPr>
                <w:rFonts w:eastAsia="Arial"/>
                <w:sz w:val="16"/>
                <w:szCs w:val="24"/>
                <w:lang w:eastAsia="en-GB"/>
              </w:rPr>
              <w:t>(2.1)</w:t>
            </w:r>
          </w:p>
        </w:tc>
        <w:tc>
          <w:tcPr>
            <w:tcW w:w="779" w:type="dxa"/>
            <w:tcBorders>
              <w:left w:val="nil"/>
              <w:bottom w:val="single" w:sz="4" w:space="0" w:color="auto"/>
              <w:right w:val="nil"/>
            </w:tcBorders>
            <w:shd w:val="clear" w:color="auto" w:fill="auto"/>
            <w:tcMar>
              <w:left w:w="0" w:type="dxa"/>
              <w:right w:w="0" w:type="dxa"/>
            </w:tcMar>
            <w:vAlign w:val="bottom"/>
          </w:tcPr>
          <w:p w14:paraId="19B09D32" w14:textId="52D2DC9D" w:rsidR="00270D37" w:rsidRPr="00EF169A" w:rsidRDefault="00270D37" w:rsidP="00577845">
            <w:pPr>
              <w:tabs>
                <w:tab w:val="decimal" w:pos="541"/>
              </w:tabs>
              <w:spacing w:after="0"/>
              <w:rPr>
                <w:rFonts w:eastAsia="Arial"/>
                <w:b/>
                <w:bCs/>
                <w:sz w:val="16"/>
                <w:szCs w:val="24"/>
                <w:lang w:eastAsia="en-GB"/>
              </w:rPr>
            </w:pPr>
            <w:r w:rsidRPr="00C03A7B">
              <w:rPr>
                <w:rFonts w:eastAsia="Arial"/>
                <w:sz w:val="16"/>
                <w:szCs w:val="24"/>
                <w:lang w:eastAsia="en-GB"/>
              </w:rPr>
              <w:t>-</w:t>
            </w:r>
          </w:p>
        </w:tc>
        <w:tc>
          <w:tcPr>
            <w:tcW w:w="842" w:type="dxa"/>
            <w:tcBorders>
              <w:left w:val="nil"/>
              <w:bottom w:val="single" w:sz="4" w:space="0" w:color="auto"/>
              <w:right w:val="nil"/>
            </w:tcBorders>
            <w:vAlign w:val="bottom"/>
          </w:tcPr>
          <w:p w14:paraId="278B38B2" w14:textId="38717E96" w:rsidR="00270D37" w:rsidRPr="00EF169A" w:rsidRDefault="00270D37" w:rsidP="00577845">
            <w:pPr>
              <w:tabs>
                <w:tab w:val="decimal" w:pos="435"/>
              </w:tabs>
              <w:spacing w:after="0"/>
              <w:rPr>
                <w:rFonts w:eastAsia="Arial"/>
                <w:sz w:val="16"/>
                <w:szCs w:val="24"/>
                <w:lang w:eastAsia="en-GB"/>
              </w:rPr>
            </w:pPr>
            <w:r w:rsidRPr="00F2575A">
              <w:rPr>
                <w:rFonts w:eastAsia="Arial"/>
                <w:sz w:val="16"/>
                <w:szCs w:val="24"/>
                <w:lang w:eastAsia="en-GB"/>
              </w:rPr>
              <w:t>(2.1)</w:t>
            </w:r>
            <w:r w:rsidRPr="00F2575A" w:rsidDel="00B037C7">
              <w:rPr>
                <w:rFonts w:eastAsia="Arial"/>
                <w:sz w:val="16"/>
                <w:szCs w:val="24"/>
                <w:lang w:eastAsia="en-GB"/>
              </w:rPr>
              <w:t xml:space="preserve"> </w:t>
            </w:r>
          </w:p>
        </w:tc>
        <w:tc>
          <w:tcPr>
            <w:tcW w:w="901" w:type="dxa"/>
            <w:tcBorders>
              <w:left w:val="nil"/>
              <w:bottom w:val="single" w:sz="4" w:space="0" w:color="auto"/>
              <w:right w:val="nil"/>
            </w:tcBorders>
            <w:vAlign w:val="bottom"/>
          </w:tcPr>
          <w:p w14:paraId="230ABA9D" w14:textId="52B13EBD" w:rsidR="00270D37" w:rsidRPr="00EF169A" w:rsidRDefault="00270D37" w:rsidP="00577845">
            <w:pPr>
              <w:tabs>
                <w:tab w:val="decimal" w:pos="484"/>
              </w:tabs>
              <w:spacing w:after="0"/>
              <w:rPr>
                <w:rFonts w:eastAsia="Times New Roman"/>
                <w:sz w:val="16"/>
                <w:szCs w:val="24"/>
                <w:lang w:eastAsia="en-GB"/>
              </w:rPr>
            </w:pPr>
            <w:r w:rsidRPr="00C03A7B">
              <w:rPr>
                <w:rFonts w:eastAsia="Arial"/>
                <w:sz w:val="16"/>
                <w:szCs w:val="24"/>
                <w:lang w:eastAsia="en-GB"/>
              </w:rPr>
              <w:t>-</w:t>
            </w:r>
          </w:p>
        </w:tc>
        <w:tc>
          <w:tcPr>
            <w:tcW w:w="746" w:type="dxa"/>
            <w:gridSpan w:val="2"/>
            <w:tcBorders>
              <w:left w:val="nil"/>
              <w:bottom w:val="single" w:sz="4" w:space="0" w:color="auto"/>
              <w:right w:val="nil"/>
            </w:tcBorders>
            <w:vAlign w:val="bottom"/>
          </w:tcPr>
          <w:p w14:paraId="6DA5EA7B" w14:textId="22558A1A" w:rsidR="00270D37" w:rsidRPr="00EF169A" w:rsidRDefault="00270D37" w:rsidP="00577845">
            <w:pPr>
              <w:tabs>
                <w:tab w:val="decimal" w:pos="354"/>
              </w:tabs>
              <w:spacing w:after="0"/>
              <w:rPr>
                <w:rFonts w:eastAsia="Times New Roman"/>
                <w:sz w:val="16"/>
                <w:szCs w:val="24"/>
                <w:lang w:eastAsia="en-GB"/>
              </w:rPr>
            </w:pPr>
            <w:r w:rsidRPr="00F2575A">
              <w:rPr>
                <w:rFonts w:eastAsia="Arial"/>
                <w:sz w:val="16"/>
                <w:szCs w:val="24"/>
                <w:lang w:eastAsia="en-GB"/>
              </w:rPr>
              <w:t>(2.1)</w:t>
            </w:r>
            <w:r w:rsidRPr="00F2575A" w:rsidDel="00B037C7">
              <w:rPr>
                <w:rFonts w:eastAsia="Arial"/>
                <w:sz w:val="16"/>
                <w:szCs w:val="24"/>
                <w:lang w:eastAsia="en-GB"/>
              </w:rPr>
              <w:t xml:space="preserve"> </w:t>
            </w:r>
          </w:p>
        </w:tc>
      </w:tr>
      <w:tr w:rsidR="00F96B3F" w:rsidRPr="00480440" w14:paraId="3934B7C0" w14:textId="77777777" w:rsidTr="75D94440">
        <w:trPr>
          <w:trHeight w:val="92"/>
        </w:trPr>
        <w:tc>
          <w:tcPr>
            <w:tcW w:w="3255" w:type="dxa"/>
            <w:tcBorders>
              <w:left w:val="nil"/>
              <w:bottom w:val="nil"/>
              <w:right w:val="nil"/>
            </w:tcBorders>
            <w:shd w:val="clear" w:color="auto" w:fill="FFFFFF" w:themeFill="background1"/>
            <w:tcMar>
              <w:left w:w="0" w:type="dxa"/>
              <w:right w:w="0" w:type="dxa"/>
            </w:tcMar>
            <w:vAlign w:val="bottom"/>
          </w:tcPr>
          <w:p w14:paraId="47C14B25" w14:textId="00CAE144" w:rsidR="00270D37" w:rsidRPr="00480440" w:rsidRDefault="00270D37" w:rsidP="00270D37">
            <w:pPr>
              <w:spacing w:after="0"/>
              <w:rPr>
                <w:rFonts w:eastAsia="Arial"/>
                <w:b/>
                <w:sz w:val="16"/>
                <w:szCs w:val="24"/>
                <w:lang w:eastAsia="en-GB"/>
              </w:rPr>
            </w:pPr>
            <w:r w:rsidRPr="00480440">
              <w:rPr>
                <w:rFonts w:eastAsia="Arial"/>
                <w:b/>
                <w:sz w:val="16"/>
                <w:szCs w:val="24"/>
                <w:lang w:eastAsia="en-GB"/>
              </w:rPr>
              <w:t xml:space="preserve">Other comprehensive </w:t>
            </w:r>
            <w:r w:rsidR="00A758FF">
              <w:rPr>
                <w:rFonts w:eastAsia="Arial"/>
                <w:b/>
                <w:sz w:val="16"/>
                <w:szCs w:val="24"/>
                <w:lang w:eastAsia="en-GB"/>
              </w:rPr>
              <w:t>loss</w:t>
            </w:r>
            <w:r>
              <w:rPr>
                <w:rFonts w:eastAsia="Arial"/>
                <w:b/>
                <w:sz w:val="16"/>
                <w:szCs w:val="24"/>
                <w:lang w:eastAsia="en-GB"/>
              </w:rPr>
              <w:tab/>
            </w:r>
          </w:p>
        </w:tc>
        <w:tc>
          <w:tcPr>
            <w:tcW w:w="343" w:type="dxa"/>
            <w:tcBorders>
              <w:left w:val="nil"/>
              <w:right w:val="nil"/>
            </w:tcBorders>
          </w:tcPr>
          <w:p w14:paraId="5D6CA301" w14:textId="77777777" w:rsidR="00270D37" w:rsidRPr="00480440" w:rsidRDefault="00270D37" w:rsidP="00270D37">
            <w:pPr>
              <w:spacing w:after="0"/>
              <w:jc w:val="right"/>
              <w:rPr>
                <w:rFonts w:eastAsia="Arial"/>
                <w:b/>
                <w:sz w:val="16"/>
                <w:szCs w:val="24"/>
                <w:lang w:eastAsia="en-GB"/>
              </w:rPr>
            </w:pPr>
          </w:p>
        </w:tc>
        <w:tc>
          <w:tcPr>
            <w:tcW w:w="841" w:type="dxa"/>
            <w:tcBorders>
              <w:top w:val="single" w:sz="4" w:space="0" w:color="auto"/>
              <w:left w:val="nil"/>
              <w:bottom w:val="single" w:sz="4" w:space="0" w:color="auto"/>
              <w:right w:val="nil"/>
            </w:tcBorders>
            <w:vAlign w:val="bottom"/>
          </w:tcPr>
          <w:p w14:paraId="2BB65207" w14:textId="7AD82A20" w:rsidR="00270D37" w:rsidRPr="00EF169A" w:rsidRDefault="00270D37" w:rsidP="002408DA">
            <w:pPr>
              <w:tabs>
                <w:tab w:val="decimal" w:pos="483"/>
              </w:tabs>
              <w:spacing w:after="0"/>
              <w:jc w:val="right"/>
              <w:rPr>
                <w:rFonts w:eastAsia="Arial"/>
                <w:b/>
                <w:bCs/>
                <w:sz w:val="16"/>
                <w:szCs w:val="24"/>
                <w:lang w:eastAsia="en-GB"/>
              </w:rPr>
            </w:pPr>
            <w:r w:rsidRPr="00F2575A">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0C75A944" w14:textId="7380A6C8" w:rsidR="00270D37" w:rsidRPr="00EF169A" w:rsidRDefault="00270D37" w:rsidP="00577845">
            <w:pPr>
              <w:tabs>
                <w:tab w:val="decimal" w:pos="533"/>
              </w:tabs>
              <w:spacing w:after="0"/>
              <w:rPr>
                <w:rFonts w:eastAsia="Arial"/>
                <w:b/>
                <w:bCs/>
                <w:sz w:val="16"/>
                <w:szCs w:val="24"/>
                <w:lang w:eastAsia="en-GB"/>
              </w:rPr>
            </w:pPr>
            <w:r w:rsidRPr="00F2575A">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18EB5D90" w14:textId="5B16C68A" w:rsidR="00270D37" w:rsidRPr="00EF169A" w:rsidRDefault="00270D37" w:rsidP="00577845">
            <w:pPr>
              <w:tabs>
                <w:tab w:val="decimal" w:pos="749"/>
              </w:tabs>
              <w:spacing w:after="0"/>
              <w:rPr>
                <w:rFonts w:eastAsia="Arial"/>
                <w:b/>
                <w:bCs/>
                <w:sz w:val="16"/>
                <w:szCs w:val="24"/>
                <w:lang w:eastAsia="en-GB"/>
              </w:rPr>
            </w:pPr>
            <w:r w:rsidRPr="00F2575A">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18711835" w14:textId="7F5FC44A" w:rsidR="00270D37" w:rsidRPr="00EF169A" w:rsidRDefault="00270D37" w:rsidP="00577845">
            <w:pPr>
              <w:tabs>
                <w:tab w:val="decimal" w:pos="667"/>
              </w:tabs>
              <w:spacing w:after="0"/>
              <w:rPr>
                <w:rFonts w:eastAsia="Arial"/>
                <w:b/>
                <w:bCs/>
                <w:sz w:val="16"/>
                <w:szCs w:val="24"/>
                <w:lang w:eastAsia="en-GB"/>
              </w:rPr>
            </w:pPr>
            <w:r w:rsidRPr="00F2575A">
              <w:rPr>
                <w:rFonts w:eastAsia="Arial"/>
                <w:b/>
                <w:bCs/>
                <w:sz w:val="16"/>
                <w:szCs w:val="24"/>
                <w:lang w:eastAsia="en-GB"/>
              </w:rPr>
              <w:t>(2.1)</w:t>
            </w:r>
          </w:p>
        </w:tc>
        <w:tc>
          <w:tcPr>
            <w:tcW w:w="779" w:type="dxa"/>
            <w:tcBorders>
              <w:top w:val="single" w:sz="4" w:space="0" w:color="auto"/>
              <w:left w:val="nil"/>
              <w:bottom w:val="single" w:sz="4" w:space="0" w:color="auto"/>
              <w:right w:val="nil"/>
            </w:tcBorders>
            <w:shd w:val="clear" w:color="auto" w:fill="FFFFFF" w:themeFill="background1"/>
            <w:tcMar>
              <w:left w:w="0" w:type="dxa"/>
              <w:right w:w="0" w:type="dxa"/>
            </w:tcMar>
            <w:vAlign w:val="bottom"/>
          </w:tcPr>
          <w:p w14:paraId="45BA7A40" w14:textId="77DD3FA3" w:rsidR="00270D37" w:rsidRPr="00EF169A" w:rsidRDefault="00270D37" w:rsidP="00577845">
            <w:pPr>
              <w:tabs>
                <w:tab w:val="decimal" w:pos="541"/>
              </w:tabs>
              <w:spacing w:after="0"/>
              <w:rPr>
                <w:rFonts w:eastAsia="Arial"/>
                <w:b/>
                <w:bCs/>
                <w:sz w:val="16"/>
                <w:szCs w:val="24"/>
                <w:lang w:eastAsia="en-GB"/>
              </w:rPr>
            </w:pPr>
            <w:r w:rsidRPr="00F2575A">
              <w:rPr>
                <w:rFonts w:eastAsia="Arial"/>
                <w:b/>
                <w:bCs/>
                <w:sz w:val="16"/>
                <w:szCs w:val="24"/>
                <w:lang w:eastAsia="en-GB"/>
              </w:rPr>
              <w:t>-</w:t>
            </w:r>
          </w:p>
        </w:tc>
        <w:tc>
          <w:tcPr>
            <w:tcW w:w="842" w:type="dxa"/>
            <w:tcBorders>
              <w:top w:val="single" w:sz="4" w:space="0" w:color="auto"/>
              <w:left w:val="nil"/>
              <w:bottom w:val="single" w:sz="4" w:space="0" w:color="auto"/>
              <w:right w:val="nil"/>
            </w:tcBorders>
            <w:shd w:val="clear" w:color="auto" w:fill="FFFFFF" w:themeFill="background1"/>
            <w:vAlign w:val="bottom"/>
          </w:tcPr>
          <w:p w14:paraId="1DF0D0A7" w14:textId="7800AE83" w:rsidR="00270D37" w:rsidRPr="00EF169A" w:rsidRDefault="00270D37" w:rsidP="00577845">
            <w:pPr>
              <w:tabs>
                <w:tab w:val="decimal" w:pos="435"/>
              </w:tabs>
              <w:spacing w:after="0"/>
              <w:rPr>
                <w:rFonts w:eastAsia="Arial"/>
                <w:b/>
                <w:bCs/>
                <w:sz w:val="16"/>
                <w:szCs w:val="24"/>
                <w:lang w:eastAsia="en-GB"/>
              </w:rPr>
            </w:pPr>
            <w:r w:rsidRPr="00F2575A">
              <w:rPr>
                <w:rFonts w:eastAsia="Arial"/>
                <w:b/>
                <w:bCs/>
                <w:sz w:val="16"/>
                <w:szCs w:val="24"/>
                <w:lang w:eastAsia="en-GB"/>
              </w:rPr>
              <w:t>(2.1)</w:t>
            </w:r>
            <w:r w:rsidRPr="00F2575A" w:rsidDel="00C255CF">
              <w:rPr>
                <w:rFonts w:eastAsia="Arial"/>
                <w:b/>
                <w:bCs/>
                <w:sz w:val="16"/>
                <w:szCs w:val="24"/>
                <w:lang w:eastAsia="en-GB"/>
              </w:rPr>
              <w:t xml:space="preserve"> </w:t>
            </w:r>
          </w:p>
        </w:tc>
        <w:tc>
          <w:tcPr>
            <w:tcW w:w="901" w:type="dxa"/>
            <w:tcBorders>
              <w:top w:val="single" w:sz="4" w:space="0" w:color="auto"/>
              <w:left w:val="nil"/>
              <w:bottom w:val="single" w:sz="4" w:space="0" w:color="auto"/>
              <w:right w:val="nil"/>
            </w:tcBorders>
            <w:shd w:val="clear" w:color="auto" w:fill="FFFFFF" w:themeFill="background1"/>
            <w:vAlign w:val="bottom"/>
          </w:tcPr>
          <w:p w14:paraId="3A81639F" w14:textId="598B5140" w:rsidR="00270D37" w:rsidRPr="00EF169A" w:rsidRDefault="00270D37" w:rsidP="00577845">
            <w:pPr>
              <w:tabs>
                <w:tab w:val="decimal" w:pos="484"/>
              </w:tabs>
              <w:spacing w:after="0"/>
              <w:rPr>
                <w:rFonts w:eastAsia="Times New Roman"/>
                <w:b/>
                <w:bCs/>
                <w:sz w:val="16"/>
                <w:szCs w:val="24"/>
                <w:lang w:eastAsia="en-GB"/>
              </w:rPr>
            </w:pPr>
            <w:r w:rsidRPr="00F2575A">
              <w:rPr>
                <w:rFonts w:eastAsia="Arial"/>
                <w:b/>
                <w:bCs/>
                <w:sz w:val="16"/>
                <w:szCs w:val="24"/>
                <w:lang w:eastAsia="en-GB"/>
              </w:rPr>
              <w:t>-</w:t>
            </w:r>
          </w:p>
        </w:tc>
        <w:tc>
          <w:tcPr>
            <w:tcW w:w="746" w:type="dxa"/>
            <w:gridSpan w:val="2"/>
            <w:tcBorders>
              <w:top w:val="single" w:sz="4" w:space="0" w:color="auto"/>
              <w:left w:val="nil"/>
              <w:bottom w:val="single" w:sz="4" w:space="0" w:color="auto"/>
              <w:right w:val="nil"/>
            </w:tcBorders>
            <w:shd w:val="clear" w:color="auto" w:fill="FFFFFF" w:themeFill="background1"/>
            <w:vAlign w:val="bottom"/>
          </w:tcPr>
          <w:p w14:paraId="10D79325" w14:textId="600FFFCF" w:rsidR="00270D37" w:rsidRPr="00EF169A" w:rsidRDefault="00270D37" w:rsidP="00577845">
            <w:pPr>
              <w:tabs>
                <w:tab w:val="decimal" w:pos="354"/>
              </w:tabs>
              <w:spacing w:after="0"/>
              <w:rPr>
                <w:rFonts w:eastAsia="Times New Roman"/>
                <w:b/>
                <w:bCs/>
                <w:sz w:val="16"/>
                <w:szCs w:val="24"/>
                <w:lang w:eastAsia="en-GB"/>
              </w:rPr>
            </w:pPr>
            <w:r w:rsidRPr="00F2575A">
              <w:rPr>
                <w:rFonts w:eastAsia="Arial"/>
                <w:b/>
                <w:bCs/>
                <w:sz w:val="16"/>
                <w:szCs w:val="24"/>
                <w:lang w:eastAsia="en-GB"/>
              </w:rPr>
              <w:t>(2.1)</w:t>
            </w:r>
            <w:r w:rsidRPr="00F2575A" w:rsidDel="00C255CF">
              <w:rPr>
                <w:rFonts w:eastAsia="Arial"/>
                <w:b/>
                <w:bCs/>
                <w:sz w:val="16"/>
                <w:szCs w:val="24"/>
                <w:lang w:eastAsia="en-GB"/>
              </w:rPr>
              <w:t xml:space="preserve"> </w:t>
            </w:r>
          </w:p>
        </w:tc>
      </w:tr>
      <w:tr w:rsidR="00F96B3F" w:rsidRPr="00480440" w14:paraId="35CCB92F"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67A1B44" w14:textId="3066DF3E" w:rsidR="00270D37" w:rsidRPr="00480440" w:rsidRDefault="00270D37" w:rsidP="00270D37">
            <w:pPr>
              <w:spacing w:after="0"/>
              <w:rPr>
                <w:rFonts w:eastAsia="Arial"/>
                <w:sz w:val="16"/>
                <w:szCs w:val="24"/>
                <w:lang w:eastAsia="en-GB"/>
              </w:rPr>
            </w:pPr>
            <w:r w:rsidRPr="00480440">
              <w:rPr>
                <w:rFonts w:eastAsia="Arial"/>
                <w:b/>
                <w:sz w:val="16"/>
                <w:szCs w:val="24"/>
                <w:lang w:eastAsia="en-GB"/>
              </w:rPr>
              <w:t xml:space="preserve">Total comprehensive </w:t>
            </w:r>
            <w:r w:rsidR="00A758FF">
              <w:rPr>
                <w:rFonts w:eastAsia="Arial"/>
                <w:b/>
                <w:sz w:val="16"/>
                <w:szCs w:val="24"/>
                <w:lang w:eastAsia="en-GB"/>
              </w:rPr>
              <w:t>(loss)/</w:t>
            </w:r>
            <w:r w:rsidRPr="00480440">
              <w:rPr>
                <w:rFonts w:eastAsia="Arial"/>
                <w:b/>
                <w:sz w:val="16"/>
                <w:szCs w:val="24"/>
                <w:lang w:eastAsia="en-GB"/>
              </w:rPr>
              <w:t>income</w:t>
            </w:r>
          </w:p>
        </w:tc>
        <w:tc>
          <w:tcPr>
            <w:tcW w:w="343" w:type="dxa"/>
            <w:tcBorders>
              <w:left w:val="nil"/>
              <w:right w:val="nil"/>
            </w:tcBorders>
          </w:tcPr>
          <w:p w14:paraId="0574C35E" w14:textId="77777777" w:rsidR="00270D37" w:rsidRPr="00480440" w:rsidRDefault="00270D37" w:rsidP="00270D37">
            <w:pPr>
              <w:spacing w:after="0"/>
              <w:jc w:val="right"/>
              <w:rPr>
                <w:rFonts w:eastAsia="Arial"/>
                <w:sz w:val="16"/>
                <w:szCs w:val="24"/>
                <w:lang w:eastAsia="en-GB"/>
              </w:rPr>
            </w:pPr>
          </w:p>
        </w:tc>
        <w:tc>
          <w:tcPr>
            <w:tcW w:w="841" w:type="dxa"/>
            <w:tcBorders>
              <w:top w:val="single" w:sz="4" w:space="0" w:color="auto"/>
              <w:left w:val="nil"/>
              <w:bottom w:val="single" w:sz="4" w:space="0" w:color="auto"/>
              <w:right w:val="nil"/>
            </w:tcBorders>
            <w:vAlign w:val="bottom"/>
          </w:tcPr>
          <w:p w14:paraId="6B77A172" w14:textId="7CCD4A11" w:rsidR="00270D37" w:rsidRPr="00EF169A" w:rsidRDefault="00270D37" w:rsidP="002408DA">
            <w:pPr>
              <w:tabs>
                <w:tab w:val="decimal" w:pos="483"/>
              </w:tabs>
              <w:spacing w:after="0"/>
              <w:jc w:val="right"/>
              <w:rPr>
                <w:rFonts w:eastAsia="Arial"/>
                <w:bCs/>
                <w:sz w:val="16"/>
                <w:szCs w:val="24"/>
                <w:lang w:eastAsia="en-GB"/>
              </w:rPr>
            </w:pPr>
            <w:r w:rsidRPr="00F2575A">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67798A5F" w14:textId="7DCB1A0E" w:rsidR="00270D37" w:rsidRPr="00EF169A" w:rsidRDefault="00270D37" w:rsidP="00577845">
            <w:pPr>
              <w:tabs>
                <w:tab w:val="decimal" w:pos="533"/>
              </w:tabs>
              <w:spacing w:after="0"/>
              <w:rPr>
                <w:rFonts w:eastAsia="Arial"/>
                <w:bCs/>
                <w:sz w:val="16"/>
                <w:szCs w:val="24"/>
                <w:lang w:eastAsia="en-GB"/>
              </w:rPr>
            </w:pPr>
            <w:r w:rsidRPr="00F2575A">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3CBE575F" w14:textId="4686AF26" w:rsidR="00270D37" w:rsidRPr="00EF169A" w:rsidRDefault="00270D37" w:rsidP="00577845">
            <w:pPr>
              <w:tabs>
                <w:tab w:val="decimal" w:pos="749"/>
              </w:tabs>
              <w:spacing w:after="0"/>
              <w:rPr>
                <w:rFonts w:eastAsia="Arial"/>
                <w:bCs/>
                <w:sz w:val="16"/>
                <w:szCs w:val="24"/>
                <w:lang w:eastAsia="en-GB"/>
              </w:rPr>
            </w:pPr>
            <w:r w:rsidRPr="00F2575A">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6D2AB0D3" w14:textId="1222E9DB" w:rsidR="00270D37" w:rsidRPr="00EF169A" w:rsidRDefault="00270D37" w:rsidP="00577845">
            <w:pPr>
              <w:tabs>
                <w:tab w:val="decimal" w:pos="667"/>
              </w:tabs>
              <w:spacing w:after="0"/>
              <w:rPr>
                <w:rFonts w:eastAsia="Arial"/>
                <w:sz w:val="16"/>
                <w:szCs w:val="24"/>
                <w:lang w:eastAsia="en-GB"/>
              </w:rPr>
            </w:pPr>
            <w:r w:rsidRPr="00F2575A">
              <w:rPr>
                <w:rFonts w:eastAsia="Arial"/>
                <w:b/>
                <w:bCs/>
                <w:sz w:val="16"/>
                <w:szCs w:val="24"/>
                <w:lang w:eastAsia="en-GB"/>
              </w:rPr>
              <w:t>(2.1)</w:t>
            </w:r>
          </w:p>
        </w:tc>
        <w:tc>
          <w:tcPr>
            <w:tcW w:w="779" w:type="dxa"/>
            <w:tcBorders>
              <w:top w:val="single" w:sz="4" w:space="0" w:color="auto"/>
              <w:left w:val="nil"/>
              <w:bottom w:val="single" w:sz="4" w:space="0" w:color="auto"/>
              <w:right w:val="nil"/>
            </w:tcBorders>
            <w:shd w:val="clear" w:color="auto" w:fill="FFFFFF" w:themeFill="background1"/>
            <w:tcMar>
              <w:left w:w="0" w:type="dxa"/>
              <w:right w:w="0" w:type="dxa"/>
            </w:tcMar>
            <w:vAlign w:val="bottom"/>
          </w:tcPr>
          <w:p w14:paraId="19CE7C46" w14:textId="19E288FE" w:rsidR="00270D37" w:rsidRPr="00EF169A" w:rsidRDefault="00270D37" w:rsidP="00577845">
            <w:pPr>
              <w:tabs>
                <w:tab w:val="decimal" w:pos="541"/>
              </w:tabs>
              <w:spacing w:after="0"/>
              <w:rPr>
                <w:rFonts w:eastAsia="Arial"/>
                <w:sz w:val="16"/>
                <w:szCs w:val="24"/>
                <w:lang w:eastAsia="en-GB"/>
              </w:rPr>
            </w:pPr>
            <w:r w:rsidRPr="003254A4">
              <w:rPr>
                <w:rFonts w:eastAsia="Arial"/>
                <w:b/>
                <w:sz w:val="16"/>
                <w:szCs w:val="24"/>
                <w:lang w:eastAsia="en-GB"/>
              </w:rPr>
              <w:t>24.3</w:t>
            </w:r>
            <w:r w:rsidRPr="003254A4" w:rsidDel="007B5830">
              <w:rPr>
                <w:rFonts w:eastAsia="Arial"/>
                <w:b/>
                <w:sz w:val="16"/>
                <w:szCs w:val="24"/>
                <w:lang w:eastAsia="en-GB"/>
              </w:rPr>
              <w:t xml:space="preserve"> </w:t>
            </w:r>
          </w:p>
        </w:tc>
        <w:tc>
          <w:tcPr>
            <w:tcW w:w="842" w:type="dxa"/>
            <w:tcBorders>
              <w:top w:val="single" w:sz="4" w:space="0" w:color="auto"/>
              <w:left w:val="nil"/>
              <w:bottom w:val="single" w:sz="4" w:space="0" w:color="auto"/>
              <w:right w:val="nil"/>
            </w:tcBorders>
            <w:shd w:val="clear" w:color="auto" w:fill="FFFFFF" w:themeFill="background1"/>
            <w:vAlign w:val="bottom"/>
          </w:tcPr>
          <w:p w14:paraId="21825961" w14:textId="0F892E26" w:rsidR="00270D37" w:rsidRPr="00EF169A" w:rsidRDefault="00270D37" w:rsidP="00577845">
            <w:pPr>
              <w:tabs>
                <w:tab w:val="decimal" w:pos="435"/>
              </w:tabs>
              <w:spacing w:after="0"/>
              <w:rPr>
                <w:rFonts w:eastAsia="Arial"/>
                <w:b/>
                <w:bCs/>
                <w:sz w:val="16"/>
                <w:szCs w:val="24"/>
                <w:lang w:eastAsia="en-GB"/>
              </w:rPr>
            </w:pPr>
            <w:r w:rsidRPr="003254A4">
              <w:rPr>
                <w:rFonts w:eastAsia="Arial"/>
                <w:b/>
                <w:sz w:val="16"/>
                <w:szCs w:val="24"/>
                <w:lang w:eastAsia="en-GB"/>
              </w:rPr>
              <w:t>22.</w:t>
            </w:r>
            <w:r>
              <w:rPr>
                <w:rFonts w:eastAsia="Arial"/>
                <w:b/>
                <w:bCs/>
                <w:sz w:val="16"/>
                <w:szCs w:val="24"/>
                <w:lang w:eastAsia="en-GB"/>
              </w:rPr>
              <w:t>2</w:t>
            </w:r>
            <w:r w:rsidRPr="00F2575A" w:rsidDel="00B037C7">
              <w:rPr>
                <w:rFonts w:eastAsia="Arial"/>
                <w:b/>
                <w:bCs/>
                <w:sz w:val="16"/>
                <w:szCs w:val="24"/>
                <w:lang w:eastAsia="en-GB"/>
              </w:rPr>
              <w:t xml:space="preserve"> </w:t>
            </w:r>
          </w:p>
        </w:tc>
        <w:tc>
          <w:tcPr>
            <w:tcW w:w="901" w:type="dxa"/>
            <w:tcBorders>
              <w:top w:val="single" w:sz="4" w:space="0" w:color="auto"/>
              <w:left w:val="nil"/>
              <w:bottom w:val="single" w:sz="4" w:space="0" w:color="auto"/>
              <w:right w:val="nil"/>
            </w:tcBorders>
            <w:shd w:val="clear" w:color="auto" w:fill="FFFFFF" w:themeFill="background1"/>
            <w:vAlign w:val="bottom"/>
          </w:tcPr>
          <w:p w14:paraId="20ABB0D0" w14:textId="78162353" w:rsidR="00270D37" w:rsidRPr="00EF169A" w:rsidRDefault="00270D37" w:rsidP="00577845">
            <w:pPr>
              <w:tabs>
                <w:tab w:val="decimal" w:pos="484"/>
              </w:tabs>
              <w:spacing w:after="0"/>
              <w:rPr>
                <w:rFonts w:eastAsia="Arial"/>
                <w:b/>
                <w:bCs/>
                <w:sz w:val="16"/>
                <w:szCs w:val="24"/>
                <w:lang w:eastAsia="en-GB"/>
              </w:rPr>
            </w:pPr>
            <w:r w:rsidRPr="003254A4">
              <w:rPr>
                <w:rFonts w:eastAsia="Arial"/>
                <w:b/>
                <w:sz w:val="16"/>
                <w:szCs w:val="24"/>
                <w:lang w:eastAsia="en-GB"/>
              </w:rPr>
              <w:t>(0.1)</w:t>
            </w:r>
          </w:p>
        </w:tc>
        <w:tc>
          <w:tcPr>
            <w:tcW w:w="746" w:type="dxa"/>
            <w:gridSpan w:val="2"/>
            <w:tcBorders>
              <w:top w:val="single" w:sz="4" w:space="0" w:color="auto"/>
              <w:left w:val="nil"/>
              <w:bottom w:val="single" w:sz="4" w:space="0" w:color="auto"/>
              <w:right w:val="nil"/>
            </w:tcBorders>
            <w:shd w:val="clear" w:color="auto" w:fill="FFFFFF" w:themeFill="background1"/>
            <w:vAlign w:val="bottom"/>
          </w:tcPr>
          <w:p w14:paraId="75AAD57B" w14:textId="76CC2FD7" w:rsidR="00270D37" w:rsidRPr="00EF169A" w:rsidRDefault="00270D37" w:rsidP="00577845">
            <w:pPr>
              <w:tabs>
                <w:tab w:val="decimal" w:pos="354"/>
              </w:tabs>
              <w:spacing w:after="0"/>
              <w:rPr>
                <w:rFonts w:eastAsia="Arial"/>
                <w:b/>
                <w:bCs/>
                <w:sz w:val="16"/>
                <w:szCs w:val="24"/>
                <w:lang w:eastAsia="en-GB"/>
              </w:rPr>
            </w:pPr>
            <w:r w:rsidRPr="003254A4">
              <w:rPr>
                <w:rFonts w:eastAsia="Arial"/>
                <w:b/>
                <w:bCs/>
                <w:sz w:val="16"/>
                <w:szCs w:val="24"/>
                <w:lang w:eastAsia="en-GB"/>
              </w:rPr>
              <w:t>22.1</w:t>
            </w:r>
            <w:r w:rsidRPr="003254A4" w:rsidDel="00B037C7">
              <w:rPr>
                <w:rFonts w:eastAsia="Arial"/>
                <w:b/>
                <w:bCs/>
                <w:sz w:val="16"/>
                <w:szCs w:val="24"/>
                <w:lang w:eastAsia="en-GB"/>
              </w:rPr>
              <w:t xml:space="preserve"> </w:t>
            </w:r>
          </w:p>
        </w:tc>
      </w:tr>
      <w:tr w:rsidR="00F96B3F" w:rsidRPr="00480440" w14:paraId="42B1C694"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D8C103F" w14:textId="2BCE5E89" w:rsidR="00270D37" w:rsidRPr="00480440" w:rsidRDefault="00270D37" w:rsidP="00270D37">
            <w:pPr>
              <w:spacing w:after="0"/>
              <w:rPr>
                <w:rFonts w:eastAsia="Arial"/>
                <w:sz w:val="16"/>
                <w:szCs w:val="24"/>
                <w:lang w:eastAsia="en-GB"/>
              </w:rPr>
            </w:pPr>
            <w:r w:rsidRPr="00B30F93">
              <w:rPr>
                <w:rFonts w:eastAsia="Arial"/>
                <w:sz w:val="16"/>
                <w:szCs w:val="24"/>
                <w:lang w:eastAsia="en-GB"/>
              </w:rPr>
              <w:t>Vesting of ordinary shares and options</w:t>
            </w:r>
          </w:p>
        </w:tc>
        <w:tc>
          <w:tcPr>
            <w:tcW w:w="343" w:type="dxa"/>
            <w:tcBorders>
              <w:left w:val="nil"/>
              <w:right w:val="nil"/>
            </w:tcBorders>
          </w:tcPr>
          <w:p w14:paraId="01584C2F" w14:textId="77777777" w:rsidR="00270D37" w:rsidRPr="00480440" w:rsidRDefault="00270D37" w:rsidP="00270D37">
            <w:pPr>
              <w:spacing w:after="0"/>
              <w:jc w:val="right"/>
              <w:rPr>
                <w:rFonts w:eastAsia="Arial"/>
                <w:sz w:val="16"/>
                <w:szCs w:val="24"/>
                <w:lang w:eastAsia="en-GB"/>
              </w:rPr>
            </w:pPr>
          </w:p>
        </w:tc>
        <w:tc>
          <w:tcPr>
            <w:tcW w:w="841" w:type="dxa"/>
            <w:tcBorders>
              <w:left w:val="nil"/>
              <w:right w:val="nil"/>
            </w:tcBorders>
            <w:vAlign w:val="bottom"/>
          </w:tcPr>
          <w:p w14:paraId="336F4DF7" w14:textId="4559E9DD" w:rsidR="00270D37" w:rsidRPr="00EF169A" w:rsidRDefault="00270D37" w:rsidP="002408DA">
            <w:pPr>
              <w:tabs>
                <w:tab w:val="decimal" w:pos="483"/>
              </w:tabs>
              <w:spacing w:after="0"/>
              <w:jc w:val="right"/>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500EBA9F" w14:textId="7806B3BE" w:rsidR="00270D37" w:rsidRPr="00EF169A" w:rsidRDefault="00270D37" w:rsidP="00577845">
            <w:pPr>
              <w:tabs>
                <w:tab w:val="decimal" w:pos="533"/>
              </w:tabs>
              <w:spacing w:after="0"/>
              <w:rPr>
                <w:rFonts w:eastAsia="Arial"/>
                <w:sz w:val="16"/>
                <w:szCs w:val="24"/>
                <w:lang w:eastAsia="en-GB"/>
              </w:rPr>
            </w:pPr>
            <w:r w:rsidRPr="00EC7EF4">
              <w:rPr>
                <w:sz w:val="16"/>
              </w:rPr>
              <w:t>0.1</w:t>
            </w:r>
          </w:p>
        </w:tc>
        <w:tc>
          <w:tcPr>
            <w:tcW w:w="884" w:type="dxa"/>
            <w:tcBorders>
              <w:left w:val="nil"/>
              <w:right w:val="nil"/>
            </w:tcBorders>
            <w:shd w:val="clear" w:color="auto" w:fill="auto"/>
            <w:tcMar>
              <w:left w:w="0" w:type="dxa"/>
              <w:right w:w="0" w:type="dxa"/>
            </w:tcMar>
            <w:vAlign w:val="bottom"/>
          </w:tcPr>
          <w:p w14:paraId="601A4C73" w14:textId="5E71B836" w:rsidR="00270D37" w:rsidRPr="00EF169A" w:rsidRDefault="00270D37" w:rsidP="00577845">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6BF3C279" w14:textId="73B5273F" w:rsidR="00270D37" w:rsidRPr="00EF169A" w:rsidRDefault="00270D37" w:rsidP="00577845">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01788EFA" w14:textId="77AD888B" w:rsidR="00270D37" w:rsidRPr="00EF169A" w:rsidRDefault="00270D37" w:rsidP="00577845">
            <w:pPr>
              <w:tabs>
                <w:tab w:val="decimal" w:pos="541"/>
              </w:tabs>
              <w:spacing w:after="0"/>
              <w:rPr>
                <w:rFonts w:eastAsia="Arial"/>
                <w:sz w:val="16"/>
                <w:szCs w:val="24"/>
                <w:lang w:eastAsia="en-GB"/>
              </w:rPr>
            </w:pPr>
            <w:r w:rsidRPr="00EC7EF4">
              <w:rPr>
                <w:rFonts w:eastAsia="Arial"/>
                <w:sz w:val="16"/>
                <w:szCs w:val="24"/>
                <w:lang w:eastAsia="en-GB"/>
              </w:rPr>
              <w:t>(</w:t>
            </w:r>
            <w:r>
              <w:rPr>
                <w:rFonts w:eastAsia="Arial"/>
                <w:sz w:val="16"/>
                <w:szCs w:val="24"/>
                <w:lang w:eastAsia="en-GB"/>
              </w:rPr>
              <w:t>0.1</w:t>
            </w:r>
            <w:r w:rsidRPr="00EC7EF4">
              <w:rPr>
                <w:rFonts w:eastAsia="Arial"/>
                <w:sz w:val="16"/>
                <w:szCs w:val="24"/>
                <w:lang w:eastAsia="en-GB"/>
              </w:rPr>
              <w:t>)</w:t>
            </w:r>
          </w:p>
        </w:tc>
        <w:tc>
          <w:tcPr>
            <w:tcW w:w="842" w:type="dxa"/>
            <w:tcBorders>
              <w:left w:val="nil"/>
              <w:right w:val="nil"/>
            </w:tcBorders>
            <w:shd w:val="clear" w:color="auto" w:fill="FFFFFF" w:themeFill="background1"/>
            <w:vAlign w:val="bottom"/>
          </w:tcPr>
          <w:p w14:paraId="0911B968" w14:textId="08A58FF3" w:rsidR="00270D37" w:rsidRPr="00EF169A" w:rsidRDefault="00270D37" w:rsidP="00577845">
            <w:pPr>
              <w:tabs>
                <w:tab w:val="decimal" w:pos="435"/>
              </w:tabs>
              <w:spacing w:after="0"/>
              <w:rPr>
                <w:rFonts w:eastAsia="Arial"/>
                <w:sz w:val="16"/>
                <w:szCs w:val="24"/>
                <w:lang w:eastAsia="en-GB"/>
              </w:rPr>
            </w:pPr>
            <w:r>
              <w:rPr>
                <w:sz w:val="16"/>
              </w:rPr>
              <w:t>-</w:t>
            </w:r>
          </w:p>
        </w:tc>
        <w:tc>
          <w:tcPr>
            <w:tcW w:w="901" w:type="dxa"/>
            <w:tcBorders>
              <w:left w:val="nil"/>
              <w:right w:val="nil"/>
            </w:tcBorders>
            <w:shd w:val="clear" w:color="auto" w:fill="FFFFFF" w:themeFill="background1"/>
            <w:vAlign w:val="bottom"/>
          </w:tcPr>
          <w:p w14:paraId="0802812F" w14:textId="7992484B" w:rsidR="00270D37" w:rsidRPr="00EF169A" w:rsidRDefault="00270D37" w:rsidP="00577845">
            <w:pPr>
              <w:tabs>
                <w:tab w:val="decimal" w:pos="484"/>
              </w:tabs>
              <w:spacing w:after="0"/>
              <w:rPr>
                <w:rFonts w:eastAsia="Arial"/>
                <w:sz w:val="16"/>
                <w:szCs w:val="24"/>
                <w:lang w:eastAsia="en-GB"/>
              </w:rPr>
            </w:pPr>
            <w:r w:rsidRPr="00EC7EF4">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6322A21B" w14:textId="370B1DCE" w:rsidR="00270D37" w:rsidRPr="00EF169A" w:rsidRDefault="00270D37" w:rsidP="00577845">
            <w:pPr>
              <w:tabs>
                <w:tab w:val="decimal" w:pos="354"/>
              </w:tabs>
              <w:spacing w:after="0"/>
              <w:rPr>
                <w:rFonts w:eastAsia="Arial"/>
                <w:sz w:val="16"/>
                <w:szCs w:val="24"/>
                <w:lang w:eastAsia="en-GB"/>
              </w:rPr>
            </w:pPr>
            <w:r>
              <w:rPr>
                <w:rFonts w:eastAsia="Arial"/>
                <w:sz w:val="16"/>
                <w:szCs w:val="24"/>
                <w:lang w:eastAsia="en-GB"/>
              </w:rPr>
              <w:t>-</w:t>
            </w:r>
          </w:p>
        </w:tc>
      </w:tr>
      <w:tr w:rsidR="00F96B3F" w:rsidRPr="00480440" w14:paraId="5DDF057F"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91BF8FA" w14:textId="4CEA3F6A" w:rsidR="00270D37" w:rsidRPr="00480440" w:rsidRDefault="00270D37" w:rsidP="00270D37">
            <w:pPr>
              <w:spacing w:after="0"/>
              <w:rPr>
                <w:rFonts w:eastAsia="Arial"/>
                <w:sz w:val="16"/>
                <w:szCs w:val="24"/>
                <w:lang w:eastAsia="en-GB"/>
              </w:rPr>
            </w:pPr>
            <w:r w:rsidRPr="00C03A7B">
              <w:rPr>
                <w:rFonts w:eastAsia="Arial"/>
                <w:sz w:val="16"/>
                <w:szCs w:val="24"/>
                <w:lang w:eastAsia="en-GB"/>
              </w:rPr>
              <w:t>Dividends paid</w:t>
            </w:r>
          </w:p>
        </w:tc>
        <w:tc>
          <w:tcPr>
            <w:tcW w:w="343" w:type="dxa"/>
            <w:tcBorders>
              <w:left w:val="nil"/>
              <w:right w:val="nil"/>
            </w:tcBorders>
          </w:tcPr>
          <w:p w14:paraId="012B672A" w14:textId="77777777" w:rsidR="00270D37" w:rsidRPr="00480440" w:rsidRDefault="00270D37" w:rsidP="00270D37">
            <w:pPr>
              <w:spacing w:after="0"/>
              <w:jc w:val="right"/>
              <w:rPr>
                <w:rFonts w:eastAsia="Arial"/>
                <w:sz w:val="16"/>
                <w:szCs w:val="24"/>
                <w:lang w:eastAsia="en-GB"/>
              </w:rPr>
            </w:pPr>
          </w:p>
        </w:tc>
        <w:tc>
          <w:tcPr>
            <w:tcW w:w="841" w:type="dxa"/>
            <w:tcBorders>
              <w:left w:val="nil"/>
              <w:right w:val="nil"/>
            </w:tcBorders>
            <w:vAlign w:val="bottom"/>
          </w:tcPr>
          <w:p w14:paraId="79216FA6" w14:textId="03567FBC" w:rsidR="00270D37" w:rsidRPr="00EF169A" w:rsidRDefault="00270D37" w:rsidP="002408DA">
            <w:pPr>
              <w:tabs>
                <w:tab w:val="decimal" w:pos="483"/>
              </w:tabs>
              <w:spacing w:after="0"/>
              <w:jc w:val="right"/>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12C538C2" w14:textId="462BF334" w:rsidR="00270D37" w:rsidRPr="00EF169A" w:rsidRDefault="00270D37" w:rsidP="00577845">
            <w:pPr>
              <w:tabs>
                <w:tab w:val="decimal" w:pos="533"/>
              </w:tabs>
              <w:spacing w:after="0"/>
              <w:rPr>
                <w:rFonts w:eastAsia="Arial"/>
                <w:sz w:val="16"/>
                <w:szCs w:val="24"/>
                <w:lang w:eastAsia="en-GB"/>
              </w:rPr>
            </w:pPr>
            <w:r w:rsidRPr="00EC7EF4">
              <w:rPr>
                <w:rFonts w:eastAsia="Arial"/>
                <w:sz w:val="16"/>
                <w:szCs w:val="24"/>
                <w:lang w:eastAsia="en-GB"/>
              </w:rPr>
              <w:t>-</w:t>
            </w:r>
          </w:p>
        </w:tc>
        <w:tc>
          <w:tcPr>
            <w:tcW w:w="884" w:type="dxa"/>
            <w:tcBorders>
              <w:left w:val="nil"/>
              <w:right w:val="nil"/>
            </w:tcBorders>
            <w:shd w:val="clear" w:color="auto" w:fill="auto"/>
            <w:tcMar>
              <w:left w:w="0" w:type="dxa"/>
              <w:right w:w="0" w:type="dxa"/>
            </w:tcMar>
            <w:vAlign w:val="bottom"/>
          </w:tcPr>
          <w:p w14:paraId="331F1676" w14:textId="5BD7A05C" w:rsidR="00270D37" w:rsidRPr="00EF169A" w:rsidRDefault="00270D37" w:rsidP="00577845">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4AAD783F" w14:textId="1853D122" w:rsidR="00270D37" w:rsidRPr="00EF169A" w:rsidRDefault="00270D37" w:rsidP="00577845">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7BEAD862" w14:textId="7DFB7908" w:rsidR="00270D37" w:rsidRPr="00EF169A" w:rsidRDefault="00270D37" w:rsidP="00577845">
            <w:pPr>
              <w:tabs>
                <w:tab w:val="decimal" w:pos="541"/>
              </w:tabs>
              <w:spacing w:after="0"/>
              <w:rPr>
                <w:rFonts w:eastAsia="Arial"/>
                <w:sz w:val="16"/>
                <w:szCs w:val="24"/>
                <w:lang w:eastAsia="en-GB"/>
              </w:rPr>
            </w:pPr>
            <w:r w:rsidRPr="00F2575A">
              <w:rPr>
                <w:rFonts w:eastAsia="Arial"/>
                <w:sz w:val="16"/>
                <w:szCs w:val="24"/>
                <w:lang w:eastAsia="en-GB"/>
              </w:rPr>
              <w:t>(2.6)</w:t>
            </w:r>
          </w:p>
        </w:tc>
        <w:tc>
          <w:tcPr>
            <w:tcW w:w="842" w:type="dxa"/>
            <w:tcBorders>
              <w:left w:val="nil"/>
              <w:right w:val="nil"/>
            </w:tcBorders>
            <w:shd w:val="clear" w:color="auto" w:fill="FFFFFF" w:themeFill="background1"/>
            <w:vAlign w:val="bottom"/>
          </w:tcPr>
          <w:p w14:paraId="7B7C1D16" w14:textId="622B6798" w:rsidR="00270D37" w:rsidRPr="00EF169A" w:rsidRDefault="00270D37" w:rsidP="00577845">
            <w:pPr>
              <w:tabs>
                <w:tab w:val="decimal" w:pos="435"/>
              </w:tabs>
              <w:spacing w:after="0"/>
              <w:rPr>
                <w:rFonts w:eastAsia="Arial"/>
                <w:sz w:val="16"/>
                <w:szCs w:val="24"/>
                <w:lang w:eastAsia="en-GB"/>
              </w:rPr>
            </w:pPr>
            <w:r w:rsidRPr="00F2575A">
              <w:rPr>
                <w:rFonts w:eastAsia="Arial"/>
                <w:sz w:val="16"/>
                <w:szCs w:val="24"/>
                <w:lang w:eastAsia="en-GB"/>
              </w:rPr>
              <w:t>(2.6)</w:t>
            </w:r>
          </w:p>
        </w:tc>
        <w:tc>
          <w:tcPr>
            <w:tcW w:w="901" w:type="dxa"/>
            <w:tcBorders>
              <w:left w:val="nil"/>
              <w:right w:val="nil"/>
            </w:tcBorders>
            <w:shd w:val="clear" w:color="auto" w:fill="FFFFFF" w:themeFill="background1"/>
            <w:vAlign w:val="bottom"/>
          </w:tcPr>
          <w:p w14:paraId="6374CE00" w14:textId="39EE42A5" w:rsidR="00270D37" w:rsidRPr="00EF169A" w:rsidRDefault="00270D37"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130FBD54" w14:textId="2E159052" w:rsidR="00270D37" w:rsidRPr="00EF169A" w:rsidRDefault="00270D37" w:rsidP="00577845">
            <w:pPr>
              <w:tabs>
                <w:tab w:val="decimal" w:pos="354"/>
              </w:tabs>
              <w:spacing w:after="0"/>
              <w:rPr>
                <w:rFonts w:eastAsia="Arial"/>
                <w:sz w:val="16"/>
                <w:szCs w:val="24"/>
                <w:lang w:eastAsia="en-GB"/>
              </w:rPr>
            </w:pPr>
            <w:r w:rsidRPr="00F2575A">
              <w:rPr>
                <w:rFonts w:eastAsia="Arial"/>
                <w:sz w:val="16"/>
                <w:szCs w:val="24"/>
                <w:lang w:eastAsia="en-GB"/>
              </w:rPr>
              <w:t>(2.6)</w:t>
            </w:r>
          </w:p>
        </w:tc>
      </w:tr>
      <w:tr w:rsidR="00F96B3F" w:rsidRPr="00480440" w14:paraId="56D27A57"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4FE2CC00" w14:textId="0C31BE68" w:rsidR="00270D37" w:rsidRPr="00480440" w:rsidRDefault="00270D37" w:rsidP="00270D37">
            <w:pPr>
              <w:spacing w:after="0"/>
              <w:rPr>
                <w:rFonts w:eastAsia="Arial"/>
                <w:sz w:val="16"/>
                <w:szCs w:val="24"/>
                <w:lang w:eastAsia="en-GB"/>
              </w:rPr>
            </w:pPr>
            <w:r w:rsidRPr="00C03A7B">
              <w:rPr>
                <w:rFonts w:eastAsia="Arial"/>
                <w:sz w:val="16"/>
                <w:szCs w:val="24"/>
                <w:lang w:eastAsia="en-GB"/>
              </w:rPr>
              <w:t>Purchase of shares by EBT</w:t>
            </w:r>
          </w:p>
        </w:tc>
        <w:tc>
          <w:tcPr>
            <w:tcW w:w="343" w:type="dxa"/>
            <w:tcBorders>
              <w:left w:val="nil"/>
              <w:right w:val="nil"/>
            </w:tcBorders>
          </w:tcPr>
          <w:p w14:paraId="4AB9074C" w14:textId="77777777" w:rsidR="00270D37" w:rsidRPr="00480440" w:rsidRDefault="00270D37" w:rsidP="00270D37">
            <w:pPr>
              <w:spacing w:after="0"/>
              <w:jc w:val="right"/>
              <w:rPr>
                <w:rFonts w:eastAsia="Arial"/>
                <w:sz w:val="16"/>
                <w:szCs w:val="24"/>
                <w:lang w:eastAsia="en-GB"/>
              </w:rPr>
            </w:pPr>
          </w:p>
        </w:tc>
        <w:tc>
          <w:tcPr>
            <w:tcW w:w="841" w:type="dxa"/>
            <w:tcBorders>
              <w:left w:val="nil"/>
              <w:right w:val="nil"/>
            </w:tcBorders>
            <w:vAlign w:val="bottom"/>
          </w:tcPr>
          <w:p w14:paraId="3759CCA5" w14:textId="34194E50" w:rsidR="00270D37" w:rsidRPr="00EF169A" w:rsidRDefault="00270D37" w:rsidP="002408DA">
            <w:pPr>
              <w:tabs>
                <w:tab w:val="decimal" w:pos="483"/>
              </w:tabs>
              <w:spacing w:after="0"/>
              <w:jc w:val="right"/>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0B0CAE36" w14:textId="6C398268" w:rsidR="00270D37" w:rsidRPr="00EF169A" w:rsidRDefault="00270D37" w:rsidP="00577845">
            <w:pPr>
              <w:tabs>
                <w:tab w:val="decimal" w:pos="533"/>
              </w:tabs>
              <w:spacing w:after="0"/>
              <w:rPr>
                <w:rFonts w:eastAsia="Arial"/>
                <w:sz w:val="16"/>
                <w:szCs w:val="24"/>
                <w:lang w:eastAsia="en-GB"/>
              </w:rPr>
            </w:pPr>
            <w:r w:rsidRPr="00EC7EF4">
              <w:rPr>
                <w:rFonts w:eastAsia="Arial"/>
                <w:sz w:val="16"/>
                <w:szCs w:val="24"/>
                <w:lang w:eastAsia="en-GB"/>
              </w:rPr>
              <w:t>(0.4)</w:t>
            </w:r>
          </w:p>
        </w:tc>
        <w:tc>
          <w:tcPr>
            <w:tcW w:w="884" w:type="dxa"/>
            <w:tcBorders>
              <w:left w:val="nil"/>
              <w:right w:val="nil"/>
            </w:tcBorders>
            <w:shd w:val="clear" w:color="auto" w:fill="auto"/>
            <w:tcMar>
              <w:left w:w="0" w:type="dxa"/>
              <w:right w:w="0" w:type="dxa"/>
            </w:tcMar>
            <w:vAlign w:val="bottom"/>
          </w:tcPr>
          <w:p w14:paraId="0084000C" w14:textId="1B27D283" w:rsidR="00270D37" w:rsidRPr="00EF169A" w:rsidRDefault="00270D37" w:rsidP="00577845">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63028933" w14:textId="29669917" w:rsidR="00270D37" w:rsidRPr="00EF169A" w:rsidRDefault="00270D37" w:rsidP="00577845">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7356563F" w14:textId="402A6B19" w:rsidR="00270D37" w:rsidRPr="00EF169A" w:rsidRDefault="00270D37" w:rsidP="00577845">
            <w:pPr>
              <w:tabs>
                <w:tab w:val="decimal" w:pos="541"/>
              </w:tabs>
              <w:spacing w:after="0"/>
              <w:rPr>
                <w:rFonts w:eastAsia="Arial"/>
                <w:sz w:val="16"/>
                <w:szCs w:val="24"/>
                <w:lang w:eastAsia="en-GB"/>
              </w:rPr>
            </w:pPr>
            <w:r w:rsidRPr="00F2575A">
              <w:rPr>
                <w:rFonts w:eastAsia="Arial"/>
                <w:sz w:val="16"/>
                <w:szCs w:val="24"/>
                <w:lang w:eastAsia="en-GB"/>
              </w:rPr>
              <w:t>(2</w:t>
            </w:r>
            <w:r>
              <w:rPr>
                <w:rFonts w:eastAsia="Arial"/>
                <w:sz w:val="16"/>
                <w:szCs w:val="24"/>
                <w:lang w:eastAsia="en-GB"/>
              </w:rPr>
              <w:t>4</w:t>
            </w:r>
            <w:r w:rsidRPr="00F2575A">
              <w:rPr>
                <w:rFonts w:eastAsia="Arial"/>
                <w:sz w:val="16"/>
                <w:szCs w:val="24"/>
                <w:lang w:eastAsia="en-GB"/>
              </w:rPr>
              <w:t>.0)</w:t>
            </w:r>
          </w:p>
        </w:tc>
        <w:tc>
          <w:tcPr>
            <w:tcW w:w="842" w:type="dxa"/>
            <w:tcBorders>
              <w:left w:val="nil"/>
              <w:right w:val="nil"/>
            </w:tcBorders>
            <w:shd w:val="clear" w:color="auto" w:fill="FFFFFF" w:themeFill="background1"/>
            <w:vAlign w:val="bottom"/>
          </w:tcPr>
          <w:p w14:paraId="5237A9B2" w14:textId="6ECC6220" w:rsidR="00270D37" w:rsidRPr="00EF169A" w:rsidRDefault="00270D37" w:rsidP="00577845">
            <w:pPr>
              <w:tabs>
                <w:tab w:val="decimal" w:pos="435"/>
              </w:tabs>
              <w:spacing w:after="0"/>
              <w:rPr>
                <w:rFonts w:eastAsia="Arial"/>
                <w:sz w:val="16"/>
                <w:szCs w:val="24"/>
                <w:lang w:eastAsia="en-GB"/>
              </w:rPr>
            </w:pPr>
            <w:r w:rsidRPr="00F2575A">
              <w:rPr>
                <w:rFonts w:eastAsia="Arial"/>
                <w:sz w:val="16"/>
                <w:szCs w:val="24"/>
                <w:lang w:eastAsia="en-GB"/>
              </w:rPr>
              <w:t>(2</w:t>
            </w:r>
            <w:r>
              <w:rPr>
                <w:rFonts w:eastAsia="Arial"/>
                <w:sz w:val="16"/>
                <w:szCs w:val="24"/>
                <w:lang w:eastAsia="en-GB"/>
              </w:rPr>
              <w:t>4</w:t>
            </w:r>
            <w:r w:rsidRPr="00F2575A">
              <w:rPr>
                <w:rFonts w:eastAsia="Arial"/>
                <w:sz w:val="16"/>
                <w:szCs w:val="24"/>
                <w:lang w:eastAsia="en-GB"/>
              </w:rPr>
              <w:t>.4)</w:t>
            </w:r>
          </w:p>
        </w:tc>
        <w:tc>
          <w:tcPr>
            <w:tcW w:w="901" w:type="dxa"/>
            <w:tcBorders>
              <w:left w:val="nil"/>
              <w:right w:val="nil"/>
            </w:tcBorders>
            <w:shd w:val="clear" w:color="auto" w:fill="FFFFFF" w:themeFill="background1"/>
            <w:vAlign w:val="bottom"/>
          </w:tcPr>
          <w:p w14:paraId="3C75E06A" w14:textId="163F0044" w:rsidR="00270D37" w:rsidRPr="00EF169A" w:rsidRDefault="00270D37"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112F18AE" w14:textId="525A6E64" w:rsidR="00270D37" w:rsidRPr="00EF169A" w:rsidRDefault="00270D37" w:rsidP="00577845">
            <w:pPr>
              <w:tabs>
                <w:tab w:val="decimal" w:pos="354"/>
              </w:tabs>
              <w:spacing w:after="0"/>
              <w:rPr>
                <w:rFonts w:eastAsia="Arial"/>
                <w:sz w:val="16"/>
                <w:szCs w:val="24"/>
                <w:lang w:eastAsia="en-GB"/>
              </w:rPr>
            </w:pPr>
            <w:r w:rsidRPr="00F2575A">
              <w:rPr>
                <w:rFonts w:eastAsia="Arial"/>
                <w:sz w:val="16"/>
                <w:szCs w:val="24"/>
                <w:lang w:eastAsia="en-GB"/>
              </w:rPr>
              <w:t>(2</w:t>
            </w:r>
            <w:r>
              <w:rPr>
                <w:rFonts w:eastAsia="Arial"/>
                <w:sz w:val="16"/>
                <w:szCs w:val="24"/>
                <w:lang w:eastAsia="en-GB"/>
              </w:rPr>
              <w:t>4</w:t>
            </w:r>
            <w:r w:rsidRPr="00F2575A">
              <w:rPr>
                <w:rFonts w:eastAsia="Arial"/>
                <w:sz w:val="16"/>
                <w:szCs w:val="24"/>
                <w:lang w:eastAsia="en-GB"/>
              </w:rPr>
              <w:t>.4)</w:t>
            </w:r>
          </w:p>
        </w:tc>
      </w:tr>
      <w:tr w:rsidR="00F96B3F" w:rsidRPr="00480440" w14:paraId="1F0FC045"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E7BD6D9" w14:textId="361CE1ED" w:rsidR="00270D37" w:rsidRPr="00480440" w:rsidRDefault="00270D37" w:rsidP="00270D37">
            <w:pPr>
              <w:spacing w:after="0"/>
              <w:rPr>
                <w:rFonts w:eastAsia="Arial"/>
                <w:b/>
                <w:sz w:val="16"/>
                <w:szCs w:val="24"/>
                <w:lang w:eastAsia="en-GB"/>
              </w:rPr>
            </w:pPr>
            <w:r w:rsidRPr="00C03A7B">
              <w:rPr>
                <w:rFonts w:eastAsia="Arial"/>
                <w:sz w:val="16"/>
                <w:szCs w:val="24"/>
                <w:lang w:eastAsia="en-GB"/>
              </w:rPr>
              <w:t>Share-based payments</w:t>
            </w:r>
          </w:p>
        </w:tc>
        <w:tc>
          <w:tcPr>
            <w:tcW w:w="343" w:type="dxa"/>
            <w:tcBorders>
              <w:top w:val="nil"/>
              <w:left w:val="nil"/>
              <w:right w:val="nil"/>
            </w:tcBorders>
          </w:tcPr>
          <w:p w14:paraId="2FEE22E4" w14:textId="77777777" w:rsidR="00270D37" w:rsidRPr="00480440" w:rsidRDefault="00270D37" w:rsidP="00270D37">
            <w:pPr>
              <w:spacing w:after="0"/>
              <w:jc w:val="right"/>
              <w:rPr>
                <w:rFonts w:eastAsia="Arial"/>
                <w:sz w:val="16"/>
                <w:szCs w:val="24"/>
                <w:lang w:eastAsia="en-GB"/>
              </w:rPr>
            </w:pPr>
          </w:p>
        </w:tc>
        <w:tc>
          <w:tcPr>
            <w:tcW w:w="841" w:type="dxa"/>
            <w:tcBorders>
              <w:left w:val="nil"/>
              <w:bottom w:val="single" w:sz="6" w:space="0" w:color="000000"/>
              <w:right w:val="nil"/>
            </w:tcBorders>
            <w:vAlign w:val="bottom"/>
          </w:tcPr>
          <w:p w14:paraId="5DBD596C" w14:textId="15FEEA37" w:rsidR="00270D37" w:rsidRPr="00EF169A" w:rsidRDefault="00270D37" w:rsidP="002408DA">
            <w:pPr>
              <w:tabs>
                <w:tab w:val="decimal" w:pos="483"/>
              </w:tabs>
              <w:spacing w:after="0"/>
              <w:jc w:val="right"/>
              <w:rPr>
                <w:rFonts w:eastAsia="Arial"/>
                <w:b/>
                <w:bCs/>
                <w:sz w:val="16"/>
                <w:szCs w:val="24"/>
                <w:lang w:eastAsia="en-GB"/>
              </w:rPr>
            </w:pPr>
            <w:r w:rsidRPr="00EC7EF4">
              <w:rPr>
                <w:rFonts w:eastAsia="Arial"/>
                <w:sz w:val="16"/>
                <w:szCs w:val="24"/>
                <w:lang w:eastAsia="en-GB"/>
              </w:rPr>
              <w:t>-</w:t>
            </w:r>
          </w:p>
        </w:tc>
        <w:tc>
          <w:tcPr>
            <w:tcW w:w="680" w:type="dxa"/>
            <w:tcBorders>
              <w:left w:val="nil"/>
              <w:bottom w:val="single" w:sz="6" w:space="0" w:color="000000"/>
              <w:right w:val="nil"/>
            </w:tcBorders>
            <w:shd w:val="clear" w:color="auto" w:fill="auto"/>
            <w:tcMar>
              <w:left w:w="0" w:type="dxa"/>
              <w:right w:w="0" w:type="dxa"/>
            </w:tcMar>
            <w:vAlign w:val="bottom"/>
          </w:tcPr>
          <w:p w14:paraId="441C60D9" w14:textId="1E2AC15D" w:rsidR="00270D37" w:rsidRPr="00EF169A" w:rsidRDefault="00270D37" w:rsidP="00577845">
            <w:pPr>
              <w:tabs>
                <w:tab w:val="decimal" w:pos="533"/>
              </w:tabs>
              <w:spacing w:after="0"/>
              <w:rPr>
                <w:rFonts w:eastAsia="Arial"/>
                <w:b/>
                <w:bCs/>
                <w:sz w:val="16"/>
                <w:szCs w:val="24"/>
                <w:lang w:eastAsia="en-GB"/>
              </w:rPr>
            </w:pPr>
            <w:r w:rsidRPr="00EC7EF4">
              <w:rPr>
                <w:rFonts w:eastAsia="Arial"/>
                <w:sz w:val="16"/>
                <w:szCs w:val="24"/>
                <w:lang w:eastAsia="en-GB"/>
              </w:rPr>
              <w:t>-</w:t>
            </w:r>
          </w:p>
        </w:tc>
        <w:tc>
          <w:tcPr>
            <w:tcW w:w="884" w:type="dxa"/>
            <w:tcBorders>
              <w:left w:val="nil"/>
              <w:bottom w:val="single" w:sz="6" w:space="0" w:color="000000"/>
              <w:right w:val="nil"/>
            </w:tcBorders>
            <w:shd w:val="clear" w:color="auto" w:fill="auto"/>
            <w:tcMar>
              <w:left w:w="0" w:type="dxa"/>
              <w:right w:w="0" w:type="dxa"/>
            </w:tcMar>
            <w:vAlign w:val="bottom"/>
          </w:tcPr>
          <w:p w14:paraId="0FBC2BCB" w14:textId="2A4076C4" w:rsidR="00270D37" w:rsidRPr="00EF169A" w:rsidRDefault="00270D37" w:rsidP="00577845">
            <w:pPr>
              <w:tabs>
                <w:tab w:val="decimal" w:pos="749"/>
              </w:tabs>
              <w:spacing w:after="0"/>
              <w:rPr>
                <w:rFonts w:eastAsia="Arial"/>
                <w:b/>
                <w:bCs/>
                <w:sz w:val="16"/>
                <w:szCs w:val="24"/>
                <w:lang w:eastAsia="en-GB"/>
              </w:rPr>
            </w:pPr>
            <w:r w:rsidRPr="00EC7EF4">
              <w:rPr>
                <w:rFonts w:eastAsia="Arial"/>
                <w:sz w:val="16"/>
                <w:szCs w:val="24"/>
                <w:lang w:eastAsia="en-GB"/>
              </w:rPr>
              <w:t>-</w:t>
            </w:r>
          </w:p>
        </w:tc>
        <w:tc>
          <w:tcPr>
            <w:tcW w:w="834" w:type="dxa"/>
            <w:tcBorders>
              <w:left w:val="nil"/>
              <w:bottom w:val="single" w:sz="6" w:space="0" w:color="000000"/>
              <w:right w:val="nil"/>
            </w:tcBorders>
            <w:shd w:val="clear" w:color="auto" w:fill="auto"/>
            <w:tcMar>
              <w:left w:w="0" w:type="dxa"/>
              <w:right w:w="0" w:type="dxa"/>
            </w:tcMar>
            <w:vAlign w:val="bottom"/>
          </w:tcPr>
          <w:p w14:paraId="40E8BEBF" w14:textId="0BE08F4F" w:rsidR="00270D37" w:rsidRPr="00EF169A" w:rsidRDefault="00270D37" w:rsidP="00577845">
            <w:pPr>
              <w:tabs>
                <w:tab w:val="decimal" w:pos="667"/>
              </w:tabs>
              <w:spacing w:after="0"/>
              <w:rPr>
                <w:rFonts w:eastAsia="Arial"/>
                <w:b/>
                <w:bCs/>
                <w:sz w:val="16"/>
                <w:szCs w:val="24"/>
                <w:lang w:eastAsia="en-GB"/>
              </w:rPr>
            </w:pPr>
            <w:r w:rsidRPr="00EC7EF4">
              <w:rPr>
                <w:rFonts w:eastAsia="Arial"/>
                <w:sz w:val="16"/>
                <w:szCs w:val="24"/>
                <w:lang w:eastAsia="en-GB"/>
              </w:rPr>
              <w:t>-</w:t>
            </w:r>
          </w:p>
        </w:tc>
        <w:tc>
          <w:tcPr>
            <w:tcW w:w="779" w:type="dxa"/>
            <w:tcBorders>
              <w:left w:val="nil"/>
              <w:bottom w:val="single" w:sz="6" w:space="0" w:color="000000"/>
              <w:right w:val="nil"/>
            </w:tcBorders>
            <w:shd w:val="clear" w:color="auto" w:fill="auto"/>
            <w:tcMar>
              <w:left w:w="0" w:type="dxa"/>
              <w:right w:w="0" w:type="dxa"/>
            </w:tcMar>
            <w:vAlign w:val="bottom"/>
          </w:tcPr>
          <w:p w14:paraId="3BEA8179" w14:textId="667C6C16" w:rsidR="00270D37" w:rsidRPr="00EF169A" w:rsidRDefault="00270D37" w:rsidP="00577845">
            <w:pPr>
              <w:tabs>
                <w:tab w:val="decimal" w:pos="541"/>
              </w:tabs>
              <w:spacing w:after="0"/>
              <w:rPr>
                <w:rFonts w:eastAsia="Arial"/>
                <w:b/>
                <w:bCs/>
                <w:sz w:val="16"/>
                <w:szCs w:val="24"/>
                <w:lang w:eastAsia="en-GB"/>
              </w:rPr>
            </w:pPr>
            <w:r w:rsidRPr="00F2575A">
              <w:rPr>
                <w:rFonts w:eastAsia="Arial"/>
                <w:sz w:val="16"/>
                <w:szCs w:val="24"/>
                <w:lang w:eastAsia="en-GB"/>
              </w:rPr>
              <w:t>10.</w:t>
            </w:r>
            <w:r>
              <w:rPr>
                <w:rFonts w:eastAsia="Arial"/>
                <w:sz w:val="16"/>
                <w:szCs w:val="24"/>
                <w:lang w:eastAsia="en-GB"/>
              </w:rPr>
              <w:t>2</w:t>
            </w:r>
          </w:p>
        </w:tc>
        <w:tc>
          <w:tcPr>
            <w:tcW w:w="842" w:type="dxa"/>
            <w:tcBorders>
              <w:left w:val="nil"/>
              <w:bottom w:val="single" w:sz="6" w:space="0" w:color="000000"/>
              <w:right w:val="nil"/>
            </w:tcBorders>
            <w:vAlign w:val="bottom"/>
          </w:tcPr>
          <w:p w14:paraId="2E75E1DD" w14:textId="3E5F29C2" w:rsidR="00270D37" w:rsidRPr="00EF169A" w:rsidRDefault="00270D37" w:rsidP="00577845">
            <w:pPr>
              <w:tabs>
                <w:tab w:val="decimal" w:pos="435"/>
              </w:tabs>
              <w:spacing w:after="0"/>
              <w:rPr>
                <w:rFonts w:eastAsia="Arial"/>
                <w:sz w:val="16"/>
                <w:szCs w:val="24"/>
                <w:lang w:eastAsia="en-GB"/>
              </w:rPr>
            </w:pPr>
            <w:r w:rsidRPr="00F2575A">
              <w:rPr>
                <w:rFonts w:eastAsia="Arial"/>
                <w:sz w:val="16"/>
                <w:szCs w:val="24"/>
                <w:lang w:eastAsia="en-GB"/>
              </w:rPr>
              <w:t>10.</w:t>
            </w:r>
            <w:r>
              <w:rPr>
                <w:rFonts w:eastAsia="Arial"/>
                <w:sz w:val="16"/>
                <w:szCs w:val="24"/>
                <w:lang w:eastAsia="en-GB"/>
              </w:rPr>
              <w:t>2</w:t>
            </w:r>
          </w:p>
        </w:tc>
        <w:tc>
          <w:tcPr>
            <w:tcW w:w="901" w:type="dxa"/>
            <w:tcBorders>
              <w:left w:val="nil"/>
              <w:bottom w:val="single" w:sz="6" w:space="0" w:color="000000"/>
              <w:right w:val="nil"/>
            </w:tcBorders>
            <w:vAlign w:val="bottom"/>
          </w:tcPr>
          <w:p w14:paraId="7B66AC21" w14:textId="00330650" w:rsidR="00270D37" w:rsidRPr="00EF169A" w:rsidRDefault="00270D37"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bottom w:val="single" w:sz="6" w:space="0" w:color="000000"/>
              <w:right w:val="nil"/>
            </w:tcBorders>
            <w:vAlign w:val="bottom"/>
          </w:tcPr>
          <w:p w14:paraId="2CE66DD1" w14:textId="6B18E168" w:rsidR="00270D37" w:rsidRPr="00EF169A" w:rsidRDefault="00270D37" w:rsidP="00577845">
            <w:pPr>
              <w:tabs>
                <w:tab w:val="decimal" w:pos="354"/>
              </w:tabs>
              <w:spacing w:after="0"/>
              <w:rPr>
                <w:rFonts w:eastAsia="Arial"/>
                <w:sz w:val="16"/>
                <w:szCs w:val="24"/>
                <w:lang w:eastAsia="en-GB"/>
              </w:rPr>
            </w:pPr>
            <w:r w:rsidRPr="00F2575A">
              <w:rPr>
                <w:rFonts w:eastAsia="Arial"/>
                <w:sz w:val="16"/>
                <w:szCs w:val="24"/>
                <w:lang w:eastAsia="en-GB"/>
              </w:rPr>
              <w:t>10.</w:t>
            </w:r>
            <w:r>
              <w:rPr>
                <w:rFonts w:eastAsia="Arial"/>
                <w:sz w:val="16"/>
                <w:szCs w:val="24"/>
                <w:lang w:eastAsia="en-GB"/>
              </w:rPr>
              <w:t>2</w:t>
            </w:r>
          </w:p>
        </w:tc>
      </w:tr>
      <w:tr w:rsidR="00CB3AA6" w:rsidRPr="00480440" w14:paraId="3EB0EAAF"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A4FECA3" w14:textId="455240E7" w:rsidR="00270D37" w:rsidRPr="00480440" w:rsidRDefault="00270D37" w:rsidP="00270D37">
            <w:pPr>
              <w:spacing w:after="0"/>
              <w:rPr>
                <w:rFonts w:eastAsia="Arial"/>
                <w:sz w:val="16"/>
                <w:szCs w:val="24"/>
                <w:lang w:eastAsia="en-GB"/>
              </w:rPr>
            </w:pPr>
            <w:r w:rsidRPr="00480440">
              <w:rPr>
                <w:rFonts w:eastAsia="Arial"/>
                <w:b/>
                <w:sz w:val="16"/>
                <w:szCs w:val="24"/>
                <w:lang w:eastAsia="en-GB"/>
              </w:rPr>
              <w:t>Total transactions with owners</w:t>
            </w:r>
          </w:p>
        </w:tc>
        <w:tc>
          <w:tcPr>
            <w:tcW w:w="343" w:type="dxa"/>
            <w:tcBorders>
              <w:top w:val="nil"/>
              <w:left w:val="nil"/>
              <w:right w:val="nil"/>
            </w:tcBorders>
          </w:tcPr>
          <w:p w14:paraId="2735ED54" w14:textId="77777777" w:rsidR="00270D37" w:rsidRPr="00480440" w:rsidRDefault="00270D37" w:rsidP="00270D37">
            <w:pPr>
              <w:spacing w:after="0"/>
              <w:jc w:val="right"/>
              <w:rPr>
                <w:rFonts w:eastAsia="Arial"/>
                <w:sz w:val="16"/>
                <w:szCs w:val="24"/>
                <w:lang w:eastAsia="en-GB"/>
              </w:rPr>
            </w:pPr>
          </w:p>
        </w:tc>
        <w:tc>
          <w:tcPr>
            <w:tcW w:w="841" w:type="dxa"/>
            <w:tcBorders>
              <w:top w:val="nil"/>
              <w:left w:val="nil"/>
              <w:bottom w:val="single" w:sz="6" w:space="0" w:color="000000"/>
              <w:right w:val="nil"/>
            </w:tcBorders>
            <w:vAlign w:val="bottom"/>
          </w:tcPr>
          <w:p w14:paraId="5ADE6743" w14:textId="04AEF270" w:rsidR="00270D37" w:rsidRPr="00EF169A" w:rsidRDefault="00270D37" w:rsidP="002408DA">
            <w:pPr>
              <w:tabs>
                <w:tab w:val="decimal" w:pos="483"/>
              </w:tabs>
              <w:spacing w:after="0"/>
              <w:jc w:val="right"/>
              <w:rPr>
                <w:rFonts w:eastAsia="Arial"/>
                <w:b/>
                <w:bCs/>
                <w:sz w:val="16"/>
                <w:szCs w:val="24"/>
                <w:lang w:eastAsia="en-GB"/>
              </w:rPr>
            </w:pPr>
            <w:r w:rsidRPr="006C22D1">
              <w:rPr>
                <w:rFonts w:eastAsia="Arial"/>
                <w:b/>
                <w:bCs/>
                <w:sz w:val="16"/>
                <w:szCs w:val="24"/>
                <w:lang w:eastAsia="en-GB"/>
              </w:rPr>
              <w:t>-</w:t>
            </w:r>
          </w:p>
        </w:tc>
        <w:tc>
          <w:tcPr>
            <w:tcW w:w="680" w:type="dxa"/>
            <w:tcBorders>
              <w:top w:val="nil"/>
              <w:left w:val="nil"/>
              <w:bottom w:val="single" w:sz="6" w:space="0" w:color="000000"/>
              <w:right w:val="nil"/>
            </w:tcBorders>
            <w:shd w:val="clear" w:color="auto" w:fill="auto"/>
            <w:tcMar>
              <w:left w:w="0" w:type="dxa"/>
              <w:right w:w="0" w:type="dxa"/>
            </w:tcMar>
            <w:vAlign w:val="bottom"/>
          </w:tcPr>
          <w:p w14:paraId="212C5493" w14:textId="399BC667" w:rsidR="00270D37" w:rsidRPr="00EF169A" w:rsidRDefault="00270D37" w:rsidP="00577845">
            <w:pPr>
              <w:tabs>
                <w:tab w:val="decimal" w:pos="533"/>
              </w:tabs>
              <w:spacing w:after="0"/>
              <w:rPr>
                <w:rFonts w:eastAsia="Arial"/>
                <w:b/>
                <w:bCs/>
                <w:sz w:val="16"/>
                <w:szCs w:val="24"/>
                <w:lang w:eastAsia="en-GB"/>
              </w:rPr>
            </w:pPr>
            <w:r>
              <w:rPr>
                <w:rFonts w:eastAsia="Arial"/>
                <w:b/>
                <w:bCs/>
                <w:sz w:val="16"/>
                <w:szCs w:val="24"/>
                <w:lang w:eastAsia="en-GB"/>
              </w:rPr>
              <w:t>(0.3)</w:t>
            </w:r>
          </w:p>
        </w:tc>
        <w:tc>
          <w:tcPr>
            <w:tcW w:w="884" w:type="dxa"/>
            <w:tcBorders>
              <w:top w:val="nil"/>
              <w:left w:val="nil"/>
              <w:bottom w:val="single" w:sz="6" w:space="0" w:color="000000"/>
              <w:right w:val="nil"/>
            </w:tcBorders>
            <w:shd w:val="clear" w:color="auto" w:fill="auto"/>
            <w:tcMar>
              <w:left w:w="0" w:type="dxa"/>
              <w:right w:w="0" w:type="dxa"/>
            </w:tcMar>
            <w:vAlign w:val="bottom"/>
          </w:tcPr>
          <w:p w14:paraId="3CB56012" w14:textId="1F000185" w:rsidR="00270D37" w:rsidRPr="00EF169A" w:rsidRDefault="00270D37" w:rsidP="00577845">
            <w:pPr>
              <w:tabs>
                <w:tab w:val="decimal" w:pos="749"/>
              </w:tabs>
              <w:spacing w:after="0"/>
              <w:rPr>
                <w:rFonts w:eastAsia="Arial"/>
                <w:b/>
                <w:bCs/>
                <w:sz w:val="16"/>
                <w:szCs w:val="24"/>
                <w:lang w:eastAsia="en-GB"/>
              </w:rPr>
            </w:pPr>
            <w:r w:rsidRPr="006C22D1">
              <w:rPr>
                <w:rFonts w:eastAsia="Arial"/>
                <w:b/>
                <w:bCs/>
                <w:sz w:val="16"/>
                <w:szCs w:val="24"/>
                <w:lang w:eastAsia="en-GB"/>
              </w:rPr>
              <w:t>-</w:t>
            </w:r>
          </w:p>
        </w:tc>
        <w:tc>
          <w:tcPr>
            <w:tcW w:w="834" w:type="dxa"/>
            <w:tcBorders>
              <w:top w:val="nil"/>
              <w:left w:val="nil"/>
              <w:bottom w:val="single" w:sz="6" w:space="0" w:color="000000"/>
              <w:right w:val="nil"/>
            </w:tcBorders>
            <w:shd w:val="clear" w:color="auto" w:fill="auto"/>
            <w:tcMar>
              <w:left w:w="0" w:type="dxa"/>
              <w:right w:w="0" w:type="dxa"/>
            </w:tcMar>
            <w:vAlign w:val="bottom"/>
          </w:tcPr>
          <w:p w14:paraId="1533761F" w14:textId="6713879C" w:rsidR="00270D37" w:rsidRPr="00EF169A" w:rsidRDefault="00270D37" w:rsidP="00577845">
            <w:pPr>
              <w:tabs>
                <w:tab w:val="decimal" w:pos="667"/>
              </w:tabs>
              <w:spacing w:after="0"/>
              <w:rPr>
                <w:rFonts w:eastAsia="Arial"/>
                <w:b/>
                <w:bCs/>
                <w:sz w:val="16"/>
                <w:szCs w:val="24"/>
                <w:lang w:eastAsia="en-GB"/>
              </w:rPr>
            </w:pPr>
            <w:r>
              <w:rPr>
                <w:rFonts w:eastAsia="Arial"/>
                <w:b/>
                <w:bCs/>
                <w:sz w:val="16"/>
                <w:szCs w:val="24"/>
                <w:lang w:eastAsia="en-GB"/>
              </w:rPr>
              <w:t>-</w:t>
            </w:r>
          </w:p>
        </w:tc>
        <w:tc>
          <w:tcPr>
            <w:tcW w:w="779" w:type="dxa"/>
            <w:tcBorders>
              <w:top w:val="nil"/>
              <w:left w:val="nil"/>
              <w:bottom w:val="single" w:sz="6" w:space="0" w:color="000000"/>
              <w:right w:val="nil"/>
            </w:tcBorders>
            <w:shd w:val="clear" w:color="auto" w:fill="auto"/>
            <w:tcMar>
              <w:left w:w="0" w:type="dxa"/>
              <w:right w:w="0" w:type="dxa"/>
            </w:tcMar>
            <w:vAlign w:val="bottom"/>
          </w:tcPr>
          <w:p w14:paraId="72474618" w14:textId="6F072928" w:rsidR="00270D37" w:rsidRPr="00EF169A" w:rsidRDefault="00270D37" w:rsidP="00577845">
            <w:pPr>
              <w:tabs>
                <w:tab w:val="decimal" w:pos="541"/>
              </w:tabs>
              <w:spacing w:after="0"/>
              <w:rPr>
                <w:rFonts w:eastAsia="Arial"/>
                <w:b/>
                <w:bCs/>
                <w:sz w:val="16"/>
                <w:szCs w:val="24"/>
                <w:lang w:eastAsia="en-GB"/>
              </w:rPr>
            </w:pPr>
            <w:r>
              <w:rPr>
                <w:rFonts w:eastAsia="Arial"/>
                <w:b/>
                <w:bCs/>
                <w:sz w:val="16"/>
                <w:szCs w:val="24"/>
                <w:lang w:eastAsia="en-GB"/>
              </w:rPr>
              <w:t>(16.5)</w:t>
            </w:r>
          </w:p>
        </w:tc>
        <w:tc>
          <w:tcPr>
            <w:tcW w:w="842" w:type="dxa"/>
            <w:tcBorders>
              <w:top w:val="nil"/>
              <w:left w:val="nil"/>
              <w:bottom w:val="single" w:sz="6" w:space="0" w:color="000000"/>
              <w:right w:val="nil"/>
            </w:tcBorders>
            <w:vAlign w:val="bottom"/>
          </w:tcPr>
          <w:p w14:paraId="335907D2" w14:textId="4F11FBC5" w:rsidR="00270D37" w:rsidRPr="00EF169A" w:rsidRDefault="00270D37" w:rsidP="00577845">
            <w:pPr>
              <w:tabs>
                <w:tab w:val="decimal" w:pos="435"/>
              </w:tabs>
              <w:spacing w:after="0"/>
              <w:rPr>
                <w:rFonts w:eastAsia="Arial"/>
                <w:b/>
                <w:bCs/>
                <w:sz w:val="16"/>
                <w:szCs w:val="24"/>
                <w:lang w:eastAsia="en-GB"/>
              </w:rPr>
            </w:pPr>
            <w:r w:rsidRPr="006C22D1">
              <w:rPr>
                <w:rFonts w:eastAsia="Arial"/>
                <w:b/>
                <w:bCs/>
                <w:sz w:val="16"/>
                <w:szCs w:val="24"/>
                <w:lang w:eastAsia="en-GB"/>
              </w:rPr>
              <w:t>(</w:t>
            </w:r>
            <w:r>
              <w:rPr>
                <w:rFonts w:eastAsia="Arial"/>
                <w:b/>
                <w:bCs/>
                <w:sz w:val="16"/>
                <w:szCs w:val="24"/>
                <w:lang w:eastAsia="en-GB"/>
              </w:rPr>
              <w:t>16.8</w:t>
            </w:r>
            <w:r w:rsidRPr="006C22D1">
              <w:rPr>
                <w:rFonts w:eastAsia="Arial"/>
                <w:b/>
                <w:bCs/>
                <w:sz w:val="16"/>
                <w:szCs w:val="24"/>
                <w:lang w:eastAsia="en-GB"/>
              </w:rPr>
              <w:t>)</w:t>
            </w:r>
            <w:r w:rsidRPr="006C22D1" w:rsidDel="00C255CF">
              <w:rPr>
                <w:rFonts w:eastAsia="Arial"/>
                <w:b/>
                <w:bCs/>
                <w:sz w:val="16"/>
                <w:szCs w:val="24"/>
                <w:lang w:eastAsia="en-GB"/>
              </w:rPr>
              <w:t xml:space="preserve"> </w:t>
            </w:r>
          </w:p>
        </w:tc>
        <w:tc>
          <w:tcPr>
            <w:tcW w:w="901" w:type="dxa"/>
            <w:tcBorders>
              <w:top w:val="nil"/>
              <w:left w:val="nil"/>
              <w:bottom w:val="single" w:sz="6" w:space="0" w:color="000000"/>
              <w:right w:val="nil"/>
            </w:tcBorders>
            <w:vAlign w:val="bottom"/>
          </w:tcPr>
          <w:p w14:paraId="798DDBED" w14:textId="62A0B915" w:rsidR="00270D37" w:rsidRPr="00EF169A" w:rsidRDefault="00270D37" w:rsidP="00577845">
            <w:pPr>
              <w:tabs>
                <w:tab w:val="decimal" w:pos="484"/>
              </w:tabs>
              <w:spacing w:after="0"/>
              <w:rPr>
                <w:rFonts w:eastAsia="Arial"/>
                <w:b/>
                <w:bCs/>
                <w:sz w:val="16"/>
                <w:szCs w:val="24"/>
                <w:lang w:eastAsia="en-GB"/>
              </w:rPr>
            </w:pPr>
            <w:r w:rsidRPr="006C22D1">
              <w:rPr>
                <w:rFonts w:eastAsia="Arial"/>
                <w:b/>
                <w:bCs/>
                <w:sz w:val="16"/>
                <w:szCs w:val="24"/>
                <w:lang w:eastAsia="en-GB"/>
              </w:rPr>
              <w:t>-</w:t>
            </w:r>
          </w:p>
        </w:tc>
        <w:tc>
          <w:tcPr>
            <w:tcW w:w="746" w:type="dxa"/>
            <w:gridSpan w:val="2"/>
            <w:tcBorders>
              <w:top w:val="nil"/>
              <w:left w:val="nil"/>
              <w:bottom w:val="single" w:sz="6" w:space="0" w:color="000000"/>
              <w:right w:val="nil"/>
            </w:tcBorders>
            <w:vAlign w:val="bottom"/>
          </w:tcPr>
          <w:p w14:paraId="523B0EBB" w14:textId="70C5234C" w:rsidR="00270D37" w:rsidRPr="00EF169A" w:rsidRDefault="00270D37" w:rsidP="00577845">
            <w:pPr>
              <w:tabs>
                <w:tab w:val="decimal" w:pos="354"/>
              </w:tabs>
              <w:spacing w:after="0"/>
              <w:rPr>
                <w:rFonts w:eastAsia="Arial"/>
                <w:b/>
                <w:bCs/>
                <w:sz w:val="16"/>
                <w:szCs w:val="24"/>
                <w:lang w:eastAsia="en-GB"/>
              </w:rPr>
            </w:pPr>
            <w:r w:rsidRPr="006C22D1">
              <w:rPr>
                <w:rFonts w:eastAsia="Arial"/>
                <w:b/>
                <w:bCs/>
                <w:sz w:val="16"/>
                <w:szCs w:val="24"/>
                <w:lang w:eastAsia="en-GB"/>
              </w:rPr>
              <w:t>(</w:t>
            </w:r>
            <w:r>
              <w:rPr>
                <w:rFonts w:eastAsia="Arial"/>
                <w:b/>
                <w:bCs/>
                <w:sz w:val="16"/>
                <w:szCs w:val="24"/>
                <w:lang w:eastAsia="en-GB"/>
              </w:rPr>
              <w:t>16.8</w:t>
            </w:r>
            <w:r w:rsidRPr="006C22D1">
              <w:rPr>
                <w:rFonts w:eastAsia="Arial"/>
                <w:b/>
                <w:bCs/>
                <w:sz w:val="16"/>
                <w:szCs w:val="24"/>
                <w:lang w:eastAsia="en-GB"/>
              </w:rPr>
              <w:t>)</w:t>
            </w:r>
            <w:r w:rsidRPr="006C22D1" w:rsidDel="00C255CF">
              <w:rPr>
                <w:rFonts w:eastAsia="Arial"/>
                <w:b/>
                <w:bCs/>
                <w:sz w:val="16"/>
                <w:szCs w:val="24"/>
                <w:lang w:eastAsia="en-GB"/>
              </w:rPr>
              <w:t xml:space="preserve"> </w:t>
            </w:r>
          </w:p>
        </w:tc>
      </w:tr>
      <w:tr w:rsidR="00F96B3F" w:rsidRPr="00480440" w14:paraId="3983B384" w14:textId="77777777" w:rsidTr="75D94440">
        <w:trPr>
          <w:trHeight w:val="98"/>
        </w:trPr>
        <w:tc>
          <w:tcPr>
            <w:tcW w:w="3255" w:type="dxa"/>
            <w:tcBorders>
              <w:top w:val="nil"/>
              <w:left w:val="nil"/>
              <w:bottom w:val="nil"/>
              <w:right w:val="nil"/>
            </w:tcBorders>
            <w:shd w:val="clear" w:color="auto" w:fill="FFFFFF" w:themeFill="background1"/>
            <w:tcMar>
              <w:left w:w="0" w:type="dxa"/>
              <w:right w:w="0" w:type="dxa"/>
            </w:tcMar>
            <w:vAlign w:val="bottom"/>
          </w:tcPr>
          <w:p w14:paraId="242811BE" w14:textId="5F976589" w:rsidR="00270D37" w:rsidRPr="00480440" w:rsidRDefault="00270D37" w:rsidP="00270D37">
            <w:pPr>
              <w:spacing w:after="0"/>
              <w:rPr>
                <w:rFonts w:eastAsia="Arial"/>
                <w:sz w:val="16"/>
                <w:szCs w:val="24"/>
                <w:lang w:eastAsia="en-GB"/>
              </w:rPr>
            </w:pPr>
            <w:r w:rsidRPr="00480440">
              <w:rPr>
                <w:rFonts w:eastAsia="Arial"/>
                <w:b/>
                <w:sz w:val="16"/>
                <w:szCs w:val="24"/>
                <w:lang w:eastAsia="en-GB"/>
              </w:rPr>
              <w:t>At 3</w:t>
            </w:r>
            <w:r>
              <w:rPr>
                <w:rFonts w:eastAsia="Arial"/>
                <w:b/>
                <w:sz w:val="16"/>
                <w:szCs w:val="24"/>
                <w:lang w:eastAsia="en-GB"/>
              </w:rPr>
              <w:t>0</w:t>
            </w:r>
            <w:r w:rsidRPr="00480440">
              <w:rPr>
                <w:rFonts w:eastAsia="Arial"/>
                <w:b/>
                <w:sz w:val="16"/>
                <w:szCs w:val="24"/>
                <w:lang w:eastAsia="en-GB"/>
              </w:rPr>
              <w:t xml:space="preserve"> </w:t>
            </w:r>
            <w:r>
              <w:rPr>
                <w:rFonts w:eastAsia="Arial"/>
                <w:b/>
                <w:sz w:val="16"/>
                <w:szCs w:val="24"/>
                <w:lang w:eastAsia="en-GB"/>
              </w:rPr>
              <w:t>June</w:t>
            </w:r>
            <w:r w:rsidRPr="00480440">
              <w:rPr>
                <w:rFonts w:eastAsia="Arial"/>
                <w:b/>
                <w:sz w:val="16"/>
                <w:szCs w:val="24"/>
                <w:lang w:eastAsia="en-GB"/>
              </w:rPr>
              <w:t xml:space="preserve"> </w:t>
            </w:r>
            <w:r>
              <w:rPr>
                <w:rFonts w:eastAsia="Arial"/>
                <w:b/>
                <w:sz w:val="16"/>
                <w:szCs w:val="24"/>
                <w:lang w:eastAsia="en-GB"/>
              </w:rPr>
              <w:t>2023</w:t>
            </w:r>
          </w:p>
        </w:tc>
        <w:tc>
          <w:tcPr>
            <w:tcW w:w="343" w:type="dxa"/>
            <w:tcBorders>
              <w:left w:val="nil"/>
              <w:right w:val="nil"/>
            </w:tcBorders>
          </w:tcPr>
          <w:p w14:paraId="303D7B85" w14:textId="77777777" w:rsidR="00270D37" w:rsidRPr="00480440" w:rsidRDefault="00270D37" w:rsidP="00270D37">
            <w:pPr>
              <w:spacing w:after="0"/>
              <w:jc w:val="right"/>
              <w:rPr>
                <w:rFonts w:eastAsia="Arial"/>
                <w:sz w:val="16"/>
                <w:szCs w:val="24"/>
                <w:lang w:eastAsia="en-GB"/>
              </w:rPr>
            </w:pPr>
          </w:p>
        </w:tc>
        <w:tc>
          <w:tcPr>
            <w:tcW w:w="841" w:type="dxa"/>
            <w:tcBorders>
              <w:top w:val="single" w:sz="6" w:space="0" w:color="000000"/>
              <w:left w:val="nil"/>
              <w:bottom w:val="double" w:sz="4" w:space="0" w:color="000000"/>
              <w:right w:val="nil"/>
            </w:tcBorders>
            <w:vAlign w:val="bottom"/>
          </w:tcPr>
          <w:p w14:paraId="41B85A75" w14:textId="40D2D7EB" w:rsidR="00270D37" w:rsidRPr="00EF169A" w:rsidRDefault="00270D37" w:rsidP="002408DA">
            <w:pPr>
              <w:tabs>
                <w:tab w:val="decimal" w:pos="483"/>
              </w:tabs>
              <w:spacing w:after="0"/>
              <w:jc w:val="right"/>
              <w:rPr>
                <w:rFonts w:eastAsia="Arial"/>
                <w:sz w:val="16"/>
                <w:szCs w:val="24"/>
                <w:lang w:eastAsia="en-GB"/>
              </w:rPr>
            </w:pPr>
            <w:r w:rsidRPr="00333F14">
              <w:rPr>
                <w:rFonts w:eastAsia="Arial"/>
                <w:b/>
                <w:bCs/>
                <w:sz w:val="16"/>
                <w:szCs w:val="24"/>
                <w:lang w:eastAsia="en-GB"/>
              </w:rPr>
              <w:t>10.9</w:t>
            </w:r>
          </w:p>
        </w:tc>
        <w:tc>
          <w:tcPr>
            <w:tcW w:w="680" w:type="dxa"/>
            <w:tcBorders>
              <w:top w:val="single" w:sz="6" w:space="0" w:color="000000"/>
              <w:left w:val="nil"/>
              <w:bottom w:val="double" w:sz="4" w:space="0" w:color="000000"/>
              <w:right w:val="nil"/>
            </w:tcBorders>
            <w:shd w:val="clear" w:color="auto" w:fill="auto"/>
            <w:tcMar>
              <w:left w:w="0" w:type="dxa"/>
              <w:right w:w="0" w:type="dxa"/>
            </w:tcMar>
            <w:vAlign w:val="bottom"/>
          </w:tcPr>
          <w:p w14:paraId="58731CBC" w14:textId="14C44BE3" w:rsidR="00270D37" w:rsidRPr="00EF169A" w:rsidRDefault="00270D37" w:rsidP="00577845">
            <w:pPr>
              <w:tabs>
                <w:tab w:val="decimal" w:pos="533"/>
              </w:tabs>
              <w:spacing w:after="0"/>
              <w:rPr>
                <w:rFonts w:eastAsia="Arial"/>
                <w:sz w:val="16"/>
                <w:szCs w:val="24"/>
                <w:lang w:eastAsia="en-GB"/>
              </w:rPr>
            </w:pPr>
            <w:r w:rsidRPr="00333F14">
              <w:rPr>
                <w:rFonts w:eastAsia="Arial"/>
                <w:b/>
                <w:bCs/>
                <w:sz w:val="16"/>
                <w:szCs w:val="24"/>
                <w:lang w:eastAsia="en-GB"/>
              </w:rPr>
              <w:t>(0.8)</w:t>
            </w:r>
          </w:p>
        </w:tc>
        <w:tc>
          <w:tcPr>
            <w:tcW w:w="884" w:type="dxa"/>
            <w:tcBorders>
              <w:top w:val="single" w:sz="6" w:space="0" w:color="000000"/>
              <w:left w:val="nil"/>
              <w:bottom w:val="double" w:sz="4" w:space="0" w:color="000000"/>
              <w:right w:val="nil"/>
            </w:tcBorders>
            <w:shd w:val="clear" w:color="auto" w:fill="auto"/>
            <w:tcMar>
              <w:left w:w="0" w:type="dxa"/>
              <w:right w:w="0" w:type="dxa"/>
            </w:tcMar>
            <w:vAlign w:val="bottom"/>
          </w:tcPr>
          <w:p w14:paraId="53223728" w14:textId="1B832E30" w:rsidR="00270D37" w:rsidRPr="00EF169A" w:rsidRDefault="00270D37" w:rsidP="00577845">
            <w:pPr>
              <w:tabs>
                <w:tab w:val="decimal" w:pos="749"/>
              </w:tabs>
              <w:spacing w:after="0"/>
              <w:rPr>
                <w:rFonts w:eastAsia="Arial"/>
                <w:sz w:val="16"/>
                <w:szCs w:val="24"/>
                <w:lang w:eastAsia="en-GB"/>
              </w:rPr>
            </w:pPr>
            <w:r w:rsidRPr="00333F14">
              <w:rPr>
                <w:rFonts w:eastAsia="Arial"/>
                <w:b/>
                <w:bCs/>
                <w:sz w:val="16"/>
                <w:szCs w:val="24"/>
                <w:lang w:eastAsia="en-GB"/>
              </w:rPr>
              <w:t>250.3</w:t>
            </w:r>
          </w:p>
        </w:tc>
        <w:tc>
          <w:tcPr>
            <w:tcW w:w="834" w:type="dxa"/>
            <w:tcBorders>
              <w:top w:val="single" w:sz="6" w:space="0" w:color="000000"/>
              <w:left w:val="nil"/>
              <w:bottom w:val="double" w:sz="4" w:space="0" w:color="000000"/>
              <w:right w:val="nil"/>
            </w:tcBorders>
            <w:shd w:val="clear" w:color="auto" w:fill="auto"/>
            <w:tcMar>
              <w:left w:w="0" w:type="dxa"/>
              <w:right w:w="0" w:type="dxa"/>
            </w:tcMar>
            <w:vAlign w:val="bottom"/>
          </w:tcPr>
          <w:p w14:paraId="62AAD1B8" w14:textId="2B6786F9" w:rsidR="00270D37" w:rsidRPr="00EF169A" w:rsidRDefault="00270D37" w:rsidP="00577845">
            <w:pPr>
              <w:tabs>
                <w:tab w:val="decimal" w:pos="667"/>
              </w:tabs>
              <w:spacing w:after="0"/>
              <w:rPr>
                <w:rFonts w:eastAsia="Arial"/>
                <w:sz w:val="16"/>
                <w:szCs w:val="24"/>
                <w:lang w:eastAsia="en-GB"/>
              </w:rPr>
            </w:pPr>
            <w:r w:rsidRPr="00333F14">
              <w:rPr>
                <w:rFonts w:eastAsia="Arial"/>
                <w:b/>
                <w:bCs/>
                <w:sz w:val="16"/>
                <w:szCs w:val="24"/>
                <w:lang w:eastAsia="en-GB"/>
              </w:rPr>
              <w:t>1.6</w:t>
            </w:r>
          </w:p>
        </w:tc>
        <w:tc>
          <w:tcPr>
            <w:tcW w:w="779" w:type="dxa"/>
            <w:tcBorders>
              <w:top w:val="single" w:sz="6" w:space="0" w:color="000000"/>
              <w:left w:val="nil"/>
              <w:bottom w:val="double" w:sz="4" w:space="0" w:color="000000"/>
              <w:right w:val="nil"/>
            </w:tcBorders>
            <w:shd w:val="clear" w:color="auto" w:fill="auto"/>
            <w:tcMar>
              <w:left w:w="0" w:type="dxa"/>
              <w:right w:w="0" w:type="dxa"/>
            </w:tcMar>
            <w:vAlign w:val="bottom"/>
          </w:tcPr>
          <w:p w14:paraId="4E3C7807" w14:textId="687947A9" w:rsidR="00270D37" w:rsidRPr="00EF169A" w:rsidRDefault="00270D37" w:rsidP="00577845">
            <w:pPr>
              <w:tabs>
                <w:tab w:val="decimal" w:pos="541"/>
              </w:tabs>
              <w:spacing w:after="0"/>
              <w:rPr>
                <w:rFonts w:eastAsia="Arial"/>
                <w:sz w:val="16"/>
                <w:szCs w:val="24"/>
                <w:lang w:eastAsia="en-GB"/>
              </w:rPr>
            </w:pPr>
            <w:r w:rsidRPr="004A503E">
              <w:rPr>
                <w:rFonts w:eastAsia="Arial"/>
                <w:b/>
                <w:sz w:val="16"/>
                <w:szCs w:val="24"/>
                <w:lang w:eastAsia="en-GB"/>
              </w:rPr>
              <w:t>586.7</w:t>
            </w:r>
          </w:p>
        </w:tc>
        <w:tc>
          <w:tcPr>
            <w:tcW w:w="842" w:type="dxa"/>
            <w:tcBorders>
              <w:top w:val="single" w:sz="6" w:space="0" w:color="000000"/>
              <w:left w:val="nil"/>
              <w:bottom w:val="double" w:sz="4" w:space="0" w:color="000000"/>
              <w:right w:val="nil"/>
            </w:tcBorders>
            <w:vAlign w:val="bottom"/>
          </w:tcPr>
          <w:p w14:paraId="00D58BE0" w14:textId="3175EBB9" w:rsidR="00270D37" w:rsidRPr="00EF169A" w:rsidRDefault="00270D37" w:rsidP="00577845">
            <w:pPr>
              <w:tabs>
                <w:tab w:val="decimal" w:pos="435"/>
              </w:tabs>
              <w:spacing w:after="0"/>
              <w:rPr>
                <w:rFonts w:eastAsia="Arial"/>
                <w:b/>
                <w:bCs/>
                <w:sz w:val="16"/>
                <w:szCs w:val="24"/>
                <w:lang w:eastAsia="en-GB"/>
              </w:rPr>
            </w:pPr>
            <w:r w:rsidRPr="004A503E">
              <w:rPr>
                <w:rFonts w:eastAsia="Arial"/>
                <w:b/>
                <w:sz w:val="16"/>
                <w:szCs w:val="24"/>
                <w:lang w:eastAsia="en-GB"/>
              </w:rPr>
              <w:t>848.7</w:t>
            </w:r>
          </w:p>
        </w:tc>
        <w:tc>
          <w:tcPr>
            <w:tcW w:w="901" w:type="dxa"/>
            <w:tcBorders>
              <w:top w:val="single" w:sz="6" w:space="0" w:color="000000"/>
              <w:left w:val="nil"/>
              <w:bottom w:val="double" w:sz="4" w:space="0" w:color="000000"/>
              <w:right w:val="nil"/>
            </w:tcBorders>
            <w:vAlign w:val="bottom"/>
          </w:tcPr>
          <w:p w14:paraId="1B63AFFF" w14:textId="3403B273" w:rsidR="00270D37" w:rsidRPr="00EF169A" w:rsidRDefault="00270D37" w:rsidP="00577845">
            <w:pPr>
              <w:tabs>
                <w:tab w:val="decimal" w:pos="484"/>
              </w:tabs>
              <w:spacing w:after="0"/>
              <w:rPr>
                <w:rFonts w:eastAsia="Arial"/>
                <w:b/>
                <w:bCs/>
                <w:sz w:val="16"/>
                <w:szCs w:val="24"/>
                <w:lang w:eastAsia="en-GB"/>
              </w:rPr>
            </w:pPr>
            <w:r w:rsidRPr="004A503E">
              <w:rPr>
                <w:rFonts w:eastAsia="Arial"/>
                <w:b/>
                <w:sz w:val="16"/>
                <w:szCs w:val="24"/>
                <w:lang w:eastAsia="en-GB"/>
              </w:rPr>
              <w:t>0.5</w:t>
            </w:r>
          </w:p>
        </w:tc>
        <w:tc>
          <w:tcPr>
            <w:tcW w:w="746" w:type="dxa"/>
            <w:gridSpan w:val="2"/>
            <w:tcBorders>
              <w:top w:val="single" w:sz="6" w:space="0" w:color="000000"/>
              <w:left w:val="nil"/>
              <w:bottom w:val="double" w:sz="4" w:space="0" w:color="000000"/>
              <w:right w:val="nil"/>
            </w:tcBorders>
            <w:vAlign w:val="bottom"/>
          </w:tcPr>
          <w:p w14:paraId="5A639623" w14:textId="4CC89354" w:rsidR="00270D37" w:rsidRPr="00EF169A" w:rsidRDefault="00270D37" w:rsidP="00577845">
            <w:pPr>
              <w:tabs>
                <w:tab w:val="decimal" w:pos="354"/>
              </w:tabs>
              <w:spacing w:after="0"/>
              <w:rPr>
                <w:rFonts w:eastAsia="Arial"/>
                <w:b/>
                <w:bCs/>
                <w:sz w:val="16"/>
                <w:szCs w:val="24"/>
                <w:lang w:eastAsia="en-GB"/>
              </w:rPr>
            </w:pPr>
            <w:r w:rsidRPr="004A503E">
              <w:rPr>
                <w:rFonts w:eastAsia="Arial"/>
                <w:b/>
                <w:sz w:val="16"/>
                <w:szCs w:val="24"/>
                <w:lang w:eastAsia="en-GB"/>
              </w:rPr>
              <w:t>849.2</w:t>
            </w:r>
          </w:p>
        </w:tc>
      </w:tr>
      <w:tr w:rsidR="00CB3AA6" w:rsidRPr="004F6EE6" w14:paraId="048A4FDE" w14:textId="77777777" w:rsidTr="75D94440">
        <w:trPr>
          <w:trHeight w:val="234"/>
        </w:trPr>
        <w:tc>
          <w:tcPr>
            <w:tcW w:w="3255" w:type="dxa"/>
            <w:tcBorders>
              <w:top w:val="nil"/>
              <w:left w:val="nil"/>
              <w:right w:val="nil"/>
            </w:tcBorders>
            <w:shd w:val="clear" w:color="auto" w:fill="FFFFFF" w:themeFill="background1"/>
            <w:tcMar>
              <w:left w:w="0" w:type="dxa"/>
              <w:right w:w="0" w:type="dxa"/>
            </w:tcMar>
            <w:vAlign w:val="bottom"/>
          </w:tcPr>
          <w:p w14:paraId="0C8A953D" w14:textId="69D30ECF" w:rsidR="00373082" w:rsidRPr="00554285" w:rsidRDefault="0078711F" w:rsidP="00373082">
            <w:pPr>
              <w:spacing w:after="0"/>
              <w:rPr>
                <w:rFonts w:eastAsia="Arial"/>
                <w:sz w:val="16"/>
                <w:szCs w:val="24"/>
                <w:lang w:eastAsia="en-GB"/>
              </w:rPr>
            </w:pPr>
            <w:r>
              <w:rPr>
                <w:rFonts w:eastAsia="Arial"/>
                <w:sz w:val="16"/>
                <w:szCs w:val="24"/>
                <w:lang w:eastAsia="en-GB"/>
              </w:rPr>
              <w:t>(</w:t>
            </w:r>
            <w:r w:rsidR="00373082">
              <w:rPr>
                <w:rFonts w:eastAsia="Arial"/>
                <w:sz w:val="16"/>
                <w:szCs w:val="24"/>
                <w:lang w:eastAsia="en-GB"/>
              </w:rPr>
              <w:t>Loss</w:t>
            </w:r>
            <w:r>
              <w:rPr>
                <w:rFonts w:eastAsia="Arial"/>
                <w:sz w:val="16"/>
                <w:szCs w:val="24"/>
                <w:lang w:eastAsia="en-GB"/>
              </w:rPr>
              <w:t>)/profit</w:t>
            </w:r>
            <w:r w:rsidR="00373082" w:rsidRPr="00554285">
              <w:rPr>
                <w:rFonts w:eastAsia="Arial"/>
                <w:sz w:val="16"/>
                <w:szCs w:val="24"/>
                <w:lang w:eastAsia="en-GB"/>
              </w:rPr>
              <w:t xml:space="preserve"> for the period</w:t>
            </w:r>
          </w:p>
        </w:tc>
        <w:tc>
          <w:tcPr>
            <w:tcW w:w="343" w:type="dxa"/>
            <w:tcBorders>
              <w:top w:val="nil"/>
              <w:left w:val="nil"/>
              <w:right w:val="nil"/>
            </w:tcBorders>
          </w:tcPr>
          <w:p w14:paraId="3B8C072C" w14:textId="77777777" w:rsidR="00373082" w:rsidRPr="00554285" w:rsidRDefault="00373082" w:rsidP="00373082">
            <w:pPr>
              <w:spacing w:after="0"/>
              <w:jc w:val="right"/>
              <w:rPr>
                <w:rFonts w:eastAsia="Arial"/>
                <w:sz w:val="16"/>
                <w:szCs w:val="24"/>
                <w:lang w:eastAsia="en-GB"/>
              </w:rPr>
            </w:pPr>
          </w:p>
        </w:tc>
        <w:tc>
          <w:tcPr>
            <w:tcW w:w="841" w:type="dxa"/>
            <w:tcBorders>
              <w:top w:val="single" w:sz="4" w:space="0" w:color="auto"/>
              <w:left w:val="nil"/>
              <w:right w:val="nil"/>
            </w:tcBorders>
            <w:vAlign w:val="bottom"/>
          </w:tcPr>
          <w:p w14:paraId="05FBFDCD" w14:textId="6F5B16B4" w:rsidR="00373082" w:rsidRPr="002408DA" w:rsidRDefault="00373082" w:rsidP="00373082">
            <w:pPr>
              <w:tabs>
                <w:tab w:val="decimal" w:pos="483"/>
              </w:tabs>
              <w:spacing w:after="0"/>
              <w:jc w:val="right"/>
              <w:rPr>
                <w:rFonts w:eastAsia="Arial"/>
                <w:sz w:val="16"/>
                <w:szCs w:val="24"/>
                <w:highlight w:val="yellow"/>
                <w:lang w:eastAsia="en-GB"/>
              </w:rPr>
            </w:pPr>
            <w:r w:rsidRPr="00EC7EF4">
              <w:rPr>
                <w:rFonts w:eastAsia="Arial"/>
                <w:sz w:val="16"/>
                <w:szCs w:val="24"/>
                <w:lang w:eastAsia="en-GB"/>
              </w:rPr>
              <w:t>-</w:t>
            </w:r>
          </w:p>
        </w:tc>
        <w:tc>
          <w:tcPr>
            <w:tcW w:w="680" w:type="dxa"/>
            <w:tcBorders>
              <w:top w:val="single" w:sz="4" w:space="0" w:color="auto"/>
              <w:left w:val="nil"/>
              <w:right w:val="nil"/>
            </w:tcBorders>
            <w:shd w:val="clear" w:color="auto" w:fill="auto"/>
            <w:tcMar>
              <w:left w:w="0" w:type="dxa"/>
              <w:right w:w="0" w:type="dxa"/>
            </w:tcMar>
            <w:vAlign w:val="bottom"/>
          </w:tcPr>
          <w:p w14:paraId="2F445AA5" w14:textId="0A063F2E" w:rsidR="00373082" w:rsidRPr="002408DA" w:rsidRDefault="00373082" w:rsidP="00577845">
            <w:pPr>
              <w:tabs>
                <w:tab w:val="decimal" w:pos="533"/>
              </w:tabs>
              <w:spacing w:after="0"/>
              <w:rPr>
                <w:rFonts w:eastAsia="Arial"/>
                <w:sz w:val="16"/>
                <w:szCs w:val="24"/>
                <w:highlight w:val="yellow"/>
                <w:lang w:eastAsia="en-GB"/>
              </w:rPr>
            </w:pPr>
            <w:r w:rsidRPr="00EC7EF4">
              <w:rPr>
                <w:rFonts w:eastAsia="Arial"/>
                <w:sz w:val="16"/>
                <w:szCs w:val="24"/>
                <w:lang w:eastAsia="en-GB"/>
              </w:rPr>
              <w:t>-</w:t>
            </w:r>
          </w:p>
        </w:tc>
        <w:tc>
          <w:tcPr>
            <w:tcW w:w="884" w:type="dxa"/>
            <w:tcBorders>
              <w:top w:val="single" w:sz="4" w:space="0" w:color="auto"/>
              <w:left w:val="nil"/>
              <w:right w:val="nil"/>
            </w:tcBorders>
            <w:shd w:val="clear" w:color="auto" w:fill="auto"/>
            <w:tcMar>
              <w:left w:w="0" w:type="dxa"/>
              <w:right w:w="0" w:type="dxa"/>
            </w:tcMar>
            <w:vAlign w:val="bottom"/>
          </w:tcPr>
          <w:p w14:paraId="6C56361E" w14:textId="513D50F5" w:rsidR="00373082" w:rsidRPr="002408DA" w:rsidRDefault="00373082" w:rsidP="00577845">
            <w:pPr>
              <w:tabs>
                <w:tab w:val="decimal" w:pos="749"/>
              </w:tabs>
              <w:spacing w:after="0"/>
              <w:rPr>
                <w:rFonts w:eastAsia="Arial"/>
                <w:sz w:val="16"/>
                <w:szCs w:val="24"/>
                <w:highlight w:val="yellow"/>
                <w:lang w:eastAsia="en-GB"/>
              </w:rPr>
            </w:pPr>
            <w:r w:rsidRPr="00EC7EF4">
              <w:rPr>
                <w:rFonts w:eastAsia="Arial"/>
                <w:sz w:val="16"/>
                <w:szCs w:val="24"/>
                <w:lang w:eastAsia="en-GB"/>
              </w:rPr>
              <w:t>-</w:t>
            </w:r>
          </w:p>
        </w:tc>
        <w:tc>
          <w:tcPr>
            <w:tcW w:w="834" w:type="dxa"/>
            <w:tcBorders>
              <w:top w:val="single" w:sz="4" w:space="0" w:color="auto"/>
              <w:left w:val="nil"/>
              <w:right w:val="nil"/>
            </w:tcBorders>
            <w:shd w:val="clear" w:color="auto" w:fill="auto"/>
            <w:tcMar>
              <w:left w:w="0" w:type="dxa"/>
              <w:right w:w="0" w:type="dxa"/>
            </w:tcMar>
            <w:vAlign w:val="bottom"/>
          </w:tcPr>
          <w:p w14:paraId="4267165B" w14:textId="591173CC" w:rsidR="00373082" w:rsidRPr="002408DA" w:rsidRDefault="00373082" w:rsidP="00577845">
            <w:pPr>
              <w:tabs>
                <w:tab w:val="decimal" w:pos="667"/>
              </w:tabs>
              <w:spacing w:after="0"/>
              <w:rPr>
                <w:rFonts w:eastAsia="Arial"/>
                <w:sz w:val="16"/>
                <w:szCs w:val="24"/>
                <w:highlight w:val="yellow"/>
                <w:lang w:eastAsia="en-GB"/>
              </w:rPr>
            </w:pPr>
            <w:r w:rsidRPr="00EC7EF4">
              <w:rPr>
                <w:rFonts w:eastAsia="Arial"/>
                <w:sz w:val="16"/>
                <w:szCs w:val="24"/>
                <w:lang w:eastAsia="en-GB"/>
              </w:rPr>
              <w:t>-</w:t>
            </w:r>
          </w:p>
        </w:tc>
        <w:tc>
          <w:tcPr>
            <w:tcW w:w="779" w:type="dxa"/>
            <w:tcBorders>
              <w:top w:val="single" w:sz="4" w:space="0" w:color="auto"/>
              <w:left w:val="nil"/>
              <w:right w:val="nil"/>
            </w:tcBorders>
            <w:shd w:val="clear" w:color="auto" w:fill="auto"/>
            <w:tcMar>
              <w:left w:w="0" w:type="dxa"/>
              <w:right w:w="0" w:type="dxa"/>
            </w:tcMar>
            <w:vAlign w:val="bottom"/>
          </w:tcPr>
          <w:p w14:paraId="07D18BD6" w14:textId="1B369CF1" w:rsidR="00373082" w:rsidRPr="00373082" w:rsidRDefault="00373082" w:rsidP="00577845">
            <w:pPr>
              <w:tabs>
                <w:tab w:val="decimal" w:pos="541"/>
              </w:tabs>
              <w:spacing w:after="0"/>
              <w:rPr>
                <w:rFonts w:eastAsia="Arial"/>
                <w:sz w:val="16"/>
                <w:szCs w:val="24"/>
                <w:lang w:eastAsia="en-GB"/>
              </w:rPr>
            </w:pPr>
            <w:r w:rsidRPr="00373082">
              <w:rPr>
                <w:rFonts w:eastAsia="Arial"/>
                <w:sz w:val="16"/>
                <w:szCs w:val="24"/>
                <w:lang w:eastAsia="en-GB"/>
              </w:rPr>
              <w:t>(37.2)</w:t>
            </w:r>
          </w:p>
        </w:tc>
        <w:tc>
          <w:tcPr>
            <w:tcW w:w="842" w:type="dxa"/>
            <w:tcBorders>
              <w:top w:val="single" w:sz="4" w:space="0" w:color="auto"/>
              <w:left w:val="nil"/>
              <w:right w:val="nil"/>
            </w:tcBorders>
            <w:vAlign w:val="bottom"/>
          </w:tcPr>
          <w:p w14:paraId="0CEE3E01" w14:textId="28871171" w:rsidR="00373082" w:rsidRPr="00373082" w:rsidRDefault="00373082" w:rsidP="00577845">
            <w:pPr>
              <w:tabs>
                <w:tab w:val="decimal" w:pos="435"/>
              </w:tabs>
              <w:spacing w:after="0"/>
              <w:rPr>
                <w:rFonts w:eastAsia="Arial"/>
                <w:sz w:val="16"/>
                <w:szCs w:val="24"/>
                <w:lang w:eastAsia="en-GB"/>
              </w:rPr>
            </w:pPr>
            <w:r w:rsidRPr="00373082">
              <w:rPr>
                <w:rFonts w:eastAsia="Arial"/>
                <w:sz w:val="16"/>
                <w:szCs w:val="24"/>
                <w:lang w:eastAsia="en-GB"/>
              </w:rPr>
              <w:t>(37.2)</w:t>
            </w:r>
          </w:p>
        </w:tc>
        <w:tc>
          <w:tcPr>
            <w:tcW w:w="901" w:type="dxa"/>
            <w:tcBorders>
              <w:top w:val="single" w:sz="4" w:space="0" w:color="auto"/>
              <w:left w:val="nil"/>
              <w:right w:val="nil"/>
            </w:tcBorders>
            <w:vAlign w:val="bottom"/>
          </w:tcPr>
          <w:p w14:paraId="2ACD54C0" w14:textId="3F99190E" w:rsidR="00373082" w:rsidRPr="00373082" w:rsidRDefault="00373082" w:rsidP="00577845">
            <w:pPr>
              <w:tabs>
                <w:tab w:val="decimal" w:pos="484"/>
              </w:tabs>
              <w:spacing w:after="0"/>
              <w:rPr>
                <w:rFonts w:eastAsia="Arial"/>
                <w:sz w:val="16"/>
                <w:szCs w:val="24"/>
                <w:lang w:eastAsia="en-GB"/>
              </w:rPr>
            </w:pPr>
            <w:r w:rsidRPr="00373082">
              <w:rPr>
                <w:rFonts w:eastAsia="Arial"/>
                <w:sz w:val="16"/>
                <w:szCs w:val="24"/>
                <w:lang w:eastAsia="en-GB"/>
              </w:rPr>
              <w:t>0.1</w:t>
            </w:r>
          </w:p>
        </w:tc>
        <w:tc>
          <w:tcPr>
            <w:tcW w:w="746" w:type="dxa"/>
            <w:gridSpan w:val="2"/>
            <w:tcBorders>
              <w:top w:val="single" w:sz="4" w:space="0" w:color="auto"/>
              <w:left w:val="nil"/>
              <w:right w:val="nil"/>
            </w:tcBorders>
            <w:vAlign w:val="bottom"/>
          </w:tcPr>
          <w:p w14:paraId="22391FEB" w14:textId="4FCFEE82" w:rsidR="00373082" w:rsidRPr="00373082" w:rsidRDefault="00373082" w:rsidP="00577845">
            <w:pPr>
              <w:tabs>
                <w:tab w:val="decimal" w:pos="354"/>
              </w:tabs>
              <w:spacing w:after="0"/>
              <w:rPr>
                <w:rFonts w:eastAsia="Arial"/>
                <w:sz w:val="16"/>
                <w:szCs w:val="24"/>
                <w:lang w:eastAsia="en-GB"/>
              </w:rPr>
            </w:pPr>
            <w:r w:rsidRPr="00373082">
              <w:rPr>
                <w:rFonts w:eastAsia="Arial"/>
                <w:sz w:val="16"/>
                <w:szCs w:val="24"/>
                <w:lang w:eastAsia="en-GB"/>
              </w:rPr>
              <w:t>(37.1)</w:t>
            </w:r>
          </w:p>
        </w:tc>
      </w:tr>
      <w:tr w:rsidR="00CB3AA6" w:rsidRPr="004F6EE6" w14:paraId="63EE0E99" w14:textId="77777777" w:rsidTr="75D94440">
        <w:trPr>
          <w:trHeight w:val="234"/>
        </w:trPr>
        <w:tc>
          <w:tcPr>
            <w:tcW w:w="3255" w:type="dxa"/>
            <w:tcBorders>
              <w:left w:val="nil"/>
              <w:right w:val="nil"/>
            </w:tcBorders>
            <w:shd w:val="clear" w:color="auto" w:fill="FFFFFF" w:themeFill="background1"/>
            <w:tcMar>
              <w:left w:w="0" w:type="dxa"/>
              <w:right w:w="0" w:type="dxa"/>
            </w:tcMar>
            <w:vAlign w:val="bottom"/>
          </w:tcPr>
          <w:p w14:paraId="4926B4CA" w14:textId="77777777" w:rsidR="00373082" w:rsidRPr="00554285" w:rsidRDefault="00373082" w:rsidP="00373082">
            <w:pPr>
              <w:spacing w:after="0"/>
              <w:rPr>
                <w:rFonts w:eastAsia="Arial"/>
                <w:sz w:val="16"/>
                <w:szCs w:val="24"/>
                <w:lang w:eastAsia="en-GB"/>
              </w:rPr>
            </w:pPr>
            <w:r w:rsidRPr="00554285">
              <w:rPr>
                <w:rFonts w:eastAsia="Arial"/>
                <w:sz w:val="16"/>
                <w:szCs w:val="24"/>
                <w:lang w:eastAsia="en-GB"/>
              </w:rPr>
              <w:t>Exchange movements on translation of subsidiary undertakings</w:t>
            </w:r>
          </w:p>
        </w:tc>
        <w:tc>
          <w:tcPr>
            <w:tcW w:w="343" w:type="dxa"/>
            <w:tcBorders>
              <w:left w:val="nil"/>
              <w:right w:val="nil"/>
            </w:tcBorders>
          </w:tcPr>
          <w:p w14:paraId="6CF28B9D" w14:textId="77777777" w:rsidR="00373082" w:rsidRPr="00554285" w:rsidRDefault="00373082" w:rsidP="00373082">
            <w:pPr>
              <w:spacing w:after="0"/>
              <w:jc w:val="right"/>
              <w:rPr>
                <w:rFonts w:eastAsia="Arial"/>
                <w:sz w:val="16"/>
                <w:szCs w:val="24"/>
                <w:lang w:eastAsia="en-GB"/>
              </w:rPr>
            </w:pPr>
          </w:p>
        </w:tc>
        <w:tc>
          <w:tcPr>
            <w:tcW w:w="841" w:type="dxa"/>
            <w:tcBorders>
              <w:left w:val="nil"/>
              <w:bottom w:val="single" w:sz="4" w:space="0" w:color="auto"/>
              <w:right w:val="nil"/>
            </w:tcBorders>
            <w:vAlign w:val="bottom"/>
          </w:tcPr>
          <w:p w14:paraId="2FE2E4E5" w14:textId="7E925D46" w:rsidR="00373082" w:rsidRPr="002408DA" w:rsidRDefault="00373082" w:rsidP="00373082">
            <w:pPr>
              <w:tabs>
                <w:tab w:val="decimal" w:pos="483"/>
              </w:tabs>
              <w:spacing w:after="0"/>
              <w:jc w:val="right"/>
              <w:rPr>
                <w:rFonts w:eastAsia="Arial"/>
                <w:sz w:val="16"/>
                <w:szCs w:val="24"/>
                <w:highlight w:val="yellow"/>
                <w:lang w:eastAsia="en-GB"/>
              </w:rPr>
            </w:pPr>
            <w:r w:rsidRPr="00EC7EF4">
              <w:rPr>
                <w:rFonts w:eastAsia="Arial"/>
                <w:sz w:val="16"/>
                <w:szCs w:val="24"/>
                <w:lang w:eastAsia="en-GB"/>
              </w:rPr>
              <w:t>-</w:t>
            </w:r>
          </w:p>
        </w:tc>
        <w:tc>
          <w:tcPr>
            <w:tcW w:w="680" w:type="dxa"/>
            <w:tcBorders>
              <w:left w:val="nil"/>
              <w:bottom w:val="single" w:sz="4" w:space="0" w:color="auto"/>
              <w:right w:val="nil"/>
            </w:tcBorders>
            <w:shd w:val="clear" w:color="auto" w:fill="auto"/>
            <w:tcMar>
              <w:left w:w="0" w:type="dxa"/>
              <w:right w:w="0" w:type="dxa"/>
            </w:tcMar>
            <w:vAlign w:val="bottom"/>
          </w:tcPr>
          <w:p w14:paraId="2E73FD89" w14:textId="58B09524" w:rsidR="00373082" w:rsidRPr="002408DA" w:rsidRDefault="00373082" w:rsidP="00577845">
            <w:pPr>
              <w:tabs>
                <w:tab w:val="decimal" w:pos="533"/>
              </w:tabs>
              <w:spacing w:after="0"/>
              <w:rPr>
                <w:rFonts w:eastAsia="Arial"/>
                <w:sz w:val="16"/>
                <w:szCs w:val="24"/>
                <w:highlight w:val="yellow"/>
                <w:lang w:eastAsia="en-GB"/>
              </w:rPr>
            </w:pPr>
            <w:r w:rsidRPr="00EC7EF4">
              <w:rPr>
                <w:rFonts w:eastAsia="Arial"/>
                <w:sz w:val="16"/>
                <w:szCs w:val="24"/>
                <w:lang w:eastAsia="en-GB"/>
              </w:rPr>
              <w:t>-</w:t>
            </w:r>
          </w:p>
        </w:tc>
        <w:tc>
          <w:tcPr>
            <w:tcW w:w="884" w:type="dxa"/>
            <w:tcBorders>
              <w:left w:val="nil"/>
              <w:bottom w:val="single" w:sz="4" w:space="0" w:color="auto"/>
              <w:right w:val="nil"/>
            </w:tcBorders>
            <w:shd w:val="clear" w:color="auto" w:fill="auto"/>
            <w:tcMar>
              <w:left w:w="0" w:type="dxa"/>
              <w:right w:w="0" w:type="dxa"/>
            </w:tcMar>
            <w:vAlign w:val="bottom"/>
          </w:tcPr>
          <w:p w14:paraId="32D22A2A" w14:textId="1529CB7D" w:rsidR="00373082" w:rsidRPr="002408DA" w:rsidRDefault="00373082" w:rsidP="00577845">
            <w:pPr>
              <w:tabs>
                <w:tab w:val="decimal" w:pos="749"/>
              </w:tabs>
              <w:spacing w:after="0"/>
              <w:rPr>
                <w:rFonts w:eastAsia="Arial"/>
                <w:sz w:val="16"/>
                <w:szCs w:val="24"/>
                <w:highlight w:val="yellow"/>
                <w:lang w:eastAsia="en-GB"/>
              </w:rPr>
            </w:pPr>
            <w:r w:rsidRPr="00EC7EF4">
              <w:rPr>
                <w:rFonts w:eastAsia="Arial"/>
                <w:sz w:val="16"/>
                <w:szCs w:val="24"/>
                <w:lang w:eastAsia="en-GB"/>
              </w:rPr>
              <w:t>-</w:t>
            </w:r>
          </w:p>
        </w:tc>
        <w:tc>
          <w:tcPr>
            <w:tcW w:w="834" w:type="dxa"/>
            <w:tcBorders>
              <w:left w:val="nil"/>
              <w:bottom w:val="single" w:sz="4" w:space="0" w:color="auto"/>
              <w:right w:val="nil"/>
            </w:tcBorders>
            <w:shd w:val="clear" w:color="auto" w:fill="auto"/>
            <w:tcMar>
              <w:left w:w="0" w:type="dxa"/>
              <w:right w:w="0" w:type="dxa"/>
            </w:tcMar>
            <w:vAlign w:val="bottom"/>
          </w:tcPr>
          <w:p w14:paraId="43A86C58" w14:textId="290C3158" w:rsidR="00373082" w:rsidRPr="00373082" w:rsidRDefault="00373082" w:rsidP="00577845">
            <w:pPr>
              <w:tabs>
                <w:tab w:val="decimal" w:pos="667"/>
              </w:tabs>
              <w:spacing w:after="0"/>
              <w:rPr>
                <w:rFonts w:eastAsia="Arial"/>
                <w:sz w:val="16"/>
                <w:szCs w:val="24"/>
                <w:lang w:eastAsia="en-GB"/>
              </w:rPr>
            </w:pPr>
            <w:r w:rsidRPr="00373082">
              <w:rPr>
                <w:rFonts w:eastAsia="Arial"/>
                <w:sz w:val="16"/>
                <w:szCs w:val="24"/>
                <w:lang w:eastAsia="en-GB"/>
              </w:rPr>
              <w:t>0.4</w:t>
            </w:r>
          </w:p>
        </w:tc>
        <w:tc>
          <w:tcPr>
            <w:tcW w:w="779" w:type="dxa"/>
            <w:tcBorders>
              <w:left w:val="nil"/>
              <w:bottom w:val="single" w:sz="4" w:space="0" w:color="auto"/>
              <w:right w:val="nil"/>
            </w:tcBorders>
            <w:shd w:val="clear" w:color="auto" w:fill="auto"/>
            <w:tcMar>
              <w:left w:w="0" w:type="dxa"/>
              <w:right w:w="0" w:type="dxa"/>
            </w:tcMar>
            <w:vAlign w:val="bottom"/>
          </w:tcPr>
          <w:p w14:paraId="2F5132B4" w14:textId="3AB93E93" w:rsidR="00373082" w:rsidRPr="00373082" w:rsidRDefault="00373082" w:rsidP="00577845">
            <w:pPr>
              <w:tabs>
                <w:tab w:val="decimal" w:pos="541"/>
              </w:tabs>
              <w:spacing w:after="0"/>
              <w:rPr>
                <w:rFonts w:eastAsia="Arial"/>
                <w:sz w:val="16"/>
                <w:szCs w:val="24"/>
                <w:lang w:eastAsia="en-GB"/>
              </w:rPr>
            </w:pPr>
            <w:r w:rsidRPr="00373082">
              <w:rPr>
                <w:rFonts w:eastAsia="Arial"/>
                <w:sz w:val="16"/>
                <w:szCs w:val="24"/>
                <w:lang w:eastAsia="en-GB"/>
              </w:rPr>
              <w:t>-</w:t>
            </w:r>
          </w:p>
        </w:tc>
        <w:tc>
          <w:tcPr>
            <w:tcW w:w="842" w:type="dxa"/>
            <w:tcBorders>
              <w:left w:val="nil"/>
              <w:bottom w:val="single" w:sz="4" w:space="0" w:color="auto"/>
              <w:right w:val="nil"/>
            </w:tcBorders>
            <w:vAlign w:val="bottom"/>
          </w:tcPr>
          <w:p w14:paraId="5912E8D9" w14:textId="42ABDC26" w:rsidR="00373082" w:rsidRPr="00373082" w:rsidRDefault="00373082" w:rsidP="00577845">
            <w:pPr>
              <w:tabs>
                <w:tab w:val="decimal" w:pos="435"/>
              </w:tabs>
              <w:spacing w:after="0"/>
              <w:rPr>
                <w:rFonts w:eastAsia="Arial"/>
                <w:sz w:val="16"/>
                <w:szCs w:val="24"/>
                <w:lang w:eastAsia="en-GB"/>
              </w:rPr>
            </w:pPr>
            <w:r w:rsidRPr="00373082">
              <w:rPr>
                <w:rFonts w:eastAsia="Arial"/>
                <w:sz w:val="16"/>
                <w:szCs w:val="24"/>
                <w:lang w:eastAsia="en-GB"/>
              </w:rPr>
              <w:t>0.4</w:t>
            </w:r>
          </w:p>
        </w:tc>
        <w:tc>
          <w:tcPr>
            <w:tcW w:w="901" w:type="dxa"/>
            <w:tcBorders>
              <w:left w:val="nil"/>
              <w:bottom w:val="single" w:sz="4" w:space="0" w:color="auto"/>
              <w:right w:val="nil"/>
            </w:tcBorders>
            <w:vAlign w:val="bottom"/>
          </w:tcPr>
          <w:p w14:paraId="457BB548" w14:textId="753B82A1" w:rsidR="00373082" w:rsidRPr="00373082" w:rsidRDefault="00373082" w:rsidP="00577845">
            <w:pPr>
              <w:tabs>
                <w:tab w:val="decimal" w:pos="484"/>
              </w:tabs>
              <w:spacing w:after="0"/>
              <w:rPr>
                <w:rFonts w:eastAsia="Arial"/>
                <w:sz w:val="16"/>
                <w:szCs w:val="24"/>
                <w:lang w:eastAsia="en-GB"/>
              </w:rPr>
            </w:pPr>
            <w:r w:rsidRPr="00373082">
              <w:rPr>
                <w:rFonts w:eastAsia="Arial"/>
                <w:sz w:val="16"/>
                <w:szCs w:val="24"/>
                <w:lang w:eastAsia="en-GB"/>
              </w:rPr>
              <w:t>-</w:t>
            </w:r>
          </w:p>
        </w:tc>
        <w:tc>
          <w:tcPr>
            <w:tcW w:w="746" w:type="dxa"/>
            <w:gridSpan w:val="2"/>
            <w:tcBorders>
              <w:left w:val="nil"/>
              <w:bottom w:val="single" w:sz="4" w:space="0" w:color="auto"/>
              <w:right w:val="nil"/>
            </w:tcBorders>
            <w:vAlign w:val="bottom"/>
          </w:tcPr>
          <w:p w14:paraId="35E66CF0" w14:textId="587ECADB" w:rsidR="00373082" w:rsidRPr="00373082" w:rsidRDefault="00373082" w:rsidP="00577845">
            <w:pPr>
              <w:tabs>
                <w:tab w:val="decimal" w:pos="354"/>
              </w:tabs>
              <w:spacing w:after="0"/>
              <w:rPr>
                <w:rFonts w:eastAsia="Arial"/>
                <w:sz w:val="16"/>
                <w:szCs w:val="24"/>
                <w:lang w:eastAsia="en-GB"/>
              </w:rPr>
            </w:pPr>
            <w:r w:rsidRPr="00373082">
              <w:rPr>
                <w:rFonts w:eastAsia="Arial"/>
                <w:sz w:val="16"/>
                <w:szCs w:val="24"/>
                <w:lang w:eastAsia="en-GB"/>
              </w:rPr>
              <w:t>0.4</w:t>
            </w:r>
          </w:p>
        </w:tc>
      </w:tr>
      <w:tr w:rsidR="00F96B3F" w:rsidRPr="004F6EE6" w14:paraId="7D246305" w14:textId="77777777" w:rsidTr="75D94440">
        <w:trPr>
          <w:trHeight w:val="234"/>
        </w:trPr>
        <w:tc>
          <w:tcPr>
            <w:tcW w:w="3255" w:type="dxa"/>
            <w:tcBorders>
              <w:left w:val="nil"/>
              <w:bottom w:val="nil"/>
              <w:right w:val="nil"/>
            </w:tcBorders>
            <w:shd w:val="clear" w:color="auto" w:fill="FFFFFF" w:themeFill="background1"/>
            <w:tcMar>
              <w:left w:w="0" w:type="dxa"/>
              <w:right w:w="0" w:type="dxa"/>
            </w:tcMar>
            <w:vAlign w:val="bottom"/>
          </w:tcPr>
          <w:p w14:paraId="3EB2F480" w14:textId="0CE3323C" w:rsidR="00373082" w:rsidRPr="00554285" w:rsidRDefault="00373082" w:rsidP="00373082">
            <w:pPr>
              <w:spacing w:after="0"/>
              <w:rPr>
                <w:rFonts w:eastAsia="Arial"/>
                <w:b/>
                <w:sz w:val="16"/>
                <w:szCs w:val="24"/>
                <w:lang w:eastAsia="en-GB"/>
              </w:rPr>
            </w:pPr>
            <w:r w:rsidRPr="00554285">
              <w:rPr>
                <w:rFonts w:eastAsia="Arial"/>
                <w:b/>
                <w:sz w:val="16"/>
                <w:szCs w:val="24"/>
                <w:lang w:eastAsia="en-GB"/>
              </w:rPr>
              <w:t xml:space="preserve">Other comprehensive </w:t>
            </w:r>
            <w:r>
              <w:rPr>
                <w:rFonts w:eastAsia="Arial"/>
                <w:b/>
                <w:sz w:val="16"/>
                <w:szCs w:val="24"/>
                <w:lang w:eastAsia="en-GB"/>
              </w:rPr>
              <w:t>income</w:t>
            </w:r>
          </w:p>
        </w:tc>
        <w:tc>
          <w:tcPr>
            <w:tcW w:w="343" w:type="dxa"/>
            <w:tcBorders>
              <w:left w:val="nil"/>
              <w:right w:val="nil"/>
            </w:tcBorders>
          </w:tcPr>
          <w:p w14:paraId="725AA212" w14:textId="77777777" w:rsidR="00373082" w:rsidRPr="00554285" w:rsidRDefault="00373082" w:rsidP="00373082">
            <w:pPr>
              <w:spacing w:after="0"/>
              <w:jc w:val="right"/>
              <w:rPr>
                <w:rFonts w:eastAsia="Arial"/>
                <w:sz w:val="16"/>
                <w:szCs w:val="24"/>
                <w:lang w:eastAsia="en-GB"/>
              </w:rPr>
            </w:pPr>
          </w:p>
        </w:tc>
        <w:tc>
          <w:tcPr>
            <w:tcW w:w="841" w:type="dxa"/>
            <w:tcBorders>
              <w:top w:val="single" w:sz="4" w:space="0" w:color="auto"/>
              <w:left w:val="nil"/>
              <w:bottom w:val="single" w:sz="4" w:space="0" w:color="auto"/>
              <w:right w:val="nil"/>
            </w:tcBorders>
            <w:vAlign w:val="bottom"/>
          </w:tcPr>
          <w:p w14:paraId="1A0888FF" w14:textId="1E84F26E" w:rsidR="00373082" w:rsidRPr="00373082" w:rsidRDefault="00373082" w:rsidP="00373082">
            <w:pPr>
              <w:tabs>
                <w:tab w:val="decimal" w:pos="483"/>
              </w:tabs>
              <w:spacing w:after="0"/>
              <w:jc w:val="right"/>
              <w:rPr>
                <w:rFonts w:eastAsia="Arial"/>
                <w:b/>
                <w:bCs/>
                <w:sz w:val="16"/>
                <w:szCs w:val="24"/>
                <w:highlight w:val="yellow"/>
                <w:lang w:eastAsia="en-GB"/>
              </w:rPr>
            </w:pPr>
            <w:r w:rsidRPr="00373082">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547C6D3C" w14:textId="1A05D047" w:rsidR="00373082" w:rsidRPr="00373082" w:rsidRDefault="00373082" w:rsidP="00577845">
            <w:pPr>
              <w:tabs>
                <w:tab w:val="decimal" w:pos="533"/>
              </w:tabs>
              <w:spacing w:after="0"/>
              <w:rPr>
                <w:rFonts w:eastAsia="Arial"/>
                <w:b/>
                <w:bCs/>
                <w:sz w:val="16"/>
                <w:szCs w:val="24"/>
                <w:highlight w:val="yellow"/>
                <w:lang w:eastAsia="en-GB"/>
              </w:rPr>
            </w:pPr>
            <w:r w:rsidRPr="00373082">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44778564" w14:textId="48A2F6CE" w:rsidR="00373082" w:rsidRPr="00373082" w:rsidRDefault="00373082" w:rsidP="00577845">
            <w:pPr>
              <w:tabs>
                <w:tab w:val="decimal" w:pos="749"/>
              </w:tabs>
              <w:spacing w:after="0"/>
              <w:rPr>
                <w:rFonts w:eastAsia="Arial"/>
                <w:b/>
                <w:bCs/>
                <w:sz w:val="16"/>
                <w:szCs w:val="24"/>
                <w:highlight w:val="yellow"/>
                <w:lang w:eastAsia="en-GB"/>
              </w:rPr>
            </w:pPr>
            <w:r w:rsidRPr="00373082">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38452B10" w14:textId="161CE318" w:rsidR="00373082" w:rsidRPr="00373082" w:rsidRDefault="00373082" w:rsidP="00577845">
            <w:pPr>
              <w:tabs>
                <w:tab w:val="decimal" w:pos="667"/>
              </w:tabs>
              <w:spacing w:after="0"/>
              <w:rPr>
                <w:rFonts w:eastAsia="Arial"/>
                <w:b/>
                <w:bCs/>
                <w:sz w:val="16"/>
                <w:szCs w:val="24"/>
                <w:lang w:eastAsia="en-GB"/>
              </w:rPr>
            </w:pPr>
            <w:r w:rsidRPr="00373082">
              <w:rPr>
                <w:rFonts w:eastAsia="Arial"/>
                <w:b/>
                <w:bCs/>
                <w:sz w:val="16"/>
                <w:szCs w:val="24"/>
                <w:lang w:eastAsia="en-GB"/>
              </w:rPr>
              <w:t>0.4</w:t>
            </w:r>
          </w:p>
        </w:tc>
        <w:tc>
          <w:tcPr>
            <w:tcW w:w="779" w:type="dxa"/>
            <w:tcBorders>
              <w:top w:val="single" w:sz="4" w:space="0" w:color="auto"/>
              <w:left w:val="nil"/>
              <w:bottom w:val="single" w:sz="4" w:space="0" w:color="auto"/>
              <w:right w:val="nil"/>
            </w:tcBorders>
            <w:shd w:val="clear" w:color="auto" w:fill="FFFFFF" w:themeFill="background1"/>
            <w:tcMar>
              <w:left w:w="0" w:type="dxa"/>
              <w:right w:w="0" w:type="dxa"/>
            </w:tcMar>
            <w:vAlign w:val="bottom"/>
          </w:tcPr>
          <w:p w14:paraId="5091E791" w14:textId="43F80BDA" w:rsidR="00373082" w:rsidRPr="00373082" w:rsidRDefault="00373082" w:rsidP="00577845">
            <w:pPr>
              <w:tabs>
                <w:tab w:val="decimal" w:pos="541"/>
              </w:tabs>
              <w:spacing w:after="0"/>
              <w:rPr>
                <w:rFonts w:eastAsia="Arial"/>
                <w:b/>
                <w:bCs/>
                <w:sz w:val="16"/>
                <w:szCs w:val="24"/>
                <w:lang w:eastAsia="en-GB"/>
              </w:rPr>
            </w:pPr>
            <w:r w:rsidRPr="00373082">
              <w:rPr>
                <w:rFonts w:eastAsia="Arial"/>
                <w:b/>
                <w:bCs/>
                <w:sz w:val="16"/>
                <w:szCs w:val="24"/>
                <w:lang w:eastAsia="en-GB"/>
              </w:rPr>
              <w:t>-</w:t>
            </w:r>
          </w:p>
        </w:tc>
        <w:tc>
          <w:tcPr>
            <w:tcW w:w="842" w:type="dxa"/>
            <w:tcBorders>
              <w:top w:val="single" w:sz="4" w:space="0" w:color="auto"/>
              <w:left w:val="nil"/>
              <w:bottom w:val="single" w:sz="4" w:space="0" w:color="auto"/>
              <w:right w:val="nil"/>
            </w:tcBorders>
            <w:shd w:val="clear" w:color="auto" w:fill="FFFFFF" w:themeFill="background1"/>
            <w:vAlign w:val="bottom"/>
          </w:tcPr>
          <w:p w14:paraId="086D8EF4" w14:textId="59948668" w:rsidR="00373082" w:rsidRPr="00373082" w:rsidRDefault="00373082" w:rsidP="00577845">
            <w:pPr>
              <w:tabs>
                <w:tab w:val="decimal" w:pos="435"/>
              </w:tabs>
              <w:spacing w:after="0"/>
              <w:rPr>
                <w:rFonts w:eastAsia="Arial"/>
                <w:b/>
                <w:bCs/>
                <w:sz w:val="16"/>
                <w:szCs w:val="24"/>
                <w:lang w:eastAsia="en-GB"/>
              </w:rPr>
            </w:pPr>
            <w:r w:rsidRPr="00373082">
              <w:rPr>
                <w:rFonts w:eastAsia="Arial"/>
                <w:b/>
                <w:bCs/>
                <w:sz w:val="16"/>
                <w:szCs w:val="24"/>
                <w:lang w:eastAsia="en-GB"/>
              </w:rPr>
              <w:t>0.4</w:t>
            </w:r>
          </w:p>
        </w:tc>
        <w:tc>
          <w:tcPr>
            <w:tcW w:w="901" w:type="dxa"/>
            <w:tcBorders>
              <w:top w:val="single" w:sz="4" w:space="0" w:color="auto"/>
              <w:left w:val="nil"/>
              <w:bottom w:val="single" w:sz="4" w:space="0" w:color="auto"/>
              <w:right w:val="nil"/>
            </w:tcBorders>
            <w:shd w:val="clear" w:color="auto" w:fill="FFFFFF" w:themeFill="background1"/>
            <w:vAlign w:val="bottom"/>
          </w:tcPr>
          <w:p w14:paraId="6E11E1FB" w14:textId="23BD6B97" w:rsidR="00373082" w:rsidRPr="00373082" w:rsidRDefault="00373082" w:rsidP="00577845">
            <w:pPr>
              <w:tabs>
                <w:tab w:val="decimal" w:pos="484"/>
              </w:tabs>
              <w:spacing w:after="0"/>
              <w:rPr>
                <w:rFonts w:eastAsia="Arial"/>
                <w:b/>
                <w:bCs/>
                <w:sz w:val="16"/>
                <w:szCs w:val="24"/>
                <w:lang w:eastAsia="en-GB"/>
              </w:rPr>
            </w:pPr>
            <w:r w:rsidRPr="00373082">
              <w:rPr>
                <w:rFonts w:eastAsia="Arial"/>
                <w:b/>
                <w:bCs/>
                <w:sz w:val="16"/>
                <w:szCs w:val="24"/>
                <w:lang w:eastAsia="en-GB"/>
              </w:rPr>
              <w:t>-</w:t>
            </w:r>
          </w:p>
        </w:tc>
        <w:tc>
          <w:tcPr>
            <w:tcW w:w="746" w:type="dxa"/>
            <w:gridSpan w:val="2"/>
            <w:tcBorders>
              <w:top w:val="single" w:sz="4" w:space="0" w:color="auto"/>
              <w:left w:val="nil"/>
              <w:bottom w:val="single" w:sz="4" w:space="0" w:color="auto"/>
              <w:right w:val="nil"/>
            </w:tcBorders>
            <w:shd w:val="clear" w:color="auto" w:fill="FFFFFF" w:themeFill="background1"/>
            <w:vAlign w:val="bottom"/>
          </w:tcPr>
          <w:p w14:paraId="3F1754FE" w14:textId="75B6EC2A" w:rsidR="00373082" w:rsidRPr="00373082" w:rsidRDefault="00373082" w:rsidP="00577845">
            <w:pPr>
              <w:tabs>
                <w:tab w:val="decimal" w:pos="354"/>
              </w:tabs>
              <w:spacing w:after="0"/>
              <w:rPr>
                <w:rFonts w:eastAsia="Arial"/>
                <w:b/>
                <w:bCs/>
                <w:sz w:val="16"/>
                <w:szCs w:val="24"/>
                <w:lang w:eastAsia="en-GB"/>
              </w:rPr>
            </w:pPr>
            <w:r w:rsidRPr="00373082">
              <w:rPr>
                <w:rFonts w:eastAsia="Arial"/>
                <w:b/>
                <w:bCs/>
                <w:sz w:val="16"/>
                <w:szCs w:val="24"/>
                <w:lang w:eastAsia="en-GB"/>
              </w:rPr>
              <w:t>0.4</w:t>
            </w:r>
          </w:p>
        </w:tc>
      </w:tr>
      <w:tr w:rsidR="00F96B3F" w:rsidRPr="004F6EE6" w14:paraId="1753FD6A" w14:textId="77777777" w:rsidTr="75D94440">
        <w:trPr>
          <w:trHeight w:val="234"/>
        </w:trPr>
        <w:tc>
          <w:tcPr>
            <w:tcW w:w="3255" w:type="dxa"/>
            <w:tcBorders>
              <w:top w:val="nil"/>
              <w:left w:val="nil"/>
              <w:right w:val="nil"/>
            </w:tcBorders>
            <w:shd w:val="clear" w:color="auto" w:fill="FFFFFF" w:themeFill="background1"/>
            <w:tcMar>
              <w:left w:w="0" w:type="dxa"/>
              <w:right w:w="0" w:type="dxa"/>
            </w:tcMar>
            <w:vAlign w:val="bottom"/>
          </w:tcPr>
          <w:p w14:paraId="77F7B358" w14:textId="6343A86B" w:rsidR="00373082" w:rsidRPr="00554285" w:rsidRDefault="00373082" w:rsidP="00373082">
            <w:pPr>
              <w:spacing w:after="0"/>
              <w:rPr>
                <w:rFonts w:eastAsia="Arial"/>
                <w:b/>
                <w:sz w:val="16"/>
                <w:szCs w:val="24"/>
                <w:lang w:eastAsia="en-GB"/>
              </w:rPr>
            </w:pPr>
            <w:r w:rsidRPr="00554285">
              <w:rPr>
                <w:rFonts w:eastAsia="Arial"/>
                <w:b/>
                <w:sz w:val="16"/>
                <w:szCs w:val="24"/>
                <w:lang w:eastAsia="en-GB"/>
              </w:rPr>
              <w:t>Total comprehensive income</w:t>
            </w:r>
            <w:r>
              <w:rPr>
                <w:rFonts w:eastAsia="Arial"/>
                <w:b/>
                <w:sz w:val="16"/>
                <w:szCs w:val="24"/>
                <w:lang w:eastAsia="en-GB"/>
              </w:rPr>
              <w:t>/(loss)</w:t>
            </w:r>
          </w:p>
        </w:tc>
        <w:tc>
          <w:tcPr>
            <w:tcW w:w="343" w:type="dxa"/>
            <w:tcBorders>
              <w:left w:val="nil"/>
              <w:right w:val="nil"/>
            </w:tcBorders>
          </w:tcPr>
          <w:p w14:paraId="74A832F9" w14:textId="77777777" w:rsidR="00373082" w:rsidRPr="00554285" w:rsidRDefault="00373082" w:rsidP="00373082">
            <w:pPr>
              <w:spacing w:after="0"/>
              <w:jc w:val="right"/>
              <w:rPr>
                <w:rFonts w:eastAsia="Arial"/>
                <w:sz w:val="16"/>
                <w:szCs w:val="24"/>
                <w:lang w:eastAsia="en-GB"/>
              </w:rPr>
            </w:pPr>
          </w:p>
        </w:tc>
        <w:tc>
          <w:tcPr>
            <w:tcW w:w="841" w:type="dxa"/>
            <w:tcBorders>
              <w:top w:val="single" w:sz="4" w:space="0" w:color="auto"/>
              <w:left w:val="nil"/>
              <w:bottom w:val="single" w:sz="4" w:space="0" w:color="auto"/>
              <w:right w:val="nil"/>
            </w:tcBorders>
            <w:vAlign w:val="bottom"/>
          </w:tcPr>
          <w:p w14:paraId="73B86BF8" w14:textId="74DD4DEF" w:rsidR="00373082" w:rsidRPr="00373082" w:rsidRDefault="00373082" w:rsidP="00373082">
            <w:pPr>
              <w:tabs>
                <w:tab w:val="decimal" w:pos="483"/>
              </w:tabs>
              <w:spacing w:after="0"/>
              <w:jc w:val="right"/>
              <w:rPr>
                <w:rFonts w:eastAsia="Arial"/>
                <w:b/>
                <w:bCs/>
                <w:sz w:val="16"/>
                <w:szCs w:val="24"/>
                <w:highlight w:val="yellow"/>
                <w:lang w:eastAsia="en-GB"/>
              </w:rPr>
            </w:pPr>
            <w:r w:rsidRPr="00373082">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0513107E" w14:textId="528DB462" w:rsidR="00373082" w:rsidRPr="00373082" w:rsidRDefault="00373082" w:rsidP="00577845">
            <w:pPr>
              <w:tabs>
                <w:tab w:val="decimal" w:pos="533"/>
              </w:tabs>
              <w:spacing w:after="0"/>
              <w:rPr>
                <w:rFonts w:eastAsia="Arial"/>
                <w:b/>
                <w:bCs/>
                <w:sz w:val="16"/>
                <w:szCs w:val="24"/>
                <w:highlight w:val="yellow"/>
                <w:lang w:eastAsia="en-GB"/>
              </w:rPr>
            </w:pPr>
            <w:r w:rsidRPr="00373082">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476C6DF1" w14:textId="58D2BD8E" w:rsidR="00373082" w:rsidRPr="00373082" w:rsidRDefault="00373082" w:rsidP="00577845">
            <w:pPr>
              <w:tabs>
                <w:tab w:val="decimal" w:pos="749"/>
              </w:tabs>
              <w:spacing w:after="0"/>
              <w:rPr>
                <w:rFonts w:eastAsia="Arial"/>
                <w:b/>
                <w:bCs/>
                <w:sz w:val="16"/>
                <w:szCs w:val="24"/>
                <w:highlight w:val="yellow"/>
                <w:lang w:eastAsia="en-GB"/>
              </w:rPr>
            </w:pPr>
            <w:r w:rsidRPr="00373082">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25C28AEC" w14:textId="68312AF9" w:rsidR="00373082" w:rsidRPr="00373082" w:rsidRDefault="00373082" w:rsidP="00577845">
            <w:pPr>
              <w:tabs>
                <w:tab w:val="decimal" w:pos="667"/>
              </w:tabs>
              <w:spacing w:after="0"/>
              <w:rPr>
                <w:rFonts w:eastAsia="Arial"/>
                <w:b/>
                <w:bCs/>
                <w:sz w:val="16"/>
                <w:szCs w:val="24"/>
                <w:lang w:eastAsia="en-GB"/>
              </w:rPr>
            </w:pPr>
            <w:r w:rsidRPr="00373082">
              <w:rPr>
                <w:rFonts w:eastAsia="Arial"/>
                <w:b/>
                <w:bCs/>
                <w:sz w:val="16"/>
                <w:szCs w:val="24"/>
                <w:lang w:eastAsia="en-GB"/>
              </w:rPr>
              <w:t>0.4</w:t>
            </w:r>
          </w:p>
        </w:tc>
        <w:tc>
          <w:tcPr>
            <w:tcW w:w="779" w:type="dxa"/>
            <w:tcBorders>
              <w:top w:val="single" w:sz="4" w:space="0" w:color="auto"/>
              <w:left w:val="nil"/>
              <w:bottom w:val="single" w:sz="4" w:space="0" w:color="auto"/>
              <w:right w:val="nil"/>
            </w:tcBorders>
            <w:shd w:val="clear" w:color="auto" w:fill="FFFFFF" w:themeFill="background1"/>
            <w:tcMar>
              <w:left w:w="0" w:type="dxa"/>
              <w:right w:w="0" w:type="dxa"/>
            </w:tcMar>
            <w:vAlign w:val="bottom"/>
          </w:tcPr>
          <w:p w14:paraId="33584771" w14:textId="1214EF1E" w:rsidR="00373082" w:rsidRPr="00373082" w:rsidRDefault="00373082" w:rsidP="00577845">
            <w:pPr>
              <w:tabs>
                <w:tab w:val="decimal" w:pos="541"/>
              </w:tabs>
              <w:spacing w:after="0"/>
              <w:rPr>
                <w:rFonts w:eastAsia="Arial"/>
                <w:b/>
                <w:bCs/>
                <w:sz w:val="16"/>
                <w:szCs w:val="24"/>
                <w:lang w:eastAsia="en-GB"/>
              </w:rPr>
            </w:pPr>
            <w:r w:rsidRPr="00373082">
              <w:rPr>
                <w:rFonts w:eastAsia="Arial"/>
                <w:b/>
                <w:bCs/>
                <w:sz w:val="16"/>
                <w:szCs w:val="24"/>
                <w:lang w:eastAsia="en-GB"/>
              </w:rPr>
              <w:t>(37.2)</w:t>
            </w:r>
          </w:p>
        </w:tc>
        <w:tc>
          <w:tcPr>
            <w:tcW w:w="842" w:type="dxa"/>
            <w:tcBorders>
              <w:top w:val="single" w:sz="4" w:space="0" w:color="auto"/>
              <w:left w:val="nil"/>
              <w:bottom w:val="single" w:sz="4" w:space="0" w:color="auto"/>
              <w:right w:val="nil"/>
            </w:tcBorders>
            <w:shd w:val="clear" w:color="auto" w:fill="FFFFFF" w:themeFill="background1"/>
            <w:vAlign w:val="bottom"/>
          </w:tcPr>
          <w:p w14:paraId="5CB98D5F" w14:textId="2A092DE4" w:rsidR="00373082" w:rsidRPr="00373082" w:rsidRDefault="00373082" w:rsidP="00577845">
            <w:pPr>
              <w:tabs>
                <w:tab w:val="decimal" w:pos="435"/>
              </w:tabs>
              <w:spacing w:after="0"/>
              <w:rPr>
                <w:rFonts w:eastAsia="Arial"/>
                <w:b/>
                <w:bCs/>
                <w:sz w:val="16"/>
                <w:szCs w:val="24"/>
                <w:lang w:eastAsia="en-GB"/>
              </w:rPr>
            </w:pPr>
            <w:r w:rsidRPr="00373082">
              <w:rPr>
                <w:rFonts w:eastAsia="Arial"/>
                <w:b/>
                <w:bCs/>
                <w:sz w:val="16"/>
                <w:szCs w:val="24"/>
                <w:lang w:eastAsia="en-GB"/>
              </w:rPr>
              <w:t>(36.8)</w:t>
            </w:r>
          </w:p>
        </w:tc>
        <w:tc>
          <w:tcPr>
            <w:tcW w:w="901" w:type="dxa"/>
            <w:tcBorders>
              <w:top w:val="single" w:sz="4" w:space="0" w:color="auto"/>
              <w:left w:val="nil"/>
              <w:bottom w:val="single" w:sz="4" w:space="0" w:color="auto"/>
              <w:right w:val="nil"/>
            </w:tcBorders>
            <w:shd w:val="clear" w:color="auto" w:fill="FFFFFF" w:themeFill="background1"/>
            <w:vAlign w:val="bottom"/>
          </w:tcPr>
          <w:p w14:paraId="55714EC0" w14:textId="603A800A" w:rsidR="00373082" w:rsidRPr="00373082" w:rsidRDefault="00373082" w:rsidP="00577845">
            <w:pPr>
              <w:tabs>
                <w:tab w:val="decimal" w:pos="484"/>
              </w:tabs>
              <w:spacing w:after="0"/>
              <w:rPr>
                <w:rFonts w:eastAsia="Arial"/>
                <w:b/>
                <w:bCs/>
                <w:sz w:val="16"/>
                <w:szCs w:val="24"/>
                <w:lang w:eastAsia="en-GB"/>
              </w:rPr>
            </w:pPr>
            <w:r w:rsidRPr="00577845">
              <w:rPr>
                <w:rFonts w:eastAsia="Arial"/>
                <w:b/>
                <w:bCs/>
                <w:sz w:val="16"/>
                <w:szCs w:val="24"/>
                <w:lang w:eastAsia="en-GB"/>
              </w:rPr>
              <w:t>0.1</w:t>
            </w:r>
          </w:p>
        </w:tc>
        <w:tc>
          <w:tcPr>
            <w:tcW w:w="746" w:type="dxa"/>
            <w:gridSpan w:val="2"/>
            <w:tcBorders>
              <w:top w:val="single" w:sz="4" w:space="0" w:color="auto"/>
              <w:left w:val="nil"/>
              <w:bottom w:val="single" w:sz="4" w:space="0" w:color="auto"/>
              <w:right w:val="nil"/>
            </w:tcBorders>
            <w:shd w:val="clear" w:color="auto" w:fill="FFFFFF" w:themeFill="background1"/>
            <w:vAlign w:val="bottom"/>
          </w:tcPr>
          <w:p w14:paraId="76E70266" w14:textId="52BF9D2D" w:rsidR="00373082" w:rsidRPr="00373082" w:rsidRDefault="00373082" w:rsidP="00577845">
            <w:pPr>
              <w:tabs>
                <w:tab w:val="decimal" w:pos="354"/>
              </w:tabs>
              <w:spacing w:after="0"/>
              <w:rPr>
                <w:rFonts w:eastAsia="Arial"/>
                <w:b/>
                <w:bCs/>
                <w:sz w:val="16"/>
                <w:szCs w:val="24"/>
                <w:lang w:eastAsia="en-GB"/>
              </w:rPr>
            </w:pPr>
            <w:r w:rsidRPr="00373082">
              <w:rPr>
                <w:rFonts w:eastAsia="Arial"/>
                <w:b/>
                <w:bCs/>
                <w:sz w:val="16"/>
                <w:szCs w:val="24"/>
                <w:lang w:eastAsia="en-GB"/>
              </w:rPr>
              <w:t>(36.</w:t>
            </w:r>
            <w:r>
              <w:rPr>
                <w:rFonts w:eastAsia="Arial"/>
                <w:b/>
                <w:bCs/>
                <w:sz w:val="16"/>
                <w:szCs w:val="24"/>
                <w:lang w:eastAsia="en-GB"/>
              </w:rPr>
              <w:t>7</w:t>
            </w:r>
            <w:r w:rsidRPr="00373082">
              <w:rPr>
                <w:rFonts w:eastAsia="Arial"/>
                <w:b/>
                <w:bCs/>
                <w:sz w:val="16"/>
                <w:szCs w:val="24"/>
                <w:lang w:eastAsia="en-GB"/>
              </w:rPr>
              <w:t>)</w:t>
            </w:r>
          </w:p>
        </w:tc>
      </w:tr>
      <w:tr w:rsidR="00F96B3F" w:rsidRPr="004F6EE6" w14:paraId="51398D8F" w14:textId="77777777" w:rsidTr="75D94440">
        <w:trPr>
          <w:trHeight w:val="234"/>
        </w:trPr>
        <w:tc>
          <w:tcPr>
            <w:tcW w:w="3255" w:type="dxa"/>
            <w:tcBorders>
              <w:top w:val="nil"/>
              <w:left w:val="nil"/>
              <w:right w:val="nil"/>
            </w:tcBorders>
            <w:shd w:val="clear" w:color="auto" w:fill="FFFFFF" w:themeFill="background1"/>
            <w:tcMar>
              <w:left w:w="0" w:type="dxa"/>
              <w:right w:w="0" w:type="dxa"/>
            </w:tcMar>
            <w:vAlign w:val="bottom"/>
          </w:tcPr>
          <w:p w14:paraId="3B668CC7" w14:textId="0BACA87D" w:rsidR="00373082" w:rsidRPr="00554285" w:rsidRDefault="00373082" w:rsidP="00373082">
            <w:pPr>
              <w:spacing w:after="0"/>
              <w:rPr>
                <w:rFonts w:eastAsia="Arial"/>
                <w:b/>
                <w:sz w:val="16"/>
                <w:szCs w:val="24"/>
                <w:lang w:eastAsia="en-GB"/>
              </w:rPr>
            </w:pPr>
            <w:r w:rsidRPr="00480440">
              <w:rPr>
                <w:rFonts w:eastAsia="Arial"/>
                <w:sz w:val="16"/>
                <w:szCs w:val="24"/>
                <w:lang w:eastAsia="en-GB"/>
              </w:rPr>
              <w:t>Vesting of ordinary shares and options</w:t>
            </w:r>
          </w:p>
        </w:tc>
        <w:tc>
          <w:tcPr>
            <w:tcW w:w="343" w:type="dxa"/>
            <w:tcBorders>
              <w:left w:val="nil"/>
              <w:right w:val="nil"/>
            </w:tcBorders>
          </w:tcPr>
          <w:p w14:paraId="68339445" w14:textId="77777777" w:rsidR="00373082" w:rsidRPr="00554285" w:rsidRDefault="00373082" w:rsidP="00373082">
            <w:pPr>
              <w:spacing w:after="0"/>
              <w:jc w:val="right"/>
              <w:rPr>
                <w:rFonts w:eastAsia="Arial"/>
                <w:sz w:val="16"/>
                <w:szCs w:val="24"/>
                <w:lang w:eastAsia="en-GB"/>
              </w:rPr>
            </w:pPr>
          </w:p>
        </w:tc>
        <w:tc>
          <w:tcPr>
            <w:tcW w:w="841" w:type="dxa"/>
            <w:tcBorders>
              <w:top w:val="single" w:sz="4" w:space="0" w:color="auto"/>
              <w:left w:val="nil"/>
              <w:right w:val="nil"/>
            </w:tcBorders>
            <w:vAlign w:val="bottom"/>
          </w:tcPr>
          <w:p w14:paraId="1DCBFD13" w14:textId="0085A02A"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top w:val="single" w:sz="4" w:space="0" w:color="auto"/>
              <w:left w:val="nil"/>
              <w:right w:val="nil"/>
            </w:tcBorders>
            <w:shd w:val="clear" w:color="auto" w:fill="auto"/>
            <w:tcMar>
              <w:left w:w="0" w:type="dxa"/>
              <w:right w:w="0" w:type="dxa"/>
            </w:tcMar>
            <w:vAlign w:val="bottom"/>
          </w:tcPr>
          <w:p w14:paraId="03DA351E" w14:textId="2282BD97"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33B00D87">
              <w:rPr>
                <w:rFonts w:eastAsia="Arial"/>
                <w:sz w:val="16"/>
                <w:lang w:eastAsia="en-GB"/>
              </w:rPr>
              <w:t>0.1</w:t>
            </w:r>
          </w:p>
        </w:tc>
        <w:tc>
          <w:tcPr>
            <w:tcW w:w="884" w:type="dxa"/>
            <w:tcBorders>
              <w:top w:val="single" w:sz="4" w:space="0" w:color="auto"/>
              <w:left w:val="nil"/>
              <w:right w:val="nil"/>
            </w:tcBorders>
            <w:shd w:val="clear" w:color="auto" w:fill="auto"/>
            <w:tcMar>
              <w:left w:w="0" w:type="dxa"/>
              <w:right w:w="0" w:type="dxa"/>
            </w:tcMar>
            <w:vAlign w:val="bottom"/>
          </w:tcPr>
          <w:p w14:paraId="65346A3B" w14:textId="33BBFC63"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top w:val="single" w:sz="4" w:space="0" w:color="auto"/>
              <w:left w:val="nil"/>
              <w:right w:val="nil"/>
            </w:tcBorders>
            <w:shd w:val="clear" w:color="auto" w:fill="auto"/>
            <w:tcMar>
              <w:left w:w="0" w:type="dxa"/>
              <w:right w:w="0" w:type="dxa"/>
            </w:tcMar>
            <w:vAlign w:val="bottom"/>
          </w:tcPr>
          <w:p w14:paraId="26DC4B54" w14:textId="79C642AD" w:rsidR="00373082" w:rsidRPr="00015085" w:rsidRDefault="00373082" w:rsidP="00577845">
            <w:pPr>
              <w:tabs>
                <w:tab w:val="decimal" w:pos="667"/>
              </w:tabs>
              <w:spacing w:after="0"/>
              <w:rPr>
                <w:rFonts w:eastAsia="Arial"/>
                <w:b/>
                <w:bCs/>
                <w:sz w:val="16"/>
                <w:szCs w:val="24"/>
                <w:lang w:eastAsia="en-GB"/>
              </w:rPr>
            </w:pPr>
            <w:r w:rsidRPr="00015085">
              <w:rPr>
                <w:rFonts w:eastAsia="Arial"/>
                <w:sz w:val="16"/>
                <w:szCs w:val="24"/>
                <w:lang w:eastAsia="en-GB"/>
              </w:rPr>
              <w:t>-</w:t>
            </w:r>
          </w:p>
        </w:tc>
        <w:tc>
          <w:tcPr>
            <w:tcW w:w="779" w:type="dxa"/>
            <w:tcBorders>
              <w:top w:val="single" w:sz="4" w:space="0" w:color="auto"/>
              <w:left w:val="nil"/>
              <w:right w:val="nil"/>
            </w:tcBorders>
            <w:shd w:val="clear" w:color="auto" w:fill="FFFFFF" w:themeFill="background1"/>
            <w:tcMar>
              <w:left w:w="0" w:type="dxa"/>
              <w:right w:w="0" w:type="dxa"/>
            </w:tcMar>
            <w:vAlign w:val="bottom"/>
          </w:tcPr>
          <w:p w14:paraId="6C428C96" w14:textId="6B824717" w:rsidR="00373082" w:rsidRPr="00015085" w:rsidRDefault="00373082" w:rsidP="00577845">
            <w:pPr>
              <w:tabs>
                <w:tab w:val="decimal" w:pos="541"/>
              </w:tabs>
              <w:spacing w:after="0"/>
              <w:rPr>
                <w:rFonts w:eastAsia="Arial"/>
                <w:b/>
                <w:bCs/>
                <w:sz w:val="16"/>
                <w:szCs w:val="24"/>
                <w:lang w:eastAsia="en-GB"/>
              </w:rPr>
            </w:pPr>
            <w:r w:rsidRPr="00015085">
              <w:rPr>
                <w:rFonts w:eastAsia="Arial"/>
                <w:sz w:val="16"/>
                <w:szCs w:val="24"/>
                <w:lang w:eastAsia="en-GB"/>
              </w:rPr>
              <w:t>(0.1)</w:t>
            </w:r>
          </w:p>
        </w:tc>
        <w:tc>
          <w:tcPr>
            <w:tcW w:w="842" w:type="dxa"/>
            <w:tcBorders>
              <w:top w:val="single" w:sz="4" w:space="0" w:color="auto"/>
              <w:left w:val="nil"/>
              <w:right w:val="nil"/>
            </w:tcBorders>
            <w:shd w:val="clear" w:color="auto" w:fill="FFFFFF" w:themeFill="background1"/>
            <w:vAlign w:val="bottom"/>
          </w:tcPr>
          <w:p w14:paraId="501843BD" w14:textId="6E662840" w:rsidR="00373082" w:rsidRPr="00015085" w:rsidRDefault="00373082" w:rsidP="00577845">
            <w:pPr>
              <w:tabs>
                <w:tab w:val="decimal" w:pos="435"/>
              </w:tabs>
              <w:spacing w:after="0"/>
              <w:rPr>
                <w:rFonts w:eastAsia="Arial"/>
                <w:b/>
                <w:bCs/>
                <w:sz w:val="16"/>
                <w:szCs w:val="24"/>
                <w:lang w:eastAsia="en-GB"/>
              </w:rPr>
            </w:pPr>
            <w:r w:rsidRPr="00015085">
              <w:rPr>
                <w:rFonts w:eastAsia="Arial"/>
                <w:sz w:val="16"/>
                <w:szCs w:val="24"/>
                <w:lang w:eastAsia="en-GB"/>
              </w:rPr>
              <w:t>-</w:t>
            </w:r>
          </w:p>
        </w:tc>
        <w:tc>
          <w:tcPr>
            <w:tcW w:w="901" w:type="dxa"/>
            <w:tcBorders>
              <w:top w:val="single" w:sz="4" w:space="0" w:color="auto"/>
              <w:left w:val="nil"/>
              <w:right w:val="nil"/>
            </w:tcBorders>
            <w:shd w:val="clear" w:color="auto" w:fill="FFFFFF" w:themeFill="background1"/>
            <w:vAlign w:val="bottom"/>
          </w:tcPr>
          <w:p w14:paraId="4DEB7D34" w14:textId="6D14CF8E" w:rsidR="00373082" w:rsidRPr="00015085" w:rsidRDefault="00373082" w:rsidP="00577845">
            <w:pPr>
              <w:tabs>
                <w:tab w:val="decimal" w:pos="484"/>
              </w:tabs>
              <w:spacing w:after="0"/>
              <w:rPr>
                <w:rFonts w:eastAsia="Arial"/>
                <w:b/>
                <w:sz w:val="16"/>
                <w:szCs w:val="24"/>
                <w:lang w:eastAsia="en-GB"/>
              </w:rPr>
            </w:pPr>
            <w:r w:rsidRPr="00015085">
              <w:rPr>
                <w:rFonts w:eastAsia="Arial"/>
                <w:sz w:val="16"/>
                <w:szCs w:val="24"/>
                <w:lang w:eastAsia="en-GB"/>
              </w:rPr>
              <w:t>-</w:t>
            </w:r>
          </w:p>
        </w:tc>
        <w:tc>
          <w:tcPr>
            <w:tcW w:w="746" w:type="dxa"/>
            <w:gridSpan w:val="2"/>
            <w:tcBorders>
              <w:top w:val="single" w:sz="4" w:space="0" w:color="auto"/>
              <w:left w:val="nil"/>
              <w:right w:val="nil"/>
            </w:tcBorders>
            <w:shd w:val="clear" w:color="auto" w:fill="FFFFFF" w:themeFill="background1"/>
            <w:vAlign w:val="bottom"/>
          </w:tcPr>
          <w:p w14:paraId="5E2F2209" w14:textId="3DE6C097" w:rsidR="00373082" w:rsidRPr="00015085" w:rsidRDefault="00160866" w:rsidP="00577845">
            <w:pPr>
              <w:tabs>
                <w:tab w:val="decimal" w:pos="354"/>
              </w:tabs>
              <w:spacing w:after="0"/>
              <w:rPr>
                <w:rFonts w:eastAsia="Arial"/>
                <w:b/>
                <w:bCs/>
                <w:sz w:val="16"/>
                <w:szCs w:val="24"/>
                <w:lang w:eastAsia="en-GB"/>
              </w:rPr>
            </w:pPr>
            <w:r>
              <w:rPr>
                <w:rFonts w:eastAsia="Arial"/>
                <w:sz w:val="16"/>
                <w:szCs w:val="24"/>
                <w:lang w:eastAsia="en-GB"/>
              </w:rPr>
              <w:t>-</w:t>
            </w:r>
          </w:p>
        </w:tc>
      </w:tr>
      <w:tr w:rsidR="00F96B3F" w:rsidRPr="004F6EE6" w14:paraId="54440E8D" w14:textId="77777777" w:rsidTr="75D94440">
        <w:trPr>
          <w:trHeight w:val="234"/>
        </w:trPr>
        <w:tc>
          <w:tcPr>
            <w:tcW w:w="3255" w:type="dxa"/>
            <w:tcBorders>
              <w:top w:val="nil"/>
              <w:left w:val="nil"/>
              <w:right w:val="nil"/>
            </w:tcBorders>
            <w:shd w:val="clear" w:color="auto" w:fill="FFFFFF" w:themeFill="background1"/>
            <w:tcMar>
              <w:left w:w="0" w:type="dxa"/>
              <w:right w:w="0" w:type="dxa"/>
            </w:tcMar>
            <w:vAlign w:val="bottom"/>
          </w:tcPr>
          <w:p w14:paraId="7208D8E5" w14:textId="1AB0D233" w:rsidR="00373082" w:rsidRPr="00B30F93" w:rsidRDefault="00373082" w:rsidP="00373082">
            <w:pPr>
              <w:spacing w:after="0"/>
              <w:rPr>
                <w:rFonts w:eastAsia="Arial"/>
                <w:sz w:val="16"/>
                <w:szCs w:val="24"/>
                <w:lang w:eastAsia="en-GB"/>
              </w:rPr>
            </w:pPr>
            <w:r>
              <w:rPr>
                <w:rFonts w:eastAsia="Arial"/>
                <w:sz w:val="16"/>
                <w:szCs w:val="24"/>
                <w:lang w:eastAsia="en-GB"/>
              </w:rPr>
              <w:t>Dividends paid</w:t>
            </w:r>
          </w:p>
        </w:tc>
        <w:tc>
          <w:tcPr>
            <w:tcW w:w="343" w:type="dxa"/>
            <w:tcBorders>
              <w:left w:val="nil"/>
              <w:right w:val="nil"/>
            </w:tcBorders>
          </w:tcPr>
          <w:p w14:paraId="5875C2E0" w14:textId="77777777" w:rsidR="00373082" w:rsidRPr="00554285" w:rsidRDefault="00373082" w:rsidP="00373082">
            <w:pPr>
              <w:spacing w:after="0"/>
              <w:jc w:val="right"/>
              <w:rPr>
                <w:rFonts w:eastAsia="Arial"/>
                <w:sz w:val="16"/>
                <w:szCs w:val="24"/>
                <w:lang w:eastAsia="en-GB"/>
              </w:rPr>
            </w:pPr>
          </w:p>
        </w:tc>
        <w:tc>
          <w:tcPr>
            <w:tcW w:w="841" w:type="dxa"/>
            <w:tcBorders>
              <w:left w:val="nil"/>
              <w:right w:val="nil"/>
            </w:tcBorders>
            <w:vAlign w:val="bottom"/>
          </w:tcPr>
          <w:p w14:paraId="38C1E49E" w14:textId="30AE9C6A"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3120D0EF" w14:textId="3968D288"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75D94440">
              <w:rPr>
                <w:rFonts w:eastAsia="Arial"/>
                <w:sz w:val="16"/>
                <w:lang w:eastAsia="en-GB"/>
              </w:rPr>
              <w:t>-</w:t>
            </w:r>
          </w:p>
        </w:tc>
        <w:tc>
          <w:tcPr>
            <w:tcW w:w="884" w:type="dxa"/>
            <w:tcBorders>
              <w:left w:val="nil"/>
              <w:right w:val="nil"/>
            </w:tcBorders>
            <w:shd w:val="clear" w:color="auto" w:fill="auto"/>
            <w:tcMar>
              <w:left w:w="0" w:type="dxa"/>
              <w:right w:w="0" w:type="dxa"/>
            </w:tcMar>
            <w:vAlign w:val="bottom"/>
          </w:tcPr>
          <w:p w14:paraId="52FC2C0D" w14:textId="7C0CF42E"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2F32E227" w14:textId="7546B79D" w:rsidR="00373082" w:rsidRPr="00015085" w:rsidRDefault="00373082" w:rsidP="00577845">
            <w:pPr>
              <w:tabs>
                <w:tab w:val="decimal" w:pos="667"/>
              </w:tabs>
              <w:spacing w:after="0"/>
              <w:rPr>
                <w:rFonts w:eastAsia="Arial"/>
                <w:sz w:val="16"/>
                <w:szCs w:val="24"/>
                <w:lang w:eastAsia="en-GB"/>
              </w:rPr>
            </w:pPr>
            <w:r w:rsidRPr="00015085">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4E1AB1DB" w14:textId="469972C6" w:rsidR="00373082" w:rsidRPr="00015085" w:rsidRDefault="00373082" w:rsidP="00577845">
            <w:pPr>
              <w:tabs>
                <w:tab w:val="decimal" w:pos="541"/>
              </w:tabs>
              <w:spacing w:after="0"/>
              <w:rPr>
                <w:rFonts w:eastAsia="Arial"/>
                <w:sz w:val="16"/>
                <w:szCs w:val="24"/>
                <w:lang w:eastAsia="en-GB"/>
              </w:rPr>
            </w:pPr>
            <w:r w:rsidRPr="00015085">
              <w:rPr>
                <w:rFonts w:eastAsia="Arial"/>
                <w:sz w:val="16"/>
                <w:szCs w:val="24"/>
                <w:lang w:eastAsia="en-GB"/>
              </w:rPr>
              <w:t>(3</w:t>
            </w:r>
            <w:r w:rsidR="00015085" w:rsidRPr="00015085">
              <w:rPr>
                <w:rFonts w:eastAsia="Arial"/>
                <w:sz w:val="16"/>
                <w:szCs w:val="24"/>
                <w:lang w:eastAsia="en-GB"/>
              </w:rPr>
              <w:t>2</w:t>
            </w:r>
            <w:r w:rsidRPr="00015085">
              <w:rPr>
                <w:rFonts w:eastAsia="Arial"/>
                <w:sz w:val="16"/>
                <w:szCs w:val="24"/>
                <w:lang w:eastAsia="en-GB"/>
              </w:rPr>
              <w:t>.</w:t>
            </w:r>
            <w:r w:rsidR="00015085" w:rsidRPr="00015085">
              <w:rPr>
                <w:rFonts w:eastAsia="Arial"/>
                <w:sz w:val="16"/>
                <w:szCs w:val="24"/>
                <w:lang w:eastAsia="en-GB"/>
              </w:rPr>
              <w:t>6</w:t>
            </w:r>
            <w:r w:rsidRPr="00015085">
              <w:rPr>
                <w:rFonts w:eastAsia="Arial"/>
                <w:sz w:val="16"/>
                <w:szCs w:val="24"/>
                <w:lang w:eastAsia="en-GB"/>
              </w:rPr>
              <w:t>)</w:t>
            </w:r>
          </w:p>
        </w:tc>
        <w:tc>
          <w:tcPr>
            <w:tcW w:w="842" w:type="dxa"/>
            <w:tcBorders>
              <w:left w:val="nil"/>
              <w:right w:val="nil"/>
            </w:tcBorders>
            <w:shd w:val="clear" w:color="auto" w:fill="FFFFFF" w:themeFill="background1"/>
            <w:vAlign w:val="bottom"/>
          </w:tcPr>
          <w:p w14:paraId="71260788" w14:textId="1B84F88D" w:rsidR="00373082" w:rsidRPr="00015085" w:rsidRDefault="00373082" w:rsidP="00577845">
            <w:pPr>
              <w:tabs>
                <w:tab w:val="decimal" w:pos="435"/>
              </w:tabs>
              <w:spacing w:after="0"/>
              <w:rPr>
                <w:sz w:val="16"/>
              </w:rPr>
            </w:pPr>
            <w:r w:rsidRPr="00015085">
              <w:rPr>
                <w:rFonts w:eastAsia="Arial"/>
                <w:sz w:val="16"/>
                <w:szCs w:val="24"/>
                <w:lang w:eastAsia="en-GB"/>
              </w:rPr>
              <w:t>(3</w:t>
            </w:r>
            <w:r w:rsidR="00015085" w:rsidRPr="00015085">
              <w:rPr>
                <w:rFonts w:eastAsia="Arial"/>
                <w:sz w:val="16"/>
                <w:szCs w:val="24"/>
                <w:lang w:eastAsia="en-GB"/>
              </w:rPr>
              <w:t>2</w:t>
            </w:r>
            <w:r w:rsidRPr="00015085">
              <w:rPr>
                <w:rFonts w:eastAsia="Arial"/>
                <w:sz w:val="16"/>
                <w:szCs w:val="24"/>
                <w:lang w:eastAsia="en-GB"/>
              </w:rPr>
              <w:t>.</w:t>
            </w:r>
            <w:r w:rsidR="00015085" w:rsidRPr="00015085">
              <w:rPr>
                <w:rFonts w:eastAsia="Arial"/>
                <w:sz w:val="16"/>
                <w:szCs w:val="24"/>
                <w:lang w:eastAsia="en-GB"/>
              </w:rPr>
              <w:t>6</w:t>
            </w:r>
            <w:r w:rsidRPr="00015085">
              <w:rPr>
                <w:rFonts w:eastAsia="Arial"/>
                <w:sz w:val="16"/>
                <w:szCs w:val="24"/>
                <w:lang w:eastAsia="en-GB"/>
              </w:rPr>
              <w:t>)</w:t>
            </w:r>
          </w:p>
        </w:tc>
        <w:tc>
          <w:tcPr>
            <w:tcW w:w="901" w:type="dxa"/>
            <w:tcBorders>
              <w:left w:val="nil"/>
              <w:right w:val="nil"/>
            </w:tcBorders>
            <w:shd w:val="clear" w:color="auto" w:fill="FFFFFF" w:themeFill="background1"/>
            <w:vAlign w:val="bottom"/>
          </w:tcPr>
          <w:p w14:paraId="5AFBD89A" w14:textId="00D3C33D" w:rsidR="00373082" w:rsidRPr="00015085" w:rsidRDefault="00373082" w:rsidP="00577845">
            <w:pPr>
              <w:tabs>
                <w:tab w:val="decimal" w:pos="484"/>
              </w:tabs>
              <w:spacing w:after="0"/>
              <w:rPr>
                <w:rFonts w:eastAsia="Arial"/>
                <w:sz w:val="16"/>
                <w:szCs w:val="24"/>
                <w:lang w:eastAsia="en-GB"/>
              </w:rPr>
            </w:pPr>
            <w:r w:rsidRPr="00015085">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0AB170E1" w14:textId="19924430" w:rsidR="00373082" w:rsidRPr="00015085" w:rsidRDefault="00373082" w:rsidP="00577845">
            <w:pPr>
              <w:tabs>
                <w:tab w:val="decimal" w:pos="354"/>
              </w:tabs>
              <w:spacing w:after="0"/>
              <w:rPr>
                <w:sz w:val="16"/>
              </w:rPr>
            </w:pPr>
            <w:r w:rsidRPr="00015085">
              <w:rPr>
                <w:rFonts w:eastAsia="Arial"/>
                <w:sz w:val="16"/>
                <w:szCs w:val="24"/>
                <w:lang w:eastAsia="en-GB"/>
              </w:rPr>
              <w:t>(3</w:t>
            </w:r>
            <w:r w:rsidR="00015085" w:rsidRPr="00015085">
              <w:rPr>
                <w:rFonts w:eastAsia="Arial"/>
                <w:sz w:val="16"/>
                <w:szCs w:val="24"/>
                <w:lang w:eastAsia="en-GB"/>
              </w:rPr>
              <w:t>2</w:t>
            </w:r>
            <w:r w:rsidRPr="00015085">
              <w:rPr>
                <w:rFonts w:eastAsia="Arial"/>
                <w:sz w:val="16"/>
                <w:szCs w:val="24"/>
                <w:lang w:eastAsia="en-GB"/>
              </w:rPr>
              <w:t>.</w:t>
            </w:r>
            <w:r w:rsidR="00015085" w:rsidRPr="00015085">
              <w:rPr>
                <w:rFonts w:eastAsia="Arial"/>
                <w:sz w:val="16"/>
                <w:szCs w:val="24"/>
                <w:lang w:eastAsia="en-GB"/>
              </w:rPr>
              <w:t>6</w:t>
            </w:r>
            <w:r w:rsidRPr="00015085">
              <w:rPr>
                <w:rFonts w:eastAsia="Arial"/>
                <w:sz w:val="16"/>
                <w:szCs w:val="24"/>
                <w:lang w:eastAsia="en-GB"/>
              </w:rPr>
              <w:t>)</w:t>
            </w:r>
          </w:p>
        </w:tc>
      </w:tr>
      <w:tr w:rsidR="00F96B3F" w:rsidRPr="004F6EE6" w14:paraId="37E1D42D"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C13798F" w14:textId="268D78F3" w:rsidR="00373082" w:rsidRPr="00304299" w:rsidRDefault="00373082" w:rsidP="00373082">
            <w:pPr>
              <w:spacing w:after="0"/>
              <w:rPr>
                <w:rFonts w:eastAsia="Arial"/>
                <w:sz w:val="16"/>
                <w:szCs w:val="24"/>
                <w:lang w:eastAsia="en-GB"/>
              </w:rPr>
            </w:pPr>
            <w:r w:rsidRPr="00480440">
              <w:rPr>
                <w:rFonts w:eastAsia="Arial"/>
                <w:sz w:val="16"/>
                <w:szCs w:val="24"/>
                <w:lang w:eastAsia="en-GB"/>
              </w:rPr>
              <w:t>Purchase of shares by EBT</w:t>
            </w:r>
          </w:p>
        </w:tc>
        <w:tc>
          <w:tcPr>
            <w:tcW w:w="343" w:type="dxa"/>
            <w:tcBorders>
              <w:left w:val="nil"/>
              <w:right w:val="nil"/>
            </w:tcBorders>
          </w:tcPr>
          <w:p w14:paraId="122B5D16" w14:textId="77777777" w:rsidR="00373082" w:rsidRPr="00304299" w:rsidRDefault="00373082" w:rsidP="00373082">
            <w:pPr>
              <w:spacing w:after="0"/>
              <w:jc w:val="right"/>
              <w:rPr>
                <w:rFonts w:eastAsia="Arial"/>
                <w:sz w:val="16"/>
                <w:szCs w:val="24"/>
                <w:lang w:eastAsia="en-GB"/>
              </w:rPr>
            </w:pPr>
          </w:p>
        </w:tc>
        <w:tc>
          <w:tcPr>
            <w:tcW w:w="841" w:type="dxa"/>
            <w:tcBorders>
              <w:left w:val="nil"/>
              <w:right w:val="nil"/>
            </w:tcBorders>
            <w:vAlign w:val="bottom"/>
          </w:tcPr>
          <w:p w14:paraId="249ECB78" w14:textId="3C5CBB19"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7AF07017" w14:textId="0882DFF5"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75D94440">
              <w:rPr>
                <w:rFonts w:eastAsia="Arial"/>
                <w:sz w:val="16"/>
                <w:lang w:eastAsia="en-GB"/>
              </w:rPr>
              <w:t>-</w:t>
            </w:r>
          </w:p>
        </w:tc>
        <w:tc>
          <w:tcPr>
            <w:tcW w:w="884" w:type="dxa"/>
            <w:tcBorders>
              <w:left w:val="nil"/>
              <w:right w:val="nil"/>
            </w:tcBorders>
            <w:shd w:val="clear" w:color="auto" w:fill="auto"/>
            <w:tcMar>
              <w:left w:w="0" w:type="dxa"/>
              <w:right w:w="0" w:type="dxa"/>
            </w:tcMar>
            <w:vAlign w:val="bottom"/>
          </w:tcPr>
          <w:p w14:paraId="750916B7" w14:textId="6685F6DB"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78B96E20" w14:textId="328D77F2" w:rsidR="00373082" w:rsidRPr="00015085" w:rsidRDefault="00373082" w:rsidP="00577845">
            <w:pPr>
              <w:tabs>
                <w:tab w:val="decimal" w:pos="667"/>
              </w:tabs>
              <w:spacing w:after="0"/>
              <w:rPr>
                <w:rFonts w:eastAsia="Arial"/>
                <w:sz w:val="16"/>
                <w:szCs w:val="24"/>
                <w:lang w:eastAsia="en-GB"/>
              </w:rPr>
            </w:pPr>
            <w:r w:rsidRPr="00015085">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7CC2C75E" w14:textId="1366874F" w:rsidR="00373082" w:rsidRPr="00015085" w:rsidRDefault="00373082" w:rsidP="00577845">
            <w:pPr>
              <w:tabs>
                <w:tab w:val="decimal" w:pos="541"/>
              </w:tabs>
              <w:spacing w:after="0"/>
              <w:rPr>
                <w:rFonts w:eastAsia="Arial"/>
                <w:sz w:val="16"/>
                <w:szCs w:val="24"/>
                <w:lang w:eastAsia="en-GB"/>
              </w:rPr>
            </w:pPr>
            <w:r w:rsidRPr="00015085">
              <w:rPr>
                <w:rFonts w:eastAsia="Arial"/>
                <w:sz w:val="16"/>
                <w:szCs w:val="24"/>
                <w:lang w:eastAsia="en-GB"/>
              </w:rPr>
              <w:t>(</w:t>
            </w:r>
            <w:r w:rsidR="00015085" w:rsidRPr="00015085">
              <w:rPr>
                <w:rFonts w:eastAsia="Arial"/>
                <w:sz w:val="16"/>
                <w:szCs w:val="24"/>
                <w:lang w:eastAsia="en-GB"/>
              </w:rPr>
              <w:t>0</w:t>
            </w:r>
            <w:r w:rsidRPr="00015085">
              <w:rPr>
                <w:rFonts w:eastAsia="Arial"/>
                <w:sz w:val="16"/>
                <w:szCs w:val="24"/>
                <w:lang w:eastAsia="en-GB"/>
              </w:rPr>
              <w:t>.1)</w:t>
            </w:r>
          </w:p>
        </w:tc>
        <w:tc>
          <w:tcPr>
            <w:tcW w:w="842" w:type="dxa"/>
            <w:tcBorders>
              <w:left w:val="nil"/>
              <w:right w:val="nil"/>
            </w:tcBorders>
            <w:shd w:val="clear" w:color="auto" w:fill="FFFFFF" w:themeFill="background1"/>
            <w:vAlign w:val="bottom"/>
          </w:tcPr>
          <w:p w14:paraId="57676A31" w14:textId="71D5B336" w:rsidR="00373082" w:rsidRPr="00015085" w:rsidRDefault="00373082" w:rsidP="00577845">
            <w:pPr>
              <w:tabs>
                <w:tab w:val="decimal" w:pos="435"/>
              </w:tabs>
              <w:spacing w:after="0"/>
              <w:rPr>
                <w:rFonts w:eastAsia="Arial"/>
                <w:sz w:val="16"/>
                <w:szCs w:val="24"/>
                <w:lang w:eastAsia="en-GB"/>
              </w:rPr>
            </w:pPr>
            <w:r w:rsidRPr="00015085">
              <w:rPr>
                <w:rFonts w:eastAsia="Arial"/>
                <w:sz w:val="16"/>
                <w:szCs w:val="24"/>
                <w:lang w:eastAsia="en-GB"/>
              </w:rPr>
              <w:t>(</w:t>
            </w:r>
            <w:r w:rsidR="00015085" w:rsidRPr="00015085">
              <w:rPr>
                <w:rFonts w:eastAsia="Arial"/>
                <w:sz w:val="16"/>
                <w:szCs w:val="24"/>
                <w:lang w:eastAsia="en-GB"/>
              </w:rPr>
              <w:t>0.1</w:t>
            </w:r>
            <w:r w:rsidRPr="00015085">
              <w:rPr>
                <w:rFonts w:eastAsia="Arial"/>
                <w:sz w:val="16"/>
                <w:szCs w:val="24"/>
                <w:lang w:eastAsia="en-GB"/>
              </w:rPr>
              <w:t>)</w:t>
            </w:r>
          </w:p>
        </w:tc>
        <w:tc>
          <w:tcPr>
            <w:tcW w:w="901" w:type="dxa"/>
            <w:tcBorders>
              <w:left w:val="nil"/>
              <w:right w:val="nil"/>
            </w:tcBorders>
            <w:shd w:val="clear" w:color="auto" w:fill="FFFFFF" w:themeFill="background1"/>
            <w:vAlign w:val="bottom"/>
          </w:tcPr>
          <w:p w14:paraId="3561BC2F" w14:textId="2B1C8AAC" w:rsidR="00373082" w:rsidRPr="00015085" w:rsidRDefault="00373082" w:rsidP="00577845">
            <w:pPr>
              <w:tabs>
                <w:tab w:val="decimal" w:pos="484"/>
              </w:tabs>
              <w:spacing w:after="0"/>
              <w:rPr>
                <w:rFonts w:eastAsia="Arial"/>
                <w:sz w:val="16"/>
                <w:szCs w:val="24"/>
                <w:lang w:eastAsia="en-GB"/>
              </w:rPr>
            </w:pPr>
            <w:r w:rsidRPr="00015085">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017D1D83" w14:textId="789BD983" w:rsidR="00373082" w:rsidRPr="00015085" w:rsidRDefault="00373082" w:rsidP="00577845">
            <w:pPr>
              <w:tabs>
                <w:tab w:val="decimal" w:pos="354"/>
              </w:tabs>
              <w:spacing w:after="0"/>
              <w:rPr>
                <w:rFonts w:eastAsia="Arial"/>
                <w:sz w:val="16"/>
                <w:szCs w:val="24"/>
                <w:lang w:eastAsia="en-GB"/>
              </w:rPr>
            </w:pPr>
            <w:r w:rsidRPr="00015085">
              <w:rPr>
                <w:rFonts w:eastAsia="Arial"/>
                <w:sz w:val="16"/>
                <w:szCs w:val="24"/>
                <w:lang w:eastAsia="en-GB"/>
              </w:rPr>
              <w:t>(</w:t>
            </w:r>
            <w:r w:rsidR="00015085" w:rsidRPr="00015085">
              <w:rPr>
                <w:rFonts w:eastAsia="Arial"/>
                <w:sz w:val="16"/>
                <w:szCs w:val="24"/>
                <w:lang w:eastAsia="en-GB"/>
              </w:rPr>
              <w:t>0.1</w:t>
            </w:r>
            <w:r w:rsidRPr="00015085">
              <w:rPr>
                <w:rFonts w:eastAsia="Arial"/>
                <w:sz w:val="16"/>
                <w:szCs w:val="24"/>
                <w:lang w:eastAsia="en-GB"/>
              </w:rPr>
              <w:t>)</w:t>
            </w:r>
          </w:p>
        </w:tc>
      </w:tr>
      <w:tr w:rsidR="00F96B3F" w:rsidRPr="00015085" w14:paraId="5CB48E4F"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26456742" w14:textId="1C65BB73" w:rsidR="00373082" w:rsidRPr="00304299" w:rsidRDefault="00373082" w:rsidP="00373082">
            <w:pPr>
              <w:spacing w:after="0"/>
              <w:rPr>
                <w:rFonts w:eastAsia="Arial"/>
                <w:sz w:val="16"/>
                <w:szCs w:val="24"/>
                <w:lang w:eastAsia="en-GB"/>
              </w:rPr>
            </w:pPr>
            <w:r w:rsidRPr="00480440">
              <w:rPr>
                <w:rFonts w:eastAsia="Arial"/>
                <w:sz w:val="16"/>
                <w:szCs w:val="24"/>
                <w:lang w:eastAsia="en-GB"/>
              </w:rPr>
              <w:t>Share-based payments</w:t>
            </w:r>
          </w:p>
        </w:tc>
        <w:tc>
          <w:tcPr>
            <w:tcW w:w="343" w:type="dxa"/>
            <w:tcBorders>
              <w:left w:val="nil"/>
              <w:right w:val="nil"/>
            </w:tcBorders>
          </w:tcPr>
          <w:p w14:paraId="4F972345" w14:textId="77777777" w:rsidR="00373082" w:rsidRPr="00304299" w:rsidRDefault="00373082" w:rsidP="00373082">
            <w:pPr>
              <w:spacing w:after="0"/>
              <w:jc w:val="right"/>
              <w:rPr>
                <w:rFonts w:eastAsia="Arial"/>
                <w:sz w:val="16"/>
                <w:szCs w:val="24"/>
                <w:lang w:eastAsia="en-GB"/>
              </w:rPr>
            </w:pPr>
          </w:p>
        </w:tc>
        <w:tc>
          <w:tcPr>
            <w:tcW w:w="841" w:type="dxa"/>
            <w:tcBorders>
              <w:left w:val="nil"/>
              <w:right w:val="nil"/>
            </w:tcBorders>
            <w:vAlign w:val="bottom"/>
          </w:tcPr>
          <w:p w14:paraId="7430F52A" w14:textId="469C9ACB"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153A4A11" w14:textId="211E7203"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75D94440">
              <w:rPr>
                <w:rFonts w:eastAsia="Arial"/>
                <w:sz w:val="16"/>
                <w:lang w:eastAsia="en-GB"/>
              </w:rPr>
              <w:t>-</w:t>
            </w:r>
          </w:p>
        </w:tc>
        <w:tc>
          <w:tcPr>
            <w:tcW w:w="884" w:type="dxa"/>
            <w:tcBorders>
              <w:left w:val="nil"/>
              <w:right w:val="nil"/>
            </w:tcBorders>
            <w:shd w:val="clear" w:color="auto" w:fill="auto"/>
            <w:tcMar>
              <w:left w:w="0" w:type="dxa"/>
              <w:right w:w="0" w:type="dxa"/>
            </w:tcMar>
            <w:vAlign w:val="bottom"/>
          </w:tcPr>
          <w:p w14:paraId="783820C0" w14:textId="33D86918"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1C4D56E5" w14:textId="2E9EF3EB" w:rsidR="00373082" w:rsidRPr="00015085" w:rsidRDefault="00373082" w:rsidP="00577845">
            <w:pPr>
              <w:tabs>
                <w:tab w:val="decimal" w:pos="667"/>
              </w:tabs>
              <w:spacing w:after="0"/>
              <w:rPr>
                <w:rFonts w:eastAsia="Arial"/>
                <w:sz w:val="16"/>
                <w:szCs w:val="24"/>
                <w:lang w:eastAsia="en-GB"/>
              </w:rPr>
            </w:pPr>
            <w:r w:rsidRPr="00015085">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5E0B4D75" w14:textId="4BCAAB84" w:rsidR="00373082" w:rsidRPr="00015085" w:rsidRDefault="00373082" w:rsidP="00577845">
            <w:pPr>
              <w:tabs>
                <w:tab w:val="decimal" w:pos="541"/>
              </w:tabs>
              <w:spacing w:after="0"/>
              <w:rPr>
                <w:rFonts w:eastAsia="Arial"/>
                <w:sz w:val="16"/>
                <w:szCs w:val="24"/>
                <w:lang w:eastAsia="en-GB"/>
              </w:rPr>
            </w:pPr>
            <w:r w:rsidRPr="00015085">
              <w:rPr>
                <w:rFonts w:eastAsia="Arial"/>
                <w:sz w:val="16"/>
                <w:szCs w:val="24"/>
                <w:lang w:eastAsia="en-GB"/>
              </w:rPr>
              <w:t>8.</w:t>
            </w:r>
            <w:r w:rsidR="00015085" w:rsidRPr="00015085">
              <w:rPr>
                <w:rFonts w:eastAsia="Arial"/>
                <w:sz w:val="16"/>
                <w:szCs w:val="24"/>
                <w:lang w:eastAsia="en-GB"/>
              </w:rPr>
              <w:t>3</w:t>
            </w:r>
          </w:p>
        </w:tc>
        <w:tc>
          <w:tcPr>
            <w:tcW w:w="842" w:type="dxa"/>
            <w:tcBorders>
              <w:left w:val="nil"/>
              <w:right w:val="nil"/>
            </w:tcBorders>
            <w:shd w:val="clear" w:color="auto" w:fill="FFFFFF" w:themeFill="background1"/>
            <w:vAlign w:val="bottom"/>
          </w:tcPr>
          <w:p w14:paraId="72A7592B" w14:textId="2EDEBDDC" w:rsidR="00373082" w:rsidRPr="00015085" w:rsidRDefault="00015085" w:rsidP="00577845">
            <w:pPr>
              <w:tabs>
                <w:tab w:val="decimal" w:pos="435"/>
              </w:tabs>
              <w:spacing w:after="0"/>
              <w:rPr>
                <w:rFonts w:eastAsia="Arial"/>
                <w:sz w:val="16"/>
                <w:szCs w:val="24"/>
                <w:lang w:eastAsia="en-GB"/>
              </w:rPr>
            </w:pPr>
            <w:r w:rsidRPr="00015085">
              <w:rPr>
                <w:rFonts w:eastAsia="Arial"/>
                <w:sz w:val="16"/>
                <w:szCs w:val="24"/>
                <w:lang w:eastAsia="en-GB"/>
              </w:rPr>
              <w:t>8.3</w:t>
            </w:r>
          </w:p>
        </w:tc>
        <w:tc>
          <w:tcPr>
            <w:tcW w:w="901" w:type="dxa"/>
            <w:tcBorders>
              <w:left w:val="nil"/>
              <w:right w:val="nil"/>
            </w:tcBorders>
            <w:shd w:val="clear" w:color="auto" w:fill="FFFFFF" w:themeFill="background1"/>
            <w:vAlign w:val="bottom"/>
          </w:tcPr>
          <w:p w14:paraId="1914B465" w14:textId="14068905" w:rsidR="00373082" w:rsidRPr="00015085" w:rsidRDefault="00373082" w:rsidP="00577845">
            <w:pPr>
              <w:tabs>
                <w:tab w:val="decimal" w:pos="484"/>
              </w:tabs>
              <w:spacing w:after="0"/>
              <w:rPr>
                <w:rFonts w:eastAsia="Arial"/>
                <w:sz w:val="16"/>
                <w:szCs w:val="24"/>
                <w:lang w:eastAsia="en-GB"/>
              </w:rPr>
            </w:pPr>
            <w:r w:rsidRPr="00015085">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4A593E37" w14:textId="23483C3E" w:rsidR="00373082" w:rsidRPr="00015085" w:rsidRDefault="00015085" w:rsidP="00577845">
            <w:pPr>
              <w:tabs>
                <w:tab w:val="decimal" w:pos="354"/>
              </w:tabs>
              <w:spacing w:after="0"/>
              <w:rPr>
                <w:rFonts w:eastAsia="Arial"/>
                <w:sz w:val="16"/>
                <w:szCs w:val="24"/>
                <w:lang w:eastAsia="en-GB"/>
              </w:rPr>
            </w:pPr>
            <w:r w:rsidRPr="00015085">
              <w:rPr>
                <w:rFonts w:eastAsia="Arial"/>
                <w:sz w:val="16"/>
                <w:szCs w:val="24"/>
                <w:lang w:eastAsia="en-GB"/>
              </w:rPr>
              <w:t>8.3</w:t>
            </w:r>
          </w:p>
        </w:tc>
      </w:tr>
      <w:tr w:rsidR="00F96B3F" w:rsidRPr="00015085" w14:paraId="1033736A"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0F486DFF" w14:textId="55C62E19" w:rsidR="00373082" w:rsidRPr="00304299" w:rsidRDefault="00373082" w:rsidP="00373082">
            <w:pPr>
              <w:spacing w:after="0"/>
              <w:rPr>
                <w:rFonts w:eastAsia="Arial"/>
                <w:sz w:val="16"/>
                <w:szCs w:val="24"/>
                <w:lang w:eastAsia="en-GB"/>
              </w:rPr>
            </w:pPr>
            <w:r>
              <w:rPr>
                <w:rFonts w:eastAsia="Arial"/>
                <w:sz w:val="16"/>
                <w:szCs w:val="24"/>
                <w:lang w:eastAsia="en-GB"/>
              </w:rPr>
              <w:t>Other movements</w:t>
            </w:r>
          </w:p>
        </w:tc>
        <w:tc>
          <w:tcPr>
            <w:tcW w:w="343" w:type="dxa"/>
            <w:tcBorders>
              <w:left w:val="nil"/>
              <w:right w:val="nil"/>
            </w:tcBorders>
          </w:tcPr>
          <w:p w14:paraId="68B07E51" w14:textId="77777777" w:rsidR="00373082" w:rsidRPr="00480440" w:rsidRDefault="00373082" w:rsidP="00373082">
            <w:pPr>
              <w:spacing w:after="0"/>
              <w:jc w:val="right"/>
              <w:rPr>
                <w:rFonts w:eastAsia="Arial"/>
                <w:sz w:val="16"/>
                <w:szCs w:val="24"/>
                <w:lang w:eastAsia="en-GB"/>
              </w:rPr>
            </w:pPr>
          </w:p>
        </w:tc>
        <w:tc>
          <w:tcPr>
            <w:tcW w:w="841" w:type="dxa"/>
            <w:tcBorders>
              <w:left w:val="nil"/>
              <w:right w:val="nil"/>
            </w:tcBorders>
            <w:vAlign w:val="bottom"/>
          </w:tcPr>
          <w:p w14:paraId="55EAC97C" w14:textId="5C89529A"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2B406EA4" w14:textId="23AFAE5B"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75D94440">
              <w:rPr>
                <w:rFonts w:eastAsia="Arial"/>
                <w:sz w:val="16"/>
                <w:lang w:eastAsia="en-GB"/>
              </w:rPr>
              <w:t>-</w:t>
            </w:r>
          </w:p>
        </w:tc>
        <w:tc>
          <w:tcPr>
            <w:tcW w:w="884" w:type="dxa"/>
            <w:tcBorders>
              <w:left w:val="nil"/>
              <w:right w:val="nil"/>
            </w:tcBorders>
            <w:shd w:val="clear" w:color="auto" w:fill="auto"/>
            <w:tcMar>
              <w:left w:w="0" w:type="dxa"/>
              <w:right w:w="0" w:type="dxa"/>
            </w:tcMar>
            <w:vAlign w:val="bottom"/>
          </w:tcPr>
          <w:p w14:paraId="61E16630" w14:textId="338DEE14"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1F1A2CC3" w14:textId="5F619FFF" w:rsidR="00373082" w:rsidRPr="00015085" w:rsidRDefault="00373082" w:rsidP="00577845">
            <w:pPr>
              <w:tabs>
                <w:tab w:val="decimal" w:pos="667"/>
              </w:tabs>
              <w:spacing w:after="0"/>
              <w:rPr>
                <w:rFonts w:eastAsia="Arial"/>
                <w:sz w:val="16"/>
                <w:szCs w:val="24"/>
                <w:lang w:eastAsia="en-GB"/>
              </w:rPr>
            </w:pPr>
            <w:r w:rsidRPr="00015085">
              <w:rPr>
                <w:rFonts w:eastAsia="Arial"/>
                <w:sz w:val="16"/>
                <w:szCs w:val="24"/>
                <w:lang w:eastAsia="en-GB"/>
              </w:rPr>
              <w:t>-</w:t>
            </w:r>
          </w:p>
        </w:tc>
        <w:tc>
          <w:tcPr>
            <w:tcW w:w="779" w:type="dxa"/>
            <w:tcBorders>
              <w:left w:val="nil"/>
              <w:right w:val="nil"/>
            </w:tcBorders>
            <w:shd w:val="clear" w:color="auto" w:fill="FFFFFF" w:themeFill="background1"/>
            <w:tcMar>
              <w:left w:w="0" w:type="dxa"/>
              <w:right w:w="0" w:type="dxa"/>
            </w:tcMar>
            <w:vAlign w:val="bottom"/>
          </w:tcPr>
          <w:p w14:paraId="4A33E8D7" w14:textId="6595C93A" w:rsidR="00373082" w:rsidRPr="00015085" w:rsidRDefault="00373082" w:rsidP="00577845">
            <w:pPr>
              <w:tabs>
                <w:tab w:val="decimal" w:pos="541"/>
              </w:tabs>
              <w:spacing w:after="0"/>
              <w:rPr>
                <w:rFonts w:eastAsia="Arial"/>
                <w:sz w:val="16"/>
                <w:szCs w:val="24"/>
                <w:lang w:eastAsia="en-GB"/>
              </w:rPr>
            </w:pPr>
            <w:r w:rsidRPr="00015085">
              <w:rPr>
                <w:rFonts w:eastAsia="Arial"/>
                <w:sz w:val="16"/>
                <w:szCs w:val="24"/>
                <w:lang w:eastAsia="en-GB"/>
              </w:rPr>
              <w:t>2.0</w:t>
            </w:r>
          </w:p>
        </w:tc>
        <w:tc>
          <w:tcPr>
            <w:tcW w:w="842" w:type="dxa"/>
            <w:tcBorders>
              <w:left w:val="nil"/>
              <w:right w:val="nil"/>
            </w:tcBorders>
            <w:shd w:val="clear" w:color="auto" w:fill="FFFFFF" w:themeFill="background1"/>
            <w:vAlign w:val="bottom"/>
          </w:tcPr>
          <w:p w14:paraId="44785C31" w14:textId="775B82D3" w:rsidR="00373082" w:rsidRPr="00015085" w:rsidRDefault="00373082" w:rsidP="00577845">
            <w:pPr>
              <w:tabs>
                <w:tab w:val="decimal" w:pos="435"/>
              </w:tabs>
              <w:spacing w:after="0"/>
              <w:rPr>
                <w:rFonts w:eastAsia="Arial"/>
                <w:sz w:val="16"/>
                <w:szCs w:val="24"/>
                <w:lang w:eastAsia="en-GB"/>
              </w:rPr>
            </w:pPr>
            <w:r w:rsidRPr="00015085">
              <w:rPr>
                <w:rFonts w:eastAsia="Arial"/>
                <w:sz w:val="16"/>
                <w:szCs w:val="24"/>
                <w:lang w:eastAsia="en-GB"/>
              </w:rPr>
              <w:t>2.0</w:t>
            </w:r>
          </w:p>
        </w:tc>
        <w:tc>
          <w:tcPr>
            <w:tcW w:w="901" w:type="dxa"/>
            <w:tcBorders>
              <w:left w:val="nil"/>
              <w:right w:val="nil"/>
            </w:tcBorders>
            <w:shd w:val="clear" w:color="auto" w:fill="FFFFFF" w:themeFill="background1"/>
            <w:vAlign w:val="bottom"/>
          </w:tcPr>
          <w:p w14:paraId="5875A6B4" w14:textId="3102F60B" w:rsidR="00373082" w:rsidRPr="00015085" w:rsidRDefault="00373082" w:rsidP="00577845">
            <w:pPr>
              <w:tabs>
                <w:tab w:val="decimal" w:pos="484"/>
              </w:tabs>
              <w:spacing w:after="0"/>
              <w:rPr>
                <w:rFonts w:eastAsia="Arial"/>
                <w:sz w:val="16"/>
                <w:szCs w:val="24"/>
                <w:lang w:eastAsia="en-GB"/>
              </w:rPr>
            </w:pPr>
            <w:r w:rsidRPr="00015085">
              <w:rPr>
                <w:rFonts w:eastAsia="Arial"/>
                <w:sz w:val="16"/>
                <w:szCs w:val="24"/>
                <w:lang w:eastAsia="en-GB"/>
              </w:rPr>
              <w:t>-</w:t>
            </w:r>
          </w:p>
        </w:tc>
        <w:tc>
          <w:tcPr>
            <w:tcW w:w="746" w:type="dxa"/>
            <w:gridSpan w:val="2"/>
            <w:tcBorders>
              <w:left w:val="nil"/>
              <w:right w:val="nil"/>
            </w:tcBorders>
            <w:shd w:val="clear" w:color="auto" w:fill="FFFFFF" w:themeFill="background1"/>
            <w:vAlign w:val="bottom"/>
          </w:tcPr>
          <w:p w14:paraId="34893E9A" w14:textId="194F9D6C" w:rsidR="00373082" w:rsidRPr="00015085" w:rsidRDefault="00373082" w:rsidP="00577845">
            <w:pPr>
              <w:tabs>
                <w:tab w:val="decimal" w:pos="354"/>
              </w:tabs>
              <w:spacing w:after="0"/>
              <w:rPr>
                <w:rFonts w:eastAsia="Arial"/>
                <w:sz w:val="16"/>
                <w:szCs w:val="24"/>
                <w:lang w:eastAsia="en-GB"/>
              </w:rPr>
            </w:pPr>
            <w:r w:rsidRPr="00015085">
              <w:rPr>
                <w:rFonts w:eastAsia="Arial"/>
                <w:sz w:val="16"/>
                <w:szCs w:val="24"/>
                <w:lang w:eastAsia="en-GB"/>
              </w:rPr>
              <w:t>2.0</w:t>
            </w:r>
          </w:p>
        </w:tc>
      </w:tr>
      <w:tr w:rsidR="00F96B3F" w:rsidRPr="00015085" w14:paraId="7949B1D3"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609F48C" w14:textId="63DE484E" w:rsidR="00373082" w:rsidRPr="00EF169A" w:rsidRDefault="00373082" w:rsidP="00373082">
            <w:pPr>
              <w:spacing w:after="0"/>
              <w:rPr>
                <w:rFonts w:eastAsia="Arial"/>
                <w:sz w:val="16"/>
                <w:szCs w:val="24"/>
                <w:highlight w:val="yellow"/>
                <w:lang w:eastAsia="en-GB"/>
              </w:rPr>
            </w:pPr>
            <w:r w:rsidRPr="00B01361">
              <w:rPr>
                <w:rFonts w:eastAsia="Arial"/>
                <w:sz w:val="16"/>
                <w:szCs w:val="24"/>
                <w:lang w:val="en-GB" w:eastAsia="en-GB"/>
              </w:rPr>
              <w:t>Disposal of non-controlling interests</w:t>
            </w:r>
          </w:p>
        </w:tc>
        <w:tc>
          <w:tcPr>
            <w:tcW w:w="343" w:type="dxa"/>
            <w:tcBorders>
              <w:top w:val="nil"/>
              <w:left w:val="nil"/>
              <w:right w:val="nil"/>
            </w:tcBorders>
          </w:tcPr>
          <w:p w14:paraId="76F78BCD" w14:textId="77777777" w:rsidR="00373082" w:rsidRPr="00480440" w:rsidRDefault="00373082" w:rsidP="00373082">
            <w:pPr>
              <w:spacing w:after="0"/>
              <w:jc w:val="right"/>
              <w:rPr>
                <w:rFonts w:eastAsia="Arial"/>
                <w:sz w:val="16"/>
                <w:szCs w:val="24"/>
                <w:lang w:eastAsia="en-GB"/>
              </w:rPr>
            </w:pPr>
          </w:p>
        </w:tc>
        <w:tc>
          <w:tcPr>
            <w:tcW w:w="841" w:type="dxa"/>
            <w:tcBorders>
              <w:left w:val="nil"/>
              <w:bottom w:val="single" w:sz="6" w:space="0" w:color="000000"/>
              <w:right w:val="nil"/>
            </w:tcBorders>
            <w:vAlign w:val="bottom"/>
          </w:tcPr>
          <w:p w14:paraId="11BB3BE0" w14:textId="033A5D3D" w:rsidR="00373082" w:rsidRPr="00015085" w:rsidRDefault="00373082" w:rsidP="00373082">
            <w:pPr>
              <w:tabs>
                <w:tab w:val="decimal" w:pos="483"/>
              </w:tabs>
              <w:spacing w:after="0"/>
              <w:jc w:val="right"/>
              <w:rPr>
                <w:rFonts w:eastAsia="Arial"/>
                <w:sz w:val="16"/>
                <w:szCs w:val="24"/>
                <w:lang w:eastAsia="en-GB"/>
              </w:rPr>
            </w:pPr>
            <w:r w:rsidRPr="00015085">
              <w:rPr>
                <w:rFonts w:eastAsia="Arial"/>
                <w:sz w:val="16"/>
                <w:szCs w:val="24"/>
                <w:lang w:eastAsia="en-GB"/>
              </w:rPr>
              <w:t>-</w:t>
            </w:r>
          </w:p>
        </w:tc>
        <w:tc>
          <w:tcPr>
            <w:tcW w:w="680" w:type="dxa"/>
            <w:tcBorders>
              <w:left w:val="nil"/>
              <w:bottom w:val="single" w:sz="6" w:space="0" w:color="000000"/>
              <w:right w:val="nil"/>
            </w:tcBorders>
            <w:shd w:val="clear" w:color="auto" w:fill="auto"/>
            <w:tcMar>
              <w:left w:w="0" w:type="dxa"/>
              <w:right w:w="0" w:type="dxa"/>
            </w:tcMar>
            <w:vAlign w:val="bottom"/>
          </w:tcPr>
          <w:p w14:paraId="56F4B25A" w14:textId="02D101AD" w:rsidR="00373082" w:rsidRPr="00015085" w:rsidRDefault="009F248D" w:rsidP="00577845">
            <w:pPr>
              <w:tabs>
                <w:tab w:val="decimal" w:pos="483"/>
                <w:tab w:val="decimal" w:pos="533"/>
              </w:tabs>
              <w:spacing w:after="0"/>
              <w:rPr>
                <w:rFonts w:eastAsia="Arial"/>
                <w:sz w:val="16"/>
                <w:lang w:eastAsia="en-GB"/>
              </w:rPr>
            </w:pPr>
            <w:r>
              <w:rPr>
                <w:rFonts w:eastAsia="Arial"/>
                <w:sz w:val="16"/>
                <w:szCs w:val="24"/>
                <w:lang w:eastAsia="en-GB"/>
              </w:rPr>
              <w:tab/>
            </w:r>
            <w:r w:rsidR="00373082" w:rsidRPr="75D94440">
              <w:rPr>
                <w:rFonts w:eastAsia="Arial"/>
                <w:sz w:val="16"/>
                <w:lang w:eastAsia="en-GB"/>
              </w:rPr>
              <w:t>-</w:t>
            </w:r>
          </w:p>
        </w:tc>
        <w:tc>
          <w:tcPr>
            <w:tcW w:w="884" w:type="dxa"/>
            <w:tcBorders>
              <w:left w:val="nil"/>
              <w:bottom w:val="single" w:sz="6" w:space="0" w:color="000000"/>
              <w:right w:val="nil"/>
            </w:tcBorders>
            <w:shd w:val="clear" w:color="auto" w:fill="auto"/>
            <w:tcMar>
              <w:left w:w="0" w:type="dxa"/>
              <w:right w:w="0" w:type="dxa"/>
            </w:tcMar>
            <w:vAlign w:val="bottom"/>
          </w:tcPr>
          <w:p w14:paraId="046B0675" w14:textId="1CB34D10" w:rsidR="00373082" w:rsidRPr="00015085" w:rsidRDefault="00373082" w:rsidP="00577845">
            <w:pPr>
              <w:tabs>
                <w:tab w:val="decimal" w:pos="749"/>
              </w:tabs>
              <w:spacing w:after="0"/>
              <w:rPr>
                <w:rFonts w:eastAsia="Arial"/>
                <w:sz w:val="16"/>
                <w:szCs w:val="24"/>
                <w:lang w:eastAsia="en-GB"/>
              </w:rPr>
            </w:pPr>
            <w:r w:rsidRPr="00015085">
              <w:rPr>
                <w:rFonts w:eastAsia="Arial"/>
                <w:sz w:val="16"/>
                <w:szCs w:val="24"/>
                <w:lang w:eastAsia="en-GB"/>
              </w:rPr>
              <w:t>-</w:t>
            </w:r>
          </w:p>
        </w:tc>
        <w:tc>
          <w:tcPr>
            <w:tcW w:w="834" w:type="dxa"/>
            <w:tcBorders>
              <w:left w:val="nil"/>
              <w:bottom w:val="single" w:sz="6" w:space="0" w:color="000000"/>
              <w:right w:val="nil"/>
            </w:tcBorders>
            <w:shd w:val="clear" w:color="auto" w:fill="auto"/>
            <w:tcMar>
              <w:left w:w="0" w:type="dxa"/>
              <w:right w:w="0" w:type="dxa"/>
            </w:tcMar>
            <w:vAlign w:val="bottom"/>
          </w:tcPr>
          <w:p w14:paraId="18E36F3A" w14:textId="279646AF" w:rsidR="00373082" w:rsidRPr="00015085" w:rsidRDefault="00373082" w:rsidP="00577845">
            <w:pPr>
              <w:tabs>
                <w:tab w:val="decimal" w:pos="667"/>
              </w:tabs>
              <w:spacing w:after="0"/>
              <w:rPr>
                <w:rFonts w:eastAsia="Arial"/>
                <w:sz w:val="16"/>
                <w:szCs w:val="24"/>
                <w:lang w:eastAsia="en-GB"/>
              </w:rPr>
            </w:pPr>
            <w:r w:rsidRPr="00015085">
              <w:rPr>
                <w:rFonts w:eastAsia="Arial"/>
                <w:sz w:val="16"/>
                <w:szCs w:val="24"/>
                <w:lang w:eastAsia="en-GB"/>
              </w:rPr>
              <w:t>-</w:t>
            </w:r>
          </w:p>
        </w:tc>
        <w:tc>
          <w:tcPr>
            <w:tcW w:w="779" w:type="dxa"/>
            <w:tcBorders>
              <w:left w:val="nil"/>
              <w:bottom w:val="single" w:sz="6" w:space="0" w:color="000000"/>
              <w:right w:val="nil"/>
            </w:tcBorders>
            <w:shd w:val="clear" w:color="auto" w:fill="auto"/>
            <w:tcMar>
              <w:left w:w="0" w:type="dxa"/>
              <w:right w:w="0" w:type="dxa"/>
            </w:tcMar>
            <w:vAlign w:val="bottom"/>
          </w:tcPr>
          <w:p w14:paraId="682ECACD" w14:textId="3611786B" w:rsidR="00373082" w:rsidRPr="00015085" w:rsidRDefault="00373082" w:rsidP="00577845">
            <w:pPr>
              <w:tabs>
                <w:tab w:val="decimal" w:pos="541"/>
              </w:tabs>
              <w:spacing w:after="0"/>
              <w:rPr>
                <w:rFonts w:eastAsia="Arial"/>
                <w:sz w:val="16"/>
                <w:szCs w:val="24"/>
                <w:lang w:eastAsia="en-GB"/>
              </w:rPr>
            </w:pPr>
            <w:r w:rsidRPr="00015085">
              <w:rPr>
                <w:rFonts w:eastAsia="Arial"/>
                <w:sz w:val="16"/>
                <w:szCs w:val="24"/>
                <w:lang w:eastAsia="en-GB"/>
              </w:rPr>
              <w:t>-</w:t>
            </w:r>
          </w:p>
        </w:tc>
        <w:tc>
          <w:tcPr>
            <w:tcW w:w="842" w:type="dxa"/>
            <w:tcBorders>
              <w:left w:val="nil"/>
              <w:bottom w:val="single" w:sz="6" w:space="0" w:color="000000"/>
              <w:right w:val="nil"/>
            </w:tcBorders>
            <w:vAlign w:val="bottom"/>
          </w:tcPr>
          <w:p w14:paraId="6627064B" w14:textId="1CB2CA1F" w:rsidR="00373082" w:rsidRPr="00015085" w:rsidRDefault="00373082" w:rsidP="00577845">
            <w:pPr>
              <w:tabs>
                <w:tab w:val="decimal" w:pos="435"/>
              </w:tabs>
              <w:spacing w:after="0"/>
              <w:rPr>
                <w:rFonts w:eastAsia="Arial"/>
                <w:sz w:val="16"/>
                <w:szCs w:val="24"/>
                <w:lang w:eastAsia="en-GB"/>
              </w:rPr>
            </w:pPr>
            <w:r w:rsidRPr="00015085">
              <w:rPr>
                <w:rFonts w:eastAsia="Arial"/>
                <w:sz w:val="16"/>
                <w:szCs w:val="24"/>
                <w:lang w:eastAsia="en-GB"/>
              </w:rPr>
              <w:t>-</w:t>
            </w:r>
          </w:p>
        </w:tc>
        <w:tc>
          <w:tcPr>
            <w:tcW w:w="901" w:type="dxa"/>
            <w:tcBorders>
              <w:left w:val="nil"/>
              <w:bottom w:val="single" w:sz="6" w:space="0" w:color="000000"/>
              <w:right w:val="nil"/>
            </w:tcBorders>
            <w:vAlign w:val="bottom"/>
          </w:tcPr>
          <w:p w14:paraId="022953B3" w14:textId="59EF1CEA" w:rsidR="00373082" w:rsidRPr="00015085" w:rsidRDefault="00373082" w:rsidP="00577845">
            <w:pPr>
              <w:tabs>
                <w:tab w:val="decimal" w:pos="484"/>
              </w:tabs>
              <w:spacing w:after="0"/>
              <w:rPr>
                <w:rFonts w:eastAsia="Arial"/>
                <w:sz w:val="16"/>
                <w:szCs w:val="24"/>
                <w:lang w:eastAsia="en-GB"/>
              </w:rPr>
            </w:pPr>
            <w:r w:rsidRPr="00015085">
              <w:rPr>
                <w:rFonts w:eastAsia="Arial"/>
                <w:sz w:val="16"/>
                <w:szCs w:val="24"/>
                <w:lang w:eastAsia="en-GB"/>
              </w:rPr>
              <w:t>(0.6)</w:t>
            </w:r>
          </w:p>
        </w:tc>
        <w:tc>
          <w:tcPr>
            <w:tcW w:w="746" w:type="dxa"/>
            <w:gridSpan w:val="2"/>
            <w:tcBorders>
              <w:left w:val="nil"/>
              <w:bottom w:val="single" w:sz="6" w:space="0" w:color="000000"/>
              <w:right w:val="nil"/>
            </w:tcBorders>
            <w:vAlign w:val="bottom"/>
          </w:tcPr>
          <w:p w14:paraId="067CB573" w14:textId="23A2D303" w:rsidR="00373082" w:rsidRPr="00015085" w:rsidRDefault="00373082" w:rsidP="00577845">
            <w:pPr>
              <w:tabs>
                <w:tab w:val="decimal" w:pos="354"/>
              </w:tabs>
              <w:spacing w:after="0"/>
              <w:rPr>
                <w:rFonts w:eastAsia="Arial"/>
                <w:sz w:val="16"/>
                <w:szCs w:val="24"/>
                <w:lang w:eastAsia="en-GB"/>
              </w:rPr>
            </w:pPr>
            <w:r w:rsidRPr="00015085">
              <w:rPr>
                <w:rFonts w:eastAsia="Arial"/>
                <w:sz w:val="16"/>
                <w:szCs w:val="24"/>
                <w:lang w:eastAsia="en-GB"/>
              </w:rPr>
              <w:t>(0.6)</w:t>
            </w:r>
          </w:p>
        </w:tc>
      </w:tr>
      <w:tr w:rsidR="00CB3AA6" w:rsidRPr="004F6EE6" w14:paraId="441C19D9"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1B37F391" w14:textId="77777777" w:rsidR="00373082" w:rsidRPr="00304299" w:rsidRDefault="00373082" w:rsidP="00373082">
            <w:pPr>
              <w:spacing w:after="0"/>
              <w:rPr>
                <w:rFonts w:eastAsia="Arial"/>
                <w:b/>
                <w:sz w:val="16"/>
                <w:szCs w:val="24"/>
                <w:lang w:eastAsia="en-GB"/>
              </w:rPr>
            </w:pPr>
            <w:r w:rsidRPr="00304299">
              <w:rPr>
                <w:rFonts w:eastAsia="Arial"/>
                <w:b/>
                <w:sz w:val="16"/>
                <w:szCs w:val="24"/>
                <w:lang w:eastAsia="en-GB"/>
              </w:rPr>
              <w:t>Total transactions with owners</w:t>
            </w:r>
          </w:p>
        </w:tc>
        <w:tc>
          <w:tcPr>
            <w:tcW w:w="343" w:type="dxa"/>
            <w:tcBorders>
              <w:top w:val="nil"/>
              <w:left w:val="nil"/>
              <w:right w:val="nil"/>
            </w:tcBorders>
          </w:tcPr>
          <w:p w14:paraId="4C87B90C" w14:textId="77777777" w:rsidR="00373082" w:rsidRPr="00304299" w:rsidRDefault="00373082" w:rsidP="00373082">
            <w:pPr>
              <w:spacing w:after="0"/>
              <w:jc w:val="right"/>
              <w:rPr>
                <w:rFonts w:eastAsia="Arial"/>
                <w:sz w:val="16"/>
                <w:szCs w:val="24"/>
                <w:lang w:eastAsia="en-GB"/>
              </w:rPr>
            </w:pPr>
          </w:p>
        </w:tc>
        <w:tc>
          <w:tcPr>
            <w:tcW w:w="841" w:type="dxa"/>
            <w:tcBorders>
              <w:top w:val="nil"/>
              <w:left w:val="nil"/>
              <w:bottom w:val="single" w:sz="6" w:space="0" w:color="000000"/>
              <w:right w:val="nil"/>
            </w:tcBorders>
            <w:vAlign w:val="bottom"/>
          </w:tcPr>
          <w:p w14:paraId="0DD2E41E" w14:textId="317D6A45" w:rsidR="00373082" w:rsidRPr="00015085" w:rsidRDefault="00373082" w:rsidP="00373082">
            <w:pPr>
              <w:tabs>
                <w:tab w:val="decimal" w:pos="483"/>
              </w:tabs>
              <w:spacing w:after="0"/>
              <w:jc w:val="right"/>
              <w:rPr>
                <w:rFonts w:eastAsia="Arial"/>
                <w:b/>
                <w:bCs/>
                <w:sz w:val="16"/>
                <w:szCs w:val="24"/>
                <w:lang w:eastAsia="en-GB"/>
              </w:rPr>
            </w:pPr>
            <w:r w:rsidRPr="00015085">
              <w:rPr>
                <w:rFonts w:eastAsia="Arial"/>
                <w:sz w:val="16"/>
                <w:szCs w:val="24"/>
                <w:lang w:eastAsia="en-GB"/>
              </w:rPr>
              <w:t>-</w:t>
            </w:r>
          </w:p>
        </w:tc>
        <w:tc>
          <w:tcPr>
            <w:tcW w:w="680" w:type="dxa"/>
            <w:tcBorders>
              <w:top w:val="nil"/>
              <w:left w:val="nil"/>
              <w:bottom w:val="single" w:sz="6" w:space="0" w:color="000000"/>
              <w:right w:val="nil"/>
            </w:tcBorders>
            <w:shd w:val="clear" w:color="auto" w:fill="auto"/>
            <w:tcMar>
              <w:left w:w="0" w:type="dxa"/>
              <w:right w:w="0" w:type="dxa"/>
            </w:tcMar>
            <w:vAlign w:val="bottom"/>
          </w:tcPr>
          <w:p w14:paraId="6E8615CF" w14:textId="610B6F76" w:rsidR="00373082" w:rsidRPr="00282956" w:rsidRDefault="009F248D" w:rsidP="00577845">
            <w:pPr>
              <w:tabs>
                <w:tab w:val="decimal" w:pos="483"/>
                <w:tab w:val="decimal" w:pos="533"/>
              </w:tabs>
              <w:spacing w:after="0"/>
              <w:rPr>
                <w:rFonts w:eastAsia="Arial"/>
                <w:b/>
                <w:sz w:val="16"/>
                <w:lang w:eastAsia="en-GB"/>
              </w:rPr>
            </w:pPr>
            <w:r>
              <w:rPr>
                <w:rFonts w:eastAsia="Arial"/>
                <w:b/>
                <w:bCs/>
                <w:sz w:val="16"/>
                <w:szCs w:val="24"/>
                <w:lang w:eastAsia="en-GB"/>
              </w:rPr>
              <w:tab/>
            </w:r>
            <w:r w:rsidR="00373082" w:rsidRPr="75D94440">
              <w:rPr>
                <w:rFonts w:eastAsia="Arial"/>
                <w:b/>
                <w:sz w:val="16"/>
                <w:lang w:eastAsia="en-GB"/>
              </w:rPr>
              <w:t>0.1</w:t>
            </w:r>
          </w:p>
        </w:tc>
        <w:tc>
          <w:tcPr>
            <w:tcW w:w="884" w:type="dxa"/>
            <w:tcBorders>
              <w:top w:val="nil"/>
              <w:left w:val="nil"/>
              <w:bottom w:val="single" w:sz="6" w:space="0" w:color="000000"/>
              <w:right w:val="nil"/>
            </w:tcBorders>
            <w:shd w:val="clear" w:color="auto" w:fill="auto"/>
            <w:tcMar>
              <w:left w:w="0" w:type="dxa"/>
              <w:right w:w="0" w:type="dxa"/>
            </w:tcMar>
            <w:vAlign w:val="bottom"/>
          </w:tcPr>
          <w:p w14:paraId="28FF87E8" w14:textId="0D1AA252" w:rsidR="00373082" w:rsidRPr="00015085" w:rsidRDefault="00373082" w:rsidP="00577845">
            <w:pPr>
              <w:tabs>
                <w:tab w:val="decimal" w:pos="749"/>
              </w:tabs>
              <w:spacing w:after="0"/>
              <w:rPr>
                <w:rFonts w:eastAsia="Arial"/>
                <w:b/>
                <w:bCs/>
                <w:sz w:val="16"/>
                <w:szCs w:val="24"/>
                <w:lang w:eastAsia="en-GB"/>
              </w:rPr>
            </w:pPr>
            <w:r w:rsidRPr="00015085">
              <w:rPr>
                <w:rFonts w:eastAsia="Arial"/>
                <w:sz w:val="16"/>
                <w:szCs w:val="24"/>
                <w:lang w:eastAsia="en-GB"/>
              </w:rPr>
              <w:t>-</w:t>
            </w:r>
          </w:p>
        </w:tc>
        <w:tc>
          <w:tcPr>
            <w:tcW w:w="834" w:type="dxa"/>
            <w:tcBorders>
              <w:top w:val="nil"/>
              <w:left w:val="nil"/>
              <w:bottom w:val="single" w:sz="6" w:space="0" w:color="000000"/>
              <w:right w:val="nil"/>
            </w:tcBorders>
            <w:shd w:val="clear" w:color="auto" w:fill="auto"/>
            <w:tcMar>
              <w:left w:w="0" w:type="dxa"/>
              <w:right w:w="0" w:type="dxa"/>
            </w:tcMar>
            <w:vAlign w:val="bottom"/>
          </w:tcPr>
          <w:p w14:paraId="6E0DA3B9" w14:textId="0427E411" w:rsidR="00373082" w:rsidRPr="00015085" w:rsidRDefault="00373082" w:rsidP="00577845">
            <w:pPr>
              <w:tabs>
                <w:tab w:val="decimal" w:pos="667"/>
              </w:tabs>
              <w:spacing w:after="0"/>
              <w:rPr>
                <w:rFonts w:eastAsia="Arial"/>
                <w:b/>
                <w:bCs/>
                <w:sz w:val="16"/>
                <w:szCs w:val="24"/>
                <w:lang w:eastAsia="en-GB"/>
              </w:rPr>
            </w:pPr>
            <w:r w:rsidRPr="00015085">
              <w:rPr>
                <w:rFonts w:eastAsia="Arial"/>
                <w:sz w:val="16"/>
                <w:szCs w:val="24"/>
                <w:lang w:eastAsia="en-GB"/>
              </w:rPr>
              <w:t>-</w:t>
            </w:r>
          </w:p>
        </w:tc>
        <w:tc>
          <w:tcPr>
            <w:tcW w:w="779" w:type="dxa"/>
            <w:tcBorders>
              <w:top w:val="nil"/>
              <w:left w:val="nil"/>
              <w:bottom w:val="single" w:sz="6" w:space="0" w:color="000000"/>
              <w:right w:val="nil"/>
            </w:tcBorders>
            <w:shd w:val="clear" w:color="auto" w:fill="auto"/>
            <w:tcMar>
              <w:left w:w="0" w:type="dxa"/>
              <w:right w:w="0" w:type="dxa"/>
            </w:tcMar>
            <w:vAlign w:val="bottom"/>
          </w:tcPr>
          <w:p w14:paraId="1C4EE53F" w14:textId="35E4DD59" w:rsidR="00373082" w:rsidRPr="00015085" w:rsidRDefault="00015085" w:rsidP="00577845">
            <w:pPr>
              <w:tabs>
                <w:tab w:val="decimal" w:pos="541"/>
              </w:tabs>
              <w:spacing w:after="0"/>
              <w:rPr>
                <w:rFonts w:eastAsia="Arial"/>
                <w:b/>
                <w:bCs/>
                <w:sz w:val="16"/>
                <w:szCs w:val="24"/>
                <w:lang w:eastAsia="en-GB"/>
              </w:rPr>
            </w:pPr>
            <w:r w:rsidRPr="00015085">
              <w:rPr>
                <w:rFonts w:eastAsia="Arial"/>
                <w:b/>
                <w:sz w:val="16"/>
                <w:szCs w:val="24"/>
                <w:lang w:eastAsia="en-GB"/>
              </w:rPr>
              <w:t>(22.5</w:t>
            </w:r>
            <w:r w:rsidR="00373082" w:rsidRPr="00015085">
              <w:rPr>
                <w:rFonts w:eastAsia="Arial"/>
                <w:b/>
                <w:sz w:val="16"/>
                <w:szCs w:val="24"/>
                <w:lang w:eastAsia="en-GB"/>
              </w:rPr>
              <w:t>)</w:t>
            </w:r>
          </w:p>
        </w:tc>
        <w:tc>
          <w:tcPr>
            <w:tcW w:w="842" w:type="dxa"/>
            <w:tcBorders>
              <w:top w:val="nil"/>
              <w:left w:val="nil"/>
              <w:bottom w:val="single" w:sz="6" w:space="0" w:color="000000"/>
              <w:right w:val="nil"/>
            </w:tcBorders>
            <w:vAlign w:val="bottom"/>
          </w:tcPr>
          <w:p w14:paraId="19BD713D" w14:textId="4B382C74" w:rsidR="00373082" w:rsidRPr="00015085" w:rsidRDefault="00373082" w:rsidP="00577845">
            <w:pPr>
              <w:tabs>
                <w:tab w:val="decimal" w:pos="435"/>
              </w:tabs>
              <w:spacing w:after="0"/>
              <w:rPr>
                <w:rFonts w:eastAsia="Arial"/>
                <w:b/>
                <w:bCs/>
                <w:sz w:val="16"/>
                <w:szCs w:val="24"/>
                <w:lang w:eastAsia="en-GB"/>
              </w:rPr>
            </w:pPr>
            <w:r w:rsidRPr="00015085">
              <w:rPr>
                <w:rFonts w:eastAsia="Arial"/>
                <w:b/>
                <w:sz w:val="16"/>
                <w:szCs w:val="24"/>
                <w:lang w:eastAsia="en-GB"/>
              </w:rPr>
              <w:t>(</w:t>
            </w:r>
            <w:r w:rsidR="00015085" w:rsidRPr="00015085">
              <w:rPr>
                <w:rFonts w:eastAsia="Arial"/>
                <w:b/>
                <w:sz w:val="16"/>
                <w:szCs w:val="24"/>
                <w:lang w:eastAsia="en-GB"/>
              </w:rPr>
              <w:t>22.4</w:t>
            </w:r>
            <w:r w:rsidRPr="00015085">
              <w:rPr>
                <w:rFonts w:eastAsia="Arial"/>
                <w:b/>
                <w:sz w:val="16"/>
                <w:szCs w:val="24"/>
                <w:lang w:eastAsia="en-GB"/>
              </w:rPr>
              <w:t>)</w:t>
            </w:r>
          </w:p>
        </w:tc>
        <w:tc>
          <w:tcPr>
            <w:tcW w:w="901" w:type="dxa"/>
            <w:tcBorders>
              <w:top w:val="nil"/>
              <w:left w:val="nil"/>
              <w:bottom w:val="single" w:sz="6" w:space="0" w:color="000000"/>
              <w:right w:val="nil"/>
            </w:tcBorders>
            <w:vAlign w:val="bottom"/>
          </w:tcPr>
          <w:p w14:paraId="13ADF25A" w14:textId="151C112C" w:rsidR="00373082" w:rsidRPr="00015085" w:rsidRDefault="00373082" w:rsidP="00577845">
            <w:pPr>
              <w:tabs>
                <w:tab w:val="decimal" w:pos="484"/>
              </w:tabs>
              <w:spacing w:after="0"/>
              <w:rPr>
                <w:rFonts w:eastAsia="Arial"/>
                <w:b/>
                <w:bCs/>
                <w:sz w:val="16"/>
                <w:szCs w:val="24"/>
                <w:lang w:eastAsia="en-GB"/>
              </w:rPr>
            </w:pPr>
            <w:r w:rsidRPr="00015085">
              <w:rPr>
                <w:rFonts w:ascii="Agenda-Semibold" w:hAnsi="Agenda-Semibold" w:cs="Agenda-Semibold"/>
                <w:b/>
                <w:sz w:val="17"/>
                <w:szCs w:val="17"/>
                <w:lang w:val="en-GB"/>
              </w:rPr>
              <w:t>(0.6)</w:t>
            </w:r>
          </w:p>
        </w:tc>
        <w:tc>
          <w:tcPr>
            <w:tcW w:w="746" w:type="dxa"/>
            <w:gridSpan w:val="2"/>
            <w:tcBorders>
              <w:top w:val="nil"/>
              <w:left w:val="nil"/>
              <w:bottom w:val="single" w:sz="6" w:space="0" w:color="000000"/>
              <w:right w:val="nil"/>
            </w:tcBorders>
            <w:vAlign w:val="bottom"/>
          </w:tcPr>
          <w:p w14:paraId="13371B39" w14:textId="222006EC" w:rsidR="00373082" w:rsidRPr="00015085" w:rsidRDefault="00373082" w:rsidP="00577845">
            <w:pPr>
              <w:tabs>
                <w:tab w:val="decimal" w:pos="354"/>
              </w:tabs>
              <w:spacing w:after="0"/>
              <w:rPr>
                <w:rFonts w:eastAsia="Arial"/>
                <w:b/>
                <w:bCs/>
                <w:sz w:val="16"/>
                <w:szCs w:val="24"/>
                <w:lang w:eastAsia="en-GB"/>
              </w:rPr>
            </w:pPr>
            <w:r w:rsidRPr="00015085">
              <w:rPr>
                <w:rFonts w:eastAsia="Arial"/>
                <w:b/>
                <w:sz w:val="16"/>
                <w:szCs w:val="24"/>
                <w:lang w:eastAsia="en-GB"/>
              </w:rPr>
              <w:t>(</w:t>
            </w:r>
            <w:r w:rsidR="00015085" w:rsidRPr="00015085">
              <w:rPr>
                <w:rFonts w:eastAsia="Arial"/>
                <w:b/>
                <w:sz w:val="16"/>
                <w:szCs w:val="24"/>
                <w:lang w:eastAsia="en-GB"/>
              </w:rPr>
              <w:t>23.0</w:t>
            </w:r>
            <w:r w:rsidRPr="00015085">
              <w:rPr>
                <w:rFonts w:eastAsia="Arial"/>
                <w:b/>
                <w:sz w:val="16"/>
                <w:szCs w:val="24"/>
                <w:lang w:eastAsia="en-GB"/>
              </w:rPr>
              <w:t>)</w:t>
            </w:r>
          </w:p>
        </w:tc>
      </w:tr>
      <w:tr w:rsidR="00F96B3F" w:rsidRPr="004F6EE6" w14:paraId="5EA336C3"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05185FE5" w14:textId="1A616D9A" w:rsidR="00373082" w:rsidRPr="00304299" w:rsidRDefault="00373082" w:rsidP="00373082">
            <w:pPr>
              <w:spacing w:after="0"/>
              <w:rPr>
                <w:rFonts w:eastAsia="Arial"/>
                <w:b/>
                <w:sz w:val="16"/>
                <w:szCs w:val="24"/>
                <w:lang w:eastAsia="en-GB"/>
              </w:rPr>
            </w:pPr>
            <w:r w:rsidRPr="00304299">
              <w:rPr>
                <w:rFonts w:eastAsia="Arial"/>
                <w:b/>
                <w:sz w:val="16"/>
                <w:szCs w:val="24"/>
                <w:lang w:eastAsia="en-GB"/>
              </w:rPr>
              <w:t xml:space="preserve">At 31 December </w:t>
            </w:r>
            <w:r>
              <w:rPr>
                <w:rFonts w:eastAsia="Arial"/>
                <w:b/>
                <w:sz w:val="16"/>
                <w:szCs w:val="24"/>
                <w:lang w:eastAsia="en-GB"/>
              </w:rPr>
              <w:t>2023</w:t>
            </w:r>
          </w:p>
        </w:tc>
        <w:tc>
          <w:tcPr>
            <w:tcW w:w="343" w:type="dxa"/>
            <w:tcBorders>
              <w:left w:val="nil"/>
              <w:right w:val="nil"/>
            </w:tcBorders>
          </w:tcPr>
          <w:p w14:paraId="1323814D" w14:textId="77777777" w:rsidR="00373082" w:rsidRPr="00304299" w:rsidRDefault="00373082" w:rsidP="00373082">
            <w:pPr>
              <w:spacing w:after="0"/>
              <w:jc w:val="right"/>
              <w:rPr>
                <w:rFonts w:eastAsia="Arial"/>
                <w:sz w:val="16"/>
                <w:szCs w:val="24"/>
                <w:lang w:eastAsia="en-GB"/>
              </w:rPr>
            </w:pPr>
          </w:p>
        </w:tc>
        <w:tc>
          <w:tcPr>
            <w:tcW w:w="841" w:type="dxa"/>
            <w:tcBorders>
              <w:top w:val="single" w:sz="6" w:space="0" w:color="000000"/>
              <w:left w:val="nil"/>
              <w:bottom w:val="double" w:sz="4" w:space="0" w:color="000000"/>
              <w:right w:val="nil"/>
            </w:tcBorders>
            <w:vAlign w:val="bottom"/>
          </w:tcPr>
          <w:p w14:paraId="542427C9" w14:textId="5FD0FD9C" w:rsidR="00373082" w:rsidRPr="00304299" w:rsidRDefault="00373082" w:rsidP="00373082">
            <w:pPr>
              <w:tabs>
                <w:tab w:val="decimal" w:pos="483"/>
              </w:tabs>
              <w:spacing w:after="0"/>
              <w:jc w:val="right"/>
              <w:rPr>
                <w:rFonts w:eastAsia="Arial"/>
                <w:b/>
                <w:bCs/>
                <w:sz w:val="16"/>
                <w:szCs w:val="24"/>
                <w:lang w:eastAsia="en-GB"/>
              </w:rPr>
            </w:pPr>
            <w:r w:rsidRPr="00BF43F2">
              <w:rPr>
                <w:rFonts w:eastAsia="Arial"/>
                <w:b/>
                <w:bCs/>
                <w:sz w:val="16"/>
                <w:szCs w:val="24"/>
                <w:lang w:val="en-GB" w:eastAsia="en-GB"/>
              </w:rPr>
              <w:t>10.9</w:t>
            </w:r>
          </w:p>
        </w:tc>
        <w:tc>
          <w:tcPr>
            <w:tcW w:w="680" w:type="dxa"/>
            <w:tcBorders>
              <w:top w:val="single" w:sz="6" w:space="0" w:color="000000"/>
              <w:left w:val="nil"/>
              <w:bottom w:val="double" w:sz="4" w:space="0" w:color="000000"/>
              <w:right w:val="nil"/>
            </w:tcBorders>
            <w:shd w:val="clear" w:color="auto" w:fill="auto"/>
            <w:tcMar>
              <w:left w:w="0" w:type="dxa"/>
              <w:right w:w="0" w:type="dxa"/>
            </w:tcMar>
            <w:vAlign w:val="bottom"/>
          </w:tcPr>
          <w:p w14:paraId="0A17286F" w14:textId="213DE4D5" w:rsidR="00373082" w:rsidRPr="00304299" w:rsidRDefault="00373082" w:rsidP="00577845">
            <w:pPr>
              <w:tabs>
                <w:tab w:val="decimal" w:pos="533"/>
              </w:tabs>
              <w:spacing w:after="0"/>
              <w:rPr>
                <w:rFonts w:eastAsia="Arial"/>
                <w:b/>
                <w:bCs/>
                <w:sz w:val="16"/>
                <w:szCs w:val="24"/>
                <w:lang w:eastAsia="en-GB"/>
              </w:rPr>
            </w:pPr>
            <w:r w:rsidRPr="00131B4F">
              <w:rPr>
                <w:rFonts w:eastAsia="Arial"/>
                <w:b/>
                <w:sz w:val="16"/>
                <w:szCs w:val="24"/>
                <w:lang w:eastAsia="en-GB"/>
              </w:rPr>
              <w:t>(0.7)</w:t>
            </w:r>
          </w:p>
        </w:tc>
        <w:tc>
          <w:tcPr>
            <w:tcW w:w="884" w:type="dxa"/>
            <w:tcBorders>
              <w:top w:val="single" w:sz="6" w:space="0" w:color="000000"/>
              <w:left w:val="nil"/>
              <w:bottom w:val="double" w:sz="4" w:space="0" w:color="000000"/>
              <w:right w:val="nil"/>
            </w:tcBorders>
            <w:shd w:val="clear" w:color="auto" w:fill="auto"/>
            <w:tcMar>
              <w:left w:w="0" w:type="dxa"/>
              <w:right w:w="0" w:type="dxa"/>
            </w:tcMar>
            <w:vAlign w:val="bottom"/>
          </w:tcPr>
          <w:p w14:paraId="3576D8B5" w14:textId="03806DAE" w:rsidR="00373082" w:rsidRPr="00304299" w:rsidRDefault="00373082" w:rsidP="00577845">
            <w:pPr>
              <w:tabs>
                <w:tab w:val="decimal" w:pos="749"/>
              </w:tabs>
              <w:spacing w:after="0"/>
              <w:rPr>
                <w:rFonts w:eastAsia="Arial"/>
                <w:b/>
                <w:bCs/>
                <w:sz w:val="16"/>
                <w:szCs w:val="24"/>
                <w:lang w:eastAsia="en-GB"/>
              </w:rPr>
            </w:pPr>
            <w:r w:rsidRPr="00131B4F">
              <w:rPr>
                <w:rFonts w:eastAsia="Arial"/>
                <w:b/>
                <w:sz w:val="16"/>
                <w:szCs w:val="24"/>
                <w:lang w:eastAsia="en-GB"/>
              </w:rPr>
              <w:t>250.3</w:t>
            </w:r>
          </w:p>
        </w:tc>
        <w:tc>
          <w:tcPr>
            <w:tcW w:w="834" w:type="dxa"/>
            <w:tcBorders>
              <w:top w:val="single" w:sz="6" w:space="0" w:color="000000"/>
              <w:left w:val="nil"/>
              <w:bottom w:val="double" w:sz="4" w:space="0" w:color="000000"/>
              <w:right w:val="nil"/>
            </w:tcBorders>
            <w:shd w:val="clear" w:color="auto" w:fill="auto"/>
            <w:tcMar>
              <w:left w:w="0" w:type="dxa"/>
              <w:right w:w="0" w:type="dxa"/>
            </w:tcMar>
            <w:vAlign w:val="bottom"/>
          </w:tcPr>
          <w:p w14:paraId="2B645BF1" w14:textId="1BA8035B" w:rsidR="00373082" w:rsidRPr="00304299" w:rsidRDefault="00373082" w:rsidP="00577845">
            <w:pPr>
              <w:tabs>
                <w:tab w:val="decimal" w:pos="667"/>
              </w:tabs>
              <w:spacing w:after="0"/>
              <w:rPr>
                <w:rFonts w:eastAsia="Arial"/>
                <w:b/>
                <w:bCs/>
                <w:sz w:val="16"/>
                <w:szCs w:val="24"/>
                <w:lang w:eastAsia="en-GB"/>
              </w:rPr>
            </w:pPr>
            <w:r w:rsidRPr="00131B4F">
              <w:rPr>
                <w:rFonts w:eastAsia="Arial"/>
                <w:b/>
                <w:sz w:val="16"/>
                <w:szCs w:val="24"/>
                <w:lang w:eastAsia="en-GB"/>
              </w:rPr>
              <w:t>2.0</w:t>
            </w:r>
          </w:p>
        </w:tc>
        <w:tc>
          <w:tcPr>
            <w:tcW w:w="779" w:type="dxa"/>
            <w:tcBorders>
              <w:top w:val="single" w:sz="6" w:space="0" w:color="000000"/>
              <w:left w:val="nil"/>
              <w:bottom w:val="double" w:sz="4" w:space="0" w:color="000000"/>
              <w:right w:val="nil"/>
            </w:tcBorders>
            <w:shd w:val="clear" w:color="auto" w:fill="auto"/>
            <w:tcMar>
              <w:left w:w="0" w:type="dxa"/>
              <w:right w:w="0" w:type="dxa"/>
            </w:tcMar>
            <w:vAlign w:val="bottom"/>
          </w:tcPr>
          <w:p w14:paraId="4427EB44" w14:textId="5BF0E2EC" w:rsidR="00373082" w:rsidRPr="00304299" w:rsidRDefault="00373082" w:rsidP="00577845">
            <w:pPr>
              <w:tabs>
                <w:tab w:val="decimal" w:pos="541"/>
              </w:tabs>
              <w:spacing w:after="0"/>
              <w:rPr>
                <w:rFonts w:eastAsia="Arial"/>
                <w:b/>
                <w:bCs/>
                <w:sz w:val="16"/>
                <w:szCs w:val="24"/>
                <w:lang w:eastAsia="en-GB"/>
              </w:rPr>
            </w:pPr>
            <w:r w:rsidRPr="00131B4F">
              <w:rPr>
                <w:rFonts w:eastAsia="Arial"/>
                <w:b/>
                <w:sz w:val="16"/>
                <w:szCs w:val="24"/>
                <w:lang w:eastAsia="en-GB"/>
              </w:rPr>
              <w:t>527.0</w:t>
            </w:r>
          </w:p>
        </w:tc>
        <w:tc>
          <w:tcPr>
            <w:tcW w:w="842" w:type="dxa"/>
            <w:tcBorders>
              <w:top w:val="single" w:sz="6" w:space="0" w:color="000000"/>
              <w:left w:val="nil"/>
              <w:bottom w:val="double" w:sz="4" w:space="0" w:color="000000"/>
              <w:right w:val="nil"/>
            </w:tcBorders>
            <w:vAlign w:val="bottom"/>
          </w:tcPr>
          <w:p w14:paraId="4A796AD1" w14:textId="495BFF9C" w:rsidR="00373082" w:rsidRPr="00304299" w:rsidRDefault="00373082" w:rsidP="00577845">
            <w:pPr>
              <w:tabs>
                <w:tab w:val="decimal" w:pos="435"/>
              </w:tabs>
              <w:spacing w:after="0"/>
              <w:rPr>
                <w:rFonts w:eastAsia="Arial"/>
                <w:b/>
                <w:bCs/>
                <w:sz w:val="16"/>
                <w:szCs w:val="24"/>
                <w:lang w:eastAsia="en-GB"/>
              </w:rPr>
            </w:pPr>
            <w:r w:rsidRPr="00131B4F">
              <w:rPr>
                <w:rFonts w:eastAsia="Arial"/>
                <w:b/>
                <w:sz w:val="16"/>
                <w:szCs w:val="24"/>
                <w:lang w:eastAsia="en-GB"/>
              </w:rPr>
              <w:t>789.5</w:t>
            </w:r>
          </w:p>
        </w:tc>
        <w:tc>
          <w:tcPr>
            <w:tcW w:w="901" w:type="dxa"/>
            <w:tcBorders>
              <w:top w:val="single" w:sz="6" w:space="0" w:color="000000"/>
              <w:left w:val="nil"/>
              <w:bottom w:val="double" w:sz="4" w:space="0" w:color="000000"/>
              <w:right w:val="nil"/>
            </w:tcBorders>
            <w:vAlign w:val="bottom"/>
          </w:tcPr>
          <w:p w14:paraId="2F03A8F9" w14:textId="45E27E77" w:rsidR="00373082" w:rsidRPr="00304299" w:rsidRDefault="00373082" w:rsidP="00577845">
            <w:pPr>
              <w:tabs>
                <w:tab w:val="decimal" w:pos="484"/>
              </w:tabs>
              <w:spacing w:after="0"/>
              <w:rPr>
                <w:rFonts w:eastAsia="Arial"/>
                <w:b/>
                <w:bCs/>
                <w:sz w:val="16"/>
                <w:szCs w:val="24"/>
                <w:lang w:eastAsia="en-GB"/>
              </w:rPr>
            </w:pPr>
            <w:r w:rsidRPr="00577845">
              <w:rPr>
                <w:rFonts w:eastAsia="Arial"/>
                <w:b/>
                <w:bCs/>
                <w:sz w:val="16"/>
                <w:szCs w:val="24"/>
                <w:lang w:eastAsia="en-GB"/>
              </w:rPr>
              <w:t>-</w:t>
            </w:r>
          </w:p>
        </w:tc>
        <w:tc>
          <w:tcPr>
            <w:tcW w:w="746" w:type="dxa"/>
            <w:gridSpan w:val="2"/>
            <w:tcBorders>
              <w:top w:val="single" w:sz="6" w:space="0" w:color="000000"/>
              <w:left w:val="nil"/>
              <w:bottom w:val="double" w:sz="4" w:space="0" w:color="000000"/>
              <w:right w:val="nil"/>
            </w:tcBorders>
            <w:vAlign w:val="bottom"/>
          </w:tcPr>
          <w:p w14:paraId="3A761227" w14:textId="4AD87F6B" w:rsidR="00373082" w:rsidRPr="00304299" w:rsidRDefault="00373082" w:rsidP="00577845">
            <w:pPr>
              <w:tabs>
                <w:tab w:val="decimal" w:pos="354"/>
              </w:tabs>
              <w:spacing w:after="0"/>
              <w:rPr>
                <w:rFonts w:eastAsia="Arial"/>
                <w:b/>
                <w:bCs/>
                <w:sz w:val="16"/>
                <w:szCs w:val="24"/>
                <w:lang w:eastAsia="en-GB"/>
              </w:rPr>
            </w:pPr>
            <w:r w:rsidRPr="00131B4F">
              <w:rPr>
                <w:rFonts w:eastAsia="Arial"/>
                <w:b/>
                <w:sz w:val="16"/>
                <w:szCs w:val="24"/>
                <w:lang w:eastAsia="en-GB"/>
              </w:rPr>
              <w:t>789.</w:t>
            </w:r>
            <w:r w:rsidRPr="00131B4F">
              <w:rPr>
                <w:rFonts w:eastAsia="Arial"/>
                <w:b/>
                <w:bCs/>
                <w:sz w:val="16"/>
                <w:szCs w:val="24"/>
                <w:lang w:eastAsia="en-GB"/>
              </w:rPr>
              <w:t>5</w:t>
            </w:r>
          </w:p>
        </w:tc>
      </w:tr>
      <w:tr w:rsidR="00CB3AA6" w:rsidRPr="004F6EE6" w14:paraId="68E3C280"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200C3AF8" w14:textId="371B853B" w:rsidR="00E60E84" w:rsidRPr="00C03A7B" w:rsidRDefault="00E60E84" w:rsidP="00E60E84">
            <w:pPr>
              <w:spacing w:after="0"/>
              <w:rPr>
                <w:rFonts w:eastAsia="Arial"/>
                <w:b/>
                <w:sz w:val="16"/>
                <w:szCs w:val="24"/>
                <w:lang w:eastAsia="en-GB"/>
              </w:rPr>
            </w:pPr>
            <w:r w:rsidRPr="00C03A7B">
              <w:rPr>
                <w:rFonts w:eastAsia="Arial"/>
                <w:sz w:val="16"/>
                <w:szCs w:val="24"/>
                <w:lang w:eastAsia="en-GB"/>
              </w:rPr>
              <w:t>Profit for the period</w:t>
            </w:r>
          </w:p>
        </w:tc>
        <w:tc>
          <w:tcPr>
            <w:tcW w:w="343" w:type="dxa"/>
            <w:tcBorders>
              <w:left w:val="nil"/>
              <w:right w:val="nil"/>
            </w:tcBorders>
          </w:tcPr>
          <w:p w14:paraId="103F0DC5" w14:textId="77777777" w:rsidR="00E60E84" w:rsidRPr="00F2575A" w:rsidRDefault="00E60E84" w:rsidP="00E60E84">
            <w:pPr>
              <w:spacing w:after="0"/>
              <w:jc w:val="right"/>
              <w:rPr>
                <w:rFonts w:eastAsia="Arial"/>
                <w:sz w:val="16"/>
                <w:szCs w:val="24"/>
                <w:highlight w:val="yellow"/>
                <w:lang w:eastAsia="en-GB"/>
              </w:rPr>
            </w:pPr>
          </w:p>
        </w:tc>
        <w:tc>
          <w:tcPr>
            <w:tcW w:w="841" w:type="dxa"/>
            <w:tcBorders>
              <w:top w:val="single" w:sz="6" w:space="0" w:color="000000"/>
              <w:left w:val="nil"/>
              <w:right w:val="nil"/>
            </w:tcBorders>
            <w:vAlign w:val="bottom"/>
          </w:tcPr>
          <w:p w14:paraId="5DFFF197" w14:textId="0C8077B2" w:rsidR="00E60E84" w:rsidRPr="00F2575A" w:rsidRDefault="00E60E84" w:rsidP="00E60E84">
            <w:pPr>
              <w:tabs>
                <w:tab w:val="decimal" w:pos="483"/>
              </w:tabs>
              <w:spacing w:after="0"/>
              <w:rPr>
                <w:rFonts w:eastAsia="Arial"/>
                <w:b/>
                <w:sz w:val="16"/>
                <w:szCs w:val="24"/>
                <w:highlight w:val="yellow"/>
                <w:lang w:eastAsia="en-GB"/>
              </w:rPr>
            </w:pPr>
            <w:r w:rsidRPr="00304299">
              <w:rPr>
                <w:rFonts w:eastAsia="Arial"/>
                <w:sz w:val="16"/>
                <w:szCs w:val="24"/>
                <w:lang w:eastAsia="en-GB"/>
              </w:rPr>
              <w:t>-</w:t>
            </w:r>
          </w:p>
        </w:tc>
        <w:tc>
          <w:tcPr>
            <w:tcW w:w="680" w:type="dxa"/>
            <w:tcBorders>
              <w:top w:val="single" w:sz="6" w:space="0" w:color="000000"/>
              <w:left w:val="nil"/>
              <w:right w:val="nil"/>
            </w:tcBorders>
            <w:shd w:val="clear" w:color="auto" w:fill="auto"/>
            <w:tcMar>
              <w:left w:w="0" w:type="dxa"/>
              <w:right w:w="0" w:type="dxa"/>
            </w:tcMar>
            <w:vAlign w:val="bottom"/>
          </w:tcPr>
          <w:p w14:paraId="3EE42272" w14:textId="40F446A4" w:rsidR="00E60E84" w:rsidRPr="00F2575A" w:rsidRDefault="00E60E84" w:rsidP="00E60E84">
            <w:pPr>
              <w:tabs>
                <w:tab w:val="decimal" w:pos="533"/>
              </w:tabs>
              <w:spacing w:after="0"/>
              <w:rPr>
                <w:rFonts w:eastAsia="Arial"/>
                <w:b/>
                <w:sz w:val="16"/>
                <w:szCs w:val="24"/>
                <w:highlight w:val="yellow"/>
                <w:lang w:eastAsia="en-GB"/>
              </w:rPr>
            </w:pPr>
            <w:r w:rsidRPr="00304299">
              <w:rPr>
                <w:rFonts w:eastAsia="Arial"/>
                <w:sz w:val="16"/>
                <w:szCs w:val="24"/>
                <w:lang w:eastAsia="en-GB"/>
              </w:rPr>
              <w:t>-</w:t>
            </w:r>
          </w:p>
        </w:tc>
        <w:tc>
          <w:tcPr>
            <w:tcW w:w="884" w:type="dxa"/>
            <w:tcBorders>
              <w:top w:val="single" w:sz="6" w:space="0" w:color="000000"/>
              <w:left w:val="nil"/>
              <w:right w:val="nil"/>
            </w:tcBorders>
            <w:shd w:val="clear" w:color="auto" w:fill="auto"/>
            <w:tcMar>
              <w:left w:w="0" w:type="dxa"/>
              <w:right w:w="0" w:type="dxa"/>
            </w:tcMar>
            <w:vAlign w:val="bottom"/>
          </w:tcPr>
          <w:p w14:paraId="510A3B2A" w14:textId="7646CE01" w:rsidR="00E60E84" w:rsidRPr="00F2575A" w:rsidRDefault="00E60E84" w:rsidP="00E60E84">
            <w:pPr>
              <w:tabs>
                <w:tab w:val="decimal" w:pos="749"/>
              </w:tabs>
              <w:spacing w:after="0"/>
              <w:rPr>
                <w:rFonts w:eastAsia="Arial"/>
                <w:b/>
                <w:sz w:val="16"/>
                <w:szCs w:val="24"/>
                <w:highlight w:val="yellow"/>
                <w:lang w:eastAsia="en-GB"/>
              </w:rPr>
            </w:pPr>
            <w:r w:rsidRPr="00304299">
              <w:rPr>
                <w:rFonts w:eastAsia="Arial"/>
                <w:sz w:val="16"/>
                <w:szCs w:val="24"/>
                <w:lang w:eastAsia="en-GB"/>
              </w:rPr>
              <w:t>-</w:t>
            </w:r>
          </w:p>
        </w:tc>
        <w:tc>
          <w:tcPr>
            <w:tcW w:w="834" w:type="dxa"/>
            <w:tcBorders>
              <w:top w:val="single" w:sz="6" w:space="0" w:color="000000"/>
              <w:left w:val="nil"/>
              <w:right w:val="nil"/>
            </w:tcBorders>
            <w:shd w:val="clear" w:color="auto" w:fill="auto"/>
            <w:tcMar>
              <w:left w:w="0" w:type="dxa"/>
              <w:right w:w="0" w:type="dxa"/>
            </w:tcMar>
            <w:vAlign w:val="bottom"/>
          </w:tcPr>
          <w:p w14:paraId="108CAC9A" w14:textId="1559E0B2" w:rsidR="00E60E84" w:rsidRPr="00F2575A" w:rsidRDefault="00E60E84" w:rsidP="00E60E84">
            <w:pPr>
              <w:tabs>
                <w:tab w:val="decimal" w:pos="667"/>
              </w:tabs>
              <w:spacing w:after="0"/>
              <w:rPr>
                <w:rFonts w:eastAsia="Arial"/>
                <w:b/>
                <w:sz w:val="16"/>
                <w:szCs w:val="24"/>
                <w:highlight w:val="yellow"/>
                <w:lang w:eastAsia="en-GB"/>
              </w:rPr>
            </w:pPr>
            <w:r w:rsidRPr="00304299">
              <w:rPr>
                <w:rFonts w:eastAsia="Arial"/>
                <w:sz w:val="16"/>
                <w:szCs w:val="24"/>
                <w:lang w:eastAsia="en-GB"/>
              </w:rPr>
              <w:t>-</w:t>
            </w:r>
          </w:p>
        </w:tc>
        <w:tc>
          <w:tcPr>
            <w:tcW w:w="779" w:type="dxa"/>
            <w:tcBorders>
              <w:top w:val="single" w:sz="6" w:space="0" w:color="000000"/>
              <w:left w:val="nil"/>
              <w:right w:val="nil"/>
            </w:tcBorders>
            <w:shd w:val="clear" w:color="auto" w:fill="auto"/>
            <w:tcMar>
              <w:left w:w="0" w:type="dxa"/>
              <w:right w:w="0" w:type="dxa"/>
            </w:tcMar>
            <w:vAlign w:val="bottom"/>
          </w:tcPr>
          <w:p w14:paraId="7FC64A76" w14:textId="6150753E" w:rsidR="00E60E84" w:rsidRPr="003254A4" w:rsidRDefault="00036192" w:rsidP="00E60E84">
            <w:pPr>
              <w:tabs>
                <w:tab w:val="decimal" w:pos="541"/>
              </w:tabs>
              <w:spacing w:after="0"/>
              <w:rPr>
                <w:rFonts w:eastAsia="Arial"/>
                <w:b/>
                <w:sz w:val="16"/>
                <w:szCs w:val="24"/>
                <w:lang w:eastAsia="en-GB"/>
              </w:rPr>
            </w:pPr>
            <w:r>
              <w:rPr>
                <w:rFonts w:eastAsia="Arial"/>
                <w:sz w:val="16"/>
                <w:szCs w:val="24"/>
                <w:lang w:eastAsia="en-GB"/>
              </w:rPr>
              <w:t>28.</w:t>
            </w:r>
            <w:r w:rsidR="00ED53BA">
              <w:rPr>
                <w:rFonts w:eastAsia="Arial"/>
                <w:sz w:val="16"/>
                <w:szCs w:val="24"/>
                <w:lang w:eastAsia="en-GB"/>
              </w:rPr>
              <w:t>2</w:t>
            </w:r>
          </w:p>
        </w:tc>
        <w:tc>
          <w:tcPr>
            <w:tcW w:w="842" w:type="dxa"/>
            <w:tcBorders>
              <w:top w:val="single" w:sz="6" w:space="0" w:color="000000"/>
              <w:left w:val="nil"/>
              <w:right w:val="nil"/>
            </w:tcBorders>
            <w:vAlign w:val="bottom"/>
          </w:tcPr>
          <w:p w14:paraId="75238BBF" w14:textId="08317648" w:rsidR="00E60E84" w:rsidRPr="003254A4" w:rsidRDefault="00036192" w:rsidP="00E60E84">
            <w:pPr>
              <w:tabs>
                <w:tab w:val="decimal" w:pos="435"/>
              </w:tabs>
              <w:spacing w:after="0"/>
              <w:rPr>
                <w:rFonts w:eastAsia="Arial"/>
                <w:b/>
                <w:sz w:val="16"/>
                <w:szCs w:val="24"/>
                <w:lang w:eastAsia="en-GB"/>
              </w:rPr>
            </w:pPr>
            <w:r>
              <w:rPr>
                <w:rFonts w:eastAsia="Arial"/>
                <w:sz w:val="16"/>
                <w:szCs w:val="24"/>
                <w:lang w:eastAsia="en-GB"/>
              </w:rPr>
              <w:t>28.</w:t>
            </w:r>
            <w:r w:rsidR="00ED53BA">
              <w:rPr>
                <w:rFonts w:eastAsia="Arial"/>
                <w:sz w:val="16"/>
                <w:szCs w:val="24"/>
                <w:lang w:eastAsia="en-GB"/>
              </w:rPr>
              <w:t>2</w:t>
            </w:r>
          </w:p>
        </w:tc>
        <w:tc>
          <w:tcPr>
            <w:tcW w:w="901" w:type="dxa"/>
            <w:tcBorders>
              <w:top w:val="single" w:sz="6" w:space="0" w:color="000000"/>
              <w:left w:val="nil"/>
              <w:right w:val="nil"/>
            </w:tcBorders>
            <w:vAlign w:val="bottom"/>
          </w:tcPr>
          <w:p w14:paraId="6FB51A64" w14:textId="2D9CCBCD" w:rsidR="00E60E84" w:rsidRPr="003254A4" w:rsidRDefault="00160866" w:rsidP="00577845">
            <w:pPr>
              <w:tabs>
                <w:tab w:val="decimal" w:pos="484"/>
              </w:tabs>
              <w:spacing w:after="0"/>
              <w:rPr>
                <w:rFonts w:eastAsia="Arial"/>
                <w:b/>
                <w:sz w:val="16"/>
                <w:szCs w:val="24"/>
                <w:lang w:eastAsia="en-GB"/>
              </w:rPr>
            </w:pPr>
            <w:r>
              <w:rPr>
                <w:rFonts w:eastAsia="Arial"/>
                <w:sz w:val="16"/>
                <w:szCs w:val="24"/>
                <w:lang w:eastAsia="en-GB"/>
              </w:rPr>
              <w:t>-</w:t>
            </w:r>
          </w:p>
        </w:tc>
        <w:tc>
          <w:tcPr>
            <w:tcW w:w="746" w:type="dxa"/>
            <w:gridSpan w:val="2"/>
            <w:tcBorders>
              <w:top w:val="single" w:sz="6" w:space="0" w:color="000000"/>
              <w:left w:val="nil"/>
              <w:right w:val="nil"/>
            </w:tcBorders>
            <w:vAlign w:val="bottom"/>
          </w:tcPr>
          <w:p w14:paraId="11C25FD9" w14:textId="35A583B4" w:rsidR="00E60E84" w:rsidRPr="003254A4" w:rsidRDefault="00036192" w:rsidP="00E60E84">
            <w:pPr>
              <w:tabs>
                <w:tab w:val="decimal" w:pos="354"/>
              </w:tabs>
              <w:spacing w:after="0"/>
              <w:rPr>
                <w:rFonts w:eastAsia="Arial"/>
                <w:b/>
                <w:sz w:val="16"/>
                <w:szCs w:val="24"/>
                <w:lang w:eastAsia="en-GB"/>
              </w:rPr>
            </w:pPr>
            <w:r>
              <w:rPr>
                <w:rFonts w:eastAsia="Arial"/>
                <w:sz w:val="16"/>
                <w:szCs w:val="24"/>
                <w:lang w:eastAsia="en-GB"/>
              </w:rPr>
              <w:t>28.</w:t>
            </w:r>
            <w:r w:rsidR="00ED53BA">
              <w:rPr>
                <w:rFonts w:eastAsia="Arial"/>
                <w:sz w:val="16"/>
                <w:szCs w:val="24"/>
                <w:lang w:eastAsia="en-GB"/>
              </w:rPr>
              <w:t>2</w:t>
            </w:r>
          </w:p>
        </w:tc>
      </w:tr>
      <w:tr w:rsidR="00CB3AA6" w:rsidRPr="004F6EE6" w14:paraId="17899652"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2B04575" w14:textId="14587D84" w:rsidR="00E60E84" w:rsidRPr="00C03A7B" w:rsidRDefault="00E60E84" w:rsidP="00E60E84">
            <w:pPr>
              <w:spacing w:after="0"/>
              <w:rPr>
                <w:rFonts w:eastAsia="Arial"/>
                <w:sz w:val="16"/>
                <w:szCs w:val="24"/>
                <w:lang w:eastAsia="en-GB"/>
              </w:rPr>
            </w:pPr>
            <w:r w:rsidRPr="00C03A7B">
              <w:rPr>
                <w:rFonts w:eastAsia="Arial"/>
                <w:sz w:val="16"/>
                <w:szCs w:val="24"/>
                <w:lang w:eastAsia="en-GB"/>
              </w:rPr>
              <w:t>Exchange movements on translation of subsidiary undertakings</w:t>
            </w:r>
          </w:p>
        </w:tc>
        <w:tc>
          <w:tcPr>
            <w:tcW w:w="343" w:type="dxa"/>
            <w:tcBorders>
              <w:left w:val="nil"/>
              <w:right w:val="nil"/>
            </w:tcBorders>
          </w:tcPr>
          <w:p w14:paraId="2F656E40" w14:textId="77777777" w:rsidR="00E60E84" w:rsidRPr="00F2575A" w:rsidRDefault="00E60E84" w:rsidP="00E60E84">
            <w:pPr>
              <w:spacing w:after="0"/>
              <w:jc w:val="right"/>
              <w:rPr>
                <w:rFonts w:eastAsia="Arial"/>
                <w:sz w:val="16"/>
                <w:szCs w:val="24"/>
                <w:highlight w:val="yellow"/>
                <w:lang w:eastAsia="en-GB"/>
              </w:rPr>
            </w:pPr>
          </w:p>
        </w:tc>
        <w:tc>
          <w:tcPr>
            <w:tcW w:w="841" w:type="dxa"/>
            <w:tcBorders>
              <w:left w:val="nil"/>
              <w:bottom w:val="single" w:sz="4" w:space="0" w:color="auto"/>
              <w:right w:val="nil"/>
            </w:tcBorders>
            <w:vAlign w:val="bottom"/>
          </w:tcPr>
          <w:p w14:paraId="6143516F" w14:textId="377C9C90" w:rsidR="00E60E84" w:rsidRPr="00F2575A" w:rsidRDefault="00E60E84" w:rsidP="00E60E84">
            <w:pPr>
              <w:tabs>
                <w:tab w:val="decimal" w:pos="483"/>
              </w:tabs>
              <w:spacing w:after="0"/>
              <w:rPr>
                <w:rFonts w:eastAsia="Arial"/>
                <w:sz w:val="16"/>
                <w:szCs w:val="24"/>
                <w:highlight w:val="yellow"/>
                <w:lang w:eastAsia="en-GB"/>
              </w:rPr>
            </w:pPr>
            <w:r w:rsidRPr="00304299">
              <w:rPr>
                <w:rFonts w:eastAsia="Arial"/>
                <w:sz w:val="16"/>
                <w:szCs w:val="24"/>
                <w:lang w:eastAsia="en-GB"/>
              </w:rPr>
              <w:t>-</w:t>
            </w:r>
          </w:p>
        </w:tc>
        <w:tc>
          <w:tcPr>
            <w:tcW w:w="680" w:type="dxa"/>
            <w:tcBorders>
              <w:left w:val="nil"/>
              <w:bottom w:val="single" w:sz="4" w:space="0" w:color="auto"/>
              <w:right w:val="nil"/>
            </w:tcBorders>
            <w:shd w:val="clear" w:color="auto" w:fill="auto"/>
            <w:tcMar>
              <w:left w:w="0" w:type="dxa"/>
              <w:right w:w="0" w:type="dxa"/>
            </w:tcMar>
            <w:vAlign w:val="bottom"/>
          </w:tcPr>
          <w:p w14:paraId="6E97F466" w14:textId="04BAE16B" w:rsidR="00E60E84" w:rsidRPr="00F2575A" w:rsidRDefault="00E60E84" w:rsidP="00E60E84">
            <w:pPr>
              <w:tabs>
                <w:tab w:val="decimal" w:pos="533"/>
              </w:tabs>
              <w:spacing w:after="0"/>
              <w:rPr>
                <w:rFonts w:eastAsia="Arial"/>
                <w:sz w:val="16"/>
                <w:szCs w:val="24"/>
                <w:highlight w:val="yellow"/>
                <w:lang w:eastAsia="en-GB"/>
              </w:rPr>
            </w:pPr>
            <w:r w:rsidRPr="00304299">
              <w:rPr>
                <w:rFonts w:eastAsia="Arial"/>
                <w:sz w:val="16"/>
                <w:szCs w:val="24"/>
                <w:lang w:eastAsia="en-GB"/>
              </w:rPr>
              <w:t>-</w:t>
            </w:r>
          </w:p>
        </w:tc>
        <w:tc>
          <w:tcPr>
            <w:tcW w:w="884" w:type="dxa"/>
            <w:tcBorders>
              <w:left w:val="nil"/>
              <w:bottom w:val="single" w:sz="4" w:space="0" w:color="auto"/>
              <w:right w:val="nil"/>
            </w:tcBorders>
            <w:shd w:val="clear" w:color="auto" w:fill="auto"/>
            <w:tcMar>
              <w:left w:w="0" w:type="dxa"/>
              <w:right w:w="0" w:type="dxa"/>
            </w:tcMar>
            <w:vAlign w:val="bottom"/>
          </w:tcPr>
          <w:p w14:paraId="5687EE88" w14:textId="10668BDB" w:rsidR="00E60E84" w:rsidRPr="00F2575A" w:rsidRDefault="00E60E84" w:rsidP="00E60E84">
            <w:pPr>
              <w:tabs>
                <w:tab w:val="decimal" w:pos="749"/>
              </w:tabs>
              <w:spacing w:after="0"/>
              <w:rPr>
                <w:rFonts w:eastAsia="Arial"/>
                <w:sz w:val="16"/>
                <w:szCs w:val="24"/>
                <w:highlight w:val="yellow"/>
                <w:lang w:eastAsia="en-GB"/>
              </w:rPr>
            </w:pPr>
            <w:r w:rsidRPr="00304299">
              <w:rPr>
                <w:rFonts w:eastAsia="Arial"/>
                <w:sz w:val="16"/>
                <w:szCs w:val="24"/>
                <w:lang w:eastAsia="en-GB"/>
              </w:rPr>
              <w:t>-</w:t>
            </w:r>
          </w:p>
        </w:tc>
        <w:tc>
          <w:tcPr>
            <w:tcW w:w="834" w:type="dxa"/>
            <w:tcBorders>
              <w:left w:val="nil"/>
              <w:bottom w:val="single" w:sz="4" w:space="0" w:color="auto"/>
              <w:right w:val="nil"/>
            </w:tcBorders>
            <w:shd w:val="clear" w:color="auto" w:fill="auto"/>
            <w:tcMar>
              <w:left w:w="0" w:type="dxa"/>
              <w:right w:w="0" w:type="dxa"/>
            </w:tcMar>
            <w:vAlign w:val="bottom"/>
          </w:tcPr>
          <w:p w14:paraId="37D6AC73" w14:textId="695FF681" w:rsidR="00E60E84" w:rsidRPr="00C03A7B" w:rsidRDefault="00E60E84" w:rsidP="00E60E84">
            <w:pPr>
              <w:tabs>
                <w:tab w:val="decimal" w:pos="667"/>
              </w:tabs>
              <w:spacing w:after="0"/>
              <w:rPr>
                <w:rFonts w:eastAsia="Arial"/>
                <w:sz w:val="16"/>
                <w:szCs w:val="24"/>
                <w:lang w:eastAsia="en-GB"/>
              </w:rPr>
            </w:pPr>
            <w:r w:rsidRPr="00F2575A">
              <w:rPr>
                <w:rFonts w:eastAsia="Arial"/>
                <w:sz w:val="16"/>
                <w:szCs w:val="24"/>
                <w:lang w:eastAsia="en-GB"/>
              </w:rPr>
              <w:t>(</w:t>
            </w:r>
            <w:r w:rsidR="00093293">
              <w:rPr>
                <w:rFonts w:eastAsia="Arial"/>
                <w:sz w:val="16"/>
                <w:szCs w:val="24"/>
                <w:lang w:eastAsia="en-GB"/>
              </w:rPr>
              <w:t>0.8</w:t>
            </w:r>
            <w:r w:rsidRPr="00F2575A">
              <w:rPr>
                <w:rFonts w:eastAsia="Arial"/>
                <w:sz w:val="16"/>
                <w:szCs w:val="24"/>
                <w:lang w:eastAsia="en-GB"/>
              </w:rPr>
              <w:t>)</w:t>
            </w:r>
          </w:p>
        </w:tc>
        <w:tc>
          <w:tcPr>
            <w:tcW w:w="779" w:type="dxa"/>
            <w:tcBorders>
              <w:left w:val="nil"/>
              <w:bottom w:val="single" w:sz="4" w:space="0" w:color="auto"/>
              <w:right w:val="nil"/>
            </w:tcBorders>
            <w:shd w:val="clear" w:color="auto" w:fill="auto"/>
            <w:tcMar>
              <w:left w:w="0" w:type="dxa"/>
              <w:right w:w="0" w:type="dxa"/>
            </w:tcMar>
            <w:vAlign w:val="bottom"/>
          </w:tcPr>
          <w:p w14:paraId="41A297D6" w14:textId="0A37B3C0" w:rsidR="00E60E84" w:rsidRPr="00C03A7B" w:rsidRDefault="00E60E84" w:rsidP="00E60E84">
            <w:pPr>
              <w:tabs>
                <w:tab w:val="decimal" w:pos="541"/>
              </w:tabs>
              <w:spacing w:after="0"/>
              <w:rPr>
                <w:rFonts w:eastAsia="Arial"/>
                <w:sz w:val="16"/>
                <w:szCs w:val="24"/>
                <w:lang w:eastAsia="en-GB"/>
              </w:rPr>
            </w:pPr>
            <w:r w:rsidRPr="00C03A7B">
              <w:rPr>
                <w:rFonts w:eastAsia="Arial"/>
                <w:sz w:val="16"/>
                <w:szCs w:val="24"/>
                <w:lang w:eastAsia="en-GB"/>
              </w:rPr>
              <w:t>-</w:t>
            </w:r>
          </w:p>
        </w:tc>
        <w:tc>
          <w:tcPr>
            <w:tcW w:w="842" w:type="dxa"/>
            <w:tcBorders>
              <w:left w:val="nil"/>
              <w:bottom w:val="single" w:sz="4" w:space="0" w:color="auto"/>
              <w:right w:val="nil"/>
            </w:tcBorders>
            <w:vAlign w:val="bottom"/>
          </w:tcPr>
          <w:p w14:paraId="15A7C157" w14:textId="6F1B3FFA" w:rsidR="00E60E84" w:rsidRPr="00C03A7B" w:rsidRDefault="00E60E84" w:rsidP="00E60E84">
            <w:pPr>
              <w:tabs>
                <w:tab w:val="decimal" w:pos="435"/>
              </w:tabs>
              <w:spacing w:after="0"/>
              <w:rPr>
                <w:rFonts w:eastAsia="Arial"/>
                <w:sz w:val="16"/>
                <w:szCs w:val="24"/>
                <w:lang w:eastAsia="en-GB"/>
              </w:rPr>
            </w:pPr>
            <w:r w:rsidRPr="00F2575A">
              <w:rPr>
                <w:rFonts w:eastAsia="Arial"/>
                <w:sz w:val="16"/>
                <w:szCs w:val="24"/>
                <w:lang w:eastAsia="en-GB"/>
              </w:rPr>
              <w:t>(</w:t>
            </w:r>
            <w:r w:rsidR="00F33408">
              <w:rPr>
                <w:rFonts w:eastAsia="Arial"/>
                <w:sz w:val="16"/>
                <w:szCs w:val="24"/>
                <w:lang w:eastAsia="en-GB"/>
              </w:rPr>
              <w:t>0.8</w:t>
            </w:r>
            <w:r w:rsidRPr="00F2575A">
              <w:rPr>
                <w:rFonts w:eastAsia="Arial"/>
                <w:sz w:val="16"/>
                <w:szCs w:val="24"/>
                <w:lang w:eastAsia="en-GB"/>
              </w:rPr>
              <w:t>)</w:t>
            </w:r>
            <w:r w:rsidRPr="00F2575A" w:rsidDel="00B037C7">
              <w:rPr>
                <w:rFonts w:eastAsia="Arial"/>
                <w:sz w:val="16"/>
                <w:szCs w:val="24"/>
                <w:lang w:eastAsia="en-GB"/>
              </w:rPr>
              <w:t xml:space="preserve"> </w:t>
            </w:r>
          </w:p>
        </w:tc>
        <w:tc>
          <w:tcPr>
            <w:tcW w:w="901" w:type="dxa"/>
            <w:tcBorders>
              <w:left w:val="nil"/>
              <w:bottom w:val="single" w:sz="4" w:space="0" w:color="auto"/>
              <w:right w:val="nil"/>
            </w:tcBorders>
            <w:vAlign w:val="bottom"/>
          </w:tcPr>
          <w:p w14:paraId="5FB0DCDA" w14:textId="539FFB80" w:rsidR="00E60E84" w:rsidRPr="00C03A7B" w:rsidRDefault="00E60E84" w:rsidP="00577845">
            <w:pPr>
              <w:tabs>
                <w:tab w:val="decimal" w:pos="484"/>
              </w:tabs>
              <w:spacing w:after="0"/>
              <w:rPr>
                <w:rFonts w:eastAsia="Arial"/>
                <w:sz w:val="16"/>
                <w:szCs w:val="24"/>
                <w:lang w:eastAsia="en-GB"/>
              </w:rPr>
            </w:pPr>
            <w:r w:rsidRPr="00C03A7B">
              <w:rPr>
                <w:rFonts w:eastAsia="Arial"/>
                <w:sz w:val="16"/>
                <w:szCs w:val="24"/>
                <w:lang w:eastAsia="en-GB"/>
              </w:rPr>
              <w:t>-</w:t>
            </w:r>
          </w:p>
        </w:tc>
        <w:tc>
          <w:tcPr>
            <w:tcW w:w="746" w:type="dxa"/>
            <w:gridSpan w:val="2"/>
            <w:tcBorders>
              <w:left w:val="nil"/>
              <w:bottom w:val="single" w:sz="4" w:space="0" w:color="auto"/>
              <w:right w:val="nil"/>
            </w:tcBorders>
            <w:vAlign w:val="bottom"/>
          </w:tcPr>
          <w:p w14:paraId="1F158485" w14:textId="00EE0384" w:rsidR="00E60E84" w:rsidRPr="00C03A7B" w:rsidRDefault="00E60E84" w:rsidP="00E60E84">
            <w:pPr>
              <w:tabs>
                <w:tab w:val="decimal" w:pos="354"/>
              </w:tabs>
              <w:spacing w:after="0"/>
              <w:rPr>
                <w:rFonts w:eastAsia="Arial"/>
                <w:sz w:val="16"/>
                <w:szCs w:val="24"/>
                <w:lang w:eastAsia="en-GB"/>
              </w:rPr>
            </w:pPr>
            <w:r w:rsidRPr="00F2575A">
              <w:rPr>
                <w:rFonts w:eastAsia="Arial"/>
                <w:sz w:val="16"/>
                <w:szCs w:val="24"/>
                <w:lang w:eastAsia="en-GB"/>
              </w:rPr>
              <w:t>(</w:t>
            </w:r>
            <w:r w:rsidR="00014F83">
              <w:rPr>
                <w:rFonts w:eastAsia="Arial"/>
                <w:sz w:val="16"/>
                <w:szCs w:val="24"/>
                <w:lang w:eastAsia="en-GB"/>
              </w:rPr>
              <w:t>0.8</w:t>
            </w:r>
            <w:r w:rsidRPr="00F2575A">
              <w:rPr>
                <w:rFonts w:eastAsia="Arial"/>
                <w:sz w:val="16"/>
                <w:szCs w:val="24"/>
                <w:lang w:eastAsia="en-GB"/>
              </w:rPr>
              <w:t>)</w:t>
            </w:r>
            <w:r w:rsidRPr="00F2575A" w:rsidDel="00B037C7">
              <w:rPr>
                <w:rFonts w:eastAsia="Arial"/>
                <w:sz w:val="16"/>
                <w:szCs w:val="24"/>
                <w:lang w:eastAsia="en-GB"/>
              </w:rPr>
              <w:t xml:space="preserve"> </w:t>
            </w:r>
          </w:p>
        </w:tc>
      </w:tr>
      <w:tr w:rsidR="00CB3AA6" w:rsidRPr="004F6EE6" w14:paraId="758CAFFA"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1CDA7CB5" w14:textId="228E47AF" w:rsidR="00E60E84" w:rsidRPr="00C03A7B" w:rsidRDefault="00E60E84" w:rsidP="00E60E84">
            <w:pPr>
              <w:spacing w:after="0"/>
              <w:rPr>
                <w:rFonts w:eastAsia="Arial"/>
                <w:sz w:val="16"/>
                <w:szCs w:val="24"/>
                <w:lang w:eastAsia="en-GB"/>
              </w:rPr>
            </w:pPr>
            <w:r w:rsidRPr="00C03A7B">
              <w:rPr>
                <w:rFonts w:eastAsia="Arial"/>
                <w:b/>
                <w:sz w:val="16"/>
                <w:szCs w:val="24"/>
                <w:lang w:eastAsia="en-GB"/>
              </w:rPr>
              <w:t xml:space="preserve">Other comprehensive </w:t>
            </w:r>
            <w:r>
              <w:rPr>
                <w:rFonts w:eastAsia="Arial"/>
                <w:b/>
                <w:sz w:val="16"/>
                <w:szCs w:val="24"/>
                <w:lang w:eastAsia="en-GB"/>
              </w:rPr>
              <w:t>loss</w:t>
            </w:r>
          </w:p>
        </w:tc>
        <w:tc>
          <w:tcPr>
            <w:tcW w:w="343" w:type="dxa"/>
            <w:tcBorders>
              <w:left w:val="nil"/>
              <w:right w:val="nil"/>
            </w:tcBorders>
          </w:tcPr>
          <w:p w14:paraId="04EEE800" w14:textId="77777777" w:rsidR="00E60E84" w:rsidRPr="00F2575A" w:rsidRDefault="00E60E84" w:rsidP="00E60E84">
            <w:pPr>
              <w:spacing w:after="0"/>
              <w:jc w:val="right"/>
              <w:rPr>
                <w:rFonts w:eastAsia="Arial"/>
                <w:sz w:val="16"/>
                <w:szCs w:val="24"/>
                <w:highlight w:val="yellow"/>
                <w:lang w:eastAsia="en-GB"/>
              </w:rPr>
            </w:pPr>
          </w:p>
        </w:tc>
        <w:tc>
          <w:tcPr>
            <w:tcW w:w="841" w:type="dxa"/>
            <w:tcBorders>
              <w:top w:val="single" w:sz="4" w:space="0" w:color="auto"/>
              <w:left w:val="nil"/>
              <w:bottom w:val="single" w:sz="4" w:space="0" w:color="auto"/>
              <w:right w:val="nil"/>
            </w:tcBorders>
            <w:vAlign w:val="bottom"/>
          </w:tcPr>
          <w:p w14:paraId="5C46FCF9" w14:textId="428F234B" w:rsidR="00E60E84" w:rsidRPr="00F2575A" w:rsidRDefault="00E60E84" w:rsidP="00E60E84">
            <w:pPr>
              <w:tabs>
                <w:tab w:val="decimal" w:pos="483"/>
              </w:tabs>
              <w:spacing w:after="0"/>
              <w:rPr>
                <w:rFonts w:eastAsia="Arial"/>
                <w:b/>
                <w:bCs/>
                <w:sz w:val="16"/>
                <w:szCs w:val="24"/>
                <w:highlight w:val="yellow"/>
                <w:lang w:eastAsia="en-GB"/>
              </w:rPr>
            </w:pPr>
            <w:r w:rsidRPr="00F2575A">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2A63C668" w14:textId="40AF9817" w:rsidR="00E60E84" w:rsidRPr="00F2575A" w:rsidRDefault="00E60E84" w:rsidP="00E60E84">
            <w:pPr>
              <w:tabs>
                <w:tab w:val="decimal" w:pos="533"/>
              </w:tabs>
              <w:spacing w:after="0"/>
              <w:rPr>
                <w:rFonts w:eastAsia="Arial"/>
                <w:b/>
                <w:bCs/>
                <w:sz w:val="16"/>
                <w:szCs w:val="24"/>
                <w:highlight w:val="yellow"/>
                <w:lang w:eastAsia="en-GB"/>
              </w:rPr>
            </w:pPr>
            <w:r w:rsidRPr="00F2575A">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50BF577A" w14:textId="2B6A70B7" w:rsidR="00E60E84" w:rsidRPr="00F2575A" w:rsidRDefault="00E60E84" w:rsidP="00E60E84">
            <w:pPr>
              <w:tabs>
                <w:tab w:val="decimal" w:pos="749"/>
              </w:tabs>
              <w:spacing w:after="0"/>
              <w:rPr>
                <w:rFonts w:eastAsia="Arial"/>
                <w:b/>
                <w:bCs/>
                <w:sz w:val="16"/>
                <w:szCs w:val="24"/>
                <w:highlight w:val="yellow"/>
                <w:lang w:eastAsia="en-GB"/>
              </w:rPr>
            </w:pPr>
            <w:r w:rsidRPr="00F2575A">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578BB90A" w14:textId="3CF7F647" w:rsidR="00E60E84" w:rsidRPr="00F2575A" w:rsidRDefault="00E60E84" w:rsidP="00E60E84">
            <w:pPr>
              <w:tabs>
                <w:tab w:val="decimal" w:pos="667"/>
              </w:tabs>
              <w:spacing w:after="0"/>
              <w:rPr>
                <w:rFonts w:eastAsia="Arial"/>
                <w:b/>
                <w:bCs/>
                <w:sz w:val="16"/>
                <w:szCs w:val="24"/>
                <w:lang w:eastAsia="en-GB"/>
              </w:rPr>
            </w:pPr>
            <w:r w:rsidRPr="00F2575A">
              <w:rPr>
                <w:rFonts w:eastAsia="Arial"/>
                <w:b/>
                <w:bCs/>
                <w:sz w:val="16"/>
                <w:szCs w:val="24"/>
                <w:lang w:eastAsia="en-GB"/>
              </w:rPr>
              <w:t>(</w:t>
            </w:r>
            <w:r w:rsidR="00093293">
              <w:rPr>
                <w:rFonts w:eastAsia="Arial"/>
                <w:b/>
                <w:bCs/>
                <w:sz w:val="16"/>
                <w:szCs w:val="24"/>
                <w:lang w:eastAsia="en-GB"/>
              </w:rPr>
              <w:t>0.8</w:t>
            </w:r>
            <w:r w:rsidRPr="00F2575A">
              <w:rPr>
                <w:rFonts w:eastAsia="Arial"/>
                <w:b/>
                <w:bCs/>
                <w:sz w:val="16"/>
                <w:szCs w:val="24"/>
                <w:lang w:eastAsia="en-GB"/>
              </w:rPr>
              <w:t>)</w:t>
            </w:r>
          </w:p>
        </w:tc>
        <w:tc>
          <w:tcPr>
            <w:tcW w:w="779" w:type="dxa"/>
            <w:tcBorders>
              <w:top w:val="single" w:sz="4" w:space="0" w:color="auto"/>
              <w:left w:val="nil"/>
              <w:bottom w:val="single" w:sz="4" w:space="0" w:color="auto"/>
              <w:right w:val="nil"/>
            </w:tcBorders>
            <w:shd w:val="clear" w:color="auto" w:fill="auto"/>
            <w:tcMar>
              <w:left w:w="0" w:type="dxa"/>
              <w:right w:w="0" w:type="dxa"/>
            </w:tcMar>
            <w:vAlign w:val="bottom"/>
          </w:tcPr>
          <w:p w14:paraId="264686AE" w14:textId="2BD9B690" w:rsidR="00E60E84" w:rsidRPr="00F2575A" w:rsidRDefault="00E60E84" w:rsidP="00E60E84">
            <w:pPr>
              <w:tabs>
                <w:tab w:val="decimal" w:pos="541"/>
              </w:tabs>
              <w:spacing w:after="0"/>
              <w:rPr>
                <w:rFonts w:eastAsia="Arial"/>
                <w:b/>
                <w:bCs/>
                <w:sz w:val="16"/>
                <w:szCs w:val="24"/>
                <w:lang w:eastAsia="en-GB"/>
              </w:rPr>
            </w:pPr>
            <w:r w:rsidRPr="00F2575A">
              <w:rPr>
                <w:rFonts w:eastAsia="Arial"/>
                <w:b/>
                <w:bCs/>
                <w:sz w:val="16"/>
                <w:szCs w:val="24"/>
                <w:lang w:eastAsia="en-GB"/>
              </w:rPr>
              <w:t>-</w:t>
            </w:r>
          </w:p>
        </w:tc>
        <w:tc>
          <w:tcPr>
            <w:tcW w:w="842" w:type="dxa"/>
            <w:tcBorders>
              <w:top w:val="single" w:sz="4" w:space="0" w:color="auto"/>
              <w:left w:val="nil"/>
              <w:bottom w:val="single" w:sz="4" w:space="0" w:color="auto"/>
              <w:right w:val="nil"/>
            </w:tcBorders>
            <w:vAlign w:val="bottom"/>
          </w:tcPr>
          <w:p w14:paraId="7AA99713" w14:textId="23ECD6CB" w:rsidR="00E60E84" w:rsidRPr="00F2575A" w:rsidRDefault="00E60E84" w:rsidP="00E60E84">
            <w:pPr>
              <w:tabs>
                <w:tab w:val="decimal" w:pos="435"/>
              </w:tabs>
              <w:spacing w:after="0"/>
              <w:rPr>
                <w:rFonts w:eastAsia="Arial"/>
                <w:b/>
                <w:bCs/>
                <w:sz w:val="16"/>
                <w:szCs w:val="24"/>
                <w:lang w:eastAsia="en-GB"/>
              </w:rPr>
            </w:pPr>
            <w:r w:rsidRPr="00F2575A">
              <w:rPr>
                <w:rFonts w:eastAsia="Arial"/>
                <w:b/>
                <w:bCs/>
                <w:sz w:val="16"/>
                <w:szCs w:val="24"/>
                <w:lang w:eastAsia="en-GB"/>
              </w:rPr>
              <w:t>(</w:t>
            </w:r>
            <w:r w:rsidR="00F33408">
              <w:rPr>
                <w:rFonts w:eastAsia="Arial"/>
                <w:b/>
                <w:bCs/>
                <w:sz w:val="16"/>
                <w:szCs w:val="24"/>
                <w:lang w:eastAsia="en-GB"/>
              </w:rPr>
              <w:t>0.8</w:t>
            </w:r>
            <w:r w:rsidRPr="00F2575A">
              <w:rPr>
                <w:rFonts w:eastAsia="Arial"/>
                <w:b/>
                <w:bCs/>
                <w:sz w:val="16"/>
                <w:szCs w:val="24"/>
                <w:lang w:eastAsia="en-GB"/>
              </w:rPr>
              <w:t>)</w:t>
            </w:r>
            <w:r w:rsidRPr="00F2575A" w:rsidDel="00C255CF">
              <w:rPr>
                <w:rFonts w:eastAsia="Arial"/>
                <w:b/>
                <w:bCs/>
                <w:sz w:val="16"/>
                <w:szCs w:val="24"/>
                <w:lang w:eastAsia="en-GB"/>
              </w:rPr>
              <w:t xml:space="preserve"> </w:t>
            </w:r>
          </w:p>
        </w:tc>
        <w:tc>
          <w:tcPr>
            <w:tcW w:w="901" w:type="dxa"/>
            <w:tcBorders>
              <w:top w:val="single" w:sz="4" w:space="0" w:color="auto"/>
              <w:left w:val="nil"/>
              <w:bottom w:val="single" w:sz="4" w:space="0" w:color="auto"/>
              <w:right w:val="nil"/>
            </w:tcBorders>
            <w:vAlign w:val="bottom"/>
          </w:tcPr>
          <w:p w14:paraId="5715BA3F" w14:textId="015F9D95" w:rsidR="00E60E84" w:rsidRPr="00F2575A" w:rsidRDefault="00E60E84" w:rsidP="00577845">
            <w:pPr>
              <w:tabs>
                <w:tab w:val="decimal" w:pos="484"/>
              </w:tabs>
              <w:spacing w:after="0"/>
              <w:rPr>
                <w:rFonts w:eastAsia="Arial"/>
                <w:b/>
                <w:bCs/>
                <w:sz w:val="16"/>
                <w:szCs w:val="24"/>
                <w:lang w:eastAsia="en-GB"/>
              </w:rPr>
            </w:pPr>
            <w:r w:rsidRPr="00F2575A">
              <w:rPr>
                <w:rFonts w:eastAsia="Arial"/>
                <w:b/>
                <w:bCs/>
                <w:sz w:val="16"/>
                <w:szCs w:val="24"/>
                <w:lang w:eastAsia="en-GB"/>
              </w:rPr>
              <w:t>-</w:t>
            </w:r>
          </w:p>
        </w:tc>
        <w:tc>
          <w:tcPr>
            <w:tcW w:w="746" w:type="dxa"/>
            <w:gridSpan w:val="2"/>
            <w:tcBorders>
              <w:top w:val="single" w:sz="4" w:space="0" w:color="auto"/>
              <w:left w:val="nil"/>
              <w:bottom w:val="single" w:sz="4" w:space="0" w:color="auto"/>
              <w:right w:val="nil"/>
            </w:tcBorders>
            <w:vAlign w:val="bottom"/>
          </w:tcPr>
          <w:p w14:paraId="7796F6F3" w14:textId="481782E3" w:rsidR="00E60E84" w:rsidRPr="00F2575A" w:rsidRDefault="00E60E84" w:rsidP="00E60E84">
            <w:pPr>
              <w:tabs>
                <w:tab w:val="decimal" w:pos="354"/>
              </w:tabs>
              <w:spacing w:after="0"/>
              <w:rPr>
                <w:rFonts w:eastAsia="Arial"/>
                <w:b/>
                <w:bCs/>
                <w:sz w:val="16"/>
                <w:szCs w:val="24"/>
                <w:lang w:eastAsia="en-GB"/>
              </w:rPr>
            </w:pPr>
            <w:r w:rsidRPr="00F2575A">
              <w:rPr>
                <w:rFonts w:eastAsia="Arial"/>
                <w:b/>
                <w:bCs/>
                <w:sz w:val="16"/>
                <w:szCs w:val="24"/>
                <w:lang w:eastAsia="en-GB"/>
              </w:rPr>
              <w:t>(</w:t>
            </w:r>
            <w:r w:rsidR="00014F83">
              <w:rPr>
                <w:rFonts w:eastAsia="Arial"/>
                <w:b/>
                <w:bCs/>
                <w:sz w:val="16"/>
                <w:szCs w:val="24"/>
                <w:lang w:eastAsia="en-GB"/>
              </w:rPr>
              <w:t>0.8</w:t>
            </w:r>
            <w:r w:rsidRPr="00F2575A">
              <w:rPr>
                <w:rFonts w:eastAsia="Arial"/>
                <w:b/>
                <w:bCs/>
                <w:sz w:val="16"/>
                <w:szCs w:val="24"/>
                <w:lang w:eastAsia="en-GB"/>
              </w:rPr>
              <w:t>)</w:t>
            </w:r>
            <w:r w:rsidRPr="00F2575A" w:rsidDel="00C255CF">
              <w:rPr>
                <w:rFonts w:eastAsia="Arial"/>
                <w:b/>
                <w:bCs/>
                <w:sz w:val="16"/>
                <w:szCs w:val="24"/>
                <w:lang w:eastAsia="en-GB"/>
              </w:rPr>
              <w:t xml:space="preserve"> </w:t>
            </w:r>
          </w:p>
        </w:tc>
      </w:tr>
      <w:tr w:rsidR="00CB3AA6" w:rsidRPr="004F6EE6" w14:paraId="62590873"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652CCE7" w14:textId="4760B80D" w:rsidR="00E60E84" w:rsidRPr="00C03A7B" w:rsidRDefault="00E60E84" w:rsidP="00E60E84">
            <w:pPr>
              <w:spacing w:after="0"/>
              <w:rPr>
                <w:rFonts w:eastAsia="Arial"/>
                <w:b/>
                <w:sz w:val="16"/>
                <w:szCs w:val="24"/>
                <w:lang w:eastAsia="en-GB"/>
              </w:rPr>
            </w:pPr>
            <w:r w:rsidRPr="00C03A7B">
              <w:rPr>
                <w:rFonts w:eastAsia="Arial"/>
                <w:b/>
                <w:sz w:val="16"/>
                <w:szCs w:val="24"/>
                <w:lang w:eastAsia="en-GB"/>
              </w:rPr>
              <w:t xml:space="preserve">Total comprehensive </w:t>
            </w:r>
            <w:r>
              <w:rPr>
                <w:rFonts w:eastAsia="Arial"/>
                <w:b/>
                <w:sz w:val="16"/>
                <w:szCs w:val="24"/>
                <w:lang w:eastAsia="en-GB"/>
              </w:rPr>
              <w:t>(loss)/income</w:t>
            </w:r>
          </w:p>
        </w:tc>
        <w:tc>
          <w:tcPr>
            <w:tcW w:w="343" w:type="dxa"/>
            <w:tcBorders>
              <w:left w:val="nil"/>
              <w:right w:val="nil"/>
            </w:tcBorders>
          </w:tcPr>
          <w:p w14:paraId="618BAEA8" w14:textId="77777777" w:rsidR="00E60E84" w:rsidRPr="00F2575A" w:rsidRDefault="00E60E84" w:rsidP="00E60E84">
            <w:pPr>
              <w:spacing w:after="0"/>
              <w:jc w:val="right"/>
              <w:rPr>
                <w:rFonts w:eastAsia="Arial"/>
                <w:sz w:val="16"/>
                <w:szCs w:val="24"/>
                <w:highlight w:val="yellow"/>
                <w:lang w:eastAsia="en-GB"/>
              </w:rPr>
            </w:pPr>
          </w:p>
        </w:tc>
        <w:tc>
          <w:tcPr>
            <w:tcW w:w="841" w:type="dxa"/>
            <w:tcBorders>
              <w:top w:val="single" w:sz="4" w:space="0" w:color="auto"/>
              <w:left w:val="nil"/>
              <w:bottom w:val="single" w:sz="4" w:space="0" w:color="auto"/>
              <w:right w:val="nil"/>
            </w:tcBorders>
            <w:vAlign w:val="bottom"/>
          </w:tcPr>
          <w:p w14:paraId="46B83CDF" w14:textId="0849CC11" w:rsidR="00E60E84" w:rsidRPr="00F2575A" w:rsidRDefault="00E60E84" w:rsidP="00E60E84">
            <w:pPr>
              <w:tabs>
                <w:tab w:val="decimal" w:pos="483"/>
              </w:tabs>
              <w:spacing w:after="0"/>
              <w:rPr>
                <w:rFonts w:eastAsia="Arial"/>
                <w:b/>
                <w:bCs/>
                <w:sz w:val="16"/>
                <w:szCs w:val="24"/>
                <w:highlight w:val="yellow"/>
                <w:lang w:eastAsia="en-GB"/>
              </w:rPr>
            </w:pPr>
            <w:r w:rsidRPr="00F2575A">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250408AF" w14:textId="798968F8" w:rsidR="00E60E84" w:rsidRPr="00F2575A" w:rsidRDefault="00E60E84" w:rsidP="00E60E84">
            <w:pPr>
              <w:tabs>
                <w:tab w:val="decimal" w:pos="533"/>
              </w:tabs>
              <w:spacing w:after="0"/>
              <w:rPr>
                <w:rFonts w:eastAsia="Arial"/>
                <w:b/>
                <w:bCs/>
                <w:sz w:val="16"/>
                <w:szCs w:val="24"/>
                <w:highlight w:val="yellow"/>
                <w:lang w:eastAsia="en-GB"/>
              </w:rPr>
            </w:pPr>
            <w:r w:rsidRPr="00F2575A">
              <w:rPr>
                <w:rFonts w:eastAsia="Arial"/>
                <w:b/>
                <w:bCs/>
                <w:sz w:val="16"/>
                <w:szCs w:val="24"/>
                <w:lang w:eastAsia="en-GB"/>
              </w:rPr>
              <w:t>-</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26CDFAF7" w14:textId="278CDEF7" w:rsidR="00E60E84" w:rsidRPr="00F2575A" w:rsidRDefault="00E60E84" w:rsidP="00E60E84">
            <w:pPr>
              <w:tabs>
                <w:tab w:val="decimal" w:pos="749"/>
              </w:tabs>
              <w:spacing w:after="0"/>
              <w:rPr>
                <w:rFonts w:eastAsia="Arial"/>
                <w:b/>
                <w:bCs/>
                <w:sz w:val="16"/>
                <w:szCs w:val="24"/>
                <w:highlight w:val="yellow"/>
                <w:lang w:eastAsia="en-GB"/>
              </w:rPr>
            </w:pPr>
            <w:r w:rsidRPr="00F2575A">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4721A3F5" w14:textId="1B7C29D4" w:rsidR="00E60E84" w:rsidRPr="003667EE" w:rsidRDefault="00E60E84" w:rsidP="00E60E84">
            <w:pPr>
              <w:tabs>
                <w:tab w:val="decimal" w:pos="667"/>
              </w:tabs>
              <w:spacing w:after="0"/>
              <w:rPr>
                <w:rFonts w:eastAsia="Arial"/>
                <w:b/>
                <w:bCs/>
                <w:sz w:val="16"/>
                <w:szCs w:val="24"/>
                <w:lang w:eastAsia="en-GB"/>
              </w:rPr>
            </w:pPr>
            <w:r w:rsidRPr="00F2575A">
              <w:rPr>
                <w:rFonts w:eastAsia="Arial"/>
                <w:b/>
                <w:bCs/>
                <w:sz w:val="16"/>
                <w:szCs w:val="24"/>
                <w:lang w:eastAsia="en-GB"/>
              </w:rPr>
              <w:t>(</w:t>
            </w:r>
            <w:r w:rsidR="00093293">
              <w:rPr>
                <w:rFonts w:eastAsia="Arial"/>
                <w:b/>
                <w:bCs/>
                <w:sz w:val="16"/>
                <w:szCs w:val="24"/>
                <w:lang w:eastAsia="en-GB"/>
              </w:rPr>
              <w:t>0.8</w:t>
            </w:r>
            <w:r w:rsidRPr="00F2575A">
              <w:rPr>
                <w:rFonts w:eastAsia="Arial"/>
                <w:b/>
                <w:bCs/>
                <w:sz w:val="16"/>
                <w:szCs w:val="24"/>
                <w:lang w:eastAsia="en-GB"/>
              </w:rPr>
              <w:t>)</w:t>
            </w:r>
          </w:p>
        </w:tc>
        <w:tc>
          <w:tcPr>
            <w:tcW w:w="779" w:type="dxa"/>
            <w:tcBorders>
              <w:top w:val="single" w:sz="4" w:space="0" w:color="auto"/>
              <w:left w:val="nil"/>
              <w:bottom w:val="single" w:sz="4" w:space="0" w:color="auto"/>
              <w:right w:val="nil"/>
            </w:tcBorders>
            <w:shd w:val="clear" w:color="auto" w:fill="auto"/>
            <w:tcMar>
              <w:left w:w="0" w:type="dxa"/>
              <w:right w:w="0" w:type="dxa"/>
            </w:tcMar>
            <w:vAlign w:val="bottom"/>
          </w:tcPr>
          <w:p w14:paraId="709BB9C1" w14:textId="59BF2E1A" w:rsidR="00E60E84" w:rsidRPr="003254A4" w:rsidRDefault="00E60E84" w:rsidP="00E60E84">
            <w:pPr>
              <w:tabs>
                <w:tab w:val="decimal" w:pos="541"/>
              </w:tabs>
              <w:spacing w:after="0"/>
              <w:rPr>
                <w:rFonts w:eastAsia="Arial"/>
                <w:b/>
                <w:sz w:val="16"/>
                <w:szCs w:val="24"/>
                <w:lang w:eastAsia="en-GB"/>
              </w:rPr>
            </w:pPr>
            <w:r w:rsidRPr="003254A4">
              <w:rPr>
                <w:rFonts w:eastAsia="Arial"/>
                <w:b/>
                <w:sz w:val="16"/>
                <w:szCs w:val="24"/>
                <w:lang w:eastAsia="en-GB"/>
              </w:rPr>
              <w:t>2</w:t>
            </w:r>
            <w:r w:rsidR="00036192">
              <w:rPr>
                <w:rFonts w:eastAsia="Arial"/>
                <w:b/>
                <w:sz w:val="16"/>
                <w:szCs w:val="24"/>
                <w:lang w:eastAsia="en-GB"/>
              </w:rPr>
              <w:t>8</w:t>
            </w:r>
            <w:r w:rsidRPr="003254A4">
              <w:rPr>
                <w:rFonts w:eastAsia="Arial"/>
                <w:b/>
                <w:sz w:val="16"/>
                <w:szCs w:val="24"/>
                <w:lang w:eastAsia="en-GB"/>
              </w:rPr>
              <w:t>.</w:t>
            </w:r>
            <w:r w:rsidR="00ED53BA">
              <w:rPr>
                <w:rFonts w:eastAsia="Arial"/>
                <w:b/>
                <w:sz w:val="16"/>
                <w:szCs w:val="24"/>
                <w:lang w:eastAsia="en-GB"/>
              </w:rPr>
              <w:t>2</w:t>
            </w:r>
            <w:r w:rsidRPr="003254A4" w:rsidDel="007B5830">
              <w:rPr>
                <w:rFonts w:eastAsia="Arial"/>
                <w:b/>
                <w:sz w:val="16"/>
                <w:szCs w:val="24"/>
                <w:lang w:eastAsia="en-GB"/>
              </w:rPr>
              <w:t xml:space="preserve"> </w:t>
            </w:r>
          </w:p>
        </w:tc>
        <w:tc>
          <w:tcPr>
            <w:tcW w:w="842" w:type="dxa"/>
            <w:tcBorders>
              <w:top w:val="single" w:sz="4" w:space="0" w:color="auto"/>
              <w:left w:val="nil"/>
              <w:bottom w:val="single" w:sz="4" w:space="0" w:color="auto"/>
              <w:right w:val="nil"/>
            </w:tcBorders>
            <w:vAlign w:val="bottom"/>
          </w:tcPr>
          <w:p w14:paraId="21321375" w14:textId="6C19F75B" w:rsidR="00E60E84" w:rsidRPr="003667EE" w:rsidRDefault="00014F83" w:rsidP="00E60E84">
            <w:pPr>
              <w:tabs>
                <w:tab w:val="decimal" w:pos="435"/>
              </w:tabs>
              <w:spacing w:after="0"/>
              <w:rPr>
                <w:rFonts w:eastAsia="Arial"/>
                <w:b/>
                <w:bCs/>
                <w:sz w:val="16"/>
                <w:szCs w:val="24"/>
                <w:lang w:eastAsia="en-GB"/>
              </w:rPr>
            </w:pPr>
            <w:r>
              <w:rPr>
                <w:rFonts w:eastAsia="Arial"/>
                <w:b/>
                <w:sz w:val="16"/>
                <w:szCs w:val="24"/>
                <w:lang w:eastAsia="en-GB"/>
              </w:rPr>
              <w:t>27.</w:t>
            </w:r>
            <w:r w:rsidR="00ED53BA">
              <w:rPr>
                <w:rFonts w:eastAsia="Arial"/>
                <w:b/>
                <w:sz w:val="16"/>
                <w:szCs w:val="24"/>
                <w:lang w:eastAsia="en-GB"/>
              </w:rPr>
              <w:t>4</w:t>
            </w:r>
            <w:r w:rsidR="00E60E84" w:rsidRPr="00F2575A" w:rsidDel="00B037C7">
              <w:rPr>
                <w:rFonts w:eastAsia="Arial"/>
                <w:b/>
                <w:bCs/>
                <w:sz w:val="16"/>
                <w:szCs w:val="24"/>
                <w:lang w:eastAsia="en-GB"/>
              </w:rPr>
              <w:t xml:space="preserve"> </w:t>
            </w:r>
          </w:p>
        </w:tc>
        <w:tc>
          <w:tcPr>
            <w:tcW w:w="901" w:type="dxa"/>
            <w:tcBorders>
              <w:top w:val="single" w:sz="4" w:space="0" w:color="auto"/>
              <w:left w:val="nil"/>
              <w:bottom w:val="single" w:sz="4" w:space="0" w:color="auto"/>
              <w:right w:val="nil"/>
            </w:tcBorders>
            <w:vAlign w:val="bottom"/>
          </w:tcPr>
          <w:p w14:paraId="19212A2D" w14:textId="610C8E2B" w:rsidR="00E60E84" w:rsidRPr="003254A4" w:rsidRDefault="00160866" w:rsidP="00577845">
            <w:pPr>
              <w:tabs>
                <w:tab w:val="decimal" w:pos="484"/>
              </w:tabs>
              <w:spacing w:after="0"/>
              <w:rPr>
                <w:rFonts w:eastAsia="Arial"/>
                <w:b/>
                <w:sz w:val="16"/>
                <w:szCs w:val="24"/>
                <w:lang w:eastAsia="en-GB"/>
              </w:rPr>
            </w:pPr>
            <w:r>
              <w:rPr>
                <w:rFonts w:eastAsia="Arial"/>
                <w:b/>
                <w:sz w:val="16"/>
                <w:szCs w:val="24"/>
                <w:lang w:eastAsia="en-GB"/>
              </w:rPr>
              <w:t>-</w:t>
            </w:r>
          </w:p>
        </w:tc>
        <w:tc>
          <w:tcPr>
            <w:tcW w:w="746" w:type="dxa"/>
            <w:gridSpan w:val="2"/>
            <w:tcBorders>
              <w:top w:val="single" w:sz="4" w:space="0" w:color="auto"/>
              <w:left w:val="nil"/>
              <w:bottom w:val="single" w:sz="4" w:space="0" w:color="auto"/>
              <w:right w:val="nil"/>
            </w:tcBorders>
            <w:vAlign w:val="bottom"/>
          </w:tcPr>
          <w:p w14:paraId="285BBC71" w14:textId="49B4733E" w:rsidR="00E60E84" w:rsidRPr="003254A4" w:rsidRDefault="00E60E84" w:rsidP="00E60E84">
            <w:pPr>
              <w:tabs>
                <w:tab w:val="decimal" w:pos="354"/>
              </w:tabs>
              <w:spacing w:after="0"/>
              <w:rPr>
                <w:rFonts w:eastAsia="Arial"/>
                <w:b/>
                <w:sz w:val="16"/>
                <w:szCs w:val="24"/>
                <w:lang w:eastAsia="en-GB"/>
              </w:rPr>
            </w:pPr>
            <w:r w:rsidRPr="003254A4">
              <w:rPr>
                <w:rFonts w:eastAsia="Arial"/>
                <w:b/>
                <w:bCs/>
                <w:sz w:val="16"/>
                <w:szCs w:val="24"/>
                <w:lang w:eastAsia="en-GB"/>
              </w:rPr>
              <w:t>2</w:t>
            </w:r>
            <w:r w:rsidR="00014F83">
              <w:rPr>
                <w:rFonts w:eastAsia="Arial"/>
                <w:b/>
                <w:bCs/>
                <w:sz w:val="16"/>
                <w:szCs w:val="24"/>
                <w:lang w:eastAsia="en-GB"/>
              </w:rPr>
              <w:t>7.</w:t>
            </w:r>
            <w:r w:rsidR="00ED53BA">
              <w:rPr>
                <w:rFonts w:eastAsia="Arial"/>
                <w:b/>
                <w:bCs/>
                <w:sz w:val="16"/>
                <w:szCs w:val="24"/>
                <w:lang w:eastAsia="en-GB"/>
              </w:rPr>
              <w:t>4</w:t>
            </w:r>
          </w:p>
        </w:tc>
      </w:tr>
      <w:tr w:rsidR="00CB3AA6" w:rsidRPr="004F6EE6" w14:paraId="1EB63186"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3717A207" w14:textId="3995909B" w:rsidR="00E60E84" w:rsidRPr="00C03A7B" w:rsidRDefault="00E60E84" w:rsidP="00E60E84">
            <w:pPr>
              <w:spacing w:after="0"/>
              <w:rPr>
                <w:rFonts w:eastAsia="Arial"/>
                <w:sz w:val="16"/>
                <w:szCs w:val="24"/>
                <w:lang w:eastAsia="en-GB"/>
              </w:rPr>
            </w:pPr>
            <w:r w:rsidRPr="00B30F93">
              <w:rPr>
                <w:rFonts w:eastAsia="Arial"/>
                <w:sz w:val="16"/>
                <w:szCs w:val="24"/>
                <w:lang w:eastAsia="en-GB"/>
              </w:rPr>
              <w:t>Vesting of ordinary shares and options</w:t>
            </w:r>
          </w:p>
        </w:tc>
        <w:tc>
          <w:tcPr>
            <w:tcW w:w="343" w:type="dxa"/>
            <w:tcBorders>
              <w:left w:val="nil"/>
              <w:right w:val="nil"/>
            </w:tcBorders>
          </w:tcPr>
          <w:p w14:paraId="20AFB3A5" w14:textId="77777777" w:rsidR="00E60E84" w:rsidRPr="003667EE" w:rsidRDefault="00E60E84" w:rsidP="00E60E84">
            <w:pPr>
              <w:spacing w:after="0"/>
              <w:jc w:val="right"/>
              <w:rPr>
                <w:rFonts w:eastAsia="Arial"/>
                <w:sz w:val="16"/>
                <w:szCs w:val="24"/>
                <w:highlight w:val="yellow"/>
                <w:lang w:eastAsia="en-GB"/>
              </w:rPr>
            </w:pPr>
          </w:p>
        </w:tc>
        <w:tc>
          <w:tcPr>
            <w:tcW w:w="841" w:type="dxa"/>
            <w:tcBorders>
              <w:left w:val="nil"/>
              <w:right w:val="nil"/>
            </w:tcBorders>
            <w:vAlign w:val="bottom"/>
          </w:tcPr>
          <w:p w14:paraId="0F8B9743" w14:textId="12265729" w:rsidR="00E60E84" w:rsidRPr="00EC7EF4" w:rsidRDefault="00E60E84" w:rsidP="00E60E84">
            <w:pPr>
              <w:tabs>
                <w:tab w:val="decimal" w:pos="483"/>
              </w:tabs>
              <w:spacing w:after="0"/>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7936A267" w14:textId="3C6D0CB9" w:rsidR="00E60E84" w:rsidRPr="00EC7EF4" w:rsidRDefault="00E60E84" w:rsidP="00E60E84">
            <w:pPr>
              <w:tabs>
                <w:tab w:val="decimal" w:pos="533"/>
              </w:tabs>
              <w:spacing w:after="0"/>
              <w:rPr>
                <w:rFonts w:eastAsia="Arial"/>
                <w:sz w:val="16"/>
                <w:szCs w:val="24"/>
                <w:lang w:eastAsia="en-GB"/>
              </w:rPr>
            </w:pPr>
            <w:r w:rsidRPr="00EC7EF4">
              <w:rPr>
                <w:sz w:val="16"/>
              </w:rPr>
              <w:t>0.1</w:t>
            </w:r>
          </w:p>
        </w:tc>
        <w:tc>
          <w:tcPr>
            <w:tcW w:w="884" w:type="dxa"/>
            <w:tcBorders>
              <w:left w:val="nil"/>
              <w:right w:val="nil"/>
            </w:tcBorders>
            <w:shd w:val="clear" w:color="auto" w:fill="auto"/>
            <w:tcMar>
              <w:left w:w="0" w:type="dxa"/>
              <w:right w:w="0" w:type="dxa"/>
            </w:tcMar>
            <w:vAlign w:val="bottom"/>
          </w:tcPr>
          <w:p w14:paraId="40014B0B" w14:textId="3E8DFBA2" w:rsidR="00E60E84" w:rsidRPr="00EC7EF4" w:rsidRDefault="00E60E84" w:rsidP="00E60E84">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0CA8C821" w14:textId="67FB5B4D" w:rsidR="00E60E84" w:rsidRPr="00EC7EF4" w:rsidRDefault="00E60E84" w:rsidP="00E60E84">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auto"/>
            <w:tcMar>
              <w:left w:w="0" w:type="dxa"/>
              <w:right w:w="0" w:type="dxa"/>
            </w:tcMar>
            <w:vAlign w:val="bottom"/>
          </w:tcPr>
          <w:p w14:paraId="42125961" w14:textId="30EA96EE" w:rsidR="00E60E84" w:rsidRPr="00F2575A" w:rsidDel="003667EE" w:rsidRDefault="00E60E84" w:rsidP="00E60E84">
            <w:pPr>
              <w:tabs>
                <w:tab w:val="decimal" w:pos="541"/>
              </w:tabs>
              <w:spacing w:after="0"/>
              <w:rPr>
                <w:rFonts w:eastAsia="Arial"/>
                <w:sz w:val="16"/>
                <w:szCs w:val="24"/>
                <w:lang w:eastAsia="en-GB"/>
              </w:rPr>
            </w:pPr>
            <w:r w:rsidRPr="00EC7EF4">
              <w:rPr>
                <w:rFonts w:eastAsia="Arial"/>
                <w:sz w:val="16"/>
                <w:szCs w:val="24"/>
                <w:lang w:eastAsia="en-GB"/>
              </w:rPr>
              <w:t>(</w:t>
            </w:r>
            <w:r>
              <w:rPr>
                <w:rFonts w:eastAsia="Arial"/>
                <w:sz w:val="16"/>
                <w:szCs w:val="24"/>
                <w:lang w:eastAsia="en-GB"/>
              </w:rPr>
              <w:t>0.1</w:t>
            </w:r>
            <w:r w:rsidRPr="00EC7EF4">
              <w:rPr>
                <w:rFonts w:eastAsia="Arial"/>
                <w:sz w:val="16"/>
                <w:szCs w:val="24"/>
                <w:lang w:eastAsia="en-GB"/>
              </w:rPr>
              <w:t>)</w:t>
            </w:r>
          </w:p>
        </w:tc>
        <w:tc>
          <w:tcPr>
            <w:tcW w:w="842" w:type="dxa"/>
            <w:tcBorders>
              <w:left w:val="nil"/>
              <w:right w:val="nil"/>
            </w:tcBorders>
            <w:vAlign w:val="bottom"/>
          </w:tcPr>
          <w:p w14:paraId="54FBAB57" w14:textId="32ACE8E7" w:rsidR="00E60E84" w:rsidRPr="00F2575A" w:rsidRDefault="00E60E84" w:rsidP="00E60E84">
            <w:pPr>
              <w:tabs>
                <w:tab w:val="decimal" w:pos="435"/>
              </w:tabs>
              <w:spacing w:after="0"/>
              <w:rPr>
                <w:rFonts w:eastAsia="Arial"/>
                <w:sz w:val="16"/>
                <w:szCs w:val="24"/>
                <w:lang w:eastAsia="en-GB"/>
              </w:rPr>
            </w:pPr>
            <w:r>
              <w:rPr>
                <w:sz w:val="16"/>
              </w:rPr>
              <w:t>-</w:t>
            </w:r>
          </w:p>
        </w:tc>
        <w:tc>
          <w:tcPr>
            <w:tcW w:w="901" w:type="dxa"/>
            <w:tcBorders>
              <w:left w:val="nil"/>
              <w:right w:val="nil"/>
            </w:tcBorders>
            <w:vAlign w:val="bottom"/>
          </w:tcPr>
          <w:p w14:paraId="55E8FEEC" w14:textId="2E6FA17D" w:rsidR="00E60E84" w:rsidRPr="00F2575A" w:rsidRDefault="00E60E84" w:rsidP="00577845">
            <w:pPr>
              <w:tabs>
                <w:tab w:val="decimal" w:pos="484"/>
              </w:tabs>
              <w:spacing w:after="0"/>
              <w:rPr>
                <w:rFonts w:eastAsia="Arial"/>
                <w:sz w:val="16"/>
                <w:szCs w:val="24"/>
                <w:lang w:eastAsia="en-GB"/>
              </w:rPr>
            </w:pPr>
            <w:r w:rsidRPr="00EC7EF4">
              <w:rPr>
                <w:rFonts w:eastAsia="Arial"/>
                <w:sz w:val="16"/>
                <w:szCs w:val="24"/>
                <w:lang w:eastAsia="en-GB"/>
              </w:rPr>
              <w:t>-</w:t>
            </w:r>
          </w:p>
        </w:tc>
        <w:tc>
          <w:tcPr>
            <w:tcW w:w="746" w:type="dxa"/>
            <w:gridSpan w:val="2"/>
            <w:tcBorders>
              <w:left w:val="nil"/>
              <w:right w:val="nil"/>
            </w:tcBorders>
            <w:vAlign w:val="bottom"/>
          </w:tcPr>
          <w:p w14:paraId="6688872A" w14:textId="0B92FB66" w:rsidR="00E60E84" w:rsidRPr="00F2575A" w:rsidRDefault="00E60E84" w:rsidP="00E60E84">
            <w:pPr>
              <w:tabs>
                <w:tab w:val="decimal" w:pos="354"/>
              </w:tabs>
              <w:spacing w:after="0"/>
              <w:rPr>
                <w:rFonts w:eastAsia="Arial"/>
                <w:sz w:val="16"/>
                <w:szCs w:val="24"/>
                <w:lang w:eastAsia="en-GB"/>
              </w:rPr>
            </w:pPr>
            <w:r>
              <w:rPr>
                <w:rFonts w:eastAsia="Arial"/>
                <w:sz w:val="16"/>
                <w:szCs w:val="24"/>
                <w:lang w:eastAsia="en-GB"/>
              </w:rPr>
              <w:t>-</w:t>
            </w:r>
          </w:p>
        </w:tc>
      </w:tr>
      <w:tr w:rsidR="00CB3AA6" w:rsidRPr="004F6EE6" w14:paraId="636E790A"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289A232" w14:textId="20266780" w:rsidR="002B019F" w:rsidRPr="00C03A7B" w:rsidRDefault="002B019F" w:rsidP="002B019F">
            <w:pPr>
              <w:spacing w:after="0"/>
              <w:rPr>
                <w:rFonts w:eastAsia="Arial"/>
                <w:sz w:val="16"/>
                <w:szCs w:val="24"/>
                <w:lang w:eastAsia="en-GB"/>
              </w:rPr>
            </w:pPr>
            <w:r w:rsidRPr="00C03A7B">
              <w:rPr>
                <w:rFonts w:eastAsia="Arial"/>
                <w:sz w:val="16"/>
                <w:szCs w:val="24"/>
                <w:lang w:eastAsia="en-GB"/>
              </w:rPr>
              <w:t>Dividends paid</w:t>
            </w:r>
          </w:p>
        </w:tc>
        <w:tc>
          <w:tcPr>
            <w:tcW w:w="343" w:type="dxa"/>
            <w:tcBorders>
              <w:left w:val="nil"/>
              <w:right w:val="nil"/>
            </w:tcBorders>
          </w:tcPr>
          <w:p w14:paraId="25204E41" w14:textId="77777777" w:rsidR="002B019F" w:rsidRPr="00F2575A" w:rsidRDefault="002B019F" w:rsidP="002B019F">
            <w:pPr>
              <w:spacing w:after="0"/>
              <w:jc w:val="right"/>
              <w:rPr>
                <w:rFonts w:eastAsia="Arial"/>
                <w:sz w:val="16"/>
                <w:szCs w:val="24"/>
                <w:highlight w:val="yellow"/>
                <w:lang w:eastAsia="en-GB"/>
              </w:rPr>
            </w:pPr>
          </w:p>
        </w:tc>
        <w:tc>
          <w:tcPr>
            <w:tcW w:w="841" w:type="dxa"/>
            <w:tcBorders>
              <w:left w:val="nil"/>
              <w:right w:val="nil"/>
            </w:tcBorders>
            <w:vAlign w:val="bottom"/>
          </w:tcPr>
          <w:p w14:paraId="6366D147" w14:textId="63EA6F19" w:rsidR="002B019F" w:rsidRPr="00EC7EF4" w:rsidRDefault="002B019F" w:rsidP="002B019F">
            <w:pPr>
              <w:tabs>
                <w:tab w:val="decimal" w:pos="483"/>
              </w:tabs>
              <w:spacing w:after="0"/>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7A777D70" w14:textId="20C33A5E" w:rsidR="002B019F" w:rsidRPr="00EC7EF4" w:rsidRDefault="002B019F" w:rsidP="002B019F">
            <w:pPr>
              <w:tabs>
                <w:tab w:val="decimal" w:pos="533"/>
              </w:tabs>
              <w:spacing w:after="0"/>
              <w:rPr>
                <w:rFonts w:eastAsia="Arial"/>
                <w:sz w:val="16"/>
                <w:szCs w:val="24"/>
                <w:lang w:eastAsia="en-GB"/>
              </w:rPr>
            </w:pPr>
            <w:r w:rsidRPr="00EC7EF4">
              <w:rPr>
                <w:rFonts w:eastAsia="Arial"/>
                <w:sz w:val="16"/>
                <w:szCs w:val="24"/>
                <w:lang w:eastAsia="en-GB"/>
              </w:rPr>
              <w:t>-</w:t>
            </w:r>
          </w:p>
        </w:tc>
        <w:tc>
          <w:tcPr>
            <w:tcW w:w="884" w:type="dxa"/>
            <w:tcBorders>
              <w:left w:val="nil"/>
              <w:right w:val="nil"/>
            </w:tcBorders>
            <w:shd w:val="clear" w:color="auto" w:fill="auto"/>
            <w:tcMar>
              <w:left w:w="0" w:type="dxa"/>
              <w:right w:w="0" w:type="dxa"/>
            </w:tcMar>
            <w:vAlign w:val="bottom"/>
          </w:tcPr>
          <w:p w14:paraId="55141A10" w14:textId="7CA2F878" w:rsidR="002B019F" w:rsidRPr="00EC7EF4" w:rsidRDefault="002B019F" w:rsidP="002B019F">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7F38B2B2" w14:textId="13230902" w:rsidR="002B019F" w:rsidRPr="00EC7EF4" w:rsidRDefault="002B019F" w:rsidP="002B019F">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auto"/>
            <w:tcMar>
              <w:left w:w="0" w:type="dxa"/>
              <w:right w:w="0" w:type="dxa"/>
            </w:tcMar>
            <w:vAlign w:val="bottom"/>
          </w:tcPr>
          <w:p w14:paraId="3D2C6388" w14:textId="5BF4852C" w:rsidR="002B019F" w:rsidRPr="00EC7EF4" w:rsidRDefault="002B019F" w:rsidP="002B019F">
            <w:pPr>
              <w:tabs>
                <w:tab w:val="decimal" w:pos="541"/>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17</w:t>
            </w:r>
            <w:r w:rsidRPr="00F2575A">
              <w:rPr>
                <w:rFonts w:eastAsia="Arial"/>
                <w:sz w:val="16"/>
                <w:szCs w:val="24"/>
                <w:lang w:eastAsia="en-GB"/>
              </w:rPr>
              <w:t>.6)</w:t>
            </w:r>
          </w:p>
        </w:tc>
        <w:tc>
          <w:tcPr>
            <w:tcW w:w="842" w:type="dxa"/>
            <w:tcBorders>
              <w:left w:val="nil"/>
              <w:right w:val="nil"/>
            </w:tcBorders>
            <w:vAlign w:val="bottom"/>
          </w:tcPr>
          <w:p w14:paraId="6AF31E76" w14:textId="29BA6013" w:rsidR="002B019F" w:rsidRPr="00EC7EF4" w:rsidRDefault="002B019F" w:rsidP="002B019F">
            <w:pPr>
              <w:tabs>
                <w:tab w:val="decimal" w:pos="435"/>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17</w:t>
            </w:r>
            <w:r w:rsidRPr="00F2575A">
              <w:rPr>
                <w:rFonts w:eastAsia="Arial"/>
                <w:sz w:val="16"/>
                <w:szCs w:val="24"/>
                <w:lang w:eastAsia="en-GB"/>
              </w:rPr>
              <w:t>.6)</w:t>
            </w:r>
          </w:p>
        </w:tc>
        <w:tc>
          <w:tcPr>
            <w:tcW w:w="901" w:type="dxa"/>
            <w:tcBorders>
              <w:left w:val="nil"/>
              <w:right w:val="nil"/>
            </w:tcBorders>
            <w:vAlign w:val="bottom"/>
          </w:tcPr>
          <w:p w14:paraId="0BE48EB4" w14:textId="11D14B48" w:rsidR="002B019F" w:rsidRPr="00EC7EF4" w:rsidRDefault="002B019F"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right w:val="nil"/>
            </w:tcBorders>
            <w:vAlign w:val="bottom"/>
          </w:tcPr>
          <w:p w14:paraId="5A43505A" w14:textId="223A3668" w:rsidR="002B019F" w:rsidRPr="00EC7EF4" w:rsidRDefault="002B019F" w:rsidP="002B019F">
            <w:pPr>
              <w:tabs>
                <w:tab w:val="decimal" w:pos="354"/>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17</w:t>
            </w:r>
            <w:r w:rsidRPr="00F2575A">
              <w:rPr>
                <w:rFonts w:eastAsia="Arial"/>
                <w:sz w:val="16"/>
                <w:szCs w:val="24"/>
                <w:lang w:eastAsia="en-GB"/>
              </w:rPr>
              <w:t>.6)</w:t>
            </w:r>
          </w:p>
        </w:tc>
      </w:tr>
      <w:tr w:rsidR="00CB3AA6" w:rsidRPr="004F6EE6" w14:paraId="354FAF50"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03718348" w14:textId="7FE6CEBC" w:rsidR="002B019F" w:rsidRPr="00C03A7B" w:rsidRDefault="002B019F" w:rsidP="002B019F">
            <w:pPr>
              <w:spacing w:after="0"/>
              <w:rPr>
                <w:rFonts w:eastAsia="Arial"/>
                <w:sz w:val="16"/>
                <w:szCs w:val="24"/>
                <w:lang w:eastAsia="en-GB"/>
              </w:rPr>
            </w:pPr>
            <w:r w:rsidRPr="00C03A7B">
              <w:rPr>
                <w:rFonts w:eastAsia="Arial"/>
                <w:sz w:val="16"/>
                <w:szCs w:val="24"/>
                <w:lang w:eastAsia="en-GB"/>
              </w:rPr>
              <w:t>Purchase of shares by EBT</w:t>
            </w:r>
          </w:p>
        </w:tc>
        <w:tc>
          <w:tcPr>
            <w:tcW w:w="343" w:type="dxa"/>
            <w:tcBorders>
              <w:left w:val="nil"/>
              <w:right w:val="nil"/>
            </w:tcBorders>
          </w:tcPr>
          <w:p w14:paraId="34C610D0" w14:textId="77777777" w:rsidR="002B019F" w:rsidRPr="00F2575A" w:rsidRDefault="002B019F" w:rsidP="002B019F">
            <w:pPr>
              <w:spacing w:after="0"/>
              <w:jc w:val="right"/>
              <w:rPr>
                <w:rFonts w:eastAsia="Arial"/>
                <w:sz w:val="16"/>
                <w:szCs w:val="24"/>
                <w:highlight w:val="yellow"/>
                <w:lang w:eastAsia="en-GB"/>
              </w:rPr>
            </w:pPr>
          </w:p>
        </w:tc>
        <w:tc>
          <w:tcPr>
            <w:tcW w:w="841" w:type="dxa"/>
            <w:tcBorders>
              <w:left w:val="nil"/>
              <w:right w:val="nil"/>
            </w:tcBorders>
            <w:vAlign w:val="bottom"/>
          </w:tcPr>
          <w:p w14:paraId="2D7FC31F" w14:textId="33B4FC8E" w:rsidR="002B019F" w:rsidRPr="00EC7EF4" w:rsidRDefault="002B019F" w:rsidP="002B019F">
            <w:pPr>
              <w:tabs>
                <w:tab w:val="decimal" w:pos="483"/>
              </w:tabs>
              <w:spacing w:after="0"/>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196D41A6" w14:textId="2271B12A" w:rsidR="002B019F" w:rsidRPr="00EC7EF4" w:rsidRDefault="002B019F" w:rsidP="002B019F">
            <w:pPr>
              <w:tabs>
                <w:tab w:val="decimal" w:pos="533"/>
              </w:tabs>
              <w:spacing w:after="0"/>
              <w:rPr>
                <w:rFonts w:eastAsia="Arial"/>
                <w:sz w:val="16"/>
                <w:szCs w:val="24"/>
                <w:lang w:eastAsia="en-GB"/>
              </w:rPr>
            </w:pPr>
            <w:r w:rsidRPr="00EC7EF4">
              <w:rPr>
                <w:rFonts w:eastAsia="Arial"/>
                <w:sz w:val="16"/>
                <w:szCs w:val="24"/>
                <w:lang w:eastAsia="en-GB"/>
              </w:rPr>
              <w:t>-</w:t>
            </w:r>
          </w:p>
        </w:tc>
        <w:tc>
          <w:tcPr>
            <w:tcW w:w="884" w:type="dxa"/>
            <w:tcBorders>
              <w:left w:val="nil"/>
              <w:right w:val="nil"/>
            </w:tcBorders>
            <w:shd w:val="clear" w:color="auto" w:fill="auto"/>
            <w:tcMar>
              <w:left w:w="0" w:type="dxa"/>
              <w:right w:w="0" w:type="dxa"/>
            </w:tcMar>
            <w:vAlign w:val="bottom"/>
          </w:tcPr>
          <w:p w14:paraId="0F7C386D" w14:textId="5E524DB9" w:rsidR="002B019F" w:rsidRPr="00EC7EF4" w:rsidRDefault="002B019F" w:rsidP="002B019F">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2B8D6D23" w14:textId="167C8C93" w:rsidR="002B019F" w:rsidRPr="00EC7EF4" w:rsidRDefault="002B019F" w:rsidP="002B019F">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auto"/>
            <w:tcMar>
              <w:left w:w="0" w:type="dxa"/>
              <w:right w:w="0" w:type="dxa"/>
            </w:tcMar>
            <w:vAlign w:val="bottom"/>
          </w:tcPr>
          <w:p w14:paraId="6BA0B2C0" w14:textId="395F2F4F" w:rsidR="002B019F" w:rsidRPr="00EC7EF4" w:rsidRDefault="002B019F" w:rsidP="002B019F">
            <w:pPr>
              <w:tabs>
                <w:tab w:val="decimal" w:pos="541"/>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0.9</w:t>
            </w:r>
            <w:r w:rsidRPr="00F2575A">
              <w:rPr>
                <w:rFonts w:eastAsia="Arial"/>
                <w:sz w:val="16"/>
                <w:szCs w:val="24"/>
                <w:lang w:eastAsia="en-GB"/>
              </w:rPr>
              <w:t>)</w:t>
            </w:r>
          </w:p>
        </w:tc>
        <w:tc>
          <w:tcPr>
            <w:tcW w:w="842" w:type="dxa"/>
            <w:tcBorders>
              <w:left w:val="nil"/>
              <w:right w:val="nil"/>
            </w:tcBorders>
            <w:vAlign w:val="bottom"/>
          </w:tcPr>
          <w:p w14:paraId="0EF66431" w14:textId="05567328" w:rsidR="002B019F" w:rsidRPr="00EC7EF4" w:rsidRDefault="002B019F" w:rsidP="002B019F">
            <w:pPr>
              <w:tabs>
                <w:tab w:val="decimal" w:pos="435"/>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0.9</w:t>
            </w:r>
            <w:r w:rsidRPr="00F2575A">
              <w:rPr>
                <w:rFonts w:eastAsia="Arial"/>
                <w:sz w:val="16"/>
                <w:szCs w:val="24"/>
                <w:lang w:eastAsia="en-GB"/>
              </w:rPr>
              <w:t>)</w:t>
            </w:r>
          </w:p>
        </w:tc>
        <w:tc>
          <w:tcPr>
            <w:tcW w:w="901" w:type="dxa"/>
            <w:tcBorders>
              <w:left w:val="nil"/>
              <w:right w:val="nil"/>
            </w:tcBorders>
            <w:vAlign w:val="bottom"/>
          </w:tcPr>
          <w:p w14:paraId="1D6E69C5" w14:textId="28FF8941" w:rsidR="002B019F" w:rsidRPr="00EC7EF4" w:rsidRDefault="002B019F"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right w:val="nil"/>
            </w:tcBorders>
            <w:vAlign w:val="bottom"/>
          </w:tcPr>
          <w:p w14:paraId="2FDC665C" w14:textId="3F5EC983" w:rsidR="002B019F" w:rsidRPr="00EC7EF4" w:rsidRDefault="002B019F" w:rsidP="002B019F">
            <w:pPr>
              <w:tabs>
                <w:tab w:val="decimal" w:pos="354"/>
              </w:tabs>
              <w:spacing w:after="0"/>
              <w:rPr>
                <w:rFonts w:eastAsia="Arial"/>
                <w:sz w:val="16"/>
                <w:szCs w:val="24"/>
                <w:lang w:eastAsia="en-GB"/>
              </w:rPr>
            </w:pPr>
            <w:r w:rsidRPr="00F2575A">
              <w:rPr>
                <w:rFonts w:eastAsia="Arial"/>
                <w:sz w:val="16"/>
                <w:szCs w:val="24"/>
                <w:lang w:eastAsia="en-GB"/>
              </w:rPr>
              <w:t>(</w:t>
            </w:r>
            <w:r>
              <w:rPr>
                <w:rFonts w:eastAsia="Arial"/>
                <w:sz w:val="16"/>
                <w:szCs w:val="24"/>
                <w:lang w:eastAsia="en-GB"/>
              </w:rPr>
              <w:t>0.9</w:t>
            </w:r>
            <w:r w:rsidRPr="00F2575A">
              <w:rPr>
                <w:rFonts w:eastAsia="Arial"/>
                <w:sz w:val="16"/>
                <w:szCs w:val="24"/>
                <w:lang w:eastAsia="en-GB"/>
              </w:rPr>
              <w:t>)</w:t>
            </w:r>
          </w:p>
        </w:tc>
      </w:tr>
      <w:tr w:rsidR="00CB3AA6" w:rsidRPr="004F6EE6" w14:paraId="61F5BF40"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65F3ED80" w14:textId="2BB6DA9D" w:rsidR="002B019F" w:rsidRPr="00C03A7B" w:rsidRDefault="002B019F" w:rsidP="002B019F">
            <w:pPr>
              <w:spacing w:after="0"/>
              <w:rPr>
                <w:rFonts w:eastAsia="Arial"/>
                <w:sz w:val="16"/>
                <w:szCs w:val="24"/>
                <w:lang w:eastAsia="en-GB"/>
              </w:rPr>
            </w:pPr>
            <w:r w:rsidRPr="00C03A7B">
              <w:rPr>
                <w:rFonts w:eastAsia="Arial"/>
                <w:sz w:val="16"/>
                <w:szCs w:val="24"/>
                <w:lang w:eastAsia="en-GB"/>
              </w:rPr>
              <w:t>Share-based payments</w:t>
            </w:r>
          </w:p>
        </w:tc>
        <w:tc>
          <w:tcPr>
            <w:tcW w:w="343" w:type="dxa"/>
            <w:tcBorders>
              <w:left w:val="nil"/>
              <w:right w:val="nil"/>
            </w:tcBorders>
          </w:tcPr>
          <w:p w14:paraId="59EB2CCD" w14:textId="77777777" w:rsidR="002B019F" w:rsidRPr="00F2575A" w:rsidRDefault="002B019F" w:rsidP="002B019F">
            <w:pPr>
              <w:spacing w:after="0"/>
              <w:jc w:val="right"/>
              <w:rPr>
                <w:rFonts w:eastAsia="Arial"/>
                <w:sz w:val="16"/>
                <w:szCs w:val="24"/>
                <w:highlight w:val="yellow"/>
                <w:lang w:eastAsia="en-GB"/>
              </w:rPr>
            </w:pPr>
          </w:p>
        </w:tc>
        <w:tc>
          <w:tcPr>
            <w:tcW w:w="841" w:type="dxa"/>
            <w:tcBorders>
              <w:left w:val="nil"/>
              <w:right w:val="nil"/>
            </w:tcBorders>
            <w:vAlign w:val="bottom"/>
          </w:tcPr>
          <w:p w14:paraId="2E22A47E" w14:textId="4149B1B2" w:rsidR="002B019F" w:rsidRPr="00EC7EF4" w:rsidRDefault="002B019F" w:rsidP="002B019F">
            <w:pPr>
              <w:tabs>
                <w:tab w:val="decimal" w:pos="483"/>
              </w:tabs>
              <w:spacing w:after="0"/>
              <w:rPr>
                <w:rFonts w:eastAsia="Arial"/>
                <w:sz w:val="16"/>
                <w:szCs w:val="24"/>
                <w:lang w:eastAsia="en-GB"/>
              </w:rPr>
            </w:pPr>
            <w:r w:rsidRPr="00EC7EF4">
              <w:rPr>
                <w:rFonts w:eastAsia="Arial"/>
                <w:sz w:val="16"/>
                <w:szCs w:val="24"/>
                <w:lang w:eastAsia="en-GB"/>
              </w:rPr>
              <w:t>-</w:t>
            </w:r>
          </w:p>
        </w:tc>
        <w:tc>
          <w:tcPr>
            <w:tcW w:w="680" w:type="dxa"/>
            <w:tcBorders>
              <w:left w:val="nil"/>
              <w:right w:val="nil"/>
            </w:tcBorders>
            <w:shd w:val="clear" w:color="auto" w:fill="auto"/>
            <w:tcMar>
              <w:left w:w="0" w:type="dxa"/>
              <w:right w:w="0" w:type="dxa"/>
            </w:tcMar>
            <w:vAlign w:val="bottom"/>
          </w:tcPr>
          <w:p w14:paraId="020D3E75" w14:textId="5C764075" w:rsidR="002B019F" w:rsidRPr="00EC7EF4" w:rsidRDefault="002B019F" w:rsidP="002B019F">
            <w:pPr>
              <w:tabs>
                <w:tab w:val="decimal" w:pos="533"/>
              </w:tabs>
              <w:spacing w:after="0"/>
              <w:rPr>
                <w:rFonts w:eastAsia="Arial"/>
                <w:sz w:val="16"/>
                <w:szCs w:val="24"/>
                <w:lang w:eastAsia="en-GB"/>
              </w:rPr>
            </w:pPr>
            <w:r w:rsidRPr="00EC7EF4">
              <w:rPr>
                <w:rFonts w:eastAsia="Arial"/>
                <w:sz w:val="16"/>
                <w:szCs w:val="24"/>
                <w:lang w:eastAsia="en-GB"/>
              </w:rPr>
              <w:t>-</w:t>
            </w:r>
          </w:p>
        </w:tc>
        <w:tc>
          <w:tcPr>
            <w:tcW w:w="884" w:type="dxa"/>
            <w:tcBorders>
              <w:left w:val="nil"/>
              <w:right w:val="nil"/>
            </w:tcBorders>
            <w:shd w:val="clear" w:color="auto" w:fill="auto"/>
            <w:tcMar>
              <w:left w:w="0" w:type="dxa"/>
              <w:right w:w="0" w:type="dxa"/>
            </w:tcMar>
            <w:vAlign w:val="bottom"/>
          </w:tcPr>
          <w:p w14:paraId="5121C952" w14:textId="3F93B693" w:rsidR="002B019F" w:rsidRPr="00EC7EF4" w:rsidRDefault="002B019F" w:rsidP="002B019F">
            <w:pPr>
              <w:tabs>
                <w:tab w:val="decimal" w:pos="749"/>
              </w:tabs>
              <w:spacing w:after="0"/>
              <w:rPr>
                <w:rFonts w:eastAsia="Arial"/>
                <w:sz w:val="16"/>
                <w:szCs w:val="24"/>
                <w:lang w:eastAsia="en-GB"/>
              </w:rPr>
            </w:pPr>
            <w:r w:rsidRPr="00EC7EF4">
              <w:rPr>
                <w:rFonts w:eastAsia="Arial"/>
                <w:sz w:val="16"/>
                <w:szCs w:val="24"/>
                <w:lang w:eastAsia="en-GB"/>
              </w:rPr>
              <w:t>-</w:t>
            </w:r>
          </w:p>
        </w:tc>
        <w:tc>
          <w:tcPr>
            <w:tcW w:w="834" w:type="dxa"/>
            <w:tcBorders>
              <w:left w:val="nil"/>
              <w:right w:val="nil"/>
            </w:tcBorders>
            <w:shd w:val="clear" w:color="auto" w:fill="auto"/>
            <w:tcMar>
              <w:left w:w="0" w:type="dxa"/>
              <w:right w:w="0" w:type="dxa"/>
            </w:tcMar>
            <w:vAlign w:val="bottom"/>
          </w:tcPr>
          <w:p w14:paraId="18353F30" w14:textId="20CFF8BA" w:rsidR="002B019F" w:rsidRPr="00EC7EF4" w:rsidRDefault="002B019F" w:rsidP="002B019F">
            <w:pPr>
              <w:tabs>
                <w:tab w:val="decimal" w:pos="667"/>
              </w:tabs>
              <w:spacing w:after="0"/>
              <w:rPr>
                <w:rFonts w:eastAsia="Arial"/>
                <w:sz w:val="16"/>
                <w:szCs w:val="24"/>
                <w:lang w:eastAsia="en-GB"/>
              </w:rPr>
            </w:pPr>
            <w:r w:rsidRPr="00EC7EF4">
              <w:rPr>
                <w:rFonts w:eastAsia="Arial"/>
                <w:sz w:val="16"/>
                <w:szCs w:val="24"/>
                <w:lang w:eastAsia="en-GB"/>
              </w:rPr>
              <w:t>-</w:t>
            </w:r>
          </w:p>
        </w:tc>
        <w:tc>
          <w:tcPr>
            <w:tcW w:w="779" w:type="dxa"/>
            <w:tcBorders>
              <w:left w:val="nil"/>
              <w:right w:val="nil"/>
            </w:tcBorders>
            <w:shd w:val="clear" w:color="auto" w:fill="auto"/>
            <w:tcMar>
              <w:left w:w="0" w:type="dxa"/>
              <w:right w:w="0" w:type="dxa"/>
            </w:tcMar>
            <w:vAlign w:val="bottom"/>
          </w:tcPr>
          <w:p w14:paraId="4DC5CA3C" w14:textId="5A06CE35" w:rsidR="002B019F" w:rsidRPr="00EC7EF4" w:rsidRDefault="002B019F" w:rsidP="002B019F">
            <w:pPr>
              <w:tabs>
                <w:tab w:val="decimal" w:pos="541"/>
              </w:tabs>
              <w:spacing w:after="0"/>
              <w:rPr>
                <w:rFonts w:eastAsia="Arial"/>
                <w:sz w:val="16"/>
                <w:szCs w:val="24"/>
                <w:lang w:eastAsia="en-GB"/>
              </w:rPr>
            </w:pPr>
            <w:r>
              <w:rPr>
                <w:rFonts w:eastAsia="Arial"/>
                <w:sz w:val="16"/>
                <w:szCs w:val="24"/>
                <w:lang w:eastAsia="en-GB"/>
              </w:rPr>
              <w:t>7.</w:t>
            </w:r>
            <w:r w:rsidR="00E8136A">
              <w:rPr>
                <w:rFonts w:eastAsia="Arial"/>
                <w:sz w:val="16"/>
                <w:szCs w:val="24"/>
                <w:lang w:eastAsia="en-GB"/>
              </w:rPr>
              <w:t>2</w:t>
            </w:r>
          </w:p>
        </w:tc>
        <w:tc>
          <w:tcPr>
            <w:tcW w:w="842" w:type="dxa"/>
            <w:tcBorders>
              <w:left w:val="nil"/>
              <w:right w:val="nil"/>
            </w:tcBorders>
            <w:vAlign w:val="bottom"/>
          </w:tcPr>
          <w:p w14:paraId="37EC49AC" w14:textId="5221A2F7" w:rsidR="002B019F" w:rsidRPr="00EC7EF4" w:rsidRDefault="002B019F" w:rsidP="002B019F">
            <w:pPr>
              <w:tabs>
                <w:tab w:val="decimal" w:pos="435"/>
              </w:tabs>
              <w:spacing w:after="0"/>
              <w:rPr>
                <w:rFonts w:eastAsia="Arial"/>
                <w:sz w:val="16"/>
                <w:szCs w:val="24"/>
                <w:lang w:eastAsia="en-GB"/>
              </w:rPr>
            </w:pPr>
            <w:r>
              <w:rPr>
                <w:rFonts w:eastAsia="Arial"/>
                <w:sz w:val="16"/>
                <w:szCs w:val="24"/>
                <w:lang w:eastAsia="en-GB"/>
              </w:rPr>
              <w:t>7.</w:t>
            </w:r>
            <w:r w:rsidR="0063652D">
              <w:rPr>
                <w:rFonts w:eastAsia="Arial"/>
                <w:sz w:val="16"/>
                <w:szCs w:val="24"/>
                <w:lang w:eastAsia="en-GB"/>
              </w:rPr>
              <w:t>2</w:t>
            </w:r>
          </w:p>
        </w:tc>
        <w:tc>
          <w:tcPr>
            <w:tcW w:w="901" w:type="dxa"/>
            <w:tcBorders>
              <w:left w:val="nil"/>
              <w:right w:val="nil"/>
            </w:tcBorders>
            <w:vAlign w:val="bottom"/>
          </w:tcPr>
          <w:p w14:paraId="7ED31835" w14:textId="22D0662C" w:rsidR="002B019F" w:rsidRPr="00EC7EF4" w:rsidRDefault="002B019F" w:rsidP="00577845">
            <w:pPr>
              <w:tabs>
                <w:tab w:val="decimal" w:pos="484"/>
              </w:tabs>
              <w:spacing w:after="0"/>
              <w:rPr>
                <w:rFonts w:eastAsia="Arial"/>
                <w:sz w:val="16"/>
                <w:szCs w:val="24"/>
                <w:lang w:eastAsia="en-GB"/>
              </w:rPr>
            </w:pPr>
            <w:r w:rsidRPr="00F2575A">
              <w:rPr>
                <w:rFonts w:eastAsia="Arial"/>
                <w:sz w:val="16"/>
                <w:szCs w:val="24"/>
                <w:lang w:eastAsia="en-GB"/>
              </w:rPr>
              <w:t>-</w:t>
            </w:r>
          </w:p>
        </w:tc>
        <w:tc>
          <w:tcPr>
            <w:tcW w:w="746" w:type="dxa"/>
            <w:gridSpan w:val="2"/>
            <w:tcBorders>
              <w:left w:val="nil"/>
              <w:right w:val="nil"/>
            </w:tcBorders>
            <w:vAlign w:val="bottom"/>
          </w:tcPr>
          <w:p w14:paraId="0354A976" w14:textId="6F75C428" w:rsidR="002B019F" w:rsidRPr="00EC7EF4" w:rsidRDefault="002B019F" w:rsidP="002B019F">
            <w:pPr>
              <w:tabs>
                <w:tab w:val="decimal" w:pos="354"/>
              </w:tabs>
              <w:spacing w:after="0"/>
              <w:rPr>
                <w:rFonts w:eastAsia="Arial"/>
                <w:sz w:val="16"/>
                <w:szCs w:val="24"/>
                <w:lang w:eastAsia="en-GB"/>
              </w:rPr>
            </w:pPr>
            <w:r>
              <w:rPr>
                <w:rFonts w:eastAsia="Arial"/>
                <w:sz w:val="16"/>
                <w:szCs w:val="24"/>
                <w:lang w:eastAsia="en-GB"/>
              </w:rPr>
              <w:t>7.</w:t>
            </w:r>
            <w:r w:rsidR="0063652D">
              <w:rPr>
                <w:rFonts w:eastAsia="Arial"/>
                <w:sz w:val="16"/>
                <w:szCs w:val="24"/>
                <w:lang w:eastAsia="en-GB"/>
              </w:rPr>
              <w:t>2</w:t>
            </w:r>
          </w:p>
        </w:tc>
      </w:tr>
      <w:tr w:rsidR="00CB3AA6" w:rsidRPr="004F6EE6" w14:paraId="4E0D3752"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2494324F" w14:textId="6C102452" w:rsidR="00E60E84" w:rsidRPr="00C03A7B" w:rsidRDefault="00E60E84" w:rsidP="00E60E84">
            <w:pPr>
              <w:spacing w:after="0"/>
              <w:rPr>
                <w:rFonts w:eastAsia="Arial"/>
                <w:sz w:val="16"/>
                <w:szCs w:val="24"/>
                <w:lang w:eastAsia="en-GB"/>
              </w:rPr>
            </w:pPr>
            <w:r w:rsidRPr="00C03A7B">
              <w:rPr>
                <w:rFonts w:eastAsia="Arial"/>
                <w:b/>
                <w:sz w:val="16"/>
                <w:szCs w:val="24"/>
                <w:lang w:eastAsia="en-GB"/>
              </w:rPr>
              <w:t>Total transactions with owners</w:t>
            </w:r>
          </w:p>
        </w:tc>
        <w:tc>
          <w:tcPr>
            <w:tcW w:w="343" w:type="dxa"/>
            <w:tcBorders>
              <w:left w:val="nil"/>
              <w:right w:val="nil"/>
            </w:tcBorders>
          </w:tcPr>
          <w:p w14:paraId="645AD837" w14:textId="77777777" w:rsidR="00E60E84" w:rsidRPr="00F2575A" w:rsidRDefault="00E60E84" w:rsidP="00E60E84">
            <w:pPr>
              <w:spacing w:after="0"/>
              <w:jc w:val="right"/>
              <w:rPr>
                <w:rFonts w:eastAsia="Arial"/>
                <w:sz w:val="16"/>
                <w:szCs w:val="24"/>
                <w:highlight w:val="yellow"/>
                <w:lang w:eastAsia="en-GB"/>
              </w:rPr>
            </w:pPr>
          </w:p>
        </w:tc>
        <w:tc>
          <w:tcPr>
            <w:tcW w:w="841" w:type="dxa"/>
            <w:tcBorders>
              <w:top w:val="single" w:sz="4" w:space="0" w:color="auto"/>
              <w:left w:val="nil"/>
              <w:bottom w:val="single" w:sz="4" w:space="0" w:color="auto"/>
              <w:right w:val="nil"/>
            </w:tcBorders>
            <w:vAlign w:val="bottom"/>
          </w:tcPr>
          <w:p w14:paraId="0C2595D1" w14:textId="4332D8E6" w:rsidR="00E60E84" w:rsidRPr="00F2575A" w:rsidRDefault="00E60E84" w:rsidP="00E60E84">
            <w:pPr>
              <w:tabs>
                <w:tab w:val="decimal" w:pos="483"/>
              </w:tabs>
              <w:spacing w:after="0"/>
              <w:rPr>
                <w:rFonts w:eastAsia="Arial"/>
                <w:sz w:val="16"/>
                <w:szCs w:val="24"/>
                <w:highlight w:val="yellow"/>
                <w:lang w:eastAsia="en-GB"/>
              </w:rPr>
            </w:pPr>
            <w:r w:rsidRPr="006C22D1">
              <w:rPr>
                <w:rFonts w:eastAsia="Arial"/>
                <w:b/>
                <w:bCs/>
                <w:sz w:val="16"/>
                <w:szCs w:val="24"/>
                <w:lang w:eastAsia="en-GB"/>
              </w:rPr>
              <w:t>-</w:t>
            </w:r>
          </w:p>
        </w:tc>
        <w:tc>
          <w:tcPr>
            <w:tcW w:w="680" w:type="dxa"/>
            <w:tcBorders>
              <w:top w:val="single" w:sz="4" w:space="0" w:color="auto"/>
              <w:left w:val="nil"/>
              <w:bottom w:val="single" w:sz="4" w:space="0" w:color="auto"/>
              <w:right w:val="nil"/>
            </w:tcBorders>
            <w:shd w:val="clear" w:color="auto" w:fill="auto"/>
            <w:tcMar>
              <w:left w:w="0" w:type="dxa"/>
              <w:right w:w="0" w:type="dxa"/>
            </w:tcMar>
            <w:vAlign w:val="bottom"/>
          </w:tcPr>
          <w:p w14:paraId="18F1329E" w14:textId="01884797" w:rsidR="00E60E84" w:rsidRPr="00F2575A" w:rsidRDefault="00E60E84" w:rsidP="00E60E84">
            <w:pPr>
              <w:tabs>
                <w:tab w:val="decimal" w:pos="533"/>
              </w:tabs>
              <w:spacing w:after="0"/>
              <w:rPr>
                <w:rFonts w:eastAsia="Arial"/>
                <w:sz w:val="16"/>
                <w:szCs w:val="24"/>
                <w:highlight w:val="yellow"/>
                <w:lang w:eastAsia="en-GB"/>
              </w:rPr>
            </w:pPr>
            <w:r>
              <w:rPr>
                <w:rFonts w:eastAsia="Arial"/>
                <w:b/>
                <w:bCs/>
                <w:sz w:val="16"/>
                <w:szCs w:val="24"/>
                <w:lang w:eastAsia="en-GB"/>
              </w:rPr>
              <w:t>0.</w:t>
            </w:r>
            <w:r w:rsidR="00CF0BB0">
              <w:rPr>
                <w:rFonts w:eastAsia="Arial"/>
                <w:b/>
                <w:bCs/>
                <w:sz w:val="16"/>
                <w:szCs w:val="24"/>
                <w:lang w:eastAsia="en-GB"/>
              </w:rPr>
              <w:t>1</w:t>
            </w:r>
          </w:p>
        </w:tc>
        <w:tc>
          <w:tcPr>
            <w:tcW w:w="884" w:type="dxa"/>
            <w:tcBorders>
              <w:top w:val="single" w:sz="4" w:space="0" w:color="auto"/>
              <w:left w:val="nil"/>
              <w:bottom w:val="single" w:sz="4" w:space="0" w:color="auto"/>
              <w:right w:val="nil"/>
            </w:tcBorders>
            <w:shd w:val="clear" w:color="auto" w:fill="auto"/>
            <w:tcMar>
              <w:left w:w="0" w:type="dxa"/>
              <w:right w:w="0" w:type="dxa"/>
            </w:tcMar>
            <w:vAlign w:val="bottom"/>
          </w:tcPr>
          <w:p w14:paraId="782F9A02" w14:textId="0EAE07DE" w:rsidR="00E60E84" w:rsidRPr="00F2575A" w:rsidRDefault="00E60E84" w:rsidP="00E60E84">
            <w:pPr>
              <w:tabs>
                <w:tab w:val="decimal" w:pos="749"/>
              </w:tabs>
              <w:spacing w:after="0"/>
              <w:rPr>
                <w:rFonts w:eastAsia="Arial"/>
                <w:sz w:val="16"/>
                <w:szCs w:val="24"/>
                <w:highlight w:val="yellow"/>
                <w:lang w:eastAsia="en-GB"/>
              </w:rPr>
            </w:pPr>
            <w:r w:rsidRPr="006C22D1">
              <w:rPr>
                <w:rFonts w:eastAsia="Arial"/>
                <w:b/>
                <w:bCs/>
                <w:sz w:val="16"/>
                <w:szCs w:val="24"/>
                <w:lang w:eastAsia="en-GB"/>
              </w:rPr>
              <w:t>-</w:t>
            </w:r>
          </w:p>
        </w:tc>
        <w:tc>
          <w:tcPr>
            <w:tcW w:w="834" w:type="dxa"/>
            <w:tcBorders>
              <w:top w:val="single" w:sz="4" w:space="0" w:color="auto"/>
              <w:left w:val="nil"/>
              <w:bottom w:val="single" w:sz="4" w:space="0" w:color="auto"/>
              <w:right w:val="nil"/>
            </w:tcBorders>
            <w:shd w:val="clear" w:color="auto" w:fill="auto"/>
            <w:tcMar>
              <w:left w:w="0" w:type="dxa"/>
              <w:right w:w="0" w:type="dxa"/>
            </w:tcMar>
            <w:vAlign w:val="bottom"/>
          </w:tcPr>
          <w:p w14:paraId="55342AEC" w14:textId="45707B2F" w:rsidR="00E60E84" w:rsidRPr="00F2575A" w:rsidRDefault="00E60E84" w:rsidP="00E60E84">
            <w:pPr>
              <w:tabs>
                <w:tab w:val="decimal" w:pos="667"/>
              </w:tabs>
              <w:spacing w:after="0"/>
              <w:rPr>
                <w:rFonts w:eastAsia="Arial"/>
                <w:sz w:val="16"/>
                <w:szCs w:val="24"/>
                <w:highlight w:val="yellow"/>
                <w:lang w:eastAsia="en-GB"/>
              </w:rPr>
            </w:pPr>
            <w:r>
              <w:rPr>
                <w:rFonts w:eastAsia="Arial"/>
                <w:b/>
                <w:bCs/>
                <w:sz w:val="16"/>
                <w:szCs w:val="24"/>
                <w:lang w:eastAsia="en-GB"/>
              </w:rPr>
              <w:t>-</w:t>
            </w:r>
          </w:p>
        </w:tc>
        <w:tc>
          <w:tcPr>
            <w:tcW w:w="779" w:type="dxa"/>
            <w:tcBorders>
              <w:top w:val="single" w:sz="4" w:space="0" w:color="auto"/>
              <w:left w:val="nil"/>
              <w:bottom w:val="single" w:sz="4" w:space="0" w:color="auto"/>
              <w:right w:val="nil"/>
            </w:tcBorders>
            <w:shd w:val="clear" w:color="auto" w:fill="auto"/>
            <w:tcMar>
              <w:left w:w="0" w:type="dxa"/>
              <w:right w:w="0" w:type="dxa"/>
            </w:tcMar>
            <w:vAlign w:val="bottom"/>
          </w:tcPr>
          <w:p w14:paraId="4D5F84AA" w14:textId="45FE2D5D" w:rsidR="00E60E84" w:rsidRPr="004A503E" w:rsidRDefault="00E60E84" w:rsidP="00E60E84">
            <w:pPr>
              <w:tabs>
                <w:tab w:val="decimal" w:pos="541"/>
              </w:tabs>
              <w:spacing w:after="0"/>
              <w:rPr>
                <w:rFonts w:eastAsia="Arial"/>
                <w:sz w:val="16"/>
                <w:szCs w:val="24"/>
                <w:lang w:eastAsia="en-GB"/>
              </w:rPr>
            </w:pPr>
            <w:r>
              <w:rPr>
                <w:rFonts w:eastAsia="Arial"/>
                <w:b/>
                <w:bCs/>
                <w:sz w:val="16"/>
                <w:szCs w:val="24"/>
                <w:lang w:eastAsia="en-GB"/>
              </w:rPr>
              <w:t>(1</w:t>
            </w:r>
            <w:r w:rsidR="00093293">
              <w:rPr>
                <w:rFonts w:eastAsia="Arial"/>
                <w:b/>
                <w:bCs/>
                <w:sz w:val="16"/>
                <w:szCs w:val="24"/>
                <w:lang w:eastAsia="en-GB"/>
              </w:rPr>
              <w:t>1.4</w:t>
            </w:r>
            <w:r>
              <w:rPr>
                <w:rFonts w:eastAsia="Arial"/>
                <w:b/>
                <w:bCs/>
                <w:sz w:val="16"/>
                <w:szCs w:val="24"/>
                <w:lang w:eastAsia="en-GB"/>
              </w:rPr>
              <w:t>)</w:t>
            </w:r>
          </w:p>
        </w:tc>
        <w:tc>
          <w:tcPr>
            <w:tcW w:w="842" w:type="dxa"/>
            <w:tcBorders>
              <w:top w:val="single" w:sz="4" w:space="0" w:color="auto"/>
              <w:left w:val="nil"/>
              <w:bottom w:val="single" w:sz="4" w:space="0" w:color="auto"/>
              <w:right w:val="nil"/>
            </w:tcBorders>
            <w:vAlign w:val="bottom"/>
          </w:tcPr>
          <w:p w14:paraId="64713AEF" w14:textId="600C78C8" w:rsidR="00E60E84" w:rsidRPr="004A503E" w:rsidRDefault="00E60E84" w:rsidP="00E60E84">
            <w:pPr>
              <w:tabs>
                <w:tab w:val="decimal" w:pos="435"/>
              </w:tabs>
              <w:spacing w:after="0"/>
              <w:rPr>
                <w:rFonts w:eastAsia="Arial"/>
                <w:sz w:val="16"/>
                <w:szCs w:val="24"/>
                <w:lang w:eastAsia="en-GB"/>
              </w:rPr>
            </w:pPr>
            <w:r w:rsidRPr="006C22D1">
              <w:rPr>
                <w:rFonts w:eastAsia="Arial"/>
                <w:b/>
                <w:bCs/>
                <w:sz w:val="16"/>
                <w:szCs w:val="24"/>
                <w:lang w:eastAsia="en-GB"/>
              </w:rPr>
              <w:t>(</w:t>
            </w:r>
            <w:r>
              <w:rPr>
                <w:rFonts w:eastAsia="Arial"/>
                <w:b/>
                <w:bCs/>
                <w:sz w:val="16"/>
                <w:szCs w:val="24"/>
                <w:lang w:eastAsia="en-GB"/>
              </w:rPr>
              <w:t>1</w:t>
            </w:r>
            <w:r w:rsidR="00392E61">
              <w:rPr>
                <w:rFonts w:eastAsia="Arial"/>
                <w:b/>
                <w:bCs/>
                <w:sz w:val="16"/>
                <w:szCs w:val="24"/>
                <w:lang w:eastAsia="en-GB"/>
              </w:rPr>
              <w:t>1.3</w:t>
            </w:r>
            <w:r w:rsidRPr="006C22D1">
              <w:rPr>
                <w:rFonts w:eastAsia="Arial"/>
                <w:b/>
                <w:bCs/>
                <w:sz w:val="16"/>
                <w:szCs w:val="24"/>
                <w:lang w:eastAsia="en-GB"/>
              </w:rPr>
              <w:t>)</w:t>
            </w:r>
            <w:r w:rsidRPr="006C22D1" w:rsidDel="00C255CF">
              <w:rPr>
                <w:rFonts w:eastAsia="Arial"/>
                <w:b/>
                <w:bCs/>
                <w:sz w:val="16"/>
                <w:szCs w:val="24"/>
                <w:lang w:eastAsia="en-GB"/>
              </w:rPr>
              <w:t xml:space="preserve"> </w:t>
            </w:r>
          </w:p>
        </w:tc>
        <w:tc>
          <w:tcPr>
            <w:tcW w:w="901" w:type="dxa"/>
            <w:tcBorders>
              <w:top w:val="single" w:sz="4" w:space="0" w:color="auto"/>
              <w:left w:val="nil"/>
              <w:bottom w:val="single" w:sz="4" w:space="0" w:color="auto"/>
              <w:right w:val="nil"/>
            </w:tcBorders>
            <w:vAlign w:val="bottom"/>
          </w:tcPr>
          <w:p w14:paraId="66EEC01C" w14:textId="4D9795BB" w:rsidR="00E60E84" w:rsidRPr="004A503E" w:rsidRDefault="00E60E84" w:rsidP="00577845">
            <w:pPr>
              <w:tabs>
                <w:tab w:val="decimal" w:pos="484"/>
              </w:tabs>
              <w:spacing w:after="0"/>
              <w:rPr>
                <w:rFonts w:eastAsia="Arial"/>
                <w:sz w:val="16"/>
                <w:szCs w:val="24"/>
                <w:lang w:eastAsia="en-GB"/>
              </w:rPr>
            </w:pPr>
            <w:r w:rsidRPr="006C22D1">
              <w:rPr>
                <w:rFonts w:eastAsia="Arial"/>
                <w:b/>
                <w:bCs/>
                <w:sz w:val="16"/>
                <w:szCs w:val="24"/>
                <w:lang w:eastAsia="en-GB"/>
              </w:rPr>
              <w:t>-</w:t>
            </w:r>
          </w:p>
        </w:tc>
        <w:tc>
          <w:tcPr>
            <w:tcW w:w="746" w:type="dxa"/>
            <w:gridSpan w:val="2"/>
            <w:tcBorders>
              <w:top w:val="single" w:sz="4" w:space="0" w:color="auto"/>
              <w:left w:val="nil"/>
              <w:bottom w:val="single" w:sz="4" w:space="0" w:color="auto"/>
              <w:right w:val="nil"/>
            </w:tcBorders>
            <w:vAlign w:val="bottom"/>
          </w:tcPr>
          <w:p w14:paraId="704CD17A" w14:textId="5433A75C" w:rsidR="00E60E84" w:rsidRPr="004A503E" w:rsidRDefault="00E60E84" w:rsidP="00E60E84">
            <w:pPr>
              <w:tabs>
                <w:tab w:val="decimal" w:pos="354"/>
              </w:tabs>
              <w:spacing w:after="0"/>
              <w:rPr>
                <w:rFonts w:eastAsia="Arial"/>
                <w:sz w:val="16"/>
                <w:szCs w:val="24"/>
                <w:lang w:eastAsia="en-GB"/>
              </w:rPr>
            </w:pPr>
            <w:r w:rsidRPr="006C22D1">
              <w:rPr>
                <w:rFonts w:eastAsia="Arial"/>
                <w:b/>
                <w:bCs/>
                <w:sz w:val="16"/>
                <w:szCs w:val="24"/>
                <w:lang w:eastAsia="en-GB"/>
              </w:rPr>
              <w:t>(</w:t>
            </w:r>
            <w:r w:rsidR="00A16421">
              <w:rPr>
                <w:rFonts w:eastAsia="Arial"/>
                <w:b/>
                <w:bCs/>
                <w:sz w:val="16"/>
                <w:szCs w:val="24"/>
                <w:lang w:eastAsia="en-GB"/>
              </w:rPr>
              <w:t>11.3</w:t>
            </w:r>
            <w:r w:rsidRPr="006C22D1">
              <w:rPr>
                <w:rFonts w:eastAsia="Arial"/>
                <w:b/>
                <w:bCs/>
                <w:sz w:val="16"/>
                <w:szCs w:val="24"/>
                <w:lang w:eastAsia="en-GB"/>
              </w:rPr>
              <w:t>)</w:t>
            </w:r>
            <w:r w:rsidRPr="006C22D1" w:rsidDel="00C255CF">
              <w:rPr>
                <w:rFonts w:eastAsia="Arial"/>
                <w:b/>
                <w:bCs/>
                <w:sz w:val="16"/>
                <w:szCs w:val="24"/>
                <w:lang w:eastAsia="en-GB"/>
              </w:rPr>
              <w:t xml:space="preserve"> </w:t>
            </w:r>
          </w:p>
        </w:tc>
      </w:tr>
      <w:tr w:rsidR="00F96B3F" w:rsidRPr="004F6EE6" w14:paraId="2373E743"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7EE157AF" w14:textId="6CB58CB3" w:rsidR="00E60E84" w:rsidRPr="00C03A7B" w:rsidRDefault="00E60E84" w:rsidP="00E60E84">
            <w:pPr>
              <w:spacing w:after="0"/>
              <w:rPr>
                <w:rFonts w:eastAsia="Arial"/>
                <w:b/>
                <w:sz w:val="16"/>
                <w:szCs w:val="24"/>
                <w:lang w:eastAsia="en-GB"/>
              </w:rPr>
            </w:pPr>
            <w:r w:rsidRPr="00C03A7B">
              <w:rPr>
                <w:rFonts w:eastAsia="Arial"/>
                <w:b/>
                <w:sz w:val="16"/>
                <w:szCs w:val="24"/>
                <w:lang w:eastAsia="en-GB"/>
              </w:rPr>
              <w:t>At 3</w:t>
            </w:r>
            <w:r w:rsidRPr="00F2575A">
              <w:rPr>
                <w:rFonts w:eastAsia="Arial"/>
                <w:b/>
                <w:sz w:val="16"/>
                <w:szCs w:val="24"/>
                <w:lang w:eastAsia="en-GB"/>
              </w:rPr>
              <w:t>0</w:t>
            </w:r>
            <w:r w:rsidRPr="00C03A7B">
              <w:rPr>
                <w:rFonts w:eastAsia="Arial"/>
                <w:b/>
                <w:sz w:val="16"/>
                <w:szCs w:val="24"/>
                <w:lang w:eastAsia="en-GB"/>
              </w:rPr>
              <w:t xml:space="preserve"> </w:t>
            </w:r>
            <w:r w:rsidRPr="00F2575A">
              <w:rPr>
                <w:rFonts w:eastAsia="Arial"/>
                <w:b/>
                <w:sz w:val="16"/>
                <w:szCs w:val="24"/>
                <w:lang w:eastAsia="en-GB"/>
              </w:rPr>
              <w:t>June</w:t>
            </w:r>
            <w:r w:rsidRPr="00C03A7B">
              <w:rPr>
                <w:rFonts w:eastAsia="Arial"/>
                <w:b/>
                <w:sz w:val="16"/>
                <w:szCs w:val="24"/>
                <w:lang w:eastAsia="en-GB"/>
              </w:rPr>
              <w:t xml:space="preserve"> </w:t>
            </w:r>
            <w:r>
              <w:rPr>
                <w:rFonts w:eastAsia="Arial"/>
                <w:b/>
                <w:sz w:val="16"/>
                <w:szCs w:val="24"/>
                <w:lang w:eastAsia="en-GB"/>
              </w:rPr>
              <w:t>2024</w:t>
            </w:r>
          </w:p>
        </w:tc>
        <w:tc>
          <w:tcPr>
            <w:tcW w:w="343" w:type="dxa"/>
            <w:tcBorders>
              <w:left w:val="nil"/>
              <w:right w:val="nil"/>
            </w:tcBorders>
          </w:tcPr>
          <w:p w14:paraId="25EDC186" w14:textId="77777777" w:rsidR="00E60E84" w:rsidRPr="00F2575A" w:rsidRDefault="00E60E84" w:rsidP="00E60E84">
            <w:pPr>
              <w:spacing w:after="0"/>
              <w:jc w:val="right"/>
              <w:rPr>
                <w:rFonts w:eastAsia="Arial"/>
                <w:sz w:val="16"/>
                <w:szCs w:val="24"/>
                <w:highlight w:val="yellow"/>
                <w:lang w:eastAsia="en-GB"/>
              </w:rPr>
            </w:pPr>
          </w:p>
        </w:tc>
        <w:tc>
          <w:tcPr>
            <w:tcW w:w="841" w:type="dxa"/>
            <w:tcBorders>
              <w:top w:val="single" w:sz="4" w:space="0" w:color="auto"/>
              <w:left w:val="nil"/>
              <w:bottom w:val="double" w:sz="4" w:space="0" w:color="000000"/>
              <w:right w:val="nil"/>
            </w:tcBorders>
            <w:vAlign w:val="bottom"/>
          </w:tcPr>
          <w:p w14:paraId="2D25E95A" w14:textId="10B7C43A" w:rsidR="00E60E84" w:rsidRPr="00333F14" w:rsidRDefault="00E60E84" w:rsidP="00E60E84">
            <w:pPr>
              <w:tabs>
                <w:tab w:val="decimal" w:pos="483"/>
              </w:tabs>
              <w:spacing w:after="0"/>
              <w:rPr>
                <w:rFonts w:eastAsia="Arial"/>
                <w:b/>
                <w:bCs/>
                <w:sz w:val="16"/>
                <w:szCs w:val="24"/>
                <w:lang w:eastAsia="en-GB"/>
              </w:rPr>
            </w:pPr>
            <w:r w:rsidRPr="00333F14">
              <w:rPr>
                <w:rFonts w:eastAsia="Arial"/>
                <w:b/>
                <w:bCs/>
                <w:sz w:val="16"/>
                <w:szCs w:val="24"/>
                <w:lang w:eastAsia="en-GB"/>
              </w:rPr>
              <w:t>10.9</w:t>
            </w:r>
          </w:p>
        </w:tc>
        <w:tc>
          <w:tcPr>
            <w:tcW w:w="680" w:type="dxa"/>
            <w:tcBorders>
              <w:top w:val="single" w:sz="4" w:space="0" w:color="auto"/>
              <w:left w:val="nil"/>
              <w:bottom w:val="double" w:sz="4" w:space="0" w:color="000000"/>
              <w:right w:val="nil"/>
            </w:tcBorders>
            <w:shd w:val="clear" w:color="auto" w:fill="auto"/>
            <w:tcMar>
              <w:left w:w="0" w:type="dxa"/>
              <w:right w:w="0" w:type="dxa"/>
            </w:tcMar>
            <w:vAlign w:val="bottom"/>
          </w:tcPr>
          <w:p w14:paraId="2275F9F7" w14:textId="2E93477E" w:rsidR="00E60E84" w:rsidRPr="00333F14" w:rsidRDefault="00E60E84" w:rsidP="00E60E84">
            <w:pPr>
              <w:tabs>
                <w:tab w:val="decimal" w:pos="533"/>
              </w:tabs>
              <w:spacing w:after="0"/>
              <w:rPr>
                <w:rFonts w:eastAsia="Arial"/>
                <w:b/>
                <w:bCs/>
                <w:sz w:val="16"/>
                <w:szCs w:val="24"/>
                <w:lang w:eastAsia="en-GB"/>
              </w:rPr>
            </w:pPr>
            <w:r w:rsidRPr="00333F14">
              <w:rPr>
                <w:rFonts w:eastAsia="Arial"/>
                <w:b/>
                <w:bCs/>
                <w:sz w:val="16"/>
                <w:szCs w:val="24"/>
                <w:lang w:eastAsia="en-GB"/>
              </w:rPr>
              <w:t>(0.</w:t>
            </w:r>
            <w:r w:rsidR="00A76722">
              <w:rPr>
                <w:rFonts w:eastAsia="Arial"/>
                <w:b/>
                <w:bCs/>
                <w:sz w:val="16"/>
                <w:szCs w:val="24"/>
                <w:lang w:eastAsia="en-GB"/>
              </w:rPr>
              <w:t>6</w:t>
            </w:r>
            <w:r w:rsidRPr="00333F14">
              <w:rPr>
                <w:rFonts w:eastAsia="Arial"/>
                <w:b/>
                <w:bCs/>
                <w:sz w:val="16"/>
                <w:szCs w:val="24"/>
                <w:lang w:eastAsia="en-GB"/>
              </w:rPr>
              <w:t>)</w:t>
            </w:r>
          </w:p>
        </w:tc>
        <w:tc>
          <w:tcPr>
            <w:tcW w:w="884" w:type="dxa"/>
            <w:tcBorders>
              <w:top w:val="single" w:sz="4" w:space="0" w:color="auto"/>
              <w:left w:val="nil"/>
              <w:bottom w:val="double" w:sz="4" w:space="0" w:color="000000"/>
              <w:right w:val="nil"/>
            </w:tcBorders>
            <w:shd w:val="clear" w:color="auto" w:fill="auto"/>
            <w:tcMar>
              <w:left w:w="0" w:type="dxa"/>
              <w:right w:w="0" w:type="dxa"/>
            </w:tcMar>
            <w:vAlign w:val="bottom"/>
          </w:tcPr>
          <w:p w14:paraId="23032B29" w14:textId="07624600" w:rsidR="00E60E84" w:rsidRPr="00333F14" w:rsidRDefault="00E60E84" w:rsidP="00E60E84">
            <w:pPr>
              <w:tabs>
                <w:tab w:val="decimal" w:pos="749"/>
              </w:tabs>
              <w:spacing w:after="0"/>
              <w:rPr>
                <w:rFonts w:eastAsia="Arial"/>
                <w:b/>
                <w:bCs/>
                <w:sz w:val="16"/>
                <w:szCs w:val="24"/>
                <w:lang w:eastAsia="en-GB"/>
              </w:rPr>
            </w:pPr>
            <w:r w:rsidRPr="00333F14">
              <w:rPr>
                <w:rFonts w:eastAsia="Arial"/>
                <w:b/>
                <w:bCs/>
                <w:sz w:val="16"/>
                <w:szCs w:val="24"/>
                <w:lang w:eastAsia="en-GB"/>
              </w:rPr>
              <w:t>250.3</w:t>
            </w:r>
          </w:p>
        </w:tc>
        <w:tc>
          <w:tcPr>
            <w:tcW w:w="834" w:type="dxa"/>
            <w:tcBorders>
              <w:top w:val="single" w:sz="4" w:space="0" w:color="auto"/>
              <w:left w:val="nil"/>
              <w:bottom w:val="double" w:sz="4" w:space="0" w:color="000000"/>
              <w:right w:val="nil"/>
            </w:tcBorders>
            <w:shd w:val="clear" w:color="auto" w:fill="auto"/>
            <w:tcMar>
              <w:left w:w="0" w:type="dxa"/>
              <w:right w:w="0" w:type="dxa"/>
            </w:tcMar>
            <w:vAlign w:val="bottom"/>
          </w:tcPr>
          <w:p w14:paraId="4B9B80BC" w14:textId="7098E31B" w:rsidR="00E60E84" w:rsidRPr="00333F14" w:rsidRDefault="00E60E84" w:rsidP="00E60E84">
            <w:pPr>
              <w:tabs>
                <w:tab w:val="decimal" w:pos="667"/>
              </w:tabs>
              <w:spacing w:after="0"/>
              <w:rPr>
                <w:rFonts w:eastAsia="Arial"/>
                <w:b/>
                <w:bCs/>
                <w:sz w:val="16"/>
                <w:szCs w:val="24"/>
                <w:lang w:eastAsia="en-GB"/>
              </w:rPr>
            </w:pPr>
            <w:r w:rsidRPr="00333F14">
              <w:rPr>
                <w:rFonts w:eastAsia="Arial"/>
                <w:b/>
                <w:bCs/>
                <w:sz w:val="16"/>
                <w:szCs w:val="24"/>
                <w:lang w:eastAsia="en-GB"/>
              </w:rPr>
              <w:t>1.</w:t>
            </w:r>
            <w:r w:rsidR="00093293">
              <w:rPr>
                <w:rFonts w:eastAsia="Arial"/>
                <w:b/>
                <w:bCs/>
                <w:sz w:val="16"/>
                <w:szCs w:val="24"/>
                <w:lang w:eastAsia="en-GB"/>
              </w:rPr>
              <w:t>2</w:t>
            </w:r>
          </w:p>
        </w:tc>
        <w:tc>
          <w:tcPr>
            <w:tcW w:w="779" w:type="dxa"/>
            <w:tcBorders>
              <w:top w:val="single" w:sz="4" w:space="0" w:color="auto"/>
              <w:left w:val="nil"/>
              <w:bottom w:val="double" w:sz="4" w:space="0" w:color="000000"/>
              <w:right w:val="nil"/>
            </w:tcBorders>
            <w:shd w:val="clear" w:color="auto" w:fill="auto"/>
            <w:tcMar>
              <w:left w:w="0" w:type="dxa"/>
              <w:right w:w="0" w:type="dxa"/>
            </w:tcMar>
            <w:vAlign w:val="bottom"/>
          </w:tcPr>
          <w:p w14:paraId="27A69905" w14:textId="33867AA4" w:rsidR="00E60E84" w:rsidRPr="004A503E" w:rsidRDefault="00E60E84" w:rsidP="00E60E84">
            <w:pPr>
              <w:tabs>
                <w:tab w:val="decimal" w:pos="541"/>
              </w:tabs>
              <w:spacing w:after="0"/>
              <w:rPr>
                <w:rFonts w:eastAsia="Arial"/>
                <w:b/>
                <w:sz w:val="16"/>
                <w:szCs w:val="24"/>
                <w:lang w:eastAsia="en-GB"/>
              </w:rPr>
            </w:pPr>
            <w:r w:rsidRPr="004A503E">
              <w:rPr>
                <w:rFonts w:eastAsia="Arial"/>
                <w:b/>
                <w:sz w:val="16"/>
                <w:szCs w:val="24"/>
                <w:lang w:eastAsia="en-GB"/>
              </w:rPr>
              <w:t>5</w:t>
            </w:r>
            <w:r w:rsidR="00093293">
              <w:rPr>
                <w:rFonts w:eastAsia="Arial"/>
                <w:b/>
                <w:sz w:val="16"/>
                <w:szCs w:val="24"/>
                <w:lang w:eastAsia="en-GB"/>
              </w:rPr>
              <w:t>43.</w:t>
            </w:r>
            <w:r w:rsidR="00504BEB">
              <w:rPr>
                <w:rFonts w:eastAsia="Arial"/>
                <w:b/>
                <w:sz w:val="16"/>
                <w:szCs w:val="24"/>
                <w:lang w:eastAsia="en-GB"/>
              </w:rPr>
              <w:t>8</w:t>
            </w:r>
          </w:p>
        </w:tc>
        <w:tc>
          <w:tcPr>
            <w:tcW w:w="842" w:type="dxa"/>
            <w:tcBorders>
              <w:top w:val="single" w:sz="4" w:space="0" w:color="auto"/>
              <w:left w:val="nil"/>
              <w:bottom w:val="double" w:sz="4" w:space="0" w:color="000000"/>
              <w:right w:val="nil"/>
            </w:tcBorders>
            <w:vAlign w:val="bottom"/>
          </w:tcPr>
          <w:p w14:paraId="3D491DCC" w14:textId="07EB6A09" w:rsidR="00E60E84" w:rsidRPr="004A503E" w:rsidRDefault="00E60E84" w:rsidP="00E60E84">
            <w:pPr>
              <w:tabs>
                <w:tab w:val="decimal" w:pos="435"/>
              </w:tabs>
              <w:spacing w:after="0"/>
              <w:rPr>
                <w:rFonts w:eastAsia="Arial"/>
                <w:b/>
                <w:sz w:val="16"/>
                <w:szCs w:val="24"/>
                <w:lang w:eastAsia="en-GB"/>
              </w:rPr>
            </w:pPr>
            <w:r w:rsidRPr="004A503E">
              <w:rPr>
                <w:rFonts w:eastAsia="Arial"/>
                <w:b/>
                <w:sz w:val="16"/>
                <w:szCs w:val="24"/>
                <w:lang w:eastAsia="en-GB"/>
              </w:rPr>
              <w:t>8</w:t>
            </w:r>
            <w:r w:rsidR="00160866">
              <w:rPr>
                <w:rFonts w:eastAsia="Arial"/>
                <w:b/>
                <w:sz w:val="16"/>
                <w:szCs w:val="24"/>
                <w:lang w:eastAsia="en-GB"/>
              </w:rPr>
              <w:t>05</w:t>
            </w:r>
            <w:r w:rsidRPr="004A503E">
              <w:rPr>
                <w:rFonts w:eastAsia="Arial"/>
                <w:b/>
                <w:sz w:val="16"/>
                <w:szCs w:val="24"/>
                <w:lang w:eastAsia="en-GB"/>
              </w:rPr>
              <w:t>.</w:t>
            </w:r>
            <w:r w:rsidR="00504BEB">
              <w:rPr>
                <w:rFonts w:eastAsia="Arial"/>
                <w:b/>
                <w:sz w:val="16"/>
                <w:szCs w:val="24"/>
                <w:lang w:eastAsia="en-GB"/>
              </w:rPr>
              <w:t>6</w:t>
            </w:r>
          </w:p>
        </w:tc>
        <w:tc>
          <w:tcPr>
            <w:tcW w:w="901" w:type="dxa"/>
            <w:tcBorders>
              <w:top w:val="single" w:sz="4" w:space="0" w:color="auto"/>
              <w:left w:val="nil"/>
              <w:bottom w:val="double" w:sz="4" w:space="0" w:color="000000"/>
              <w:right w:val="nil"/>
            </w:tcBorders>
            <w:vAlign w:val="bottom"/>
          </w:tcPr>
          <w:p w14:paraId="3908F1CD" w14:textId="0945FF15" w:rsidR="00E60E84" w:rsidRPr="004A503E" w:rsidRDefault="00160866" w:rsidP="00577845">
            <w:pPr>
              <w:tabs>
                <w:tab w:val="decimal" w:pos="484"/>
              </w:tabs>
              <w:spacing w:after="0"/>
              <w:rPr>
                <w:rFonts w:eastAsia="Arial"/>
                <w:b/>
                <w:sz w:val="16"/>
                <w:szCs w:val="24"/>
                <w:lang w:eastAsia="en-GB"/>
              </w:rPr>
            </w:pPr>
            <w:r>
              <w:rPr>
                <w:rFonts w:eastAsia="Arial"/>
                <w:b/>
                <w:sz w:val="16"/>
                <w:szCs w:val="24"/>
                <w:lang w:eastAsia="en-GB"/>
              </w:rPr>
              <w:t>-</w:t>
            </w:r>
          </w:p>
        </w:tc>
        <w:tc>
          <w:tcPr>
            <w:tcW w:w="746" w:type="dxa"/>
            <w:gridSpan w:val="2"/>
            <w:tcBorders>
              <w:top w:val="single" w:sz="4" w:space="0" w:color="auto"/>
              <w:left w:val="nil"/>
              <w:bottom w:val="double" w:sz="4" w:space="0" w:color="000000"/>
              <w:right w:val="nil"/>
            </w:tcBorders>
            <w:vAlign w:val="bottom"/>
          </w:tcPr>
          <w:p w14:paraId="27312562" w14:textId="5320BE47" w:rsidR="00E60E84" w:rsidRPr="004A503E" w:rsidRDefault="00160866" w:rsidP="00E60E84">
            <w:pPr>
              <w:tabs>
                <w:tab w:val="decimal" w:pos="354"/>
              </w:tabs>
              <w:spacing w:after="0"/>
              <w:rPr>
                <w:rFonts w:eastAsia="Arial"/>
                <w:b/>
                <w:sz w:val="16"/>
                <w:szCs w:val="24"/>
                <w:lang w:eastAsia="en-GB"/>
              </w:rPr>
            </w:pPr>
            <w:r>
              <w:rPr>
                <w:rFonts w:eastAsia="Arial"/>
                <w:b/>
                <w:sz w:val="16"/>
                <w:szCs w:val="24"/>
                <w:lang w:eastAsia="en-GB"/>
              </w:rPr>
              <w:t>805.</w:t>
            </w:r>
            <w:r w:rsidR="00504BEB">
              <w:rPr>
                <w:rFonts w:eastAsia="Arial"/>
                <w:b/>
                <w:sz w:val="16"/>
                <w:szCs w:val="24"/>
                <w:lang w:eastAsia="en-GB"/>
              </w:rPr>
              <w:t>6</w:t>
            </w:r>
          </w:p>
        </w:tc>
      </w:tr>
      <w:tr w:rsidR="00CB3AA6" w:rsidRPr="004F6EE6" w14:paraId="393C85C2"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29ED8A0B" w14:textId="77777777" w:rsidR="00E60E84" w:rsidRPr="00480440" w:rsidRDefault="00E60E84" w:rsidP="00E60E84">
            <w:pPr>
              <w:spacing w:after="0"/>
              <w:rPr>
                <w:rFonts w:eastAsia="Arial"/>
                <w:b/>
                <w:sz w:val="16"/>
                <w:szCs w:val="24"/>
                <w:lang w:eastAsia="en-GB"/>
              </w:rPr>
            </w:pPr>
          </w:p>
        </w:tc>
        <w:tc>
          <w:tcPr>
            <w:tcW w:w="343" w:type="dxa"/>
            <w:tcBorders>
              <w:left w:val="nil"/>
              <w:right w:val="nil"/>
            </w:tcBorders>
          </w:tcPr>
          <w:p w14:paraId="18D59B78" w14:textId="77777777" w:rsidR="00E60E84" w:rsidRPr="00480440" w:rsidRDefault="00E60E84" w:rsidP="00E60E84">
            <w:pPr>
              <w:spacing w:after="0"/>
              <w:jc w:val="right"/>
              <w:rPr>
                <w:rFonts w:eastAsia="Arial"/>
                <w:sz w:val="16"/>
                <w:szCs w:val="24"/>
                <w:lang w:eastAsia="en-GB"/>
              </w:rPr>
            </w:pPr>
          </w:p>
        </w:tc>
        <w:tc>
          <w:tcPr>
            <w:tcW w:w="841" w:type="dxa"/>
            <w:tcBorders>
              <w:top w:val="single" w:sz="4" w:space="0" w:color="auto"/>
              <w:left w:val="nil"/>
              <w:right w:val="nil"/>
            </w:tcBorders>
            <w:vAlign w:val="bottom"/>
          </w:tcPr>
          <w:p w14:paraId="55BA0B68" w14:textId="77777777" w:rsidR="00E60E84" w:rsidRPr="009051CC" w:rsidRDefault="00E60E84" w:rsidP="00E60E84">
            <w:pPr>
              <w:tabs>
                <w:tab w:val="decimal" w:pos="483"/>
              </w:tabs>
              <w:spacing w:after="0"/>
              <w:rPr>
                <w:rFonts w:eastAsia="Arial"/>
                <w:b/>
                <w:bCs/>
                <w:sz w:val="16"/>
                <w:szCs w:val="24"/>
                <w:highlight w:val="yellow"/>
                <w:lang w:eastAsia="en-GB"/>
              </w:rPr>
            </w:pPr>
          </w:p>
        </w:tc>
        <w:tc>
          <w:tcPr>
            <w:tcW w:w="680" w:type="dxa"/>
            <w:tcBorders>
              <w:top w:val="single" w:sz="4" w:space="0" w:color="auto"/>
              <w:left w:val="nil"/>
              <w:right w:val="nil"/>
            </w:tcBorders>
            <w:shd w:val="clear" w:color="auto" w:fill="auto"/>
            <w:tcMar>
              <w:left w:w="0" w:type="dxa"/>
              <w:right w:w="0" w:type="dxa"/>
            </w:tcMar>
            <w:vAlign w:val="bottom"/>
          </w:tcPr>
          <w:p w14:paraId="5D547330" w14:textId="77777777" w:rsidR="00E60E84" w:rsidRPr="009051CC" w:rsidRDefault="00E60E84" w:rsidP="00E60E84">
            <w:pPr>
              <w:tabs>
                <w:tab w:val="decimal" w:pos="533"/>
              </w:tabs>
              <w:spacing w:after="0"/>
              <w:rPr>
                <w:rFonts w:eastAsia="Arial"/>
                <w:b/>
                <w:bCs/>
                <w:sz w:val="16"/>
                <w:szCs w:val="24"/>
                <w:highlight w:val="yellow"/>
                <w:lang w:eastAsia="en-GB"/>
              </w:rPr>
            </w:pPr>
          </w:p>
        </w:tc>
        <w:tc>
          <w:tcPr>
            <w:tcW w:w="884" w:type="dxa"/>
            <w:tcBorders>
              <w:top w:val="single" w:sz="4" w:space="0" w:color="auto"/>
              <w:left w:val="nil"/>
              <w:right w:val="nil"/>
            </w:tcBorders>
            <w:shd w:val="clear" w:color="auto" w:fill="auto"/>
            <w:tcMar>
              <w:left w:w="0" w:type="dxa"/>
              <w:right w:w="0" w:type="dxa"/>
            </w:tcMar>
            <w:vAlign w:val="bottom"/>
          </w:tcPr>
          <w:p w14:paraId="0BD3F38C" w14:textId="77777777" w:rsidR="00E60E84" w:rsidRPr="009051CC" w:rsidRDefault="00E60E84" w:rsidP="00E60E84">
            <w:pPr>
              <w:tabs>
                <w:tab w:val="decimal" w:pos="749"/>
              </w:tabs>
              <w:spacing w:after="0"/>
              <w:rPr>
                <w:rFonts w:eastAsia="Arial"/>
                <w:b/>
                <w:bCs/>
                <w:sz w:val="16"/>
                <w:szCs w:val="24"/>
                <w:highlight w:val="yellow"/>
                <w:lang w:eastAsia="en-GB"/>
              </w:rPr>
            </w:pPr>
          </w:p>
        </w:tc>
        <w:tc>
          <w:tcPr>
            <w:tcW w:w="834" w:type="dxa"/>
            <w:tcBorders>
              <w:top w:val="single" w:sz="4" w:space="0" w:color="auto"/>
              <w:left w:val="nil"/>
              <w:right w:val="nil"/>
            </w:tcBorders>
            <w:shd w:val="clear" w:color="auto" w:fill="auto"/>
            <w:tcMar>
              <w:left w:w="0" w:type="dxa"/>
              <w:right w:w="0" w:type="dxa"/>
            </w:tcMar>
            <w:vAlign w:val="bottom"/>
          </w:tcPr>
          <w:p w14:paraId="5D33060B" w14:textId="77777777" w:rsidR="00E60E84" w:rsidRPr="009051CC" w:rsidRDefault="00E60E84" w:rsidP="00E60E84">
            <w:pPr>
              <w:tabs>
                <w:tab w:val="decimal" w:pos="667"/>
              </w:tabs>
              <w:spacing w:after="0"/>
              <w:rPr>
                <w:rFonts w:eastAsia="Arial"/>
                <w:b/>
                <w:bCs/>
                <w:sz w:val="16"/>
                <w:szCs w:val="24"/>
                <w:highlight w:val="yellow"/>
                <w:lang w:eastAsia="en-GB"/>
              </w:rPr>
            </w:pPr>
          </w:p>
        </w:tc>
        <w:tc>
          <w:tcPr>
            <w:tcW w:w="779" w:type="dxa"/>
            <w:tcBorders>
              <w:top w:val="single" w:sz="4" w:space="0" w:color="auto"/>
              <w:left w:val="nil"/>
              <w:right w:val="nil"/>
            </w:tcBorders>
            <w:shd w:val="clear" w:color="auto" w:fill="auto"/>
            <w:tcMar>
              <w:left w:w="0" w:type="dxa"/>
              <w:right w:w="0" w:type="dxa"/>
            </w:tcMar>
            <w:vAlign w:val="bottom"/>
          </w:tcPr>
          <w:p w14:paraId="097BB914" w14:textId="77777777" w:rsidR="00E60E84" w:rsidRPr="009051CC" w:rsidRDefault="00E60E84" w:rsidP="00E60E84">
            <w:pPr>
              <w:tabs>
                <w:tab w:val="decimal" w:pos="541"/>
              </w:tabs>
              <w:spacing w:after="0"/>
              <w:rPr>
                <w:rFonts w:eastAsia="Arial"/>
                <w:b/>
                <w:bCs/>
                <w:sz w:val="16"/>
                <w:szCs w:val="24"/>
                <w:highlight w:val="yellow"/>
                <w:lang w:eastAsia="en-GB"/>
              </w:rPr>
            </w:pPr>
          </w:p>
        </w:tc>
        <w:tc>
          <w:tcPr>
            <w:tcW w:w="842" w:type="dxa"/>
            <w:tcBorders>
              <w:top w:val="single" w:sz="4" w:space="0" w:color="auto"/>
              <w:left w:val="nil"/>
              <w:right w:val="nil"/>
            </w:tcBorders>
            <w:vAlign w:val="bottom"/>
          </w:tcPr>
          <w:p w14:paraId="6A77E903" w14:textId="77777777" w:rsidR="00E60E84" w:rsidRPr="009051CC" w:rsidRDefault="00E60E84" w:rsidP="00E60E84">
            <w:pPr>
              <w:tabs>
                <w:tab w:val="decimal" w:pos="435"/>
              </w:tabs>
              <w:spacing w:after="0"/>
              <w:rPr>
                <w:rFonts w:eastAsia="Arial"/>
                <w:b/>
                <w:bCs/>
                <w:sz w:val="16"/>
                <w:szCs w:val="24"/>
                <w:highlight w:val="yellow"/>
                <w:lang w:eastAsia="en-GB"/>
              </w:rPr>
            </w:pPr>
          </w:p>
        </w:tc>
        <w:tc>
          <w:tcPr>
            <w:tcW w:w="901" w:type="dxa"/>
            <w:tcBorders>
              <w:top w:val="single" w:sz="4" w:space="0" w:color="auto"/>
              <w:left w:val="nil"/>
              <w:right w:val="nil"/>
            </w:tcBorders>
            <w:vAlign w:val="bottom"/>
          </w:tcPr>
          <w:p w14:paraId="15331380" w14:textId="77777777" w:rsidR="00E60E84" w:rsidRPr="009051CC" w:rsidRDefault="00E60E84" w:rsidP="00E60E84">
            <w:pPr>
              <w:tabs>
                <w:tab w:val="decimal" w:pos="622"/>
              </w:tabs>
              <w:spacing w:after="0"/>
              <w:rPr>
                <w:rFonts w:eastAsia="Arial"/>
                <w:b/>
                <w:bCs/>
                <w:sz w:val="16"/>
                <w:szCs w:val="24"/>
                <w:highlight w:val="yellow"/>
                <w:lang w:eastAsia="en-GB"/>
              </w:rPr>
            </w:pPr>
          </w:p>
        </w:tc>
        <w:tc>
          <w:tcPr>
            <w:tcW w:w="746" w:type="dxa"/>
            <w:gridSpan w:val="2"/>
            <w:tcBorders>
              <w:top w:val="single" w:sz="4" w:space="0" w:color="auto"/>
              <w:left w:val="nil"/>
              <w:right w:val="nil"/>
            </w:tcBorders>
            <w:vAlign w:val="bottom"/>
          </w:tcPr>
          <w:p w14:paraId="637FCF31" w14:textId="77777777" w:rsidR="00E60E84" w:rsidRPr="009051CC" w:rsidRDefault="00E60E84" w:rsidP="00E60E84">
            <w:pPr>
              <w:tabs>
                <w:tab w:val="decimal" w:pos="418"/>
              </w:tabs>
              <w:spacing w:after="0"/>
              <w:rPr>
                <w:rFonts w:eastAsia="Arial"/>
                <w:b/>
                <w:bCs/>
                <w:sz w:val="16"/>
                <w:szCs w:val="24"/>
                <w:highlight w:val="yellow"/>
                <w:lang w:eastAsia="en-GB"/>
              </w:rPr>
            </w:pPr>
          </w:p>
        </w:tc>
      </w:tr>
      <w:tr w:rsidR="00CB3AA6" w:rsidRPr="004F6EE6" w14:paraId="5E3C7725" w14:textId="77777777" w:rsidTr="75D94440">
        <w:trPr>
          <w:trHeight w:val="234"/>
        </w:trPr>
        <w:tc>
          <w:tcPr>
            <w:tcW w:w="3255" w:type="dxa"/>
            <w:tcBorders>
              <w:top w:val="nil"/>
              <w:left w:val="nil"/>
              <w:bottom w:val="nil"/>
              <w:right w:val="nil"/>
            </w:tcBorders>
            <w:shd w:val="clear" w:color="auto" w:fill="FFFFFF" w:themeFill="background1"/>
            <w:tcMar>
              <w:left w:w="0" w:type="dxa"/>
              <w:right w:w="0" w:type="dxa"/>
            </w:tcMar>
            <w:vAlign w:val="bottom"/>
          </w:tcPr>
          <w:p w14:paraId="005FFE89" w14:textId="47A39DAE" w:rsidR="00E60E84" w:rsidRPr="00433FEC" w:rsidRDefault="00E60E84" w:rsidP="00E60E84">
            <w:pPr>
              <w:spacing w:after="0"/>
              <w:rPr>
                <w:rFonts w:eastAsia="Arial"/>
                <w:bCs/>
                <w:sz w:val="16"/>
                <w:szCs w:val="24"/>
                <w:lang w:eastAsia="en-GB"/>
              </w:rPr>
            </w:pPr>
            <w:r w:rsidRPr="00433FEC">
              <w:rPr>
                <w:rFonts w:eastAsia="Arial"/>
                <w:bCs/>
                <w:sz w:val="16"/>
                <w:szCs w:val="24"/>
                <w:lang w:eastAsia="en-GB"/>
              </w:rPr>
              <w:t>Notes</w:t>
            </w:r>
          </w:p>
        </w:tc>
        <w:tc>
          <w:tcPr>
            <w:tcW w:w="343" w:type="dxa"/>
            <w:tcBorders>
              <w:left w:val="nil"/>
              <w:right w:val="nil"/>
            </w:tcBorders>
          </w:tcPr>
          <w:p w14:paraId="7DB47854" w14:textId="77777777" w:rsidR="00E60E84" w:rsidRPr="00480440" w:rsidRDefault="00E60E84" w:rsidP="00E60E84">
            <w:pPr>
              <w:spacing w:after="0"/>
              <w:jc w:val="right"/>
              <w:rPr>
                <w:rFonts w:eastAsia="Arial"/>
                <w:sz w:val="16"/>
                <w:szCs w:val="24"/>
                <w:lang w:eastAsia="en-GB"/>
              </w:rPr>
            </w:pPr>
          </w:p>
        </w:tc>
        <w:tc>
          <w:tcPr>
            <w:tcW w:w="841" w:type="dxa"/>
            <w:tcBorders>
              <w:left w:val="nil"/>
              <w:right w:val="nil"/>
            </w:tcBorders>
            <w:vAlign w:val="bottom"/>
          </w:tcPr>
          <w:p w14:paraId="0F7925F3" w14:textId="317A7008" w:rsidR="00E60E84" w:rsidRPr="009051CC" w:rsidRDefault="00E60E84" w:rsidP="00E60E84">
            <w:pPr>
              <w:tabs>
                <w:tab w:val="decimal" w:pos="530"/>
              </w:tabs>
              <w:spacing w:after="0"/>
              <w:rPr>
                <w:rFonts w:eastAsia="Arial"/>
                <w:b/>
                <w:bCs/>
                <w:sz w:val="16"/>
                <w:szCs w:val="24"/>
                <w:highlight w:val="yellow"/>
                <w:lang w:eastAsia="en-GB"/>
              </w:rPr>
            </w:pPr>
            <w:r w:rsidRPr="002360EE">
              <w:rPr>
                <w:sz w:val="16"/>
              </w:rPr>
              <w:t>14</w:t>
            </w:r>
          </w:p>
        </w:tc>
        <w:tc>
          <w:tcPr>
            <w:tcW w:w="680" w:type="dxa"/>
            <w:tcBorders>
              <w:left w:val="nil"/>
              <w:right w:val="nil"/>
            </w:tcBorders>
            <w:shd w:val="clear" w:color="auto" w:fill="auto"/>
            <w:tcMar>
              <w:left w:w="0" w:type="dxa"/>
              <w:right w:w="0" w:type="dxa"/>
            </w:tcMar>
            <w:vAlign w:val="bottom"/>
          </w:tcPr>
          <w:p w14:paraId="35B1931A" w14:textId="4128B2A1" w:rsidR="00E60E84" w:rsidRPr="009051CC" w:rsidRDefault="00E60E84" w:rsidP="00E60E84">
            <w:pPr>
              <w:tabs>
                <w:tab w:val="decimal" w:pos="593"/>
              </w:tabs>
              <w:spacing w:after="0"/>
              <w:rPr>
                <w:rFonts w:eastAsia="Arial"/>
                <w:b/>
                <w:bCs/>
                <w:sz w:val="16"/>
                <w:szCs w:val="24"/>
                <w:highlight w:val="yellow"/>
                <w:lang w:eastAsia="en-GB"/>
              </w:rPr>
            </w:pPr>
            <w:r w:rsidRPr="002360EE">
              <w:rPr>
                <w:sz w:val="16"/>
              </w:rPr>
              <w:t>15</w:t>
            </w:r>
          </w:p>
        </w:tc>
        <w:tc>
          <w:tcPr>
            <w:tcW w:w="884" w:type="dxa"/>
            <w:tcBorders>
              <w:left w:val="nil"/>
              <w:right w:val="nil"/>
            </w:tcBorders>
            <w:shd w:val="clear" w:color="auto" w:fill="auto"/>
            <w:tcMar>
              <w:left w:w="0" w:type="dxa"/>
              <w:right w:w="0" w:type="dxa"/>
            </w:tcMar>
            <w:vAlign w:val="bottom"/>
          </w:tcPr>
          <w:p w14:paraId="78650C48" w14:textId="5159AE84" w:rsidR="00E60E84" w:rsidRPr="009051CC" w:rsidRDefault="00E60E84" w:rsidP="00E60E84">
            <w:pPr>
              <w:tabs>
                <w:tab w:val="decimal" w:pos="749"/>
              </w:tabs>
              <w:spacing w:after="0"/>
              <w:rPr>
                <w:rFonts w:eastAsia="Arial"/>
                <w:b/>
                <w:bCs/>
                <w:sz w:val="16"/>
                <w:szCs w:val="24"/>
                <w:highlight w:val="yellow"/>
                <w:lang w:eastAsia="en-GB"/>
              </w:rPr>
            </w:pPr>
            <w:r w:rsidRPr="002360EE">
              <w:rPr>
                <w:sz w:val="16"/>
              </w:rPr>
              <w:t>15</w:t>
            </w:r>
          </w:p>
        </w:tc>
        <w:tc>
          <w:tcPr>
            <w:tcW w:w="834" w:type="dxa"/>
            <w:tcBorders>
              <w:left w:val="nil"/>
              <w:right w:val="nil"/>
            </w:tcBorders>
            <w:shd w:val="clear" w:color="auto" w:fill="auto"/>
            <w:tcMar>
              <w:left w:w="0" w:type="dxa"/>
              <w:right w:w="0" w:type="dxa"/>
            </w:tcMar>
            <w:vAlign w:val="bottom"/>
          </w:tcPr>
          <w:p w14:paraId="57951D11" w14:textId="194F10B8" w:rsidR="00E60E84" w:rsidRPr="009051CC" w:rsidRDefault="00E60E84" w:rsidP="00E60E84">
            <w:pPr>
              <w:tabs>
                <w:tab w:val="decimal" w:pos="740"/>
              </w:tabs>
              <w:spacing w:after="0"/>
              <w:rPr>
                <w:rFonts w:eastAsia="Arial"/>
                <w:b/>
                <w:bCs/>
                <w:sz w:val="16"/>
                <w:szCs w:val="24"/>
                <w:highlight w:val="yellow"/>
                <w:lang w:eastAsia="en-GB"/>
              </w:rPr>
            </w:pPr>
            <w:r>
              <w:rPr>
                <w:sz w:val="16"/>
              </w:rPr>
              <w:t xml:space="preserve">  </w:t>
            </w:r>
            <w:r w:rsidRPr="002360EE">
              <w:rPr>
                <w:sz w:val="16"/>
              </w:rPr>
              <w:t>15</w:t>
            </w:r>
          </w:p>
        </w:tc>
        <w:tc>
          <w:tcPr>
            <w:tcW w:w="779" w:type="dxa"/>
            <w:tcBorders>
              <w:left w:val="nil"/>
              <w:right w:val="nil"/>
            </w:tcBorders>
            <w:shd w:val="clear" w:color="auto" w:fill="auto"/>
            <w:tcMar>
              <w:left w:w="0" w:type="dxa"/>
              <w:right w:w="0" w:type="dxa"/>
            </w:tcMar>
            <w:vAlign w:val="bottom"/>
          </w:tcPr>
          <w:p w14:paraId="0E88F935" w14:textId="7FB1B25C" w:rsidR="00E60E84" w:rsidRPr="009051CC" w:rsidRDefault="00E60E84" w:rsidP="00E60E84">
            <w:pPr>
              <w:tabs>
                <w:tab w:val="decimal" w:pos="590"/>
              </w:tabs>
              <w:spacing w:after="0"/>
              <w:rPr>
                <w:rFonts w:eastAsia="Arial"/>
                <w:b/>
                <w:bCs/>
                <w:sz w:val="16"/>
                <w:szCs w:val="24"/>
                <w:highlight w:val="yellow"/>
                <w:lang w:eastAsia="en-GB"/>
              </w:rPr>
            </w:pPr>
            <w:r>
              <w:rPr>
                <w:sz w:val="16"/>
              </w:rPr>
              <w:t xml:space="preserve">  </w:t>
            </w:r>
            <w:r w:rsidRPr="002360EE">
              <w:rPr>
                <w:sz w:val="16"/>
              </w:rPr>
              <w:t>15</w:t>
            </w:r>
          </w:p>
        </w:tc>
        <w:tc>
          <w:tcPr>
            <w:tcW w:w="842" w:type="dxa"/>
            <w:tcBorders>
              <w:left w:val="nil"/>
              <w:right w:val="nil"/>
            </w:tcBorders>
            <w:vAlign w:val="bottom"/>
          </w:tcPr>
          <w:p w14:paraId="37CD2C8A" w14:textId="77777777" w:rsidR="00E60E84" w:rsidRPr="009051CC" w:rsidRDefault="00E60E84" w:rsidP="00E60E84">
            <w:pPr>
              <w:tabs>
                <w:tab w:val="decimal" w:pos="435"/>
              </w:tabs>
              <w:spacing w:after="0"/>
              <w:rPr>
                <w:rFonts w:eastAsia="Arial"/>
                <w:b/>
                <w:bCs/>
                <w:sz w:val="16"/>
                <w:szCs w:val="24"/>
                <w:highlight w:val="yellow"/>
                <w:lang w:eastAsia="en-GB"/>
              </w:rPr>
            </w:pPr>
          </w:p>
        </w:tc>
        <w:tc>
          <w:tcPr>
            <w:tcW w:w="901" w:type="dxa"/>
            <w:tcBorders>
              <w:left w:val="nil"/>
              <w:right w:val="nil"/>
            </w:tcBorders>
            <w:vAlign w:val="bottom"/>
          </w:tcPr>
          <w:p w14:paraId="55326C25" w14:textId="77777777" w:rsidR="00E60E84" w:rsidRPr="009051CC" w:rsidRDefault="00E60E84" w:rsidP="00E60E84">
            <w:pPr>
              <w:tabs>
                <w:tab w:val="decimal" w:pos="622"/>
              </w:tabs>
              <w:spacing w:after="0"/>
              <w:rPr>
                <w:rFonts w:eastAsia="Arial"/>
                <w:b/>
                <w:bCs/>
                <w:sz w:val="16"/>
                <w:szCs w:val="24"/>
                <w:highlight w:val="yellow"/>
                <w:lang w:eastAsia="en-GB"/>
              </w:rPr>
            </w:pPr>
          </w:p>
        </w:tc>
        <w:tc>
          <w:tcPr>
            <w:tcW w:w="746" w:type="dxa"/>
            <w:gridSpan w:val="2"/>
            <w:tcBorders>
              <w:left w:val="nil"/>
              <w:right w:val="nil"/>
            </w:tcBorders>
            <w:vAlign w:val="bottom"/>
          </w:tcPr>
          <w:p w14:paraId="0A6BA242" w14:textId="77777777" w:rsidR="00E60E84" w:rsidRPr="009051CC" w:rsidRDefault="00E60E84" w:rsidP="00E60E84">
            <w:pPr>
              <w:tabs>
                <w:tab w:val="decimal" w:pos="418"/>
              </w:tabs>
              <w:spacing w:after="0"/>
              <w:rPr>
                <w:rFonts w:eastAsia="Arial"/>
                <w:b/>
                <w:bCs/>
                <w:sz w:val="16"/>
                <w:szCs w:val="24"/>
                <w:highlight w:val="yellow"/>
                <w:lang w:eastAsia="en-GB"/>
              </w:rPr>
            </w:pPr>
          </w:p>
        </w:tc>
      </w:tr>
    </w:tbl>
    <w:p w14:paraId="23179C6D" w14:textId="77777777" w:rsidR="002B6153" w:rsidRDefault="002B6153">
      <w:r>
        <w:br w:type="page"/>
      </w:r>
    </w:p>
    <w:tbl>
      <w:tblPr>
        <w:tblStyle w:val="TableGrid80"/>
        <w:tblW w:w="11241" w:type="dxa"/>
        <w:tblLook w:val="04A0" w:firstRow="1" w:lastRow="0" w:firstColumn="1" w:lastColumn="0" w:noHBand="0" w:noVBand="1"/>
      </w:tblPr>
      <w:tblGrid>
        <w:gridCol w:w="10206"/>
        <w:gridCol w:w="1035"/>
      </w:tblGrid>
      <w:tr w:rsidR="004A36B8" w:rsidRPr="000949AC" w14:paraId="0E1C5863" w14:textId="77777777" w:rsidTr="00515CDF">
        <w:trPr>
          <w:trHeight w:val="708"/>
        </w:trPr>
        <w:tc>
          <w:tcPr>
            <w:tcW w:w="11241" w:type="dxa"/>
            <w:gridSpan w:val="2"/>
          </w:tcPr>
          <w:p w14:paraId="6112C1EE" w14:textId="5DE130BD" w:rsidR="00B87F64" w:rsidRDefault="00B87F64" w:rsidP="00A97AF6">
            <w:pPr>
              <w:pStyle w:val="Heading"/>
              <w:spacing w:after="120"/>
              <w:rPr>
                <w:sz w:val="52"/>
                <w:szCs w:val="40"/>
              </w:rPr>
            </w:pPr>
            <w:r>
              <w:rPr>
                <w:sz w:val="52"/>
                <w:szCs w:val="40"/>
              </w:rPr>
              <w:lastRenderedPageBreak/>
              <w:t>Consolidated statement of cash flows</w:t>
            </w:r>
          </w:p>
          <w:p w14:paraId="27A6B1F0" w14:textId="340C12B4" w:rsidR="00B87F64" w:rsidRPr="004C5302" w:rsidRDefault="00B87F64" w:rsidP="00A97AF6">
            <w:pPr>
              <w:pStyle w:val="Heading"/>
              <w:spacing w:after="120"/>
              <w:rPr>
                <w:sz w:val="24"/>
                <w:szCs w:val="18"/>
              </w:rPr>
            </w:pPr>
            <w:r w:rsidRPr="004C5302">
              <w:rPr>
                <w:sz w:val="24"/>
                <w:szCs w:val="18"/>
              </w:rPr>
              <w:t xml:space="preserve">for the six months ended 30 June </w:t>
            </w:r>
            <w:r w:rsidR="00E85F7E">
              <w:rPr>
                <w:sz w:val="24"/>
                <w:szCs w:val="18"/>
              </w:rPr>
              <w:t>2024</w:t>
            </w:r>
          </w:p>
        </w:tc>
      </w:tr>
      <w:tr w:rsidR="004A36B8" w:rsidRPr="00A517F6" w14:paraId="33B63D56" w14:textId="77777777" w:rsidTr="00515CDF">
        <w:trPr>
          <w:gridAfter w:val="1"/>
          <w:wAfter w:w="1035" w:type="dxa"/>
          <w:trHeight w:hRule="exact" w:val="284"/>
        </w:trPr>
        <w:tc>
          <w:tcPr>
            <w:tcW w:w="10206" w:type="dxa"/>
            <w:shd w:val="clear" w:color="auto" w:fill="16293F" w:themeFill="text1"/>
          </w:tcPr>
          <w:p w14:paraId="7741DF0E" w14:textId="77777777" w:rsidR="00B87F64" w:rsidRPr="00A517F6" w:rsidRDefault="00B87F64" w:rsidP="00A97AF6">
            <w:pPr>
              <w:pStyle w:val="Bodytext0"/>
              <w:spacing w:before="0" w:line="240" w:lineRule="auto"/>
              <w:rPr>
                <w:sz w:val="16"/>
                <w:szCs w:val="18"/>
              </w:rPr>
            </w:pPr>
          </w:p>
        </w:tc>
      </w:tr>
    </w:tbl>
    <w:p w14:paraId="33AA9A8A" w14:textId="77777777" w:rsidR="00707A86" w:rsidRPr="006A4DCD" w:rsidRDefault="00707A86" w:rsidP="00707A86">
      <w:pPr>
        <w:pStyle w:val="Bodytext0"/>
        <w:spacing w:line="100" w:lineRule="exact"/>
      </w:pPr>
    </w:p>
    <w:tbl>
      <w:tblPr>
        <w:tblStyle w:val="TableGrid"/>
        <w:tblW w:w="10278" w:type="dxa"/>
        <w:tblBorders>
          <w:bottom w:val="single" w:sz="2" w:space="0" w:color="16293F" w:themeColor="accent1"/>
          <w:insideH w:val="single" w:sz="2" w:space="0" w:color="16293F" w:themeColor="accent1"/>
        </w:tblBorders>
        <w:tblLayout w:type="fixed"/>
        <w:tblCellMar>
          <w:top w:w="28" w:type="dxa"/>
          <w:left w:w="28" w:type="dxa"/>
          <w:bottom w:w="28" w:type="dxa"/>
          <w:right w:w="28" w:type="dxa"/>
        </w:tblCellMar>
        <w:tblLook w:val="04A0" w:firstRow="1" w:lastRow="0" w:firstColumn="1" w:lastColumn="0" w:noHBand="0" w:noVBand="1"/>
      </w:tblPr>
      <w:tblGrid>
        <w:gridCol w:w="4253"/>
        <w:gridCol w:w="1082"/>
        <w:gridCol w:w="1568"/>
        <w:gridCol w:w="118"/>
        <w:gridCol w:w="1569"/>
        <w:gridCol w:w="118"/>
        <w:gridCol w:w="1570"/>
      </w:tblGrid>
      <w:tr w:rsidR="00707A86" w14:paraId="7596726C" w14:textId="77777777" w:rsidTr="00B17DE3">
        <w:trPr>
          <w:trHeight w:val="835"/>
        </w:trPr>
        <w:tc>
          <w:tcPr>
            <w:tcW w:w="4253" w:type="dxa"/>
            <w:tcBorders>
              <w:bottom w:val="nil"/>
            </w:tcBorders>
            <w:vAlign w:val="bottom"/>
          </w:tcPr>
          <w:p w14:paraId="32F76F7C" w14:textId="77777777" w:rsidR="00707A86" w:rsidRPr="005405BA" w:rsidRDefault="00707A86" w:rsidP="00B17DE3">
            <w:pPr>
              <w:pStyle w:val="Tableheading"/>
              <w:jc w:val="right"/>
            </w:pPr>
          </w:p>
        </w:tc>
        <w:tc>
          <w:tcPr>
            <w:tcW w:w="1082" w:type="dxa"/>
            <w:tcBorders>
              <w:bottom w:val="nil"/>
            </w:tcBorders>
            <w:vAlign w:val="bottom"/>
          </w:tcPr>
          <w:p w14:paraId="597CA93C" w14:textId="77777777" w:rsidR="00707A86" w:rsidRPr="00D10899" w:rsidRDefault="00707A86" w:rsidP="00B17DE3">
            <w:pPr>
              <w:pStyle w:val="Tableheading"/>
              <w:jc w:val="center"/>
            </w:pPr>
            <w:r w:rsidRPr="00DB5D1C">
              <w:rPr>
                <w:rFonts w:eastAsia="Arial"/>
                <w:color w:val="003D7F" w:themeColor="accent2" w:themeShade="BF"/>
                <w:sz w:val="16"/>
                <w:lang w:val="en-US" w:eastAsia="en-GB"/>
              </w:rPr>
              <w:t>Notes</w:t>
            </w:r>
          </w:p>
        </w:tc>
        <w:tc>
          <w:tcPr>
            <w:tcW w:w="1568" w:type="dxa"/>
            <w:tcBorders>
              <w:top w:val="nil"/>
              <w:bottom w:val="nil"/>
            </w:tcBorders>
            <w:vAlign w:val="bottom"/>
          </w:tcPr>
          <w:p w14:paraId="1E753DB0" w14:textId="77777777" w:rsidR="00707A86" w:rsidRPr="0001162A" w:rsidRDefault="00707A86" w:rsidP="00B17DE3">
            <w:pPr>
              <w:pStyle w:val="Tableheading"/>
              <w:jc w:val="right"/>
              <w:rPr>
                <w:rFonts w:eastAsia="Arial"/>
                <w:color w:val="003D7F" w:themeColor="accent2" w:themeShade="BF"/>
                <w:sz w:val="16"/>
                <w:lang w:val="en-US" w:eastAsia="en-GB"/>
              </w:rPr>
            </w:pPr>
            <w:r w:rsidRPr="0001162A">
              <w:rPr>
                <w:rFonts w:eastAsia="Arial"/>
                <w:color w:val="003D7F" w:themeColor="accent2" w:themeShade="BF"/>
                <w:sz w:val="16"/>
                <w:lang w:val="en-US" w:eastAsia="en-GB"/>
              </w:rPr>
              <w:t xml:space="preserve">Six months ended </w:t>
            </w:r>
          </w:p>
          <w:p w14:paraId="12CC4914" w14:textId="1433AE2C" w:rsidR="00707A86" w:rsidRPr="0001162A" w:rsidRDefault="00707A86" w:rsidP="00B17DE3">
            <w:pPr>
              <w:pStyle w:val="Tableheading"/>
              <w:jc w:val="right"/>
              <w:rPr>
                <w:rFonts w:eastAsia="Arial"/>
                <w:color w:val="003D7F" w:themeColor="accent2" w:themeShade="BF"/>
                <w:sz w:val="16"/>
                <w:lang w:val="en-US" w:eastAsia="en-GB"/>
              </w:rPr>
            </w:pPr>
            <w:r w:rsidRPr="0001162A">
              <w:rPr>
                <w:rFonts w:eastAsia="Arial"/>
                <w:color w:val="003D7F" w:themeColor="accent2" w:themeShade="BF"/>
                <w:sz w:val="16"/>
                <w:lang w:val="en-US" w:eastAsia="en-GB"/>
              </w:rPr>
              <w:t xml:space="preserve">30 June </w:t>
            </w:r>
            <w:r w:rsidR="00E85F7E">
              <w:rPr>
                <w:rFonts w:eastAsia="Arial"/>
                <w:color w:val="003D7F" w:themeColor="accent2" w:themeShade="BF"/>
                <w:sz w:val="16"/>
                <w:lang w:val="en-US" w:eastAsia="en-GB"/>
              </w:rPr>
              <w:t>2024</w:t>
            </w:r>
          </w:p>
          <w:p w14:paraId="421C4A53" w14:textId="77777777" w:rsidR="00707A86" w:rsidRPr="0001162A" w:rsidRDefault="00707A86" w:rsidP="00B17DE3">
            <w:pPr>
              <w:pStyle w:val="Tableheading"/>
              <w:jc w:val="right"/>
              <w:rPr>
                <w:rFonts w:eastAsia="Arial"/>
                <w:b/>
                <w:color w:val="003D7F" w:themeColor="accent2" w:themeShade="BF"/>
                <w:sz w:val="16"/>
                <w:lang w:val="en-US" w:eastAsia="en-GB"/>
              </w:rPr>
            </w:pPr>
            <w:r w:rsidRPr="0001162A">
              <w:rPr>
                <w:rFonts w:eastAsia="Arial"/>
                <w:color w:val="003D7F" w:themeColor="accent2" w:themeShade="BF"/>
                <w:sz w:val="16"/>
                <w:lang w:val="en-US" w:eastAsia="en-GB"/>
              </w:rPr>
              <w:t>£m</w:t>
            </w:r>
          </w:p>
        </w:tc>
        <w:tc>
          <w:tcPr>
            <w:tcW w:w="118" w:type="dxa"/>
            <w:tcBorders>
              <w:top w:val="nil"/>
              <w:bottom w:val="nil"/>
            </w:tcBorders>
            <w:vAlign w:val="bottom"/>
          </w:tcPr>
          <w:p w14:paraId="525C259F" w14:textId="77777777" w:rsidR="00707A86" w:rsidRPr="00F2575A" w:rsidRDefault="00707A86" w:rsidP="00B17DE3">
            <w:pPr>
              <w:pStyle w:val="Tableheading"/>
              <w:jc w:val="right"/>
              <w:rPr>
                <w:rFonts w:eastAsia="Arial"/>
                <w:b/>
                <w:bCs/>
                <w:color w:val="003D7F" w:themeColor="accent2" w:themeShade="BF"/>
                <w:sz w:val="16"/>
                <w:lang w:val="en-US" w:eastAsia="en-GB"/>
              </w:rPr>
            </w:pPr>
          </w:p>
        </w:tc>
        <w:tc>
          <w:tcPr>
            <w:tcW w:w="1569" w:type="dxa"/>
            <w:tcBorders>
              <w:top w:val="nil"/>
              <w:bottom w:val="nil"/>
            </w:tcBorders>
            <w:vAlign w:val="bottom"/>
          </w:tcPr>
          <w:p w14:paraId="341C2BF0" w14:textId="77777777" w:rsidR="00707A86" w:rsidRPr="00DB5D1C" w:rsidRDefault="00707A86" w:rsidP="00B17DE3">
            <w:pPr>
              <w:pStyle w:val="Tableheading"/>
              <w:jc w:val="right"/>
              <w:rPr>
                <w:rFonts w:eastAsia="Arial"/>
                <w:color w:val="003D7F" w:themeColor="accent2" w:themeShade="BF"/>
                <w:sz w:val="16"/>
                <w:lang w:val="en-US" w:eastAsia="en-GB"/>
              </w:rPr>
            </w:pPr>
            <w:r w:rsidRPr="00DB5D1C">
              <w:rPr>
                <w:rFonts w:eastAsia="Arial"/>
                <w:color w:val="003D7F" w:themeColor="accent2" w:themeShade="BF"/>
                <w:sz w:val="16"/>
                <w:lang w:val="en-US" w:eastAsia="en-GB"/>
              </w:rPr>
              <w:t xml:space="preserve">Six months ended </w:t>
            </w:r>
          </w:p>
          <w:p w14:paraId="37CE7499" w14:textId="41E22FC3" w:rsidR="00707A86" w:rsidRPr="00DB5D1C" w:rsidRDefault="00707A86" w:rsidP="00B17DE3">
            <w:pPr>
              <w:pStyle w:val="Tableheading"/>
              <w:jc w:val="right"/>
              <w:rPr>
                <w:rFonts w:eastAsia="Arial"/>
                <w:color w:val="003D7F" w:themeColor="accent2" w:themeShade="BF"/>
                <w:sz w:val="16"/>
                <w:lang w:val="en-US" w:eastAsia="en-GB"/>
              </w:rPr>
            </w:pPr>
            <w:r w:rsidRPr="00DB5D1C">
              <w:rPr>
                <w:rFonts w:eastAsia="Arial"/>
                <w:color w:val="003D7F" w:themeColor="accent2" w:themeShade="BF"/>
                <w:sz w:val="16"/>
                <w:lang w:val="en-US" w:eastAsia="en-GB"/>
              </w:rPr>
              <w:t xml:space="preserve">30 June </w:t>
            </w:r>
            <w:r w:rsidR="00E85F7E">
              <w:rPr>
                <w:rFonts w:eastAsia="Arial"/>
                <w:color w:val="003D7F" w:themeColor="accent2" w:themeShade="BF"/>
                <w:sz w:val="16"/>
                <w:lang w:val="en-US" w:eastAsia="en-GB"/>
              </w:rPr>
              <w:t>2023</w:t>
            </w:r>
          </w:p>
          <w:p w14:paraId="065BE654" w14:textId="77777777" w:rsidR="00707A86" w:rsidRPr="00F2575A" w:rsidRDefault="00707A86" w:rsidP="00B17DE3">
            <w:pPr>
              <w:pStyle w:val="Tableheading"/>
              <w:jc w:val="right"/>
              <w:rPr>
                <w:rFonts w:eastAsia="Arial"/>
                <w:b/>
                <w:bCs/>
                <w:color w:val="003D7F" w:themeColor="accent2" w:themeShade="BF"/>
                <w:sz w:val="16"/>
                <w:lang w:val="en-US" w:eastAsia="en-GB"/>
              </w:rPr>
            </w:pPr>
            <w:r w:rsidRPr="00DB5D1C">
              <w:rPr>
                <w:rFonts w:eastAsia="Arial"/>
                <w:color w:val="003D7F" w:themeColor="accent2" w:themeShade="BF"/>
                <w:sz w:val="16"/>
                <w:lang w:val="en-US" w:eastAsia="en-GB"/>
              </w:rPr>
              <w:t>£m</w:t>
            </w:r>
          </w:p>
        </w:tc>
        <w:tc>
          <w:tcPr>
            <w:tcW w:w="118" w:type="dxa"/>
            <w:tcBorders>
              <w:top w:val="nil"/>
              <w:bottom w:val="nil"/>
            </w:tcBorders>
            <w:vAlign w:val="bottom"/>
          </w:tcPr>
          <w:p w14:paraId="0E9FE8B4" w14:textId="77777777" w:rsidR="00707A86" w:rsidRPr="00F2575A" w:rsidRDefault="00707A86" w:rsidP="00B17DE3">
            <w:pPr>
              <w:pStyle w:val="Tableheading"/>
              <w:jc w:val="right"/>
              <w:rPr>
                <w:rFonts w:eastAsia="Arial"/>
                <w:b/>
                <w:bCs/>
                <w:color w:val="003D7F" w:themeColor="accent2" w:themeShade="BF"/>
                <w:sz w:val="16"/>
                <w:lang w:val="en-US" w:eastAsia="en-GB"/>
              </w:rPr>
            </w:pPr>
          </w:p>
        </w:tc>
        <w:tc>
          <w:tcPr>
            <w:tcW w:w="1570" w:type="dxa"/>
            <w:tcBorders>
              <w:top w:val="nil"/>
              <w:bottom w:val="nil"/>
            </w:tcBorders>
            <w:vAlign w:val="bottom"/>
          </w:tcPr>
          <w:p w14:paraId="27AF001B" w14:textId="77777777" w:rsidR="00707A86" w:rsidRPr="00DB5D1C" w:rsidRDefault="00707A86" w:rsidP="00B17DE3">
            <w:pPr>
              <w:pStyle w:val="Tableheading"/>
              <w:jc w:val="right"/>
              <w:rPr>
                <w:rFonts w:eastAsia="Arial"/>
                <w:color w:val="003D7F" w:themeColor="accent2" w:themeShade="BF"/>
                <w:sz w:val="16"/>
                <w:lang w:val="en-US" w:eastAsia="en-GB"/>
              </w:rPr>
            </w:pPr>
            <w:r w:rsidRPr="00DB5D1C">
              <w:rPr>
                <w:rFonts w:eastAsia="Arial"/>
                <w:color w:val="003D7F" w:themeColor="accent2" w:themeShade="BF"/>
                <w:sz w:val="16"/>
                <w:lang w:val="en-US" w:eastAsia="en-GB"/>
              </w:rPr>
              <w:t xml:space="preserve">Year ended </w:t>
            </w:r>
          </w:p>
          <w:p w14:paraId="7FA3E6EB" w14:textId="015C8AC4" w:rsidR="00707A86" w:rsidRPr="00DB5D1C" w:rsidRDefault="00707A86" w:rsidP="00B17DE3">
            <w:pPr>
              <w:pStyle w:val="Tableheading"/>
              <w:jc w:val="right"/>
              <w:rPr>
                <w:rFonts w:eastAsia="Arial"/>
                <w:color w:val="003D7F" w:themeColor="accent2" w:themeShade="BF"/>
                <w:sz w:val="16"/>
                <w:lang w:val="en-US" w:eastAsia="en-GB"/>
              </w:rPr>
            </w:pPr>
            <w:r w:rsidRPr="00DB5D1C">
              <w:rPr>
                <w:rFonts w:eastAsia="Arial"/>
                <w:color w:val="003D7F" w:themeColor="accent2" w:themeShade="BF"/>
                <w:sz w:val="16"/>
                <w:lang w:val="en-US" w:eastAsia="en-GB"/>
              </w:rPr>
              <w:t xml:space="preserve">31 December </w:t>
            </w:r>
            <w:r w:rsidR="00E85F7E">
              <w:rPr>
                <w:rFonts w:eastAsia="Arial"/>
                <w:color w:val="003D7F" w:themeColor="accent2" w:themeShade="BF"/>
                <w:sz w:val="16"/>
                <w:lang w:val="en-US" w:eastAsia="en-GB"/>
              </w:rPr>
              <w:t>2023</w:t>
            </w:r>
          </w:p>
          <w:p w14:paraId="4DDEC0C7" w14:textId="77777777" w:rsidR="00707A86" w:rsidRPr="00F2575A" w:rsidRDefault="00707A86" w:rsidP="00B17DE3">
            <w:pPr>
              <w:pStyle w:val="Tableheading"/>
              <w:jc w:val="right"/>
              <w:rPr>
                <w:rFonts w:eastAsia="Arial"/>
                <w:b/>
                <w:bCs/>
                <w:color w:val="003D7F" w:themeColor="accent2" w:themeShade="BF"/>
                <w:sz w:val="16"/>
                <w:lang w:val="en-US" w:eastAsia="en-GB"/>
              </w:rPr>
            </w:pPr>
            <w:r w:rsidRPr="00DB5D1C">
              <w:rPr>
                <w:rFonts w:eastAsia="Arial"/>
                <w:color w:val="003D7F" w:themeColor="accent2" w:themeShade="BF"/>
                <w:sz w:val="16"/>
                <w:lang w:val="en-US" w:eastAsia="en-GB"/>
              </w:rPr>
              <w:t>£m</w:t>
            </w:r>
          </w:p>
        </w:tc>
      </w:tr>
      <w:tr w:rsidR="00707A86" w14:paraId="68EB173A" w14:textId="77777777" w:rsidTr="00F2575A">
        <w:trPr>
          <w:trHeight w:val="52"/>
        </w:trPr>
        <w:tc>
          <w:tcPr>
            <w:tcW w:w="4253" w:type="dxa"/>
            <w:tcBorders>
              <w:top w:val="nil"/>
              <w:bottom w:val="nil"/>
            </w:tcBorders>
            <w:shd w:val="clear" w:color="auto" w:fill="auto"/>
          </w:tcPr>
          <w:p w14:paraId="27B09B29" w14:textId="77777777" w:rsidR="00707A86" w:rsidRPr="00F2575A" w:rsidRDefault="00707A86" w:rsidP="00F2575A">
            <w:pPr>
              <w:pStyle w:val="Tabletext"/>
              <w:spacing w:before="0" w:after="0"/>
              <w:rPr>
                <w:b/>
                <w:bCs/>
                <w:sz w:val="16"/>
              </w:rPr>
            </w:pPr>
            <w:r w:rsidRPr="00F2575A">
              <w:rPr>
                <w:b/>
                <w:bCs/>
                <w:sz w:val="16"/>
              </w:rPr>
              <w:t xml:space="preserve">Cash flows from operating activities </w:t>
            </w:r>
          </w:p>
        </w:tc>
        <w:tc>
          <w:tcPr>
            <w:tcW w:w="1082" w:type="dxa"/>
            <w:tcBorders>
              <w:top w:val="nil"/>
              <w:bottom w:val="nil"/>
            </w:tcBorders>
          </w:tcPr>
          <w:p w14:paraId="3D3D4C89" w14:textId="77777777" w:rsidR="00707A86" w:rsidRPr="00F2575A" w:rsidRDefault="00707A86" w:rsidP="00B17DE3">
            <w:pPr>
              <w:pStyle w:val="Tabletext"/>
              <w:spacing w:before="0" w:after="0"/>
              <w:jc w:val="center"/>
              <w:rPr>
                <w:sz w:val="16"/>
              </w:rPr>
            </w:pPr>
          </w:p>
        </w:tc>
        <w:tc>
          <w:tcPr>
            <w:tcW w:w="1568" w:type="dxa"/>
            <w:tcBorders>
              <w:top w:val="nil"/>
              <w:bottom w:val="nil"/>
            </w:tcBorders>
            <w:shd w:val="clear" w:color="auto" w:fill="auto"/>
            <w:vAlign w:val="center"/>
          </w:tcPr>
          <w:p w14:paraId="73ADF909" w14:textId="77777777" w:rsidR="00707A86" w:rsidRPr="00F2575A" w:rsidRDefault="00707A86" w:rsidP="00B17DE3">
            <w:pPr>
              <w:pStyle w:val="Tabletext"/>
              <w:tabs>
                <w:tab w:val="decimal" w:pos="1302"/>
              </w:tabs>
              <w:spacing w:before="0" w:after="0"/>
              <w:rPr>
                <w:sz w:val="16"/>
              </w:rPr>
            </w:pPr>
          </w:p>
        </w:tc>
        <w:tc>
          <w:tcPr>
            <w:tcW w:w="118" w:type="dxa"/>
            <w:tcBorders>
              <w:top w:val="nil"/>
              <w:bottom w:val="nil"/>
            </w:tcBorders>
          </w:tcPr>
          <w:p w14:paraId="7437C33B" w14:textId="77777777" w:rsidR="00707A86" w:rsidRPr="00F2575A" w:rsidRDefault="00707A86" w:rsidP="00F2575A">
            <w:pPr>
              <w:pStyle w:val="Tabletext"/>
              <w:spacing w:before="0" w:after="0"/>
              <w:jc w:val="right"/>
              <w:rPr>
                <w:sz w:val="16"/>
              </w:rPr>
            </w:pPr>
          </w:p>
        </w:tc>
        <w:tc>
          <w:tcPr>
            <w:tcW w:w="1569" w:type="dxa"/>
            <w:tcBorders>
              <w:top w:val="nil"/>
              <w:bottom w:val="nil"/>
            </w:tcBorders>
            <w:shd w:val="clear" w:color="auto" w:fill="auto"/>
            <w:vAlign w:val="center"/>
          </w:tcPr>
          <w:p w14:paraId="1A499D1B" w14:textId="77777777" w:rsidR="00707A86" w:rsidRPr="00F2575A" w:rsidRDefault="00707A86" w:rsidP="00B17DE3">
            <w:pPr>
              <w:pStyle w:val="Tabletext"/>
              <w:tabs>
                <w:tab w:val="decimal" w:pos="1313"/>
              </w:tabs>
              <w:spacing w:before="0" w:after="0"/>
              <w:rPr>
                <w:sz w:val="16"/>
              </w:rPr>
            </w:pPr>
          </w:p>
        </w:tc>
        <w:tc>
          <w:tcPr>
            <w:tcW w:w="118" w:type="dxa"/>
            <w:tcBorders>
              <w:top w:val="nil"/>
              <w:bottom w:val="nil"/>
            </w:tcBorders>
          </w:tcPr>
          <w:p w14:paraId="151CD33A" w14:textId="77777777" w:rsidR="00707A86" w:rsidRPr="00F2575A" w:rsidRDefault="00707A86" w:rsidP="00F2575A">
            <w:pPr>
              <w:pStyle w:val="Tabletext"/>
              <w:spacing w:before="0" w:after="0"/>
              <w:jc w:val="right"/>
              <w:rPr>
                <w:sz w:val="16"/>
              </w:rPr>
            </w:pPr>
          </w:p>
        </w:tc>
        <w:tc>
          <w:tcPr>
            <w:tcW w:w="1570" w:type="dxa"/>
            <w:tcBorders>
              <w:top w:val="nil"/>
              <w:bottom w:val="nil"/>
            </w:tcBorders>
            <w:shd w:val="clear" w:color="auto" w:fill="auto"/>
            <w:vAlign w:val="center"/>
          </w:tcPr>
          <w:p w14:paraId="0DE01750" w14:textId="77777777" w:rsidR="00707A86" w:rsidRPr="00F2575A" w:rsidRDefault="00707A86" w:rsidP="00B17DE3">
            <w:pPr>
              <w:pStyle w:val="Tabletext"/>
              <w:tabs>
                <w:tab w:val="decimal" w:pos="1279"/>
              </w:tabs>
              <w:spacing w:before="0" w:after="0"/>
              <w:rPr>
                <w:sz w:val="16"/>
                <w:highlight w:val="yellow"/>
              </w:rPr>
            </w:pPr>
          </w:p>
        </w:tc>
      </w:tr>
      <w:tr w:rsidR="00A1272A" w14:paraId="6C67FCDA" w14:textId="77777777" w:rsidTr="00F2575A">
        <w:trPr>
          <w:trHeight w:val="52"/>
        </w:trPr>
        <w:tc>
          <w:tcPr>
            <w:tcW w:w="4253" w:type="dxa"/>
            <w:tcBorders>
              <w:top w:val="nil"/>
              <w:bottom w:val="nil"/>
            </w:tcBorders>
            <w:shd w:val="clear" w:color="auto" w:fill="auto"/>
            <w:vAlign w:val="bottom"/>
          </w:tcPr>
          <w:p w14:paraId="1DE6EAA2" w14:textId="77777777" w:rsidR="00A1272A" w:rsidRPr="00F2575A" w:rsidRDefault="00A1272A" w:rsidP="00A1272A">
            <w:pPr>
              <w:pStyle w:val="Tabletext"/>
              <w:spacing w:before="0" w:after="0"/>
              <w:rPr>
                <w:sz w:val="16"/>
              </w:rPr>
            </w:pPr>
            <w:r w:rsidRPr="00F2575A">
              <w:rPr>
                <w:sz w:val="16"/>
              </w:rPr>
              <w:t xml:space="preserve">Cash generated from operations  </w:t>
            </w:r>
          </w:p>
        </w:tc>
        <w:tc>
          <w:tcPr>
            <w:tcW w:w="1082" w:type="dxa"/>
            <w:tcBorders>
              <w:top w:val="nil"/>
              <w:bottom w:val="nil"/>
            </w:tcBorders>
            <w:vAlign w:val="bottom"/>
          </w:tcPr>
          <w:p w14:paraId="3EC4052B" w14:textId="393F46C3" w:rsidR="00A1272A" w:rsidRPr="00F2575A" w:rsidRDefault="00A1272A" w:rsidP="0097411E">
            <w:pPr>
              <w:pStyle w:val="Tabletext"/>
              <w:spacing w:before="0" w:after="0"/>
              <w:ind w:right="75"/>
              <w:jc w:val="center"/>
              <w:rPr>
                <w:sz w:val="16"/>
              </w:rPr>
            </w:pPr>
            <w:r w:rsidRPr="00F2575A">
              <w:rPr>
                <w:sz w:val="16"/>
              </w:rPr>
              <w:t>17</w:t>
            </w:r>
          </w:p>
        </w:tc>
        <w:tc>
          <w:tcPr>
            <w:tcW w:w="1568" w:type="dxa"/>
            <w:tcBorders>
              <w:top w:val="nil"/>
              <w:bottom w:val="nil"/>
            </w:tcBorders>
            <w:shd w:val="clear" w:color="auto" w:fill="auto"/>
            <w:vAlign w:val="bottom"/>
          </w:tcPr>
          <w:p w14:paraId="010724EE" w14:textId="6FEBF649" w:rsidR="00A1272A" w:rsidRPr="00F2718C" w:rsidRDefault="00002740" w:rsidP="00A1272A">
            <w:pPr>
              <w:pStyle w:val="Tabletext"/>
              <w:tabs>
                <w:tab w:val="decimal" w:pos="1302"/>
              </w:tabs>
              <w:spacing w:before="0" w:after="0"/>
              <w:rPr>
                <w:sz w:val="16"/>
              </w:rPr>
            </w:pPr>
            <w:r>
              <w:rPr>
                <w:sz w:val="16"/>
              </w:rPr>
              <w:t xml:space="preserve"> 5</w:t>
            </w:r>
            <w:r w:rsidR="002A4EAC">
              <w:rPr>
                <w:sz w:val="16"/>
              </w:rPr>
              <w:t>3.1</w:t>
            </w:r>
          </w:p>
        </w:tc>
        <w:tc>
          <w:tcPr>
            <w:tcW w:w="118" w:type="dxa"/>
            <w:tcBorders>
              <w:top w:val="nil"/>
              <w:bottom w:val="nil"/>
            </w:tcBorders>
            <w:vAlign w:val="bottom"/>
          </w:tcPr>
          <w:p w14:paraId="0A207DEE" w14:textId="77777777" w:rsidR="00A1272A" w:rsidRPr="00F2575A" w:rsidRDefault="00A1272A" w:rsidP="00A1272A">
            <w:pPr>
              <w:pStyle w:val="Tabletext"/>
              <w:spacing w:before="0" w:after="0"/>
              <w:jc w:val="right"/>
              <w:rPr>
                <w:sz w:val="16"/>
              </w:rPr>
            </w:pPr>
          </w:p>
        </w:tc>
        <w:tc>
          <w:tcPr>
            <w:tcW w:w="1569" w:type="dxa"/>
            <w:tcBorders>
              <w:top w:val="nil"/>
              <w:bottom w:val="nil"/>
            </w:tcBorders>
            <w:shd w:val="clear" w:color="auto" w:fill="auto"/>
            <w:vAlign w:val="bottom"/>
          </w:tcPr>
          <w:p w14:paraId="1B8BC12C" w14:textId="30AC6A4F" w:rsidR="00A1272A" w:rsidRPr="00F2575A" w:rsidRDefault="00A1272A" w:rsidP="00A1272A">
            <w:pPr>
              <w:pStyle w:val="Tabletext"/>
              <w:tabs>
                <w:tab w:val="decimal" w:pos="1313"/>
              </w:tabs>
              <w:spacing w:before="0" w:after="0"/>
              <w:rPr>
                <w:sz w:val="16"/>
              </w:rPr>
            </w:pPr>
            <w:r>
              <w:rPr>
                <w:sz w:val="16"/>
              </w:rPr>
              <w:t>55.8</w:t>
            </w:r>
          </w:p>
        </w:tc>
        <w:tc>
          <w:tcPr>
            <w:tcW w:w="118" w:type="dxa"/>
            <w:tcBorders>
              <w:top w:val="nil"/>
              <w:bottom w:val="nil"/>
            </w:tcBorders>
            <w:vAlign w:val="bottom"/>
          </w:tcPr>
          <w:p w14:paraId="5B7E6C51" w14:textId="77777777" w:rsidR="00A1272A" w:rsidRPr="00F2575A" w:rsidRDefault="00A1272A" w:rsidP="00A1272A">
            <w:pPr>
              <w:pStyle w:val="Tabletext"/>
              <w:spacing w:before="0" w:after="0"/>
              <w:jc w:val="right"/>
              <w:rPr>
                <w:sz w:val="16"/>
              </w:rPr>
            </w:pPr>
          </w:p>
        </w:tc>
        <w:tc>
          <w:tcPr>
            <w:tcW w:w="1570" w:type="dxa"/>
            <w:tcBorders>
              <w:top w:val="nil"/>
              <w:bottom w:val="nil"/>
            </w:tcBorders>
            <w:shd w:val="clear" w:color="auto" w:fill="auto"/>
            <w:vAlign w:val="bottom"/>
          </w:tcPr>
          <w:p w14:paraId="1C0E51E2" w14:textId="49655938" w:rsidR="00A1272A" w:rsidRPr="00A1272A" w:rsidRDefault="00A1272A" w:rsidP="00A1272A">
            <w:pPr>
              <w:pStyle w:val="Tabletext"/>
              <w:tabs>
                <w:tab w:val="decimal" w:pos="1313"/>
              </w:tabs>
              <w:spacing w:before="0" w:after="0"/>
              <w:rPr>
                <w:sz w:val="16"/>
              </w:rPr>
            </w:pPr>
            <w:r w:rsidRPr="00A1272A">
              <w:rPr>
                <w:sz w:val="16"/>
              </w:rPr>
              <w:t>109.1</w:t>
            </w:r>
          </w:p>
        </w:tc>
      </w:tr>
      <w:tr w:rsidR="00A1272A" w14:paraId="5AD51D49" w14:textId="77777777" w:rsidTr="00F2575A">
        <w:trPr>
          <w:trHeight w:val="52"/>
        </w:trPr>
        <w:tc>
          <w:tcPr>
            <w:tcW w:w="4253" w:type="dxa"/>
            <w:tcBorders>
              <w:top w:val="nil"/>
              <w:bottom w:val="nil"/>
            </w:tcBorders>
            <w:shd w:val="clear" w:color="auto" w:fill="auto"/>
            <w:vAlign w:val="bottom"/>
          </w:tcPr>
          <w:p w14:paraId="6C5C2869" w14:textId="77777777" w:rsidR="00A1272A" w:rsidRPr="00F2575A" w:rsidRDefault="00A1272A" w:rsidP="00A1272A">
            <w:pPr>
              <w:pStyle w:val="Tabletext"/>
              <w:spacing w:before="0" w:after="0"/>
              <w:rPr>
                <w:sz w:val="16"/>
              </w:rPr>
            </w:pPr>
            <w:r w:rsidRPr="00F2575A">
              <w:rPr>
                <w:sz w:val="16"/>
              </w:rPr>
              <w:t xml:space="preserve">Income tax paid </w:t>
            </w:r>
          </w:p>
        </w:tc>
        <w:tc>
          <w:tcPr>
            <w:tcW w:w="1082" w:type="dxa"/>
            <w:tcBorders>
              <w:top w:val="nil"/>
              <w:bottom w:val="nil"/>
            </w:tcBorders>
            <w:vAlign w:val="bottom"/>
          </w:tcPr>
          <w:p w14:paraId="26872FAB" w14:textId="77777777" w:rsidR="00A1272A" w:rsidRPr="00F2575A" w:rsidRDefault="00A1272A" w:rsidP="0097411E">
            <w:pPr>
              <w:pStyle w:val="Tabletext"/>
              <w:spacing w:before="0" w:after="0"/>
              <w:jc w:val="center"/>
              <w:rPr>
                <w:sz w:val="16"/>
              </w:rPr>
            </w:pPr>
          </w:p>
        </w:tc>
        <w:tc>
          <w:tcPr>
            <w:tcW w:w="1568" w:type="dxa"/>
            <w:tcBorders>
              <w:top w:val="nil"/>
              <w:bottom w:val="single" w:sz="4" w:space="0" w:color="auto"/>
            </w:tcBorders>
            <w:shd w:val="clear" w:color="auto" w:fill="auto"/>
            <w:vAlign w:val="bottom"/>
          </w:tcPr>
          <w:p w14:paraId="2B3C7FC6" w14:textId="201DA157" w:rsidR="00A1272A" w:rsidRPr="00F2718C" w:rsidRDefault="00166717" w:rsidP="00A1272A">
            <w:pPr>
              <w:pStyle w:val="Tabletext"/>
              <w:tabs>
                <w:tab w:val="decimal" w:pos="1302"/>
              </w:tabs>
              <w:spacing w:before="0" w:after="0"/>
              <w:rPr>
                <w:sz w:val="16"/>
              </w:rPr>
            </w:pPr>
            <w:r>
              <w:rPr>
                <w:sz w:val="16"/>
              </w:rPr>
              <w:t>(15.2)</w:t>
            </w:r>
          </w:p>
        </w:tc>
        <w:tc>
          <w:tcPr>
            <w:tcW w:w="118" w:type="dxa"/>
            <w:tcBorders>
              <w:top w:val="nil"/>
              <w:bottom w:val="nil"/>
            </w:tcBorders>
            <w:vAlign w:val="bottom"/>
          </w:tcPr>
          <w:p w14:paraId="4AFEA1CD" w14:textId="77777777" w:rsidR="00A1272A" w:rsidRPr="00F2575A" w:rsidRDefault="00A1272A" w:rsidP="00A1272A">
            <w:pPr>
              <w:pStyle w:val="Tabletext"/>
              <w:spacing w:before="0" w:after="0"/>
              <w:jc w:val="right"/>
              <w:rPr>
                <w:sz w:val="16"/>
              </w:rPr>
            </w:pPr>
          </w:p>
        </w:tc>
        <w:tc>
          <w:tcPr>
            <w:tcW w:w="1569" w:type="dxa"/>
            <w:tcBorders>
              <w:top w:val="nil"/>
              <w:bottom w:val="nil"/>
            </w:tcBorders>
            <w:shd w:val="clear" w:color="auto" w:fill="auto"/>
            <w:vAlign w:val="bottom"/>
          </w:tcPr>
          <w:p w14:paraId="25920B44" w14:textId="3154126A" w:rsidR="00A1272A" w:rsidRPr="00F2575A" w:rsidRDefault="00A1272A" w:rsidP="00A1272A">
            <w:pPr>
              <w:pStyle w:val="Tabletext"/>
              <w:tabs>
                <w:tab w:val="decimal" w:pos="1313"/>
              </w:tabs>
              <w:spacing w:before="0" w:after="0"/>
              <w:rPr>
                <w:sz w:val="16"/>
              </w:rPr>
            </w:pPr>
            <w:r w:rsidRPr="00F2718C">
              <w:rPr>
                <w:sz w:val="16"/>
              </w:rPr>
              <w:t>(12.6)</w:t>
            </w:r>
          </w:p>
        </w:tc>
        <w:tc>
          <w:tcPr>
            <w:tcW w:w="118" w:type="dxa"/>
            <w:tcBorders>
              <w:top w:val="nil"/>
              <w:bottom w:val="nil"/>
            </w:tcBorders>
            <w:vAlign w:val="bottom"/>
          </w:tcPr>
          <w:p w14:paraId="6EC708B7" w14:textId="77777777" w:rsidR="00A1272A" w:rsidRPr="00F2575A" w:rsidRDefault="00A1272A" w:rsidP="00A1272A">
            <w:pPr>
              <w:pStyle w:val="Tabletext"/>
              <w:spacing w:before="0" w:after="0"/>
              <w:jc w:val="right"/>
              <w:rPr>
                <w:sz w:val="16"/>
              </w:rPr>
            </w:pPr>
          </w:p>
        </w:tc>
        <w:tc>
          <w:tcPr>
            <w:tcW w:w="1570" w:type="dxa"/>
            <w:tcBorders>
              <w:top w:val="nil"/>
              <w:bottom w:val="nil"/>
            </w:tcBorders>
            <w:shd w:val="clear" w:color="auto" w:fill="auto"/>
            <w:vAlign w:val="bottom"/>
          </w:tcPr>
          <w:p w14:paraId="64A64C97" w14:textId="748C1521" w:rsidR="00A1272A" w:rsidRPr="00A1272A" w:rsidRDefault="00A1272A" w:rsidP="00A1272A">
            <w:pPr>
              <w:pStyle w:val="Tabletext"/>
              <w:tabs>
                <w:tab w:val="decimal" w:pos="1313"/>
              </w:tabs>
              <w:spacing w:before="0" w:after="0"/>
              <w:rPr>
                <w:sz w:val="16"/>
              </w:rPr>
            </w:pPr>
            <w:r w:rsidRPr="00A1272A">
              <w:rPr>
                <w:sz w:val="16"/>
              </w:rPr>
              <w:t>(21.1)</w:t>
            </w:r>
          </w:p>
        </w:tc>
      </w:tr>
      <w:tr w:rsidR="00A1272A" w14:paraId="2B081873" w14:textId="77777777" w:rsidTr="00F2575A">
        <w:trPr>
          <w:trHeight w:val="42"/>
        </w:trPr>
        <w:tc>
          <w:tcPr>
            <w:tcW w:w="4253" w:type="dxa"/>
            <w:tcBorders>
              <w:top w:val="nil"/>
              <w:bottom w:val="nil"/>
            </w:tcBorders>
            <w:shd w:val="clear" w:color="auto" w:fill="auto"/>
            <w:vAlign w:val="bottom"/>
          </w:tcPr>
          <w:p w14:paraId="3CD170F5" w14:textId="77777777" w:rsidR="00A1272A" w:rsidRPr="00F2575A" w:rsidRDefault="00A1272A" w:rsidP="00A1272A">
            <w:pPr>
              <w:pStyle w:val="Tabletext"/>
              <w:spacing w:before="0" w:after="0"/>
              <w:rPr>
                <w:b/>
                <w:bCs/>
                <w:sz w:val="16"/>
              </w:rPr>
            </w:pPr>
            <w:r w:rsidRPr="00F2575A">
              <w:rPr>
                <w:b/>
                <w:bCs/>
                <w:sz w:val="16"/>
              </w:rPr>
              <w:t>Net cash inflows from operating activities</w:t>
            </w:r>
          </w:p>
        </w:tc>
        <w:tc>
          <w:tcPr>
            <w:tcW w:w="1082" w:type="dxa"/>
            <w:tcBorders>
              <w:top w:val="nil"/>
              <w:bottom w:val="nil"/>
            </w:tcBorders>
            <w:vAlign w:val="bottom"/>
          </w:tcPr>
          <w:p w14:paraId="49E72F02" w14:textId="77777777" w:rsidR="00A1272A" w:rsidRPr="00F2575A" w:rsidRDefault="00A1272A" w:rsidP="0097411E">
            <w:pPr>
              <w:pStyle w:val="Tabletext"/>
              <w:spacing w:before="0" w:after="0"/>
              <w:jc w:val="center"/>
              <w:rPr>
                <w:sz w:val="16"/>
              </w:rPr>
            </w:pPr>
          </w:p>
        </w:tc>
        <w:tc>
          <w:tcPr>
            <w:tcW w:w="1568" w:type="dxa"/>
            <w:tcBorders>
              <w:top w:val="single" w:sz="4" w:space="0" w:color="auto"/>
              <w:bottom w:val="nil"/>
            </w:tcBorders>
            <w:shd w:val="clear" w:color="auto" w:fill="auto"/>
            <w:vAlign w:val="bottom"/>
          </w:tcPr>
          <w:p w14:paraId="45034EEC" w14:textId="4A544342" w:rsidR="00A1272A" w:rsidRPr="00F2718C" w:rsidRDefault="006C6D30" w:rsidP="00A1272A">
            <w:pPr>
              <w:pStyle w:val="Tabletext"/>
              <w:tabs>
                <w:tab w:val="decimal" w:pos="1302"/>
              </w:tabs>
              <w:spacing w:before="0" w:after="0"/>
              <w:rPr>
                <w:b/>
                <w:bCs/>
                <w:sz w:val="16"/>
              </w:rPr>
            </w:pPr>
            <w:r>
              <w:rPr>
                <w:b/>
                <w:bCs/>
                <w:sz w:val="16"/>
              </w:rPr>
              <w:t>37.9</w:t>
            </w:r>
          </w:p>
        </w:tc>
        <w:tc>
          <w:tcPr>
            <w:tcW w:w="118" w:type="dxa"/>
            <w:tcBorders>
              <w:top w:val="nil"/>
              <w:bottom w:val="nil"/>
            </w:tcBorders>
            <w:vAlign w:val="bottom"/>
          </w:tcPr>
          <w:p w14:paraId="2AF77C7E" w14:textId="77777777" w:rsidR="00A1272A" w:rsidRPr="00F2575A" w:rsidRDefault="00A1272A" w:rsidP="00A1272A">
            <w:pPr>
              <w:pStyle w:val="Tabletext"/>
              <w:spacing w:before="0" w:after="0"/>
              <w:jc w:val="right"/>
              <w:rPr>
                <w:sz w:val="16"/>
              </w:rPr>
            </w:pPr>
          </w:p>
        </w:tc>
        <w:tc>
          <w:tcPr>
            <w:tcW w:w="1569" w:type="dxa"/>
            <w:tcBorders>
              <w:top w:val="single" w:sz="4" w:space="0" w:color="auto"/>
              <w:bottom w:val="nil"/>
            </w:tcBorders>
            <w:shd w:val="clear" w:color="auto" w:fill="auto"/>
            <w:vAlign w:val="bottom"/>
          </w:tcPr>
          <w:p w14:paraId="736FAF8F" w14:textId="7120A8A0" w:rsidR="00A1272A" w:rsidRPr="00F2575A" w:rsidRDefault="00A1272A" w:rsidP="00A1272A">
            <w:pPr>
              <w:pStyle w:val="Tabletext"/>
              <w:tabs>
                <w:tab w:val="decimal" w:pos="1313"/>
              </w:tabs>
              <w:spacing w:before="0" w:after="0"/>
              <w:rPr>
                <w:sz w:val="16"/>
              </w:rPr>
            </w:pPr>
            <w:r w:rsidRPr="00F2718C">
              <w:rPr>
                <w:b/>
                <w:bCs/>
                <w:sz w:val="16"/>
              </w:rPr>
              <w:t>43.2</w:t>
            </w:r>
          </w:p>
        </w:tc>
        <w:tc>
          <w:tcPr>
            <w:tcW w:w="118" w:type="dxa"/>
            <w:tcBorders>
              <w:top w:val="nil"/>
              <w:bottom w:val="nil"/>
            </w:tcBorders>
            <w:vAlign w:val="bottom"/>
          </w:tcPr>
          <w:p w14:paraId="1EAEED39" w14:textId="77777777" w:rsidR="00A1272A" w:rsidRPr="00F2575A" w:rsidRDefault="00A1272A" w:rsidP="00A1272A">
            <w:pPr>
              <w:pStyle w:val="Tabletext"/>
              <w:spacing w:before="0" w:after="0"/>
              <w:jc w:val="right"/>
              <w:rPr>
                <w:sz w:val="16"/>
              </w:rPr>
            </w:pPr>
          </w:p>
        </w:tc>
        <w:tc>
          <w:tcPr>
            <w:tcW w:w="1570" w:type="dxa"/>
            <w:tcBorders>
              <w:top w:val="single" w:sz="4" w:space="0" w:color="auto"/>
              <w:bottom w:val="nil"/>
            </w:tcBorders>
            <w:shd w:val="clear" w:color="auto" w:fill="auto"/>
            <w:vAlign w:val="bottom"/>
          </w:tcPr>
          <w:p w14:paraId="37CF6951" w14:textId="32253A95" w:rsidR="00A1272A" w:rsidRPr="00FD2645" w:rsidRDefault="00A1272A" w:rsidP="00A1272A">
            <w:pPr>
              <w:pStyle w:val="Tabletext"/>
              <w:tabs>
                <w:tab w:val="decimal" w:pos="1313"/>
              </w:tabs>
              <w:spacing w:before="0" w:after="0"/>
              <w:rPr>
                <w:b/>
                <w:bCs/>
                <w:sz w:val="16"/>
              </w:rPr>
            </w:pPr>
            <w:r w:rsidRPr="00FD2645">
              <w:rPr>
                <w:b/>
                <w:bCs/>
                <w:sz w:val="16"/>
              </w:rPr>
              <w:t>88.0</w:t>
            </w:r>
          </w:p>
        </w:tc>
      </w:tr>
      <w:tr w:rsidR="007756EA" w14:paraId="083F0962" w14:textId="77777777" w:rsidTr="00F2575A">
        <w:trPr>
          <w:trHeight w:hRule="exact" w:val="114"/>
        </w:trPr>
        <w:tc>
          <w:tcPr>
            <w:tcW w:w="4253" w:type="dxa"/>
            <w:tcBorders>
              <w:top w:val="nil"/>
              <w:bottom w:val="nil"/>
            </w:tcBorders>
            <w:shd w:val="clear" w:color="auto" w:fill="auto"/>
            <w:vAlign w:val="bottom"/>
          </w:tcPr>
          <w:p w14:paraId="709ECD50" w14:textId="77777777" w:rsidR="007756EA" w:rsidRPr="00F2575A" w:rsidRDefault="007756EA" w:rsidP="007756EA">
            <w:pPr>
              <w:pStyle w:val="Tabletext"/>
              <w:spacing w:before="0" w:after="0"/>
              <w:rPr>
                <w:b/>
                <w:bCs/>
                <w:sz w:val="16"/>
              </w:rPr>
            </w:pPr>
          </w:p>
        </w:tc>
        <w:tc>
          <w:tcPr>
            <w:tcW w:w="1082" w:type="dxa"/>
            <w:tcBorders>
              <w:top w:val="nil"/>
              <w:bottom w:val="nil"/>
            </w:tcBorders>
            <w:vAlign w:val="bottom"/>
          </w:tcPr>
          <w:p w14:paraId="17377897" w14:textId="77777777" w:rsidR="007756EA" w:rsidRPr="00F2575A" w:rsidRDefault="007756EA" w:rsidP="0097411E">
            <w:pPr>
              <w:pStyle w:val="Tabletext"/>
              <w:spacing w:before="0" w:after="0"/>
              <w:jc w:val="center"/>
              <w:rPr>
                <w:sz w:val="16"/>
              </w:rPr>
            </w:pPr>
          </w:p>
        </w:tc>
        <w:tc>
          <w:tcPr>
            <w:tcW w:w="1568" w:type="dxa"/>
            <w:tcBorders>
              <w:top w:val="nil"/>
              <w:bottom w:val="nil"/>
            </w:tcBorders>
            <w:shd w:val="clear" w:color="auto" w:fill="auto"/>
            <w:vAlign w:val="bottom"/>
          </w:tcPr>
          <w:p w14:paraId="4619FC84" w14:textId="6BB8DB2A" w:rsidR="007756EA" w:rsidRPr="00F2718C" w:rsidRDefault="007756EA" w:rsidP="007756EA">
            <w:pPr>
              <w:pStyle w:val="Tabletext"/>
              <w:tabs>
                <w:tab w:val="decimal" w:pos="1302"/>
              </w:tabs>
              <w:spacing w:before="0" w:after="0"/>
              <w:rPr>
                <w:sz w:val="16"/>
              </w:rPr>
            </w:pPr>
          </w:p>
        </w:tc>
        <w:tc>
          <w:tcPr>
            <w:tcW w:w="118" w:type="dxa"/>
            <w:tcBorders>
              <w:top w:val="nil"/>
              <w:bottom w:val="nil"/>
            </w:tcBorders>
            <w:vAlign w:val="bottom"/>
          </w:tcPr>
          <w:p w14:paraId="6DF92E9D" w14:textId="77777777" w:rsidR="007756EA" w:rsidRPr="00F2575A" w:rsidRDefault="007756EA" w:rsidP="007756EA">
            <w:pPr>
              <w:pStyle w:val="Tabletext"/>
              <w:spacing w:before="0" w:after="0"/>
              <w:jc w:val="right"/>
              <w:rPr>
                <w:sz w:val="16"/>
              </w:rPr>
            </w:pPr>
          </w:p>
        </w:tc>
        <w:tc>
          <w:tcPr>
            <w:tcW w:w="1569" w:type="dxa"/>
            <w:tcBorders>
              <w:top w:val="nil"/>
              <w:bottom w:val="nil"/>
            </w:tcBorders>
            <w:shd w:val="clear" w:color="auto" w:fill="auto"/>
            <w:vAlign w:val="bottom"/>
          </w:tcPr>
          <w:p w14:paraId="0B7E3500" w14:textId="77777777" w:rsidR="007756EA" w:rsidRPr="00F2575A" w:rsidRDefault="007756EA" w:rsidP="007756EA">
            <w:pPr>
              <w:pStyle w:val="Tabletext"/>
              <w:tabs>
                <w:tab w:val="decimal" w:pos="1313"/>
              </w:tabs>
              <w:spacing w:before="0" w:after="0"/>
              <w:rPr>
                <w:sz w:val="16"/>
              </w:rPr>
            </w:pPr>
          </w:p>
        </w:tc>
        <w:tc>
          <w:tcPr>
            <w:tcW w:w="118" w:type="dxa"/>
            <w:tcBorders>
              <w:top w:val="nil"/>
              <w:bottom w:val="nil"/>
            </w:tcBorders>
            <w:vAlign w:val="bottom"/>
          </w:tcPr>
          <w:p w14:paraId="03C3ED23" w14:textId="77777777" w:rsidR="007756EA" w:rsidRPr="00F2575A" w:rsidRDefault="007756EA" w:rsidP="007756EA">
            <w:pPr>
              <w:pStyle w:val="Tabletext"/>
              <w:spacing w:before="0" w:after="0"/>
              <w:jc w:val="right"/>
              <w:rPr>
                <w:sz w:val="16"/>
              </w:rPr>
            </w:pPr>
          </w:p>
        </w:tc>
        <w:tc>
          <w:tcPr>
            <w:tcW w:w="1570" w:type="dxa"/>
            <w:tcBorders>
              <w:top w:val="nil"/>
              <w:bottom w:val="nil"/>
            </w:tcBorders>
            <w:shd w:val="clear" w:color="auto" w:fill="auto"/>
            <w:vAlign w:val="bottom"/>
          </w:tcPr>
          <w:p w14:paraId="0E6D0AAB" w14:textId="77777777" w:rsidR="007756EA" w:rsidRPr="007756EA" w:rsidRDefault="007756EA" w:rsidP="007756EA">
            <w:pPr>
              <w:pStyle w:val="Tabletext"/>
              <w:tabs>
                <w:tab w:val="decimal" w:pos="1279"/>
              </w:tabs>
              <w:spacing w:before="0" w:after="0"/>
              <w:rPr>
                <w:sz w:val="16"/>
                <w:highlight w:val="yellow"/>
              </w:rPr>
            </w:pPr>
          </w:p>
        </w:tc>
      </w:tr>
      <w:tr w:rsidR="007756EA" w14:paraId="0E408F2F" w14:textId="77777777" w:rsidTr="00F2575A">
        <w:trPr>
          <w:trHeight w:val="301"/>
        </w:trPr>
        <w:tc>
          <w:tcPr>
            <w:tcW w:w="4253" w:type="dxa"/>
            <w:tcBorders>
              <w:top w:val="nil"/>
              <w:bottom w:val="nil"/>
            </w:tcBorders>
            <w:shd w:val="clear" w:color="auto" w:fill="auto"/>
            <w:vAlign w:val="bottom"/>
          </w:tcPr>
          <w:p w14:paraId="75579E1C" w14:textId="77777777" w:rsidR="007756EA" w:rsidRPr="00F2575A" w:rsidRDefault="007756EA" w:rsidP="007756EA">
            <w:pPr>
              <w:pStyle w:val="Tabletext"/>
              <w:spacing w:before="0" w:after="0"/>
              <w:rPr>
                <w:b/>
                <w:bCs/>
                <w:sz w:val="16"/>
              </w:rPr>
            </w:pPr>
            <w:r w:rsidRPr="00F2575A">
              <w:rPr>
                <w:b/>
                <w:bCs/>
                <w:sz w:val="16"/>
              </w:rPr>
              <w:t xml:space="preserve">Cash flows from investing activities </w:t>
            </w:r>
          </w:p>
        </w:tc>
        <w:tc>
          <w:tcPr>
            <w:tcW w:w="1082" w:type="dxa"/>
            <w:tcBorders>
              <w:top w:val="nil"/>
              <w:bottom w:val="nil"/>
            </w:tcBorders>
            <w:vAlign w:val="bottom"/>
          </w:tcPr>
          <w:p w14:paraId="3D598A23" w14:textId="77777777" w:rsidR="007756EA" w:rsidRPr="00F2575A" w:rsidRDefault="007756EA" w:rsidP="0097411E">
            <w:pPr>
              <w:pStyle w:val="Tabletext"/>
              <w:spacing w:before="0" w:after="0"/>
              <w:jc w:val="center"/>
              <w:rPr>
                <w:sz w:val="16"/>
              </w:rPr>
            </w:pPr>
          </w:p>
        </w:tc>
        <w:tc>
          <w:tcPr>
            <w:tcW w:w="1568" w:type="dxa"/>
            <w:tcBorders>
              <w:top w:val="nil"/>
              <w:bottom w:val="nil"/>
            </w:tcBorders>
            <w:shd w:val="clear" w:color="auto" w:fill="auto"/>
            <w:vAlign w:val="bottom"/>
          </w:tcPr>
          <w:p w14:paraId="2F154532" w14:textId="2DBCC961" w:rsidR="007756EA" w:rsidRPr="00F2718C" w:rsidRDefault="007756EA" w:rsidP="007756EA">
            <w:pPr>
              <w:pStyle w:val="Tabletext"/>
              <w:tabs>
                <w:tab w:val="decimal" w:pos="1302"/>
              </w:tabs>
              <w:spacing w:before="0" w:after="0"/>
              <w:rPr>
                <w:b/>
                <w:sz w:val="16"/>
              </w:rPr>
            </w:pPr>
          </w:p>
        </w:tc>
        <w:tc>
          <w:tcPr>
            <w:tcW w:w="118" w:type="dxa"/>
            <w:tcBorders>
              <w:top w:val="nil"/>
              <w:bottom w:val="nil"/>
            </w:tcBorders>
            <w:vAlign w:val="bottom"/>
          </w:tcPr>
          <w:p w14:paraId="5E0C58E4" w14:textId="77777777" w:rsidR="007756EA" w:rsidRPr="00F2575A" w:rsidRDefault="007756EA" w:rsidP="007756EA">
            <w:pPr>
              <w:pStyle w:val="Tabletext"/>
              <w:spacing w:before="0" w:after="0"/>
              <w:jc w:val="right"/>
              <w:rPr>
                <w:sz w:val="16"/>
              </w:rPr>
            </w:pPr>
          </w:p>
        </w:tc>
        <w:tc>
          <w:tcPr>
            <w:tcW w:w="1569" w:type="dxa"/>
            <w:tcBorders>
              <w:top w:val="nil"/>
              <w:bottom w:val="nil"/>
            </w:tcBorders>
            <w:shd w:val="clear" w:color="auto" w:fill="auto"/>
            <w:vAlign w:val="bottom"/>
          </w:tcPr>
          <w:p w14:paraId="1ABB18D8" w14:textId="77777777" w:rsidR="007756EA" w:rsidRPr="00F2575A" w:rsidRDefault="007756EA" w:rsidP="007756EA">
            <w:pPr>
              <w:pStyle w:val="Tabletext"/>
              <w:tabs>
                <w:tab w:val="decimal" w:pos="1313"/>
              </w:tabs>
              <w:spacing w:before="0" w:after="0"/>
              <w:rPr>
                <w:sz w:val="16"/>
              </w:rPr>
            </w:pPr>
          </w:p>
        </w:tc>
        <w:tc>
          <w:tcPr>
            <w:tcW w:w="118" w:type="dxa"/>
            <w:tcBorders>
              <w:top w:val="nil"/>
              <w:bottom w:val="nil"/>
            </w:tcBorders>
            <w:vAlign w:val="bottom"/>
          </w:tcPr>
          <w:p w14:paraId="16B4CD2B" w14:textId="77777777" w:rsidR="007756EA" w:rsidRPr="00F2575A" w:rsidRDefault="007756EA" w:rsidP="007756EA">
            <w:pPr>
              <w:pStyle w:val="Tabletext"/>
              <w:spacing w:before="0" w:after="0"/>
              <w:jc w:val="right"/>
              <w:rPr>
                <w:sz w:val="16"/>
              </w:rPr>
            </w:pPr>
          </w:p>
        </w:tc>
        <w:tc>
          <w:tcPr>
            <w:tcW w:w="1570" w:type="dxa"/>
            <w:tcBorders>
              <w:top w:val="nil"/>
              <w:bottom w:val="nil"/>
            </w:tcBorders>
            <w:shd w:val="clear" w:color="auto" w:fill="auto"/>
            <w:vAlign w:val="bottom"/>
          </w:tcPr>
          <w:p w14:paraId="312FB507" w14:textId="77777777" w:rsidR="007756EA" w:rsidRPr="007756EA" w:rsidRDefault="007756EA" w:rsidP="007756EA">
            <w:pPr>
              <w:pStyle w:val="Tabletext"/>
              <w:tabs>
                <w:tab w:val="decimal" w:pos="1279"/>
              </w:tabs>
              <w:spacing w:before="0" w:after="0"/>
              <w:rPr>
                <w:sz w:val="16"/>
                <w:highlight w:val="yellow"/>
              </w:rPr>
            </w:pPr>
          </w:p>
        </w:tc>
      </w:tr>
      <w:tr w:rsidR="007756EA" w14:paraId="2FC11D55" w14:textId="77777777" w:rsidTr="00F2575A">
        <w:trPr>
          <w:trHeight w:val="52"/>
        </w:trPr>
        <w:tc>
          <w:tcPr>
            <w:tcW w:w="4253" w:type="dxa"/>
            <w:tcBorders>
              <w:top w:val="nil"/>
              <w:bottom w:val="nil"/>
            </w:tcBorders>
            <w:shd w:val="clear" w:color="auto" w:fill="auto"/>
            <w:vAlign w:val="bottom"/>
          </w:tcPr>
          <w:p w14:paraId="1DDB84E1" w14:textId="77777777" w:rsidR="007756EA" w:rsidRPr="00F2575A" w:rsidRDefault="007756EA" w:rsidP="007756EA">
            <w:pPr>
              <w:pStyle w:val="Tabletext"/>
              <w:spacing w:before="0" w:after="0"/>
              <w:rPr>
                <w:sz w:val="16"/>
              </w:rPr>
            </w:pPr>
            <w:r w:rsidRPr="00F2575A">
              <w:rPr>
                <w:sz w:val="16"/>
              </w:rPr>
              <w:t>Purchase of intangible assets</w:t>
            </w:r>
          </w:p>
        </w:tc>
        <w:tc>
          <w:tcPr>
            <w:tcW w:w="1082" w:type="dxa"/>
            <w:tcBorders>
              <w:top w:val="nil"/>
              <w:bottom w:val="nil"/>
            </w:tcBorders>
            <w:vAlign w:val="bottom"/>
          </w:tcPr>
          <w:p w14:paraId="09856B35" w14:textId="2A980432" w:rsidR="007756EA" w:rsidRPr="00F2575A" w:rsidRDefault="007756EA" w:rsidP="0097411E">
            <w:pPr>
              <w:pStyle w:val="Tabletext"/>
              <w:spacing w:before="0" w:after="0"/>
              <w:ind w:right="117"/>
              <w:jc w:val="center"/>
              <w:rPr>
                <w:sz w:val="16"/>
              </w:rPr>
            </w:pPr>
            <w:r w:rsidRPr="00F2575A">
              <w:rPr>
                <w:sz w:val="16"/>
              </w:rPr>
              <w:t>9</w:t>
            </w:r>
          </w:p>
        </w:tc>
        <w:tc>
          <w:tcPr>
            <w:tcW w:w="1568" w:type="dxa"/>
            <w:tcBorders>
              <w:top w:val="nil"/>
              <w:bottom w:val="nil"/>
            </w:tcBorders>
            <w:shd w:val="clear" w:color="auto" w:fill="auto"/>
            <w:vAlign w:val="bottom"/>
          </w:tcPr>
          <w:p w14:paraId="5E6E7DF5" w14:textId="3C944794" w:rsidR="007756EA" w:rsidRPr="005F0E7F" w:rsidRDefault="00166717" w:rsidP="007756EA">
            <w:pPr>
              <w:pStyle w:val="Tabletext"/>
              <w:tabs>
                <w:tab w:val="decimal" w:pos="1302"/>
              </w:tabs>
              <w:spacing w:before="0" w:after="0"/>
              <w:rPr>
                <w:bCs/>
                <w:sz w:val="16"/>
              </w:rPr>
            </w:pPr>
            <w:r w:rsidRPr="005F0E7F">
              <w:rPr>
                <w:bCs/>
                <w:sz w:val="16"/>
              </w:rPr>
              <w:t>(3.1)</w:t>
            </w:r>
          </w:p>
        </w:tc>
        <w:tc>
          <w:tcPr>
            <w:tcW w:w="118" w:type="dxa"/>
            <w:tcBorders>
              <w:top w:val="nil"/>
              <w:bottom w:val="nil"/>
            </w:tcBorders>
            <w:vAlign w:val="bottom"/>
          </w:tcPr>
          <w:p w14:paraId="4FE31890" w14:textId="77777777" w:rsidR="007756EA" w:rsidRPr="00F2575A" w:rsidRDefault="007756EA" w:rsidP="007756EA">
            <w:pPr>
              <w:pStyle w:val="Tabletext"/>
              <w:spacing w:before="0" w:after="0"/>
              <w:jc w:val="right"/>
              <w:rPr>
                <w:sz w:val="16"/>
              </w:rPr>
            </w:pPr>
          </w:p>
        </w:tc>
        <w:tc>
          <w:tcPr>
            <w:tcW w:w="1569" w:type="dxa"/>
            <w:tcBorders>
              <w:top w:val="nil"/>
              <w:bottom w:val="nil"/>
            </w:tcBorders>
            <w:shd w:val="clear" w:color="auto" w:fill="auto"/>
            <w:vAlign w:val="bottom"/>
          </w:tcPr>
          <w:p w14:paraId="5632301E" w14:textId="33B7EBED" w:rsidR="007756EA" w:rsidRPr="00F2575A" w:rsidRDefault="007756EA" w:rsidP="007756EA">
            <w:pPr>
              <w:pStyle w:val="Tabletext"/>
              <w:tabs>
                <w:tab w:val="decimal" w:pos="1313"/>
              </w:tabs>
              <w:spacing w:before="0" w:after="0"/>
              <w:rPr>
                <w:sz w:val="16"/>
              </w:rPr>
            </w:pPr>
            <w:r w:rsidRPr="00F2718C">
              <w:rPr>
                <w:sz w:val="16"/>
              </w:rPr>
              <w:t>(1.9)</w:t>
            </w:r>
          </w:p>
        </w:tc>
        <w:tc>
          <w:tcPr>
            <w:tcW w:w="118" w:type="dxa"/>
            <w:tcBorders>
              <w:top w:val="nil"/>
              <w:bottom w:val="nil"/>
            </w:tcBorders>
            <w:vAlign w:val="bottom"/>
          </w:tcPr>
          <w:p w14:paraId="5E6CC6A3" w14:textId="77777777" w:rsidR="007756EA" w:rsidRPr="00F2575A" w:rsidRDefault="007756EA" w:rsidP="007756EA">
            <w:pPr>
              <w:pStyle w:val="Tabletext"/>
              <w:spacing w:before="0" w:after="0"/>
              <w:jc w:val="right"/>
              <w:rPr>
                <w:sz w:val="16"/>
              </w:rPr>
            </w:pPr>
          </w:p>
        </w:tc>
        <w:tc>
          <w:tcPr>
            <w:tcW w:w="1570" w:type="dxa"/>
            <w:tcBorders>
              <w:top w:val="nil"/>
              <w:bottom w:val="nil"/>
            </w:tcBorders>
            <w:shd w:val="clear" w:color="auto" w:fill="auto"/>
            <w:vAlign w:val="bottom"/>
          </w:tcPr>
          <w:p w14:paraId="0E0D4FF5" w14:textId="3C8EE804" w:rsidR="007756EA" w:rsidRPr="00015085" w:rsidRDefault="007756EA" w:rsidP="00015085">
            <w:pPr>
              <w:pStyle w:val="Tabletext"/>
              <w:tabs>
                <w:tab w:val="decimal" w:pos="1313"/>
              </w:tabs>
              <w:spacing w:before="0" w:after="0"/>
              <w:rPr>
                <w:sz w:val="16"/>
              </w:rPr>
            </w:pPr>
            <w:r w:rsidRPr="00015085">
              <w:rPr>
                <w:sz w:val="16"/>
              </w:rPr>
              <w:t>(</w:t>
            </w:r>
            <w:r w:rsidR="00015085" w:rsidRPr="00015085">
              <w:rPr>
                <w:sz w:val="16"/>
              </w:rPr>
              <w:t>2.9</w:t>
            </w:r>
            <w:r w:rsidRPr="00015085">
              <w:rPr>
                <w:sz w:val="16"/>
              </w:rPr>
              <w:t>)</w:t>
            </w:r>
          </w:p>
        </w:tc>
      </w:tr>
      <w:tr w:rsidR="005F0881" w14:paraId="0E14C759" w14:textId="77777777" w:rsidTr="00F2575A">
        <w:trPr>
          <w:trHeight w:val="52"/>
        </w:trPr>
        <w:tc>
          <w:tcPr>
            <w:tcW w:w="4253" w:type="dxa"/>
            <w:tcBorders>
              <w:top w:val="nil"/>
              <w:bottom w:val="nil"/>
            </w:tcBorders>
            <w:shd w:val="clear" w:color="auto" w:fill="auto"/>
            <w:vAlign w:val="bottom"/>
          </w:tcPr>
          <w:p w14:paraId="3340BA01" w14:textId="5BFA610B" w:rsidR="005F0881" w:rsidRPr="00F2575A" w:rsidRDefault="005F0881" w:rsidP="005F0881">
            <w:pPr>
              <w:pStyle w:val="Tabletext"/>
              <w:spacing w:before="0" w:after="0"/>
              <w:rPr>
                <w:sz w:val="16"/>
              </w:rPr>
            </w:pPr>
            <w:r w:rsidRPr="00F2575A">
              <w:rPr>
                <w:sz w:val="16"/>
              </w:rPr>
              <w:t xml:space="preserve">Purchase of property, plant and equipment </w:t>
            </w:r>
          </w:p>
        </w:tc>
        <w:tc>
          <w:tcPr>
            <w:tcW w:w="1082" w:type="dxa"/>
            <w:tcBorders>
              <w:top w:val="nil"/>
              <w:bottom w:val="nil"/>
            </w:tcBorders>
            <w:vAlign w:val="bottom"/>
          </w:tcPr>
          <w:p w14:paraId="552C7EDF" w14:textId="2F69D5CA" w:rsidR="005F0881" w:rsidRPr="00F2575A" w:rsidRDefault="005F0881" w:rsidP="005F0881">
            <w:pPr>
              <w:pStyle w:val="Tabletext"/>
              <w:spacing w:before="0" w:after="0"/>
              <w:ind w:right="117"/>
              <w:jc w:val="center"/>
              <w:rPr>
                <w:sz w:val="16"/>
              </w:rPr>
            </w:pPr>
            <w:r w:rsidRPr="00F2575A">
              <w:rPr>
                <w:sz w:val="16"/>
              </w:rPr>
              <w:t>10</w:t>
            </w:r>
          </w:p>
        </w:tc>
        <w:tc>
          <w:tcPr>
            <w:tcW w:w="1568" w:type="dxa"/>
            <w:tcBorders>
              <w:top w:val="nil"/>
              <w:bottom w:val="nil"/>
            </w:tcBorders>
            <w:shd w:val="clear" w:color="auto" w:fill="auto"/>
            <w:vAlign w:val="bottom"/>
          </w:tcPr>
          <w:p w14:paraId="270C07EE" w14:textId="0A3B645A" w:rsidR="005F0881" w:rsidRPr="005F0E7F" w:rsidRDefault="005F0881" w:rsidP="005F0881">
            <w:pPr>
              <w:pStyle w:val="Tabletext"/>
              <w:tabs>
                <w:tab w:val="decimal" w:pos="1302"/>
              </w:tabs>
              <w:spacing w:before="0" w:after="0"/>
              <w:rPr>
                <w:bCs/>
                <w:sz w:val="16"/>
              </w:rPr>
            </w:pPr>
            <w:r>
              <w:rPr>
                <w:sz w:val="16"/>
              </w:rPr>
              <w:t>(1.1)</w:t>
            </w:r>
          </w:p>
        </w:tc>
        <w:tc>
          <w:tcPr>
            <w:tcW w:w="118" w:type="dxa"/>
            <w:tcBorders>
              <w:top w:val="nil"/>
              <w:bottom w:val="nil"/>
            </w:tcBorders>
            <w:vAlign w:val="bottom"/>
          </w:tcPr>
          <w:p w14:paraId="139903EA"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7037E24D" w14:textId="23858C7D" w:rsidR="005F0881" w:rsidRPr="00F2718C" w:rsidRDefault="005F0881" w:rsidP="005F0881">
            <w:pPr>
              <w:pStyle w:val="Tabletext"/>
              <w:tabs>
                <w:tab w:val="decimal" w:pos="1313"/>
              </w:tabs>
              <w:spacing w:before="0" w:after="0"/>
              <w:rPr>
                <w:sz w:val="16"/>
              </w:rPr>
            </w:pPr>
            <w:r w:rsidRPr="00F2718C">
              <w:rPr>
                <w:sz w:val="16"/>
              </w:rPr>
              <w:t>(0.3)</w:t>
            </w:r>
          </w:p>
        </w:tc>
        <w:tc>
          <w:tcPr>
            <w:tcW w:w="118" w:type="dxa"/>
            <w:tcBorders>
              <w:top w:val="nil"/>
              <w:bottom w:val="nil"/>
            </w:tcBorders>
            <w:vAlign w:val="bottom"/>
          </w:tcPr>
          <w:p w14:paraId="2AF189F4"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vAlign w:val="bottom"/>
          </w:tcPr>
          <w:p w14:paraId="0F46115D" w14:textId="556B6F4D" w:rsidR="005F0881" w:rsidRPr="00015085" w:rsidRDefault="005F0881" w:rsidP="005F0881">
            <w:pPr>
              <w:pStyle w:val="Tabletext"/>
              <w:tabs>
                <w:tab w:val="decimal" w:pos="1313"/>
              </w:tabs>
              <w:spacing w:before="0" w:after="0"/>
              <w:rPr>
                <w:sz w:val="16"/>
              </w:rPr>
            </w:pPr>
            <w:r w:rsidRPr="00015085">
              <w:rPr>
                <w:sz w:val="16"/>
              </w:rPr>
              <w:t>(0.6)</w:t>
            </w:r>
          </w:p>
        </w:tc>
      </w:tr>
      <w:tr w:rsidR="005F0881" w14:paraId="68A8F9EC" w14:textId="77777777">
        <w:trPr>
          <w:trHeight w:val="104"/>
        </w:trPr>
        <w:tc>
          <w:tcPr>
            <w:tcW w:w="4253" w:type="dxa"/>
            <w:tcBorders>
              <w:top w:val="nil"/>
              <w:bottom w:val="nil"/>
            </w:tcBorders>
            <w:shd w:val="clear" w:color="auto" w:fill="auto"/>
            <w:vAlign w:val="bottom"/>
          </w:tcPr>
          <w:p w14:paraId="1E8F099E" w14:textId="2AB6800F" w:rsidR="005F0881" w:rsidRPr="00F2575A" w:rsidRDefault="005F0881" w:rsidP="005F0881">
            <w:pPr>
              <w:pStyle w:val="Tabletext"/>
              <w:spacing w:before="0" w:after="0"/>
              <w:rPr>
                <w:sz w:val="16"/>
              </w:rPr>
            </w:pPr>
            <w:r w:rsidRPr="00F2575A">
              <w:rPr>
                <w:sz w:val="16"/>
              </w:rPr>
              <w:t xml:space="preserve">Purchase of financial assets at </w:t>
            </w:r>
            <w:r>
              <w:rPr>
                <w:sz w:val="16"/>
              </w:rPr>
              <w:t>FVTPL</w:t>
            </w:r>
            <w:r w:rsidRPr="00F2575A">
              <w:rPr>
                <w:sz w:val="16"/>
                <w:vertAlign w:val="superscript"/>
              </w:rPr>
              <w:t>1</w:t>
            </w:r>
          </w:p>
        </w:tc>
        <w:tc>
          <w:tcPr>
            <w:tcW w:w="1082" w:type="dxa"/>
            <w:tcBorders>
              <w:top w:val="nil"/>
              <w:bottom w:val="nil"/>
            </w:tcBorders>
            <w:vAlign w:val="bottom"/>
          </w:tcPr>
          <w:p w14:paraId="7070ADAA"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2DC34699" w14:textId="657D513B" w:rsidR="005F0881" w:rsidRPr="005F0E7F" w:rsidRDefault="005F0881" w:rsidP="005F0881">
            <w:pPr>
              <w:pStyle w:val="Tabletext"/>
              <w:tabs>
                <w:tab w:val="decimal" w:pos="1302"/>
              </w:tabs>
              <w:spacing w:before="0" w:after="0"/>
              <w:rPr>
                <w:bCs/>
                <w:sz w:val="16"/>
              </w:rPr>
            </w:pPr>
            <w:r w:rsidRPr="005F0E7F">
              <w:rPr>
                <w:bCs/>
                <w:sz w:val="16"/>
              </w:rPr>
              <w:t>(32</w:t>
            </w:r>
            <w:r w:rsidR="002B77E6">
              <w:rPr>
                <w:bCs/>
                <w:sz w:val="16"/>
              </w:rPr>
              <w:t>9.2</w:t>
            </w:r>
            <w:r w:rsidRPr="005F0E7F">
              <w:rPr>
                <w:bCs/>
                <w:sz w:val="16"/>
              </w:rPr>
              <w:t>)</w:t>
            </w:r>
          </w:p>
        </w:tc>
        <w:tc>
          <w:tcPr>
            <w:tcW w:w="118" w:type="dxa"/>
            <w:tcBorders>
              <w:top w:val="nil"/>
              <w:bottom w:val="nil"/>
            </w:tcBorders>
            <w:vAlign w:val="bottom"/>
          </w:tcPr>
          <w:p w14:paraId="37782E87"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189DCDCF" w14:textId="608B8AF9" w:rsidR="005F0881" w:rsidRPr="00F2575A" w:rsidRDefault="005F0881" w:rsidP="005F0881">
            <w:pPr>
              <w:pStyle w:val="Tabletext"/>
              <w:tabs>
                <w:tab w:val="decimal" w:pos="1313"/>
              </w:tabs>
              <w:spacing w:before="0" w:after="0"/>
              <w:rPr>
                <w:sz w:val="16"/>
              </w:rPr>
            </w:pPr>
            <w:r w:rsidRPr="00F2718C">
              <w:rPr>
                <w:sz w:val="16"/>
              </w:rPr>
              <w:t>(61.3)</w:t>
            </w:r>
          </w:p>
        </w:tc>
        <w:tc>
          <w:tcPr>
            <w:tcW w:w="118" w:type="dxa"/>
            <w:tcBorders>
              <w:top w:val="nil"/>
              <w:bottom w:val="nil"/>
            </w:tcBorders>
            <w:vAlign w:val="bottom"/>
          </w:tcPr>
          <w:p w14:paraId="78ED2CBA"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3DD9D40E" w14:textId="7006A92D" w:rsidR="005F0881" w:rsidRPr="00015085" w:rsidRDefault="005F0881" w:rsidP="005F0881">
            <w:pPr>
              <w:pStyle w:val="Tabletext"/>
              <w:tabs>
                <w:tab w:val="decimal" w:pos="1313"/>
              </w:tabs>
              <w:spacing w:before="0" w:after="0"/>
              <w:rPr>
                <w:sz w:val="16"/>
              </w:rPr>
            </w:pPr>
            <w:r w:rsidRPr="00015085">
              <w:rPr>
                <w:sz w:val="16"/>
              </w:rPr>
              <w:t>(187.0)</w:t>
            </w:r>
          </w:p>
        </w:tc>
      </w:tr>
      <w:tr w:rsidR="005F0881" w14:paraId="2A8EEF64" w14:textId="77777777">
        <w:trPr>
          <w:trHeight w:val="82"/>
        </w:trPr>
        <w:tc>
          <w:tcPr>
            <w:tcW w:w="4253" w:type="dxa"/>
            <w:tcBorders>
              <w:top w:val="nil"/>
              <w:bottom w:val="nil"/>
            </w:tcBorders>
            <w:shd w:val="clear" w:color="auto" w:fill="auto"/>
            <w:vAlign w:val="bottom"/>
          </w:tcPr>
          <w:p w14:paraId="3588AE99" w14:textId="44BF91BE" w:rsidR="005F0881" w:rsidRPr="00F2575A" w:rsidRDefault="005F0881" w:rsidP="005F0881">
            <w:pPr>
              <w:pStyle w:val="Tabletext"/>
              <w:spacing w:before="0" w:after="0"/>
              <w:rPr>
                <w:sz w:val="16"/>
              </w:rPr>
            </w:pPr>
            <w:r w:rsidRPr="00F2575A">
              <w:rPr>
                <w:sz w:val="16"/>
              </w:rPr>
              <w:t>Proceeds from disposal of financial assets at FVTPL</w:t>
            </w:r>
            <w:r>
              <w:rPr>
                <w:sz w:val="16"/>
                <w:vertAlign w:val="superscript"/>
              </w:rPr>
              <w:t>2</w:t>
            </w:r>
          </w:p>
        </w:tc>
        <w:tc>
          <w:tcPr>
            <w:tcW w:w="1082" w:type="dxa"/>
            <w:tcBorders>
              <w:top w:val="nil"/>
              <w:bottom w:val="nil"/>
            </w:tcBorders>
            <w:vAlign w:val="bottom"/>
          </w:tcPr>
          <w:p w14:paraId="579EF195"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07A6BE58" w14:textId="1AE0CA1A" w:rsidR="005F0881" w:rsidRPr="005F0E7F" w:rsidRDefault="005F0881" w:rsidP="005F0881">
            <w:pPr>
              <w:pStyle w:val="Tabletext"/>
              <w:tabs>
                <w:tab w:val="decimal" w:pos="1302"/>
              </w:tabs>
              <w:spacing w:before="0" w:after="0"/>
              <w:rPr>
                <w:bCs/>
                <w:sz w:val="16"/>
              </w:rPr>
            </w:pPr>
            <w:r>
              <w:rPr>
                <w:bCs/>
                <w:sz w:val="16"/>
              </w:rPr>
              <w:t xml:space="preserve"> </w:t>
            </w:r>
            <w:r w:rsidRPr="005F0E7F">
              <w:rPr>
                <w:bCs/>
                <w:sz w:val="16"/>
              </w:rPr>
              <w:t>154.1</w:t>
            </w:r>
          </w:p>
        </w:tc>
        <w:tc>
          <w:tcPr>
            <w:tcW w:w="118" w:type="dxa"/>
            <w:tcBorders>
              <w:top w:val="nil"/>
              <w:bottom w:val="nil"/>
            </w:tcBorders>
            <w:vAlign w:val="bottom"/>
          </w:tcPr>
          <w:p w14:paraId="22E0E7F3"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292F0EAD" w14:textId="390CD99E" w:rsidR="005F0881" w:rsidRPr="00F2575A" w:rsidRDefault="005F0881" w:rsidP="005F0881">
            <w:pPr>
              <w:pStyle w:val="Tabletext"/>
              <w:tabs>
                <w:tab w:val="decimal" w:pos="1313"/>
              </w:tabs>
              <w:spacing w:before="0" w:after="0"/>
              <w:rPr>
                <w:sz w:val="16"/>
              </w:rPr>
            </w:pPr>
            <w:r w:rsidRPr="00F2718C">
              <w:rPr>
                <w:sz w:val="16"/>
              </w:rPr>
              <w:t>62.1</w:t>
            </w:r>
          </w:p>
        </w:tc>
        <w:tc>
          <w:tcPr>
            <w:tcW w:w="118" w:type="dxa"/>
            <w:tcBorders>
              <w:top w:val="nil"/>
              <w:bottom w:val="nil"/>
            </w:tcBorders>
            <w:vAlign w:val="bottom"/>
          </w:tcPr>
          <w:p w14:paraId="0D52BB92"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39F296C6" w14:textId="6055CF06" w:rsidR="005F0881" w:rsidRPr="00015085" w:rsidRDefault="005F0881" w:rsidP="005F0881">
            <w:pPr>
              <w:pStyle w:val="Tabletext"/>
              <w:tabs>
                <w:tab w:val="decimal" w:pos="1313"/>
              </w:tabs>
              <w:spacing w:before="0" w:after="0"/>
              <w:rPr>
                <w:sz w:val="16"/>
              </w:rPr>
            </w:pPr>
            <w:r w:rsidRPr="00015085">
              <w:rPr>
                <w:sz w:val="16"/>
              </w:rPr>
              <w:t>131.1</w:t>
            </w:r>
          </w:p>
        </w:tc>
      </w:tr>
      <w:tr w:rsidR="005F0881" w14:paraId="24F6122F" w14:textId="77777777">
        <w:trPr>
          <w:trHeight w:val="143"/>
        </w:trPr>
        <w:tc>
          <w:tcPr>
            <w:tcW w:w="4253" w:type="dxa"/>
            <w:tcBorders>
              <w:top w:val="nil"/>
              <w:bottom w:val="nil"/>
            </w:tcBorders>
            <w:shd w:val="clear" w:color="auto" w:fill="auto"/>
            <w:vAlign w:val="bottom"/>
          </w:tcPr>
          <w:p w14:paraId="4882916A" w14:textId="32AE7EEF" w:rsidR="005F0881" w:rsidRPr="00F2575A" w:rsidRDefault="005F0881" w:rsidP="005F0881">
            <w:pPr>
              <w:pStyle w:val="Tabletext"/>
              <w:spacing w:before="0" w:after="0"/>
              <w:rPr>
                <w:sz w:val="16"/>
              </w:rPr>
            </w:pPr>
            <w:r w:rsidRPr="00F2575A">
              <w:rPr>
                <w:sz w:val="16"/>
              </w:rPr>
              <w:t>Cash movement from funds no longer consolidated</w:t>
            </w:r>
            <w:r>
              <w:rPr>
                <w:sz w:val="16"/>
                <w:vertAlign w:val="superscript"/>
              </w:rPr>
              <w:t>3</w:t>
            </w:r>
          </w:p>
        </w:tc>
        <w:tc>
          <w:tcPr>
            <w:tcW w:w="1082" w:type="dxa"/>
            <w:tcBorders>
              <w:top w:val="nil"/>
              <w:bottom w:val="nil"/>
            </w:tcBorders>
            <w:vAlign w:val="bottom"/>
          </w:tcPr>
          <w:p w14:paraId="5411714A"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3C33FF4C" w14:textId="06AC061F" w:rsidR="005F0881" w:rsidRPr="005F0E7F" w:rsidRDefault="005F0881" w:rsidP="005F0881">
            <w:pPr>
              <w:pStyle w:val="Tabletext"/>
              <w:tabs>
                <w:tab w:val="decimal" w:pos="1302"/>
              </w:tabs>
              <w:spacing w:before="0" w:after="0"/>
              <w:rPr>
                <w:bCs/>
                <w:sz w:val="16"/>
              </w:rPr>
            </w:pPr>
            <w:r w:rsidRPr="005F0E7F">
              <w:rPr>
                <w:bCs/>
                <w:sz w:val="16"/>
              </w:rPr>
              <w:t>(0.1)</w:t>
            </w:r>
          </w:p>
        </w:tc>
        <w:tc>
          <w:tcPr>
            <w:tcW w:w="118" w:type="dxa"/>
            <w:tcBorders>
              <w:top w:val="nil"/>
              <w:bottom w:val="nil"/>
            </w:tcBorders>
            <w:vAlign w:val="bottom"/>
          </w:tcPr>
          <w:p w14:paraId="31D5D12A"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72C607D4" w14:textId="0DD66E32" w:rsidR="005F0881" w:rsidRPr="00F2575A" w:rsidRDefault="005F0881" w:rsidP="005F0881">
            <w:pPr>
              <w:pStyle w:val="Tabletext"/>
              <w:tabs>
                <w:tab w:val="decimal" w:pos="1313"/>
              </w:tabs>
              <w:spacing w:before="0" w:after="0"/>
              <w:rPr>
                <w:sz w:val="16"/>
              </w:rPr>
            </w:pPr>
            <w:r w:rsidRPr="00F2718C">
              <w:rPr>
                <w:sz w:val="16"/>
              </w:rPr>
              <w:t>(1.5)</w:t>
            </w:r>
          </w:p>
        </w:tc>
        <w:tc>
          <w:tcPr>
            <w:tcW w:w="118" w:type="dxa"/>
            <w:tcBorders>
              <w:top w:val="nil"/>
              <w:bottom w:val="nil"/>
            </w:tcBorders>
            <w:vAlign w:val="bottom"/>
          </w:tcPr>
          <w:p w14:paraId="32274C79"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28AD8C8F" w14:textId="6C596376" w:rsidR="005F0881" w:rsidRPr="00015085" w:rsidRDefault="005F0881" w:rsidP="005F0881">
            <w:pPr>
              <w:pStyle w:val="Tabletext"/>
              <w:tabs>
                <w:tab w:val="decimal" w:pos="1313"/>
              </w:tabs>
              <w:spacing w:before="0" w:after="0"/>
              <w:rPr>
                <w:sz w:val="16"/>
              </w:rPr>
            </w:pPr>
            <w:r w:rsidRPr="00015085">
              <w:rPr>
                <w:sz w:val="16"/>
              </w:rPr>
              <w:t>(3.1)</w:t>
            </w:r>
          </w:p>
        </w:tc>
      </w:tr>
      <w:tr w:rsidR="005F0881" w14:paraId="7AB5832D" w14:textId="77777777">
        <w:trPr>
          <w:trHeight w:val="52"/>
        </w:trPr>
        <w:tc>
          <w:tcPr>
            <w:tcW w:w="4253" w:type="dxa"/>
            <w:tcBorders>
              <w:top w:val="nil"/>
              <w:bottom w:val="nil"/>
            </w:tcBorders>
            <w:shd w:val="clear" w:color="auto" w:fill="auto"/>
            <w:vAlign w:val="bottom"/>
          </w:tcPr>
          <w:p w14:paraId="46A7B05A" w14:textId="7269A0F2" w:rsidR="005F0881" w:rsidRPr="00F2575A" w:rsidRDefault="005F0881" w:rsidP="005F0881">
            <w:pPr>
              <w:pStyle w:val="Tabletext"/>
              <w:spacing w:before="0" w:after="0"/>
              <w:rPr>
                <w:sz w:val="16"/>
              </w:rPr>
            </w:pPr>
            <w:r>
              <w:rPr>
                <w:sz w:val="16"/>
              </w:rPr>
              <w:t>Dividend income received</w:t>
            </w:r>
          </w:p>
        </w:tc>
        <w:tc>
          <w:tcPr>
            <w:tcW w:w="1082" w:type="dxa"/>
            <w:tcBorders>
              <w:top w:val="nil"/>
              <w:bottom w:val="nil"/>
            </w:tcBorders>
            <w:vAlign w:val="bottom"/>
          </w:tcPr>
          <w:p w14:paraId="2A254257"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726ECEAE" w14:textId="06D3B5E4" w:rsidR="005F0881" w:rsidRPr="00F2718C" w:rsidRDefault="005F0881" w:rsidP="005F0881">
            <w:pPr>
              <w:pStyle w:val="Tabletext"/>
              <w:tabs>
                <w:tab w:val="decimal" w:pos="1302"/>
              </w:tabs>
              <w:spacing w:before="0" w:after="0"/>
              <w:rPr>
                <w:sz w:val="16"/>
              </w:rPr>
            </w:pPr>
            <w:r>
              <w:rPr>
                <w:sz w:val="16"/>
              </w:rPr>
              <w:t>0.5</w:t>
            </w:r>
          </w:p>
        </w:tc>
        <w:tc>
          <w:tcPr>
            <w:tcW w:w="118" w:type="dxa"/>
            <w:tcBorders>
              <w:top w:val="nil"/>
              <w:bottom w:val="nil"/>
            </w:tcBorders>
            <w:vAlign w:val="bottom"/>
          </w:tcPr>
          <w:p w14:paraId="1FFBE991"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1E3C1900" w14:textId="78BA1389" w:rsidR="005F0881" w:rsidRPr="00F2575A" w:rsidRDefault="00C72216" w:rsidP="005F0881">
            <w:pPr>
              <w:pStyle w:val="Tabletext"/>
              <w:tabs>
                <w:tab w:val="decimal" w:pos="1313"/>
              </w:tabs>
              <w:spacing w:before="0" w:after="0"/>
              <w:rPr>
                <w:sz w:val="16"/>
              </w:rPr>
            </w:pPr>
            <w:r>
              <w:rPr>
                <w:sz w:val="16"/>
              </w:rPr>
              <w:t>0.3</w:t>
            </w:r>
          </w:p>
        </w:tc>
        <w:tc>
          <w:tcPr>
            <w:tcW w:w="118" w:type="dxa"/>
            <w:tcBorders>
              <w:top w:val="nil"/>
              <w:bottom w:val="nil"/>
            </w:tcBorders>
            <w:vAlign w:val="bottom"/>
          </w:tcPr>
          <w:p w14:paraId="0297C6C2"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13B0A4F8" w14:textId="702455E8" w:rsidR="005F0881" w:rsidRPr="00015085" w:rsidRDefault="005F0881" w:rsidP="005F0881">
            <w:pPr>
              <w:pStyle w:val="Tabletext"/>
              <w:tabs>
                <w:tab w:val="decimal" w:pos="1313"/>
              </w:tabs>
              <w:spacing w:before="0" w:after="0"/>
              <w:rPr>
                <w:sz w:val="16"/>
              </w:rPr>
            </w:pPr>
            <w:r w:rsidRPr="00015085">
              <w:rPr>
                <w:sz w:val="16"/>
              </w:rPr>
              <w:t>0.5</w:t>
            </w:r>
          </w:p>
        </w:tc>
      </w:tr>
      <w:tr w:rsidR="005F0881" w14:paraId="0F31E4A2" w14:textId="77777777">
        <w:trPr>
          <w:trHeight w:val="52"/>
        </w:trPr>
        <w:tc>
          <w:tcPr>
            <w:tcW w:w="4253" w:type="dxa"/>
            <w:tcBorders>
              <w:top w:val="nil"/>
              <w:bottom w:val="nil"/>
            </w:tcBorders>
            <w:shd w:val="clear" w:color="auto" w:fill="auto"/>
            <w:vAlign w:val="bottom"/>
          </w:tcPr>
          <w:p w14:paraId="06A3B763" w14:textId="7CB9AC12" w:rsidR="005F0881" w:rsidRPr="00F2575A" w:rsidRDefault="005F0881" w:rsidP="005F0881">
            <w:pPr>
              <w:pStyle w:val="Tabletext"/>
              <w:spacing w:before="0" w:after="0"/>
              <w:rPr>
                <w:sz w:val="16"/>
              </w:rPr>
            </w:pPr>
            <w:r>
              <w:rPr>
                <w:sz w:val="16"/>
              </w:rPr>
              <w:t>Interest income received</w:t>
            </w:r>
            <w:r w:rsidR="00BC02EA" w:rsidRPr="00577845">
              <w:rPr>
                <w:sz w:val="16"/>
                <w:vertAlign w:val="superscript"/>
              </w:rPr>
              <w:t>4</w:t>
            </w:r>
          </w:p>
        </w:tc>
        <w:tc>
          <w:tcPr>
            <w:tcW w:w="1082" w:type="dxa"/>
            <w:tcBorders>
              <w:top w:val="nil"/>
              <w:bottom w:val="nil"/>
            </w:tcBorders>
            <w:vAlign w:val="bottom"/>
          </w:tcPr>
          <w:p w14:paraId="51BF12AD" w14:textId="41CCAE31" w:rsidR="005F0881" w:rsidRPr="00F2575A" w:rsidRDefault="005F0881" w:rsidP="005F0881">
            <w:pPr>
              <w:pStyle w:val="Tabletext"/>
              <w:spacing w:before="0" w:after="0"/>
              <w:jc w:val="center"/>
              <w:rPr>
                <w:sz w:val="16"/>
              </w:rPr>
            </w:pPr>
          </w:p>
        </w:tc>
        <w:tc>
          <w:tcPr>
            <w:tcW w:w="1568" w:type="dxa"/>
            <w:tcBorders>
              <w:top w:val="nil"/>
              <w:bottom w:val="single" w:sz="4" w:space="0" w:color="auto"/>
            </w:tcBorders>
            <w:shd w:val="clear" w:color="auto" w:fill="auto"/>
            <w:vAlign w:val="bottom"/>
          </w:tcPr>
          <w:p w14:paraId="2A3C5C27" w14:textId="15A97613" w:rsidR="005F0881" w:rsidRPr="005F0E7F" w:rsidRDefault="005F0881" w:rsidP="005F0881">
            <w:pPr>
              <w:pStyle w:val="Tabletext"/>
              <w:tabs>
                <w:tab w:val="decimal" w:pos="1302"/>
              </w:tabs>
              <w:spacing w:before="0" w:after="0"/>
              <w:rPr>
                <w:bCs/>
                <w:sz w:val="16"/>
              </w:rPr>
            </w:pPr>
            <w:r w:rsidRPr="005F0E7F">
              <w:rPr>
                <w:bCs/>
                <w:sz w:val="16"/>
              </w:rPr>
              <w:t>3.6</w:t>
            </w:r>
          </w:p>
        </w:tc>
        <w:tc>
          <w:tcPr>
            <w:tcW w:w="118" w:type="dxa"/>
            <w:tcBorders>
              <w:top w:val="nil"/>
              <w:bottom w:val="nil"/>
            </w:tcBorders>
            <w:vAlign w:val="bottom"/>
          </w:tcPr>
          <w:p w14:paraId="68A80DD2" w14:textId="77777777" w:rsidR="005F0881" w:rsidRPr="00F2575A" w:rsidRDefault="005F0881" w:rsidP="005F0881">
            <w:pPr>
              <w:pStyle w:val="Tabletext"/>
              <w:spacing w:before="0" w:after="0"/>
              <w:jc w:val="right"/>
              <w:rPr>
                <w:sz w:val="16"/>
              </w:rPr>
            </w:pPr>
          </w:p>
        </w:tc>
        <w:tc>
          <w:tcPr>
            <w:tcW w:w="1569" w:type="dxa"/>
            <w:tcBorders>
              <w:top w:val="nil"/>
              <w:bottom w:val="single" w:sz="4" w:space="0" w:color="auto"/>
            </w:tcBorders>
            <w:shd w:val="clear" w:color="auto" w:fill="auto"/>
            <w:vAlign w:val="bottom"/>
          </w:tcPr>
          <w:p w14:paraId="12272056" w14:textId="158C63F6" w:rsidR="005F0881" w:rsidRPr="00F2575A" w:rsidRDefault="006E6991" w:rsidP="005F0881">
            <w:pPr>
              <w:pStyle w:val="Tabletext"/>
              <w:tabs>
                <w:tab w:val="decimal" w:pos="1313"/>
              </w:tabs>
              <w:spacing w:before="0" w:after="0"/>
              <w:rPr>
                <w:sz w:val="16"/>
              </w:rPr>
            </w:pPr>
            <w:r>
              <w:rPr>
                <w:sz w:val="16"/>
              </w:rPr>
              <w:t>1.3</w:t>
            </w:r>
          </w:p>
        </w:tc>
        <w:tc>
          <w:tcPr>
            <w:tcW w:w="118" w:type="dxa"/>
            <w:tcBorders>
              <w:top w:val="nil"/>
              <w:bottom w:val="nil"/>
            </w:tcBorders>
            <w:vAlign w:val="bottom"/>
          </w:tcPr>
          <w:p w14:paraId="02103E11" w14:textId="77777777" w:rsidR="005F0881" w:rsidRPr="00F2575A" w:rsidRDefault="005F0881" w:rsidP="005F0881">
            <w:pPr>
              <w:pStyle w:val="Tabletext"/>
              <w:spacing w:before="0" w:after="0"/>
              <w:jc w:val="right"/>
              <w:rPr>
                <w:sz w:val="16"/>
              </w:rPr>
            </w:pPr>
          </w:p>
        </w:tc>
        <w:tc>
          <w:tcPr>
            <w:tcW w:w="1570" w:type="dxa"/>
            <w:tcBorders>
              <w:top w:val="nil"/>
              <w:bottom w:val="single" w:sz="4" w:space="0" w:color="auto"/>
            </w:tcBorders>
            <w:shd w:val="clear" w:color="auto" w:fill="auto"/>
          </w:tcPr>
          <w:p w14:paraId="4429B5D7" w14:textId="581F2E50" w:rsidR="005F0881" w:rsidRPr="00015085" w:rsidRDefault="005F0881" w:rsidP="005F0881">
            <w:pPr>
              <w:pStyle w:val="Tabletext"/>
              <w:tabs>
                <w:tab w:val="decimal" w:pos="1313"/>
              </w:tabs>
              <w:spacing w:before="0" w:after="0"/>
              <w:rPr>
                <w:sz w:val="16"/>
              </w:rPr>
            </w:pPr>
            <w:r w:rsidRPr="00015085">
              <w:rPr>
                <w:sz w:val="16"/>
              </w:rPr>
              <w:t>5.4</w:t>
            </w:r>
          </w:p>
        </w:tc>
      </w:tr>
      <w:tr w:rsidR="005F0881" w14:paraId="23EED64D" w14:textId="77777777" w:rsidTr="00F2575A">
        <w:trPr>
          <w:trHeight w:val="88"/>
        </w:trPr>
        <w:tc>
          <w:tcPr>
            <w:tcW w:w="4253" w:type="dxa"/>
            <w:tcBorders>
              <w:top w:val="nil"/>
              <w:bottom w:val="nil"/>
            </w:tcBorders>
            <w:shd w:val="clear" w:color="auto" w:fill="auto"/>
            <w:vAlign w:val="bottom"/>
          </w:tcPr>
          <w:p w14:paraId="081CD812" w14:textId="38E55F3F" w:rsidR="005F0881" w:rsidRPr="00F2575A" w:rsidRDefault="005F0881" w:rsidP="005F0881">
            <w:pPr>
              <w:pStyle w:val="Tabletext"/>
              <w:spacing w:before="0" w:after="0"/>
              <w:rPr>
                <w:b/>
                <w:bCs/>
                <w:sz w:val="16"/>
              </w:rPr>
            </w:pPr>
            <w:r w:rsidRPr="00F2575A">
              <w:rPr>
                <w:b/>
                <w:bCs/>
                <w:sz w:val="16"/>
              </w:rPr>
              <w:t>Net cash outflows from investing activities</w:t>
            </w:r>
          </w:p>
        </w:tc>
        <w:tc>
          <w:tcPr>
            <w:tcW w:w="1082" w:type="dxa"/>
            <w:tcBorders>
              <w:top w:val="nil"/>
              <w:bottom w:val="nil"/>
            </w:tcBorders>
            <w:vAlign w:val="bottom"/>
          </w:tcPr>
          <w:p w14:paraId="5599ED60" w14:textId="77777777" w:rsidR="005F0881" w:rsidRPr="00F2575A" w:rsidRDefault="005F0881" w:rsidP="005F0881">
            <w:pPr>
              <w:pStyle w:val="Tabletext"/>
              <w:spacing w:before="0" w:after="0"/>
              <w:jc w:val="center"/>
              <w:rPr>
                <w:sz w:val="16"/>
              </w:rPr>
            </w:pPr>
          </w:p>
        </w:tc>
        <w:tc>
          <w:tcPr>
            <w:tcW w:w="1568" w:type="dxa"/>
            <w:tcBorders>
              <w:top w:val="single" w:sz="4" w:space="0" w:color="auto"/>
              <w:bottom w:val="nil"/>
            </w:tcBorders>
            <w:shd w:val="clear" w:color="auto" w:fill="auto"/>
            <w:vAlign w:val="bottom"/>
          </w:tcPr>
          <w:p w14:paraId="0D34569E" w14:textId="13A243F7" w:rsidR="005F0881" w:rsidRPr="00F2718C" w:rsidRDefault="005F0881" w:rsidP="005F0881">
            <w:pPr>
              <w:pStyle w:val="Tabletext"/>
              <w:tabs>
                <w:tab w:val="decimal" w:pos="1302"/>
              </w:tabs>
              <w:spacing w:before="0" w:after="0"/>
              <w:rPr>
                <w:b/>
                <w:bCs/>
                <w:sz w:val="16"/>
              </w:rPr>
            </w:pPr>
            <w:r>
              <w:rPr>
                <w:b/>
                <w:bCs/>
                <w:sz w:val="16"/>
              </w:rPr>
              <w:t>(17</w:t>
            </w:r>
            <w:r w:rsidR="002A4EAC">
              <w:rPr>
                <w:b/>
                <w:bCs/>
                <w:sz w:val="16"/>
              </w:rPr>
              <w:t>5.3</w:t>
            </w:r>
            <w:r>
              <w:rPr>
                <w:b/>
                <w:bCs/>
                <w:sz w:val="16"/>
              </w:rPr>
              <w:t>)</w:t>
            </w:r>
          </w:p>
        </w:tc>
        <w:tc>
          <w:tcPr>
            <w:tcW w:w="118" w:type="dxa"/>
            <w:tcBorders>
              <w:top w:val="nil"/>
              <w:bottom w:val="nil"/>
            </w:tcBorders>
            <w:vAlign w:val="bottom"/>
          </w:tcPr>
          <w:p w14:paraId="2BEB9D9A" w14:textId="77777777" w:rsidR="005F0881" w:rsidRPr="00F2575A" w:rsidRDefault="005F0881" w:rsidP="005F0881">
            <w:pPr>
              <w:pStyle w:val="Tabletext"/>
              <w:spacing w:before="0" w:after="0"/>
              <w:jc w:val="right"/>
              <w:rPr>
                <w:sz w:val="16"/>
              </w:rPr>
            </w:pPr>
          </w:p>
        </w:tc>
        <w:tc>
          <w:tcPr>
            <w:tcW w:w="1569" w:type="dxa"/>
            <w:tcBorders>
              <w:top w:val="single" w:sz="4" w:space="0" w:color="auto"/>
              <w:bottom w:val="nil"/>
            </w:tcBorders>
            <w:shd w:val="clear" w:color="auto" w:fill="auto"/>
            <w:vAlign w:val="bottom"/>
          </w:tcPr>
          <w:p w14:paraId="0909EB40" w14:textId="45E38B24" w:rsidR="005F0881" w:rsidRPr="00F2575A" w:rsidRDefault="005F0881" w:rsidP="005F0881">
            <w:pPr>
              <w:pStyle w:val="Tabletext"/>
              <w:tabs>
                <w:tab w:val="decimal" w:pos="1313"/>
              </w:tabs>
              <w:spacing w:before="0" w:after="0"/>
              <w:rPr>
                <w:sz w:val="16"/>
              </w:rPr>
            </w:pPr>
            <w:r w:rsidRPr="00F2718C">
              <w:rPr>
                <w:b/>
                <w:bCs/>
                <w:sz w:val="16"/>
              </w:rPr>
              <w:t>(</w:t>
            </w:r>
            <w:r w:rsidR="008357E5">
              <w:rPr>
                <w:b/>
                <w:bCs/>
                <w:sz w:val="16"/>
              </w:rPr>
              <w:t>1.3</w:t>
            </w:r>
            <w:r w:rsidRPr="00F2718C">
              <w:rPr>
                <w:b/>
                <w:bCs/>
                <w:sz w:val="16"/>
              </w:rPr>
              <w:t>)</w:t>
            </w:r>
          </w:p>
        </w:tc>
        <w:tc>
          <w:tcPr>
            <w:tcW w:w="118" w:type="dxa"/>
            <w:tcBorders>
              <w:top w:val="nil"/>
              <w:bottom w:val="nil"/>
            </w:tcBorders>
            <w:vAlign w:val="bottom"/>
          </w:tcPr>
          <w:p w14:paraId="5C92A29B" w14:textId="77777777" w:rsidR="005F0881" w:rsidRPr="00F2575A" w:rsidRDefault="005F0881" w:rsidP="005F0881">
            <w:pPr>
              <w:pStyle w:val="Tabletext"/>
              <w:spacing w:before="0" w:after="0"/>
              <w:jc w:val="right"/>
              <w:rPr>
                <w:sz w:val="16"/>
              </w:rPr>
            </w:pPr>
          </w:p>
        </w:tc>
        <w:tc>
          <w:tcPr>
            <w:tcW w:w="1570" w:type="dxa"/>
            <w:tcBorders>
              <w:top w:val="single" w:sz="4" w:space="0" w:color="auto"/>
              <w:bottom w:val="nil"/>
            </w:tcBorders>
            <w:shd w:val="clear" w:color="auto" w:fill="auto"/>
            <w:vAlign w:val="bottom"/>
          </w:tcPr>
          <w:p w14:paraId="00750288" w14:textId="2DBA4571" w:rsidR="005F0881" w:rsidRPr="00FD2645" w:rsidRDefault="005F0881" w:rsidP="005F0881">
            <w:pPr>
              <w:pStyle w:val="Tabletext"/>
              <w:tabs>
                <w:tab w:val="decimal" w:pos="1313"/>
              </w:tabs>
              <w:spacing w:before="0" w:after="0"/>
              <w:rPr>
                <w:b/>
                <w:bCs/>
                <w:sz w:val="16"/>
              </w:rPr>
            </w:pPr>
            <w:r w:rsidRPr="00FD2645">
              <w:rPr>
                <w:b/>
                <w:bCs/>
                <w:sz w:val="16"/>
              </w:rPr>
              <w:t>(56.6)</w:t>
            </w:r>
          </w:p>
        </w:tc>
      </w:tr>
      <w:tr w:rsidR="005F0881" w14:paraId="0C8A11F0" w14:textId="77777777" w:rsidTr="00F2575A">
        <w:trPr>
          <w:trHeight w:hRule="exact" w:val="114"/>
        </w:trPr>
        <w:tc>
          <w:tcPr>
            <w:tcW w:w="4253" w:type="dxa"/>
            <w:tcBorders>
              <w:top w:val="nil"/>
              <w:bottom w:val="nil"/>
            </w:tcBorders>
            <w:shd w:val="clear" w:color="auto" w:fill="auto"/>
            <w:vAlign w:val="bottom"/>
          </w:tcPr>
          <w:p w14:paraId="1CA018F9" w14:textId="77777777" w:rsidR="005F0881" w:rsidRPr="00F2575A" w:rsidRDefault="005F0881" w:rsidP="005F0881">
            <w:pPr>
              <w:pStyle w:val="Tabletext"/>
              <w:spacing w:before="0" w:after="0"/>
              <w:rPr>
                <w:b/>
                <w:bCs/>
                <w:sz w:val="16"/>
              </w:rPr>
            </w:pPr>
          </w:p>
        </w:tc>
        <w:tc>
          <w:tcPr>
            <w:tcW w:w="1082" w:type="dxa"/>
            <w:tcBorders>
              <w:top w:val="nil"/>
              <w:bottom w:val="nil"/>
            </w:tcBorders>
            <w:vAlign w:val="bottom"/>
          </w:tcPr>
          <w:p w14:paraId="44EAD4FF"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7FFA163C" w14:textId="0A6E77D0" w:rsidR="005F0881" w:rsidRPr="00F2718C" w:rsidRDefault="005F0881" w:rsidP="005F0881">
            <w:pPr>
              <w:pStyle w:val="Tabletext"/>
              <w:tabs>
                <w:tab w:val="decimal" w:pos="1302"/>
              </w:tabs>
              <w:spacing w:before="0" w:after="0"/>
              <w:rPr>
                <w:b/>
                <w:sz w:val="16"/>
              </w:rPr>
            </w:pPr>
          </w:p>
        </w:tc>
        <w:tc>
          <w:tcPr>
            <w:tcW w:w="118" w:type="dxa"/>
            <w:tcBorders>
              <w:top w:val="nil"/>
              <w:bottom w:val="nil"/>
            </w:tcBorders>
            <w:vAlign w:val="bottom"/>
          </w:tcPr>
          <w:p w14:paraId="3833EAFE"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3ACADB08" w14:textId="77777777" w:rsidR="005F0881" w:rsidRPr="00F2575A" w:rsidRDefault="005F0881" w:rsidP="005F0881">
            <w:pPr>
              <w:pStyle w:val="Tabletext"/>
              <w:tabs>
                <w:tab w:val="decimal" w:pos="1313"/>
              </w:tabs>
              <w:spacing w:before="0" w:after="0"/>
              <w:rPr>
                <w:sz w:val="16"/>
              </w:rPr>
            </w:pPr>
          </w:p>
        </w:tc>
        <w:tc>
          <w:tcPr>
            <w:tcW w:w="118" w:type="dxa"/>
            <w:tcBorders>
              <w:top w:val="nil"/>
              <w:bottom w:val="nil"/>
            </w:tcBorders>
            <w:vAlign w:val="bottom"/>
          </w:tcPr>
          <w:p w14:paraId="134183B2"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vAlign w:val="bottom"/>
          </w:tcPr>
          <w:p w14:paraId="53660992" w14:textId="77777777" w:rsidR="005F0881" w:rsidRPr="007756EA" w:rsidRDefault="005F0881" w:rsidP="005F0881">
            <w:pPr>
              <w:pStyle w:val="Tabletext"/>
              <w:tabs>
                <w:tab w:val="decimal" w:pos="1279"/>
              </w:tabs>
              <w:spacing w:before="0" w:after="0"/>
              <w:rPr>
                <w:sz w:val="16"/>
                <w:highlight w:val="yellow"/>
              </w:rPr>
            </w:pPr>
          </w:p>
        </w:tc>
      </w:tr>
      <w:tr w:rsidR="005F0881" w14:paraId="6467DE34" w14:textId="77777777" w:rsidTr="00F2575A">
        <w:trPr>
          <w:trHeight w:val="52"/>
        </w:trPr>
        <w:tc>
          <w:tcPr>
            <w:tcW w:w="4253" w:type="dxa"/>
            <w:tcBorders>
              <w:top w:val="nil"/>
              <w:bottom w:val="nil"/>
            </w:tcBorders>
            <w:shd w:val="clear" w:color="auto" w:fill="auto"/>
            <w:vAlign w:val="bottom"/>
          </w:tcPr>
          <w:p w14:paraId="27DEED3F" w14:textId="77777777" w:rsidR="005F0881" w:rsidRPr="00F2575A" w:rsidRDefault="005F0881" w:rsidP="005F0881">
            <w:pPr>
              <w:pStyle w:val="Tabletext"/>
              <w:spacing w:before="0" w:after="0"/>
              <w:rPr>
                <w:b/>
                <w:bCs/>
                <w:sz w:val="16"/>
              </w:rPr>
            </w:pPr>
            <w:r w:rsidRPr="00F2575A">
              <w:rPr>
                <w:b/>
                <w:bCs/>
                <w:sz w:val="16"/>
              </w:rPr>
              <w:t>Cash flows from financing activities</w:t>
            </w:r>
          </w:p>
        </w:tc>
        <w:tc>
          <w:tcPr>
            <w:tcW w:w="1082" w:type="dxa"/>
            <w:tcBorders>
              <w:top w:val="nil"/>
              <w:bottom w:val="nil"/>
            </w:tcBorders>
            <w:vAlign w:val="bottom"/>
          </w:tcPr>
          <w:p w14:paraId="2E40412F"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721183DC" w14:textId="4AF715FE" w:rsidR="005F0881" w:rsidRPr="00F2718C" w:rsidRDefault="005F0881" w:rsidP="005F0881">
            <w:pPr>
              <w:pStyle w:val="Tabletext"/>
              <w:tabs>
                <w:tab w:val="decimal" w:pos="1302"/>
              </w:tabs>
              <w:spacing w:before="0" w:after="0"/>
              <w:rPr>
                <w:b/>
                <w:sz w:val="16"/>
              </w:rPr>
            </w:pPr>
          </w:p>
        </w:tc>
        <w:tc>
          <w:tcPr>
            <w:tcW w:w="118" w:type="dxa"/>
            <w:tcBorders>
              <w:top w:val="nil"/>
              <w:bottom w:val="nil"/>
            </w:tcBorders>
            <w:vAlign w:val="bottom"/>
          </w:tcPr>
          <w:p w14:paraId="24FC7C52"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053A10C3" w14:textId="77777777" w:rsidR="005F0881" w:rsidRPr="00F2575A" w:rsidRDefault="005F0881" w:rsidP="005F0881">
            <w:pPr>
              <w:pStyle w:val="Tabletext"/>
              <w:tabs>
                <w:tab w:val="decimal" w:pos="1313"/>
              </w:tabs>
              <w:spacing w:before="0" w:after="0"/>
              <w:rPr>
                <w:sz w:val="16"/>
              </w:rPr>
            </w:pPr>
          </w:p>
        </w:tc>
        <w:tc>
          <w:tcPr>
            <w:tcW w:w="118" w:type="dxa"/>
            <w:tcBorders>
              <w:top w:val="nil"/>
              <w:bottom w:val="nil"/>
            </w:tcBorders>
            <w:vAlign w:val="bottom"/>
          </w:tcPr>
          <w:p w14:paraId="1FA1BA72"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vAlign w:val="bottom"/>
          </w:tcPr>
          <w:p w14:paraId="1A7A6455" w14:textId="77777777" w:rsidR="005F0881" w:rsidRPr="007756EA" w:rsidRDefault="005F0881" w:rsidP="005F0881">
            <w:pPr>
              <w:pStyle w:val="Tabletext"/>
              <w:tabs>
                <w:tab w:val="decimal" w:pos="1279"/>
              </w:tabs>
              <w:spacing w:before="0" w:after="0"/>
              <w:rPr>
                <w:sz w:val="16"/>
                <w:highlight w:val="yellow"/>
              </w:rPr>
            </w:pPr>
          </w:p>
        </w:tc>
      </w:tr>
      <w:tr w:rsidR="005F0881" w14:paraId="4F9B3FB8" w14:textId="77777777">
        <w:trPr>
          <w:trHeight w:val="52"/>
        </w:trPr>
        <w:tc>
          <w:tcPr>
            <w:tcW w:w="4253" w:type="dxa"/>
            <w:tcBorders>
              <w:top w:val="nil"/>
              <w:bottom w:val="nil"/>
            </w:tcBorders>
            <w:shd w:val="clear" w:color="auto" w:fill="auto"/>
            <w:vAlign w:val="bottom"/>
          </w:tcPr>
          <w:p w14:paraId="7FC45C1C" w14:textId="77777777" w:rsidR="005F0881" w:rsidRPr="00F2575A" w:rsidRDefault="005F0881" w:rsidP="005F0881">
            <w:pPr>
              <w:pStyle w:val="Tabletext"/>
              <w:spacing w:before="0" w:after="0"/>
              <w:rPr>
                <w:sz w:val="16"/>
              </w:rPr>
            </w:pPr>
            <w:r w:rsidRPr="00F2575A">
              <w:rPr>
                <w:sz w:val="16"/>
              </w:rPr>
              <w:t>Dividends paid</w:t>
            </w:r>
          </w:p>
        </w:tc>
        <w:tc>
          <w:tcPr>
            <w:tcW w:w="1082" w:type="dxa"/>
            <w:tcBorders>
              <w:top w:val="nil"/>
              <w:bottom w:val="nil"/>
            </w:tcBorders>
            <w:vAlign w:val="bottom"/>
          </w:tcPr>
          <w:p w14:paraId="2B0E9B9A" w14:textId="5923A80E" w:rsidR="005F0881" w:rsidRPr="00F2575A" w:rsidRDefault="005F0881" w:rsidP="005F0881">
            <w:pPr>
              <w:pStyle w:val="Tabletext"/>
              <w:spacing w:before="0" w:after="0"/>
              <w:ind w:right="119"/>
              <w:jc w:val="center"/>
              <w:rPr>
                <w:sz w:val="16"/>
              </w:rPr>
            </w:pPr>
            <w:r w:rsidRPr="00F2575A">
              <w:rPr>
                <w:sz w:val="16"/>
              </w:rPr>
              <w:t>16</w:t>
            </w:r>
          </w:p>
        </w:tc>
        <w:tc>
          <w:tcPr>
            <w:tcW w:w="1568" w:type="dxa"/>
            <w:tcBorders>
              <w:top w:val="nil"/>
              <w:bottom w:val="nil"/>
            </w:tcBorders>
            <w:shd w:val="clear" w:color="auto" w:fill="auto"/>
            <w:vAlign w:val="bottom"/>
          </w:tcPr>
          <w:p w14:paraId="6A743F7B" w14:textId="4CC36F4D" w:rsidR="005F0881" w:rsidRPr="005F0E7F" w:rsidRDefault="005F0881" w:rsidP="005F0881">
            <w:pPr>
              <w:pStyle w:val="Tabletext"/>
              <w:tabs>
                <w:tab w:val="decimal" w:pos="1302"/>
              </w:tabs>
              <w:spacing w:before="0" w:after="0"/>
              <w:rPr>
                <w:bCs/>
                <w:sz w:val="16"/>
              </w:rPr>
            </w:pPr>
            <w:r w:rsidRPr="005F0E7F">
              <w:rPr>
                <w:bCs/>
                <w:sz w:val="16"/>
              </w:rPr>
              <w:t>(17.6)</w:t>
            </w:r>
          </w:p>
        </w:tc>
        <w:tc>
          <w:tcPr>
            <w:tcW w:w="118" w:type="dxa"/>
            <w:tcBorders>
              <w:top w:val="nil"/>
              <w:bottom w:val="nil"/>
            </w:tcBorders>
            <w:vAlign w:val="bottom"/>
          </w:tcPr>
          <w:p w14:paraId="08B4380A"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04D68FC2" w14:textId="0D0D4C32" w:rsidR="005F0881" w:rsidRPr="00F2575A" w:rsidRDefault="005F0881" w:rsidP="005F0881">
            <w:pPr>
              <w:pStyle w:val="Tabletext"/>
              <w:tabs>
                <w:tab w:val="decimal" w:pos="1313"/>
              </w:tabs>
              <w:spacing w:before="0" w:after="0"/>
              <w:rPr>
                <w:sz w:val="16"/>
              </w:rPr>
            </w:pPr>
            <w:r w:rsidRPr="00F2718C">
              <w:rPr>
                <w:sz w:val="16"/>
              </w:rPr>
              <w:t>(2.6)</w:t>
            </w:r>
          </w:p>
        </w:tc>
        <w:tc>
          <w:tcPr>
            <w:tcW w:w="118" w:type="dxa"/>
            <w:tcBorders>
              <w:top w:val="nil"/>
              <w:bottom w:val="nil"/>
            </w:tcBorders>
            <w:vAlign w:val="bottom"/>
          </w:tcPr>
          <w:p w14:paraId="3655BAD4"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11ED1715" w14:textId="7009D7D4" w:rsidR="005F0881" w:rsidRPr="00BB0B74" w:rsidRDefault="005F0881" w:rsidP="005F0881">
            <w:pPr>
              <w:pStyle w:val="Tabletext"/>
              <w:tabs>
                <w:tab w:val="decimal" w:pos="1313"/>
              </w:tabs>
              <w:spacing w:before="0" w:after="0"/>
              <w:rPr>
                <w:sz w:val="16"/>
              </w:rPr>
            </w:pPr>
            <w:r w:rsidRPr="00BB0B74">
              <w:rPr>
                <w:sz w:val="16"/>
              </w:rPr>
              <w:t>(35.2)</w:t>
            </w:r>
          </w:p>
        </w:tc>
      </w:tr>
      <w:tr w:rsidR="005F0881" w14:paraId="153F7412" w14:textId="77777777">
        <w:trPr>
          <w:trHeight w:val="52"/>
        </w:trPr>
        <w:tc>
          <w:tcPr>
            <w:tcW w:w="4253" w:type="dxa"/>
            <w:tcBorders>
              <w:top w:val="nil"/>
              <w:bottom w:val="nil"/>
            </w:tcBorders>
            <w:shd w:val="clear" w:color="auto" w:fill="auto"/>
            <w:vAlign w:val="bottom"/>
          </w:tcPr>
          <w:p w14:paraId="11E84D70" w14:textId="7A7D1000" w:rsidR="005F0881" w:rsidRPr="00F2575A" w:rsidRDefault="005F0881" w:rsidP="005F0881">
            <w:pPr>
              <w:pStyle w:val="Tabletext"/>
              <w:spacing w:before="0" w:after="0"/>
              <w:rPr>
                <w:sz w:val="16"/>
              </w:rPr>
            </w:pPr>
            <w:r w:rsidRPr="00F2575A">
              <w:rPr>
                <w:sz w:val="16"/>
              </w:rPr>
              <w:t>Purchase of shares by EBT</w:t>
            </w:r>
          </w:p>
        </w:tc>
        <w:tc>
          <w:tcPr>
            <w:tcW w:w="1082" w:type="dxa"/>
            <w:tcBorders>
              <w:top w:val="nil"/>
              <w:bottom w:val="nil"/>
            </w:tcBorders>
            <w:vAlign w:val="bottom"/>
          </w:tcPr>
          <w:p w14:paraId="17EF8221" w14:textId="3A89005C" w:rsidR="005F0881" w:rsidRPr="00F2575A" w:rsidRDefault="005F0881" w:rsidP="005F0881">
            <w:pPr>
              <w:pStyle w:val="Tabletext"/>
              <w:spacing w:before="0" w:after="0"/>
              <w:ind w:right="119"/>
              <w:jc w:val="center"/>
              <w:rPr>
                <w:sz w:val="16"/>
              </w:rPr>
            </w:pPr>
            <w:r w:rsidRPr="00F2575A">
              <w:rPr>
                <w:sz w:val="16"/>
              </w:rPr>
              <w:t>1</w:t>
            </w:r>
            <w:r>
              <w:rPr>
                <w:sz w:val="16"/>
              </w:rPr>
              <w:t>5</w:t>
            </w:r>
          </w:p>
        </w:tc>
        <w:tc>
          <w:tcPr>
            <w:tcW w:w="1568" w:type="dxa"/>
            <w:tcBorders>
              <w:top w:val="nil"/>
              <w:bottom w:val="nil"/>
            </w:tcBorders>
            <w:shd w:val="clear" w:color="auto" w:fill="auto"/>
            <w:vAlign w:val="bottom"/>
          </w:tcPr>
          <w:p w14:paraId="5A5FE78E" w14:textId="4CAD152C" w:rsidR="005F0881" w:rsidRPr="005F0E7F" w:rsidRDefault="005F0881" w:rsidP="005F0881">
            <w:pPr>
              <w:pStyle w:val="Tabletext"/>
              <w:tabs>
                <w:tab w:val="decimal" w:pos="1302"/>
              </w:tabs>
              <w:spacing w:before="0" w:after="0"/>
              <w:rPr>
                <w:bCs/>
                <w:sz w:val="16"/>
              </w:rPr>
            </w:pPr>
            <w:r w:rsidRPr="005F0E7F">
              <w:rPr>
                <w:bCs/>
                <w:sz w:val="16"/>
              </w:rPr>
              <w:t>(0.9)</w:t>
            </w:r>
          </w:p>
        </w:tc>
        <w:tc>
          <w:tcPr>
            <w:tcW w:w="118" w:type="dxa"/>
            <w:tcBorders>
              <w:top w:val="nil"/>
              <w:bottom w:val="nil"/>
            </w:tcBorders>
            <w:vAlign w:val="bottom"/>
          </w:tcPr>
          <w:p w14:paraId="2C431BF0"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25938880" w14:textId="3692AFA3" w:rsidR="005F0881" w:rsidRPr="00F2575A" w:rsidRDefault="005F0881" w:rsidP="005F0881">
            <w:pPr>
              <w:pStyle w:val="Tabletext"/>
              <w:tabs>
                <w:tab w:val="decimal" w:pos="1313"/>
              </w:tabs>
              <w:spacing w:before="0" w:after="0"/>
              <w:rPr>
                <w:sz w:val="16"/>
              </w:rPr>
            </w:pPr>
            <w:r w:rsidRPr="00F2718C">
              <w:rPr>
                <w:sz w:val="16"/>
              </w:rPr>
              <w:t>(24.4)</w:t>
            </w:r>
          </w:p>
        </w:tc>
        <w:tc>
          <w:tcPr>
            <w:tcW w:w="118" w:type="dxa"/>
            <w:tcBorders>
              <w:top w:val="nil"/>
              <w:bottom w:val="nil"/>
            </w:tcBorders>
            <w:vAlign w:val="bottom"/>
          </w:tcPr>
          <w:p w14:paraId="27E866D3"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19BD7BB4" w14:textId="4492B016" w:rsidR="005F0881" w:rsidRPr="00BB0B74" w:rsidRDefault="005F0881" w:rsidP="005F0881">
            <w:pPr>
              <w:pStyle w:val="Tabletext"/>
              <w:tabs>
                <w:tab w:val="decimal" w:pos="1313"/>
              </w:tabs>
              <w:spacing w:before="0" w:after="0"/>
              <w:rPr>
                <w:sz w:val="16"/>
              </w:rPr>
            </w:pPr>
            <w:r w:rsidRPr="00BB0B74">
              <w:rPr>
                <w:sz w:val="16"/>
              </w:rPr>
              <w:t>(24.5)</w:t>
            </w:r>
          </w:p>
        </w:tc>
      </w:tr>
      <w:tr w:rsidR="005F0881" w14:paraId="19A4934D" w14:textId="77777777">
        <w:trPr>
          <w:trHeight w:val="52"/>
        </w:trPr>
        <w:tc>
          <w:tcPr>
            <w:tcW w:w="4253" w:type="dxa"/>
            <w:tcBorders>
              <w:top w:val="nil"/>
              <w:bottom w:val="nil"/>
            </w:tcBorders>
            <w:shd w:val="clear" w:color="auto" w:fill="auto"/>
            <w:vAlign w:val="bottom"/>
          </w:tcPr>
          <w:p w14:paraId="06198FD9" w14:textId="17676F36" w:rsidR="005F0881" w:rsidRPr="00F2575A" w:rsidRDefault="005F0881" w:rsidP="005F0881">
            <w:pPr>
              <w:pStyle w:val="Tabletext"/>
              <w:spacing w:before="0" w:after="0"/>
              <w:rPr>
                <w:sz w:val="16"/>
              </w:rPr>
            </w:pPr>
            <w:r w:rsidRPr="00F2575A">
              <w:rPr>
                <w:sz w:val="16"/>
              </w:rPr>
              <w:t>Purchase of shares for cancellation</w:t>
            </w:r>
          </w:p>
        </w:tc>
        <w:tc>
          <w:tcPr>
            <w:tcW w:w="1082" w:type="dxa"/>
            <w:tcBorders>
              <w:top w:val="nil"/>
              <w:bottom w:val="nil"/>
            </w:tcBorders>
            <w:vAlign w:val="bottom"/>
          </w:tcPr>
          <w:p w14:paraId="1DB01BF3" w14:textId="14BA337E" w:rsidR="005F0881" w:rsidRPr="00F2575A" w:rsidRDefault="005F0881" w:rsidP="005F0881">
            <w:pPr>
              <w:pStyle w:val="Tabletext"/>
              <w:spacing w:before="0" w:after="0"/>
              <w:ind w:right="119"/>
              <w:jc w:val="center"/>
              <w:rPr>
                <w:sz w:val="16"/>
              </w:rPr>
            </w:pPr>
            <w:r>
              <w:rPr>
                <w:sz w:val="16"/>
              </w:rPr>
              <w:t>14</w:t>
            </w:r>
          </w:p>
        </w:tc>
        <w:tc>
          <w:tcPr>
            <w:tcW w:w="1568" w:type="dxa"/>
            <w:tcBorders>
              <w:top w:val="nil"/>
              <w:bottom w:val="nil"/>
            </w:tcBorders>
            <w:shd w:val="clear" w:color="auto" w:fill="auto"/>
            <w:vAlign w:val="bottom"/>
          </w:tcPr>
          <w:p w14:paraId="082D01E3" w14:textId="05B939AE" w:rsidR="005F0881" w:rsidRPr="0042087B" w:rsidRDefault="005F0881" w:rsidP="005F0881">
            <w:pPr>
              <w:pStyle w:val="Tabletext"/>
              <w:tabs>
                <w:tab w:val="decimal" w:pos="1302"/>
              </w:tabs>
              <w:spacing w:before="0" w:after="0"/>
              <w:rPr>
                <w:bCs/>
                <w:sz w:val="16"/>
              </w:rPr>
            </w:pPr>
            <w:r w:rsidRPr="0042087B">
              <w:rPr>
                <w:bCs/>
                <w:sz w:val="16"/>
              </w:rPr>
              <w:t>-</w:t>
            </w:r>
          </w:p>
        </w:tc>
        <w:tc>
          <w:tcPr>
            <w:tcW w:w="118" w:type="dxa"/>
            <w:tcBorders>
              <w:top w:val="nil"/>
              <w:bottom w:val="nil"/>
            </w:tcBorders>
            <w:vAlign w:val="bottom"/>
          </w:tcPr>
          <w:p w14:paraId="41AE1551"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4E749293" w14:textId="34A4C6B8" w:rsidR="005F0881" w:rsidRPr="00F2575A" w:rsidRDefault="005F0881" w:rsidP="005F0881">
            <w:pPr>
              <w:pStyle w:val="Tabletext"/>
              <w:tabs>
                <w:tab w:val="decimal" w:pos="1313"/>
              </w:tabs>
              <w:spacing w:before="0" w:after="0"/>
              <w:rPr>
                <w:sz w:val="16"/>
              </w:rPr>
            </w:pPr>
            <w:r w:rsidRPr="00F2718C">
              <w:rPr>
                <w:sz w:val="16"/>
              </w:rPr>
              <w:t>(2.0)</w:t>
            </w:r>
          </w:p>
        </w:tc>
        <w:tc>
          <w:tcPr>
            <w:tcW w:w="118" w:type="dxa"/>
            <w:tcBorders>
              <w:top w:val="nil"/>
              <w:bottom w:val="nil"/>
            </w:tcBorders>
            <w:vAlign w:val="bottom"/>
          </w:tcPr>
          <w:p w14:paraId="6927FC8C"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3E107D52" w14:textId="4A61EA01" w:rsidR="005F0881" w:rsidRPr="00BB0B74" w:rsidRDefault="005F0881" w:rsidP="005F0881">
            <w:pPr>
              <w:pStyle w:val="Tabletext"/>
              <w:tabs>
                <w:tab w:val="decimal" w:pos="1313"/>
              </w:tabs>
              <w:spacing w:before="0" w:after="0"/>
              <w:rPr>
                <w:sz w:val="16"/>
              </w:rPr>
            </w:pPr>
            <w:r w:rsidRPr="00BB0B74">
              <w:rPr>
                <w:sz w:val="16"/>
              </w:rPr>
              <w:t>(2.0)</w:t>
            </w:r>
          </w:p>
        </w:tc>
      </w:tr>
      <w:tr w:rsidR="005F0881" w14:paraId="4FCACBBD" w14:textId="77777777">
        <w:trPr>
          <w:trHeight w:val="68"/>
        </w:trPr>
        <w:tc>
          <w:tcPr>
            <w:tcW w:w="4253" w:type="dxa"/>
            <w:tcBorders>
              <w:top w:val="nil"/>
              <w:bottom w:val="nil"/>
            </w:tcBorders>
            <w:shd w:val="clear" w:color="auto" w:fill="auto"/>
            <w:vAlign w:val="bottom"/>
          </w:tcPr>
          <w:p w14:paraId="3E549B8C" w14:textId="55DF875D" w:rsidR="005F0881" w:rsidRPr="00F2575A" w:rsidRDefault="005F0881" w:rsidP="005F0881">
            <w:pPr>
              <w:pStyle w:val="Tabletext"/>
              <w:spacing w:before="0" w:after="0"/>
              <w:rPr>
                <w:sz w:val="16"/>
              </w:rPr>
            </w:pPr>
            <w:r>
              <w:rPr>
                <w:sz w:val="16"/>
              </w:rPr>
              <w:t>F</w:t>
            </w:r>
            <w:r w:rsidRPr="00F2575A">
              <w:rPr>
                <w:sz w:val="16"/>
              </w:rPr>
              <w:t>inance costs paid</w:t>
            </w:r>
            <w:r w:rsidR="00BC02EA" w:rsidRPr="00577845">
              <w:rPr>
                <w:sz w:val="16"/>
                <w:vertAlign w:val="superscript"/>
              </w:rPr>
              <w:t>4</w:t>
            </w:r>
          </w:p>
        </w:tc>
        <w:tc>
          <w:tcPr>
            <w:tcW w:w="1082" w:type="dxa"/>
            <w:tcBorders>
              <w:top w:val="nil"/>
              <w:bottom w:val="nil"/>
            </w:tcBorders>
            <w:vAlign w:val="bottom"/>
          </w:tcPr>
          <w:p w14:paraId="4EE02EDD"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0972A86F" w14:textId="4349648F" w:rsidR="005F0881" w:rsidRPr="005F0E7F" w:rsidRDefault="005F0881" w:rsidP="005F0881">
            <w:pPr>
              <w:pStyle w:val="Tabletext"/>
              <w:tabs>
                <w:tab w:val="decimal" w:pos="1302"/>
              </w:tabs>
              <w:spacing w:before="0" w:after="0"/>
              <w:rPr>
                <w:bCs/>
                <w:sz w:val="16"/>
              </w:rPr>
            </w:pPr>
            <w:r w:rsidRPr="005F0E7F">
              <w:rPr>
                <w:bCs/>
                <w:sz w:val="16"/>
              </w:rPr>
              <w:t>(4.5)</w:t>
            </w:r>
          </w:p>
        </w:tc>
        <w:tc>
          <w:tcPr>
            <w:tcW w:w="118" w:type="dxa"/>
            <w:tcBorders>
              <w:top w:val="nil"/>
              <w:bottom w:val="nil"/>
            </w:tcBorders>
            <w:vAlign w:val="bottom"/>
          </w:tcPr>
          <w:p w14:paraId="0EB45D21"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3865744F" w14:textId="455DB573" w:rsidR="005F0881" w:rsidRPr="00F2575A" w:rsidRDefault="005F0881" w:rsidP="005F0881">
            <w:pPr>
              <w:pStyle w:val="Tabletext"/>
              <w:tabs>
                <w:tab w:val="decimal" w:pos="1313"/>
              </w:tabs>
              <w:spacing w:before="0" w:after="0"/>
              <w:rPr>
                <w:sz w:val="16"/>
              </w:rPr>
            </w:pPr>
            <w:r w:rsidRPr="00F2718C">
              <w:rPr>
                <w:sz w:val="16"/>
              </w:rPr>
              <w:t>(</w:t>
            </w:r>
            <w:r w:rsidR="008357E5">
              <w:rPr>
                <w:sz w:val="16"/>
              </w:rPr>
              <w:t>4.5</w:t>
            </w:r>
            <w:r w:rsidRPr="00F2718C">
              <w:rPr>
                <w:sz w:val="16"/>
              </w:rPr>
              <w:t>)</w:t>
            </w:r>
          </w:p>
        </w:tc>
        <w:tc>
          <w:tcPr>
            <w:tcW w:w="118" w:type="dxa"/>
            <w:tcBorders>
              <w:top w:val="nil"/>
              <w:bottom w:val="nil"/>
            </w:tcBorders>
            <w:vAlign w:val="bottom"/>
          </w:tcPr>
          <w:p w14:paraId="272BD2D1"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574366C7" w14:textId="2561A031" w:rsidR="005F0881" w:rsidRPr="00BB0B74" w:rsidRDefault="005F0881" w:rsidP="005F0881">
            <w:pPr>
              <w:pStyle w:val="Tabletext"/>
              <w:tabs>
                <w:tab w:val="decimal" w:pos="1313"/>
              </w:tabs>
              <w:spacing w:before="0" w:after="0"/>
              <w:rPr>
                <w:sz w:val="16"/>
              </w:rPr>
            </w:pPr>
            <w:r w:rsidRPr="00BB0B74">
              <w:rPr>
                <w:sz w:val="16"/>
              </w:rPr>
              <w:t>(4.6)</w:t>
            </w:r>
          </w:p>
        </w:tc>
      </w:tr>
      <w:tr w:rsidR="005F0881" w14:paraId="3DDD2173" w14:textId="77777777">
        <w:trPr>
          <w:trHeight w:val="52"/>
        </w:trPr>
        <w:tc>
          <w:tcPr>
            <w:tcW w:w="4253" w:type="dxa"/>
            <w:tcBorders>
              <w:top w:val="nil"/>
              <w:bottom w:val="nil"/>
            </w:tcBorders>
            <w:shd w:val="clear" w:color="auto" w:fill="auto"/>
            <w:vAlign w:val="bottom"/>
          </w:tcPr>
          <w:p w14:paraId="31F6FDA2" w14:textId="77777777" w:rsidR="005F0881" w:rsidRPr="00F2575A" w:rsidRDefault="005F0881" w:rsidP="005F0881">
            <w:pPr>
              <w:pStyle w:val="Tabletext"/>
              <w:spacing w:before="0" w:after="0"/>
              <w:rPr>
                <w:sz w:val="16"/>
              </w:rPr>
            </w:pPr>
            <w:r w:rsidRPr="00F2575A">
              <w:rPr>
                <w:sz w:val="16"/>
              </w:rPr>
              <w:t>Cash paid in respect of lease arrangements</w:t>
            </w:r>
          </w:p>
        </w:tc>
        <w:tc>
          <w:tcPr>
            <w:tcW w:w="1082" w:type="dxa"/>
            <w:tcBorders>
              <w:top w:val="nil"/>
              <w:bottom w:val="nil"/>
            </w:tcBorders>
            <w:vAlign w:val="bottom"/>
          </w:tcPr>
          <w:p w14:paraId="6B6CFFDF"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4FA10DEA" w14:textId="134CC68B" w:rsidR="005F0881" w:rsidRPr="005F0E7F" w:rsidRDefault="005F0881" w:rsidP="005F0881">
            <w:pPr>
              <w:pStyle w:val="Tabletext"/>
              <w:tabs>
                <w:tab w:val="decimal" w:pos="1302"/>
              </w:tabs>
              <w:spacing w:before="0" w:after="0"/>
              <w:rPr>
                <w:bCs/>
                <w:sz w:val="16"/>
              </w:rPr>
            </w:pPr>
            <w:r w:rsidRPr="005F0E7F">
              <w:rPr>
                <w:bCs/>
                <w:sz w:val="16"/>
              </w:rPr>
              <w:t>(4.1)</w:t>
            </w:r>
          </w:p>
        </w:tc>
        <w:tc>
          <w:tcPr>
            <w:tcW w:w="118" w:type="dxa"/>
            <w:tcBorders>
              <w:top w:val="nil"/>
              <w:bottom w:val="nil"/>
            </w:tcBorders>
            <w:vAlign w:val="bottom"/>
          </w:tcPr>
          <w:p w14:paraId="709FA63E"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37B9895E" w14:textId="5F51FC2B" w:rsidR="005F0881" w:rsidRPr="00F2575A" w:rsidRDefault="005F0881" w:rsidP="005F0881">
            <w:pPr>
              <w:pStyle w:val="Tabletext"/>
              <w:tabs>
                <w:tab w:val="decimal" w:pos="1313"/>
              </w:tabs>
              <w:spacing w:before="0" w:after="0"/>
              <w:rPr>
                <w:sz w:val="16"/>
              </w:rPr>
            </w:pPr>
            <w:r w:rsidRPr="00F2718C">
              <w:rPr>
                <w:sz w:val="16"/>
              </w:rPr>
              <w:t>(3.0)</w:t>
            </w:r>
          </w:p>
        </w:tc>
        <w:tc>
          <w:tcPr>
            <w:tcW w:w="118" w:type="dxa"/>
            <w:tcBorders>
              <w:top w:val="nil"/>
              <w:bottom w:val="nil"/>
            </w:tcBorders>
            <w:vAlign w:val="bottom"/>
          </w:tcPr>
          <w:p w14:paraId="63D7A3E7"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62B7BD11" w14:textId="3A1B19B2" w:rsidR="005F0881" w:rsidRPr="00BB0B74" w:rsidRDefault="005F0881" w:rsidP="005F0881">
            <w:pPr>
              <w:pStyle w:val="Tabletext"/>
              <w:tabs>
                <w:tab w:val="decimal" w:pos="1313"/>
              </w:tabs>
              <w:spacing w:before="0" w:after="0"/>
              <w:rPr>
                <w:sz w:val="16"/>
              </w:rPr>
            </w:pPr>
            <w:r w:rsidRPr="00BB0B74">
              <w:rPr>
                <w:sz w:val="16"/>
              </w:rPr>
              <w:t>(4.9)</w:t>
            </w:r>
          </w:p>
        </w:tc>
      </w:tr>
      <w:tr w:rsidR="005F0881" w14:paraId="7BB1B868" w14:textId="77777777">
        <w:trPr>
          <w:trHeight w:val="52"/>
        </w:trPr>
        <w:tc>
          <w:tcPr>
            <w:tcW w:w="4253" w:type="dxa"/>
            <w:tcBorders>
              <w:top w:val="nil"/>
              <w:bottom w:val="nil"/>
            </w:tcBorders>
            <w:shd w:val="clear" w:color="auto" w:fill="auto"/>
            <w:vAlign w:val="bottom"/>
          </w:tcPr>
          <w:p w14:paraId="6758FE4F" w14:textId="77777777" w:rsidR="005F0881" w:rsidRPr="00F2575A" w:rsidRDefault="005F0881" w:rsidP="005F0881">
            <w:pPr>
              <w:pStyle w:val="Tabletext"/>
              <w:spacing w:before="0" w:after="0"/>
              <w:rPr>
                <w:sz w:val="16"/>
              </w:rPr>
            </w:pPr>
            <w:r w:rsidRPr="00F2575A">
              <w:rPr>
                <w:sz w:val="16"/>
              </w:rPr>
              <w:t>Third-party subscriptions into consolidated funds</w:t>
            </w:r>
          </w:p>
        </w:tc>
        <w:tc>
          <w:tcPr>
            <w:tcW w:w="1082" w:type="dxa"/>
            <w:tcBorders>
              <w:top w:val="nil"/>
              <w:bottom w:val="nil"/>
            </w:tcBorders>
            <w:vAlign w:val="bottom"/>
          </w:tcPr>
          <w:p w14:paraId="5C210C1E"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7ADAB88E" w14:textId="60F9D757" w:rsidR="005F0881" w:rsidRPr="005F0E7F" w:rsidRDefault="005F0881" w:rsidP="005F0881">
            <w:pPr>
              <w:pStyle w:val="Tabletext"/>
              <w:tabs>
                <w:tab w:val="decimal" w:pos="1302"/>
              </w:tabs>
              <w:spacing w:before="0" w:after="0"/>
              <w:rPr>
                <w:bCs/>
                <w:sz w:val="16"/>
              </w:rPr>
            </w:pPr>
            <w:r w:rsidRPr="005F0E7F">
              <w:rPr>
                <w:bCs/>
                <w:sz w:val="16"/>
              </w:rPr>
              <w:t>116.9</w:t>
            </w:r>
          </w:p>
        </w:tc>
        <w:tc>
          <w:tcPr>
            <w:tcW w:w="118" w:type="dxa"/>
            <w:tcBorders>
              <w:top w:val="nil"/>
              <w:bottom w:val="nil"/>
            </w:tcBorders>
            <w:vAlign w:val="bottom"/>
          </w:tcPr>
          <w:p w14:paraId="33E721BD"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450616C4" w14:textId="331D5F7A" w:rsidR="005F0881" w:rsidRPr="00F2575A" w:rsidRDefault="005F0881" w:rsidP="005F0881">
            <w:pPr>
              <w:pStyle w:val="Tabletext"/>
              <w:tabs>
                <w:tab w:val="decimal" w:pos="1313"/>
              </w:tabs>
              <w:spacing w:before="0" w:after="0"/>
              <w:rPr>
                <w:sz w:val="16"/>
              </w:rPr>
            </w:pPr>
            <w:r w:rsidRPr="00F2718C">
              <w:rPr>
                <w:sz w:val="16"/>
              </w:rPr>
              <w:t>29.9</w:t>
            </w:r>
          </w:p>
        </w:tc>
        <w:tc>
          <w:tcPr>
            <w:tcW w:w="118" w:type="dxa"/>
            <w:tcBorders>
              <w:top w:val="nil"/>
              <w:bottom w:val="nil"/>
            </w:tcBorders>
            <w:vAlign w:val="bottom"/>
          </w:tcPr>
          <w:p w14:paraId="15A44582"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5A0B39B5" w14:textId="1CAE65F6" w:rsidR="005F0881" w:rsidRPr="00BB0B74" w:rsidRDefault="005F0881" w:rsidP="005F0881">
            <w:pPr>
              <w:pStyle w:val="Tabletext"/>
              <w:tabs>
                <w:tab w:val="decimal" w:pos="1313"/>
              </w:tabs>
              <w:spacing w:before="0" w:after="0"/>
              <w:rPr>
                <w:sz w:val="16"/>
              </w:rPr>
            </w:pPr>
            <w:r w:rsidRPr="00BB0B74">
              <w:rPr>
                <w:sz w:val="16"/>
              </w:rPr>
              <w:t>63.0</w:t>
            </w:r>
          </w:p>
        </w:tc>
      </w:tr>
      <w:tr w:rsidR="005F0881" w14:paraId="79F66CAB" w14:textId="77777777">
        <w:trPr>
          <w:trHeight w:val="52"/>
        </w:trPr>
        <w:tc>
          <w:tcPr>
            <w:tcW w:w="4253" w:type="dxa"/>
            <w:tcBorders>
              <w:top w:val="nil"/>
              <w:bottom w:val="nil"/>
            </w:tcBorders>
            <w:shd w:val="clear" w:color="auto" w:fill="auto"/>
            <w:vAlign w:val="bottom"/>
          </w:tcPr>
          <w:p w14:paraId="6BFC5DF2" w14:textId="77777777" w:rsidR="005F0881" w:rsidRPr="00F2575A" w:rsidRDefault="005F0881" w:rsidP="005F0881">
            <w:pPr>
              <w:pStyle w:val="Tabletext"/>
              <w:spacing w:before="0" w:after="0"/>
              <w:rPr>
                <w:sz w:val="16"/>
              </w:rPr>
            </w:pPr>
            <w:r w:rsidRPr="00F2575A">
              <w:rPr>
                <w:sz w:val="16"/>
              </w:rPr>
              <w:t>Third-party redemptions from consolidated funds</w:t>
            </w:r>
          </w:p>
        </w:tc>
        <w:tc>
          <w:tcPr>
            <w:tcW w:w="1082" w:type="dxa"/>
            <w:tcBorders>
              <w:top w:val="nil"/>
              <w:bottom w:val="nil"/>
            </w:tcBorders>
            <w:vAlign w:val="bottom"/>
          </w:tcPr>
          <w:p w14:paraId="4BAD09F8" w14:textId="77777777" w:rsidR="005F0881" w:rsidRPr="00F2575A" w:rsidRDefault="005F0881" w:rsidP="005F0881">
            <w:pPr>
              <w:pStyle w:val="Tabletext"/>
              <w:spacing w:before="0" w:after="0"/>
              <w:jc w:val="center"/>
              <w:rPr>
                <w:sz w:val="16"/>
              </w:rPr>
            </w:pPr>
          </w:p>
        </w:tc>
        <w:tc>
          <w:tcPr>
            <w:tcW w:w="1568" w:type="dxa"/>
            <w:tcBorders>
              <w:top w:val="nil"/>
              <w:bottom w:val="nil"/>
            </w:tcBorders>
            <w:shd w:val="clear" w:color="auto" w:fill="auto"/>
            <w:vAlign w:val="bottom"/>
          </w:tcPr>
          <w:p w14:paraId="48644F14" w14:textId="55962F1A" w:rsidR="005F0881" w:rsidRPr="005F0E7F" w:rsidRDefault="005F0881" w:rsidP="005F0881">
            <w:pPr>
              <w:pStyle w:val="Tabletext"/>
              <w:tabs>
                <w:tab w:val="decimal" w:pos="1302"/>
              </w:tabs>
              <w:spacing w:before="0" w:after="0"/>
              <w:rPr>
                <w:bCs/>
                <w:sz w:val="16"/>
              </w:rPr>
            </w:pPr>
            <w:r w:rsidRPr="005F0E7F">
              <w:rPr>
                <w:bCs/>
                <w:sz w:val="16"/>
              </w:rPr>
              <w:t>(15.3)</w:t>
            </w:r>
          </w:p>
        </w:tc>
        <w:tc>
          <w:tcPr>
            <w:tcW w:w="118" w:type="dxa"/>
            <w:tcBorders>
              <w:top w:val="nil"/>
              <w:bottom w:val="nil"/>
            </w:tcBorders>
            <w:vAlign w:val="bottom"/>
          </w:tcPr>
          <w:p w14:paraId="4B3A7FE4"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1E492E90" w14:textId="44C69CE8" w:rsidR="005F0881" w:rsidRPr="00F2575A" w:rsidRDefault="005F0881" w:rsidP="005F0881">
            <w:pPr>
              <w:pStyle w:val="Tabletext"/>
              <w:tabs>
                <w:tab w:val="decimal" w:pos="1313"/>
              </w:tabs>
              <w:spacing w:before="0" w:after="0"/>
              <w:rPr>
                <w:sz w:val="16"/>
              </w:rPr>
            </w:pPr>
            <w:r w:rsidRPr="00F2718C">
              <w:rPr>
                <w:sz w:val="16"/>
              </w:rPr>
              <w:t>(30.0)</w:t>
            </w:r>
          </w:p>
        </w:tc>
        <w:tc>
          <w:tcPr>
            <w:tcW w:w="118" w:type="dxa"/>
            <w:tcBorders>
              <w:top w:val="nil"/>
              <w:bottom w:val="nil"/>
            </w:tcBorders>
            <w:vAlign w:val="bottom"/>
          </w:tcPr>
          <w:p w14:paraId="788C10E4"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3070FF14" w14:textId="7BAD435D" w:rsidR="005F0881" w:rsidRPr="00BB0B74" w:rsidRDefault="005F0881" w:rsidP="005F0881">
            <w:pPr>
              <w:pStyle w:val="Tabletext"/>
              <w:tabs>
                <w:tab w:val="decimal" w:pos="1313"/>
              </w:tabs>
              <w:spacing w:before="0" w:after="0"/>
              <w:rPr>
                <w:sz w:val="16"/>
              </w:rPr>
            </w:pPr>
            <w:r w:rsidRPr="00BB0B74">
              <w:rPr>
                <w:sz w:val="16"/>
              </w:rPr>
              <w:t>(34.1)</w:t>
            </w:r>
          </w:p>
        </w:tc>
      </w:tr>
      <w:tr w:rsidR="005F0881" w14:paraId="396EC954" w14:textId="77777777">
        <w:trPr>
          <w:trHeight w:val="52"/>
        </w:trPr>
        <w:tc>
          <w:tcPr>
            <w:tcW w:w="4253" w:type="dxa"/>
            <w:tcBorders>
              <w:top w:val="nil"/>
              <w:bottom w:val="nil"/>
            </w:tcBorders>
            <w:shd w:val="clear" w:color="auto" w:fill="auto"/>
            <w:vAlign w:val="bottom"/>
          </w:tcPr>
          <w:p w14:paraId="7DB3C41E" w14:textId="77777777" w:rsidR="005F0881" w:rsidRPr="00F2575A" w:rsidRDefault="005F0881" w:rsidP="005F0881">
            <w:pPr>
              <w:pStyle w:val="Tabletext"/>
              <w:spacing w:before="0" w:after="0"/>
              <w:rPr>
                <w:sz w:val="16"/>
              </w:rPr>
            </w:pPr>
            <w:r w:rsidRPr="00F2575A">
              <w:rPr>
                <w:sz w:val="16"/>
              </w:rPr>
              <w:t xml:space="preserve">Distributions paid by consolidated funds </w:t>
            </w:r>
          </w:p>
        </w:tc>
        <w:tc>
          <w:tcPr>
            <w:tcW w:w="1082" w:type="dxa"/>
            <w:tcBorders>
              <w:top w:val="nil"/>
              <w:bottom w:val="nil"/>
            </w:tcBorders>
            <w:vAlign w:val="bottom"/>
          </w:tcPr>
          <w:p w14:paraId="7477B798" w14:textId="77777777" w:rsidR="005F0881" w:rsidRPr="00F2575A" w:rsidRDefault="005F0881" w:rsidP="005F0881">
            <w:pPr>
              <w:pStyle w:val="Tabletext"/>
              <w:spacing w:before="0" w:after="0"/>
              <w:jc w:val="center"/>
              <w:rPr>
                <w:sz w:val="16"/>
              </w:rPr>
            </w:pPr>
          </w:p>
        </w:tc>
        <w:tc>
          <w:tcPr>
            <w:tcW w:w="1568" w:type="dxa"/>
            <w:tcBorders>
              <w:top w:val="nil"/>
              <w:bottom w:val="single" w:sz="4" w:space="0" w:color="auto"/>
            </w:tcBorders>
            <w:shd w:val="clear" w:color="auto" w:fill="auto"/>
            <w:vAlign w:val="bottom"/>
          </w:tcPr>
          <w:p w14:paraId="2FCB366F" w14:textId="5316140D" w:rsidR="005F0881" w:rsidRPr="0042087B" w:rsidRDefault="00B8361F" w:rsidP="005F0881">
            <w:pPr>
              <w:pStyle w:val="Tabletext"/>
              <w:tabs>
                <w:tab w:val="decimal" w:pos="1302"/>
              </w:tabs>
              <w:spacing w:before="0" w:after="0"/>
              <w:rPr>
                <w:bCs/>
                <w:sz w:val="16"/>
              </w:rPr>
            </w:pPr>
            <w:r>
              <w:rPr>
                <w:bCs/>
                <w:sz w:val="16"/>
              </w:rPr>
              <w:t>-</w:t>
            </w:r>
          </w:p>
        </w:tc>
        <w:tc>
          <w:tcPr>
            <w:tcW w:w="118" w:type="dxa"/>
            <w:tcBorders>
              <w:top w:val="nil"/>
              <w:bottom w:val="nil"/>
            </w:tcBorders>
            <w:vAlign w:val="bottom"/>
          </w:tcPr>
          <w:p w14:paraId="21F40FAD" w14:textId="77777777" w:rsidR="005F0881" w:rsidRPr="00F2575A" w:rsidRDefault="005F0881" w:rsidP="005F0881">
            <w:pPr>
              <w:pStyle w:val="Tabletext"/>
              <w:spacing w:before="0" w:after="0"/>
              <w:jc w:val="right"/>
              <w:rPr>
                <w:sz w:val="16"/>
              </w:rPr>
            </w:pPr>
          </w:p>
        </w:tc>
        <w:tc>
          <w:tcPr>
            <w:tcW w:w="1569" w:type="dxa"/>
            <w:tcBorders>
              <w:top w:val="nil"/>
              <w:bottom w:val="single" w:sz="4" w:space="0" w:color="auto"/>
            </w:tcBorders>
            <w:shd w:val="clear" w:color="auto" w:fill="auto"/>
            <w:vAlign w:val="bottom"/>
          </w:tcPr>
          <w:p w14:paraId="2B0A2109" w14:textId="1047CBF3" w:rsidR="005F0881" w:rsidRPr="00F2575A" w:rsidRDefault="005F0881" w:rsidP="005F0881">
            <w:pPr>
              <w:pStyle w:val="Tabletext"/>
              <w:tabs>
                <w:tab w:val="decimal" w:pos="1313"/>
              </w:tabs>
              <w:spacing w:before="0" w:after="0"/>
              <w:rPr>
                <w:sz w:val="16"/>
              </w:rPr>
            </w:pPr>
            <w:r w:rsidRPr="00F2718C">
              <w:rPr>
                <w:sz w:val="16"/>
              </w:rPr>
              <w:t>(0.5)</w:t>
            </w:r>
          </w:p>
        </w:tc>
        <w:tc>
          <w:tcPr>
            <w:tcW w:w="118" w:type="dxa"/>
            <w:tcBorders>
              <w:top w:val="nil"/>
              <w:bottom w:val="nil"/>
            </w:tcBorders>
            <w:vAlign w:val="bottom"/>
          </w:tcPr>
          <w:p w14:paraId="3EA23128" w14:textId="77777777" w:rsidR="005F0881" w:rsidRPr="00F2575A" w:rsidRDefault="005F0881" w:rsidP="005F0881">
            <w:pPr>
              <w:pStyle w:val="Tabletext"/>
              <w:spacing w:before="0" w:after="0"/>
              <w:jc w:val="right"/>
              <w:rPr>
                <w:sz w:val="16"/>
              </w:rPr>
            </w:pPr>
          </w:p>
        </w:tc>
        <w:tc>
          <w:tcPr>
            <w:tcW w:w="1570" w:type="dxa"/>
            <w:tcBorders>
              <w:top w:val="nil"/>
              <w:bottom w:val="single" w:sz="4" w:space="0" w:color="auto"/>
            </w:tcBorders>
            <w:shd w:val="clear" w:color="auto" w:fill="auto"/>
          </w:tcPr>
          <w:p w14:paraId="6F44B208" w14:textId="77A2764F" w:rsidR="005F0881" w:rsidRPr="00BB0B74" w:rsidRDefault="005F0881" w:rsidP="005F0881">
            <w:pPr>
              <w:pStyle w:val="Tabletext"/>
              <w:tabs>
                <w:tab w:val="decimal" w:pos="1313"/>
              </w:tabs>
              <w:spacing w:before="0" w:after="0"/>
              <w:rPr>
                <w:sz w:val="16"/>
              </w:rPr>
            </w:pPr>
            <w:r w:rsidRPr="00BB0B74">
              <w:rPr>
                <w:sz w:val="16"/>
              </w:rPr>
              <w:t>(0.1)</w:t>
            </w:r>
          </w:p>
        </w:tc>
      </w:tr>
      <w:tr w:rsidR="005F0881" w14:paraId="05522555" w14:textId="77777777" w:rsidTr="00F2575A">
        <w:trPr>
          <w:trHeight w:val="42"/>
        </w:trPr>
        <w:tc>
          <w:tcPr>
            <w:tcW w:w="4253" w:type="dxa"/>
            <w:tcBorders>
              <w:top w:val="nil"/>
              <w:bottom w:val="nil"/>
            </w:tcBorders>
            <w:shd w:val="clear" w:color="auto" w:fill="auto"/>
            <w:vAlign w:val="bottom"/>
          </w:tcPr>
          <w:p w14:paraId="6A2E6F0F" w14:textId="01B9FE61" w:rsidR="005F0881" w:rsidRPr="00F2575A" w:rsidRDefault="005F0881" w:rsidP="005F0881">
            <w:pPr>
              <w:pStyle w:val="Tabletext"/>
              <w:spacing w:before="0" w:after="0"/>
              <w:rPr>
                <w:b/>
                <w:bCs/>
                <w:sz w:val="16"/>
              </w:rPr>
            </w:pPr>
            <w:r w:rsidRPr="00F2575A">
              <w:rPr>
                <w:b/>
                <w:bCs/>
                <w:sz w:val="16"/>
              </w:rPr>
              <w:t xml:space="preserve">Net cash </w:t>
            </w:r>
            <w:r>
              <w:rPr>
                <w:b/>
                <w:bCs/>
                <w:sz w:val="16"/>
              </w:rPr>
              <w:t>inflows/(</w:t>
            </w:r>
            <w:r w:rsidRPr="00F2575A">
              <w:rPr>
                <w:b/>
                <w:bCs/>
                <w:sz w:val="16"/>
              </w:rPr>
              <w:t>outflows</w:t>
            </w:r>
            <w:r>
              <w:rPr>
                <w:b/>
                <w:bCs/>
                <w:sz w:val="16"/>
              </w:rPr>
              <w:t>)</w:t>
            </w:r>
            <w:r w:rsidRPr="00F2575A">
              <w:rPr>
                <w:b/>
                <w:bCs/>
                <w:sz w:val="16"/>
              </w:rPr>
              <w:t xml:space="preserve"> from financing activities</w:t>
            </w:r>
          </w:p>
        </w:tc>
        <w:tc>
          <w:tcPr>
            <w:tcW w:w="1082" w:type="dxa"/>
            <w:tcBorders>
              <w:top w:val="nil"/>
              <w:bottom w:val="nil"/>
            </w:tcBorders>
            <w:vAlign w:val="bottom"/>
          </w:tcPr>
          <w:p w14:paraId="12678099" w14:textId="77777777" w:rsidR="005F0881" w:rsidRPr="00F2575A" w:rsidRDefault="005F0881" w:rsidP="005F0881">
            <w:pPr>
              <w:pStyle w:val="Tabletext"/>
              <w:spacing w:before="0" w:after="0"/>
              <w:jc w:val="center"/>
              <w:rPr>
                <w:sz w:val="16"/>
              </w:rPr>
            </w:pPr>
          </w:p>
        </w:tc>
        <w:tc>
          <w:tcPr>
            <w:tcW w:w="1568" w:type="dxa"/>
            <w:tcBorders>
              <w:top w:val="single" w:sz="4" w:space="0" w:color="auto"/>
              <w:bottom w:val="nil"/>
            </w:tcBorders>
            <w:shd w:val="clear" w:color="auto" w:fill="auto"/>
            <w:vAlign w:val="bottom"/>
          </w:tcPr>
          <w:p w14:paraId="27BD2182" w14:textId="110C0ED7" w:rsidR="005F0881" w:rsidRPr="00F2718C" w:rsidRDefault="005F0881" w:rsidP="005F0881">
            <w:pPr>
              <w:pStyle w:val="Tabletext"/>
              <w:tabs>
                <w:tab w:val="decimal" w:pos="1302"/>
              </w:tabs>
              <w:spacing w:before="0" w:after="0"/>
              <w:rPr>
                <w:b/>
                <w:bCs/>
                <w:sz w:val="16"/>
              </w:rPr>
            </w:pPr>
            <w:r>
              <w:rPr>
                <w:b/>
                <w:bCs/>
                <w:sz w:val="16"/>
              </w:rPr>
              <w:t>7</w:t>
            </w:r>
            <w:r w:rsidR="00C644EC">
              <w:rPr>
                <w:b/>
                <w:bCs/>
                <w:sz w:val="16"/>
              </w:rPr>
              <w:t>4.5</w:t>
            </w:r>
          </w:p>
        </w:tc>
        <w:tc>
          <w:tcPr>
            <w:tcW w:w="118" w:type="dxa"/>
            <w:tcBorders>
              <w:top w:val="nil"/>
              <w:bottom w:val="nil"/>
            </w:tcBorders>
            <w:vAlign w:val="bottom"/>
          </w:tcPr>
          <w:p w14:paraId="1DBB4D59" w14:textId="77777777" w:rsidR="005F0881" w:rsidRPr="00F2575A" w:rsidRDefault="005F0881" w:rsidP="005F0881">
            <w:pPr>
              <w:pStyle w:val="Tabletext"/>
              <w:spacing w:before="0" w:after="0"/>
              <w:jc w:val="right"/>
              <w:rPr>
                <w:sz w:val="16"/>
              </w:rPr>
            </w:pPr>
          </w:p>
        </w:tc>
        <w:tc>
          <w:tcPr>
            <w:tcW w:w="1569" w:type="dxa"/>
            <w:tcBorders>
              <w:top w:val="single" w:sz="4" w:space="0" w:color="auto"/>
              <w:bottom w:val="nil"/>
            </w:tcBorders>
            <w:shd w:val="clear" w:color="auto" w:fill="auto"/>
            <w:vAlign w:val="bottom"/>
          </w:tcPr>
          <w:p w14:paraId="35930FFF" w14:textId="1DE56BBE" w:rsidR="005F0881" w:rsidRPr="00F2575A" w:rsidRDefault="005F0881" w:rsidP="005F0881">
            <w:pPr>
              <w:pStyle w:val="Tabletext"/>
              <w:tabs>
                <w:tab w:val="decimal" w:pos="1313"/>
              </w:tabs>
              <w:spacing w:before="0" w:after="0"/>
              <w:rPr>
                <w:sz w:val="16"/>
              </w:rPr>
            </w:pPr>
            <w:r w:rsidRPr="00F2718C">
              <w:rPr>
                <w:b/>
                <w:bCs/>
                <w:sz w:val="16"/>
              </w:rPr>
              <w:t>(3</w:t>
            </w:r>
            <w:r w:rsidR="008357E5">
              <w:rPr>
                <w:b/>
                <w:bCs/>
                <w:sz w:val="16"/>
              </w:rPr>
              <w:t>7.1</w:t>
            </w:r>
            <w:r w:rsidRPr="00F2718C">
              <w:rPr>
                <w:b/>
                <w:bCs/>
                <w:sz w:val="16"/>
              </w:rPr>
              <w:t>)</w:t>
            </w:r>
          </w:p>
        </w:tc>
        <w:tc>
          <w:tcPr>
            <w:tcW w:w="118" w:type="dxa"/>
            <w:tcBorders>
              <w:top w:val="nil"/>
              <w:bottom w:val="nil"/>
            </w:tcBorders>
            <w:vAlign w:val="bottom"/>
          </w:tcPr>
          <w:p w14:paraId="65D97A1C" w14:textId="77777777" w:rsidR="005F0881" w:rsidRPr="00F2575A" w:rsidRDefault="005F0881" w:rsidP="005F0881">
            <w:pPr>
              <w:pStyle w:val="Tabletext"/>
              <w:spacing w:before="0" w:after="0"/>
              <w:jc w:val="right"/>
              <w:rPr>
                <w:sz w:val="16"/>
              </w:rPr>
            </w:pPr>
          </w:p>
        </w:tc>
        <w:tc>
          <w:tcPr>
            <w:tcW w:w="1570" w:type="dxa"/>
            <w:tcBorders>
              <w:top w:val="single" w:sz="4" w:space="0" w:color="auto"/>
              <w:bottom w:val="nil"/>
            </w:tcBorders>
            <w:shd w:val="clear" w:color="auto" w:fill="auto"/>
            <w:vAlign w:val="bottom"/>
          </w:tcPr>
          <w:p w14:paraId="632E6128" w14:textId="0C8BF4E8" w:rsidR="005F0881" w:rsidRPr="00FD2645" w:rsidRDefault="005F0881" w:rsidP="005F0881">
            <w:pPr>
              <w:pStyle w:val="Tabletext"/>
              <w:tabs>
                <w:tab w:val="decimal" w:pos="1313"/>
              </w:tabs>
              <w:spacing w:before="0" w:after="0"/>
              <w:rPr>
                <w:b/>
                <w:bCs/>
                <w:sz w:val="16"/>
              </w:rPr>
            </w:pPr>
            <w:r w:rsidRPr="00FD2645">
              <w:rPr>
                <w:b/>
                <w:bCs/>
                <w:sz w:val="16"/>
              </w:rPr>
              <w:t>(42.4)</w:t>
            </w:r>
          </w:p>
        </w:tc>
      </w:tr>
      <w:tr w:rsidR="005F0881" w14:paraId="3D0A4FDA" w14:textId="77777777" w:rsidTr="00F2575A">
        <w:trPr>
          <w:trHeight w:hRule="exact" w:val="57"/>
        </w:trPr>
        <w:tc>
          <w:tcPr>
            <w:tcW w:w="4253" w:type="dxa"/>
            <w:tcBorders>
              <w:top w:val="nil"/>
              <w:bottom w:val="nil"/>
            </w:tcBorders>
            <w:shd w:val="clear" w:color="auto" w:fill="auto"/>
            <w:vAlign w:val="bottom"/>
          </w:tcPr>
          <w:p w14:paraId="3B6EF3A3" w14:textId="77777777" w:rsidR="005F0881" w:rsidRPr="00F2575A" w:rsidRDefault="005F0881" w:rsidP="005F0881">
            <w:pPr>
              <w:pStyle w:val="Tabletext"/>
              <w:spacing w:before="0" w:after="0"/>
              <w:rPr>
                <w:b/>
                <w:bCs/>
                <w:sz w:val="16"/>
              </w:rPr>
            </w:pPr>
          </w:p>
        </w:tc>
        <w:tc>
          <w:tcPr>
            <w:tcW w:w="1082" w:type="dxa"/>
            <w:tcBorders>
              <w:top w:val="nil"/>
              <w:bottom w:val="nil"/>
            </w:tcBorders>
            <w:vAlign w:val="bottom"/>
          </w:tcPr>
          <w:p w14:paraId="2A85922D" w14:textId="77777777" w:rsidR="005F0881" w:rsidRPr="00F2575A" w:rsidRDefault="005F0881" w:rsidP="005F0881">
            <w:pPr>
              <w:pStyle w:val="Tabletext"/>
              <w:spacing w:before="0" w:after="0"/>
              <w:jc w:val="center"/>
              <w:rPr>
                <w:b/>
                <w:bCs/>
                <w:sz w:val="16"/>
              </w:rPr>
            </w:pPr>
          </w:p>
        </w:tc>
        <w:tc>
          <w:tcPr>
            <w:tcW w:w="1568" w:type="dxa"/>
            <w:tcBorders>
              <w:top w:val="nil"/>
              <w:bottom w:val="single" w:sz="4" w:space="0" w:color="auto"/>
            </w:tcBorders>
            <w:shd w:val="clear" w:color="auto" w:fill="auto"/>
            <w:vAlign w:val="bottom"/>
          </w:tcPr>
          <w:p w14:paraId="614599A5" w14:textId="21CDB790" w:rsidR="005F0881" w:rsidRPr="00F2718C" w:rsidRDefault="005F0881" w:rsidP="005F0881">
            <w:pPr>
              <w:pStyle w:val="Tabletext"/>
              <w:tabs>
                <w:tab w:val="decimal" w:pos="1302"/>
              </w:tabs>
              <w:spacing w:before="0" w:after="0"/>
              <w:rPr>
                <w:b/>
                <w:sz w:val="16"/>
              </w:rPr>
            </w:pPr>
          </w:p>
        </w:tc>
        <w:tc>
          <w:tcPr>
            <w:tcW w:w="118" w:type="dxa"/>
            <w:tcBorders>
              <w:top w:val="nil"/>
              <w:bottom w:val="nil"/>
            </w:tcBorders>
            <w:vAlign w:val="bottom"/>
          </w:tcPr>
          <w:p w14:paraId="46242BDA" w14:textId="77777777" w:rsidR="005F0881" w:rsidRPr="00F2575A" w:rsidRDefault="005F0881" w:rsidP="005F0881">
            <w:pPr>
              <w:pStyle w:val="Tabletext"/>
              <w:spacing w:before="0" w:after="0"/>
              <w:jc w:val="right"/>
              <w:rPr>
                <w:sz w:val="16"/>
              </w:rPr>
            </w:pPr>
          </w:p>
        </w:tc>
        <w:tc>
          <w:tcPr>
            <w:tcW w:w="1569" w:type="dxa"/>
            <w:tcBorders>
              <w:top w:val="nil"/>
              <w:bottom w:val="single" w:sz="4" w:space="0" w:color="auto"/>
            </w:tcBorders>
            <w:shd w:val="clear" w:color="auto" w:fill="auto"/>
            <w:vAlign w:val="bottom"/>
          </w:tcPr>
          <w:p w14:paraId="74B32D06" w14:textId="76459FC3" w:rsidR="005F0881" w:rsidRPr="00F2575A" w:rsidRDefault="005F0881" w:rsidP="005F0881">
            <w:pPr>
              <w:pStyle w:val="Tabletext"/>
              <w:tabs>
                <w:tab w:val="decimal" w:pos="1313"/>
              </w:tabs>
              <w:spacing w:before="0" w:after="0"/>
              <w:rPr>
                <w:sz w:val="16"/>
              </w:rPr>
            </w:pPr>
            <w:r w:rsidRPr="00F2718C">
              <w:rPr>
                <w:sz w:val="16"/>
              </w:rPr>
              <w:t>[]</w:t>
            </w:r>
          </w:p>
        </w:tc>
        <w:tc>
          <w:tcPr>
            <w:tcW w:w="118" w:type="dxa"/>
            <w:tcBorders>
              <w:top w:val="nil"/>
              <w:bottom w:val="nil"/>
            </w:tcBorders>
            <w:vAlign w:val="bottom"/>
          </w:tcPr>
          <w:p w14:paraId="18D32F6D" w14:textId="77777777" w:rsidR="005F0881" w:rsidRPr="00F2575A" w:rsidRDefault="005F0881" w:rsidP="005F0881">
            <w:pPr>
              <w:pStyle w:val="Tabletext"/>
              <w:spacing w:before="0" w:after="0"/>
              <w:jc w:val="right"/>
              <w:rPr>
                <w:sz w:val="16"/>
              </w:rPr>
            </w:pPr>
          </w:p>
        </w:tc>
        <w:tc>
          <w:tcPr>
            <w:tcW w:w="1570" w:type="dxa"/>
            <w:tcBorders>
              <w:top w:val="nil"/>
              <w:bottom w:val="single" w:sz="4" w:space="0" w:color="auto"/>
            </w:tcBorders>
            <w:shd w:val="clear" w:color="auto" w:fill="auto"/>
            <w:vAlign w:val="bottom"/>
          </w:tcPr>
          <w:p w14:paraId="78CF1FF7" w14:textId="77777777" w:rsidR="005F0881" w:rsidRPr="00BB0B74" w:rsidRDefault="005F0881" w:rsidP="005F0881">
            <w:pPr>
              <w:pStyle w:val="Tabletext"/>
              <w:tabs>
                <w:tab w:val="decimal" w:pos="1313"/>
              </w:tabs>
              <w:spacing w:before="0" w:after="0"/>
              <w:rPr>
                <w:sz w:val="16"/>
              </w:rPr>
            </w:pPr>
          </w:p>
        </w:tc>
      </w:tr>
      <w:tr w:rsidR="005F0881" w14:paraId="6F069E69" w14:textId="77777777" w:rsidTr="00F2575A">
        <w:trPr>
          <w:trHeight w:val="42"/>
        </w:trPr>
        <w:tc>
          <w:tcPr>
            <w:tcW w:w="4253" w:type="dxa"/>
            <w:tcBorders>
              <w:top w:val="nil"/>
              <w:bottom w:val="nil"/>
            </w:tcBorders>
            <w:shd w:val="clear" w:color="auto" w:fill="auto"/>
            <w:vAlign w:val="bottom"/>
          </w:tcPr>
          <w:p w14:paraId="4FA62141" w14:textId="15FEB7D7" w:rsidR="005F0881" w:rsidRPr="00F2575A" w:rsidRDefault="005F0881" w:rsidP="005F0881">
            <w:pPr>
              <w:pStyle w:val="Tabletext"/>
              <w:spacing w:before="0" w:after="0"/>
              <w:rPr>
                <w:b/>
                <w:bCs/>
                <w:sz w:val="16"/>
              </w:rPr>
            </w:pPr>
            <w:r w:rsidRPr="00F2575A">
              <w:rPr>
                <w:b/>
                <w:bCs/>
                <w:sz w:val="16"/>
              </w:rPr>
              <w:t xml:space="preserve">Net </w:t>
            </w:r>
            <w:r>
              <w:rPr>
                <w:b/>
                <w:bCs/>
                <w:sz w:val="16"/>
              </w:rPr>
              <w:t>(decrease)/</w:t>
            </w:r>
            <w:r w:rsidRPr="00F2575A">
              <w:rPr>
                <w:b/>
                <w:bCs/>
                <w:sz w:val="16"/>
              </w:rPr>
              <w:t>increase in cash and cash equivalents</w:t>
            </w:r>
          </w:p>
        </w:tc>
        <w:tc>
          <w:tcPr>
            <w:tcW w:w="1082" w:type="dxa"/>
            <w:tcBorders>
              <w:top w:val="nil"/>
              <w:bottom w:val="nil"/>
            </w:tcBorders>
            <w:vAlign w:val="bottom"/>
          </w:tcPr>
          <w:p w14:paraId="3356AA42" w14:textId="77777777" w:rsidR="005F0881" w:rsidRPr="00F2575A" w:rsidRDefault="005F0881" w:rsidP="005F0881">
            <w:pPr>
              <w:pStyle w:val="Tabletext"/>
              <w:spacing w:before="0" w:after="0"/>
              <w:jc w:val="center"/>
              <w:rPr>
                <w:b/>
                <w:bCs/>
                <w:sz w:val="16"/>
              </w:rPr>
            </w:pPr>
          </w:p>
        </w:tc>
        <w:tc>
          <w:tcPr>
            <w:tcW w:w="1568" w:type="dxa"/>
            <w:tcBorders>
              <w:top w:val="single" w:sz="4" w:space="0" w:color="auto"/>
              <w:bottom w:val="nil"/>
            </w:tcBorders>
            <w:shd w:val="clear" w:color="auto" w:fill="auto"/>
            <w:vAlign w:val="bottom"/>
          </w:tcPr>
          <w:p w14:paraId="1ECE722E" w14:textId="332ED9C0" w:rsidR="005F0881" w:rsidRPr="00F2718C" w:rsidRDefault="005F0881" w:rsidP="005F0881">
            <w:pPr>
              <w:pStyle w:val="Tabletext"/>
              <w:tabs>
                <w:tab w:val="decimal" w:pos="1302"/>
              </w:tabs>
              <w:spacing w:before="0" w:after="0"/>
              <w:rPr>
                <w:b/>
                <w:bCs/>
                <w:sz w:val="16"/>
              </w:rPr>
            </w:pPr>
            <w:r>
              <w:rPr>
                <w:b/>
                <w:bCs/>
                <w:sz w:val="16"/>
              </w:rPr>
              <w:t>(6</w:t>
            </w:r>
            <w:r w:rsidR="00C644EC">
              <w:rPr>
                <w:b/>
                <w:bCs/>
                <w:sz w:val="16"/>
              </w:rPr>
              <w:t>2.9</w:t>
            </w:r>
            <w:r>
              <w:rPr>
                <w:b/>
                <w:bCs/>
                <w:sz w:val="16"/>
              </w:rPr>
              <w:t>)</w:t>
            </w:r>
          </w:p>
        </w:tc>
        <w:tc>
          <w:tcPr>
            <w:tcW w:w="118" w:type="dxa"/>
            <w:tcBorders>
              <w:top w:val="nil"/>
              <w:bottom w:val="nil"/>
            </w:tcBorders>
            <w:vAlign w:val="bottom"/>
          </w:tcPr>
          <w:p w14:paraId="70FF1E22" w14:textId="77777777" w:rsidR="005F0881" w:rsidRPr="00F2575A" w:rsidRDefault="005F0881" w:rsidP="005F0881">
            <w:pPr>
              <w:pStyle w:val="Tabletext"/>
              <w:spacing w:before="0" w:after="0"/>
              <w:jc w:val="right"/>
              <w:rPr>
                <w:sz w:val="16"/>
              </w:rPr>
            </w:pPr>
          </w:p>
        </w:tc>
        <w:tc>
          <w:tcPr>
            <w:tcW w:w="1569" w:type="dxa"/>
            <w:tcBorders>
              <w:top w:val="single" w:sz="4" w:space="0" w:color="auto"/>
              <w:bottom w:val="nil"/>
            </w:tcBorders>
            <w:shd w:val="clear" w:color="auto" w:fill="auto"/>
            <w:vAlign w:val="bottom"/>
          </w:tcPr>
          <w:p w14:paraId="0633ECE0" w14:textId="1F923593" w:rsidR="005F0881" w:rsidRPr="00F2575A" w:rsidRDefault="005F0881" w:rsidP="005F0881">
            <w:pPr>
              <w:pStyle w:val="Tabletext"/>
              <w:tabs>
                <w:tab w:val="decimal" w:pos="1313"/>
              </w:tabs>
              <w:spacing w:before="0" w:after="0"/>
              <w:rPr>
                <w:sz w:val="16"/>
              </w:rPr>
            </w:pPr>
            <w:r w:rsidRPr="00F2718C">
              <w:rPr>
                <w:b/>
                <w:bCs/>
                <w:sz w:val="16"/>
              </w:rPr>
              <w:t>4.8</w:t>
            </w:r>
          </w:p>
        </w:tc>
        <w:tc>
          <w:tcPr>
            <w:tcW w:w="118" w:type="dxa"/>
            <w:tcBorders>
              <w:top w:val="nil"/>
              <w:bottom w:val="nil"/>
            </w:tcBorders>
            <w:vAlign w:val="bottom"/>
          </w:tcPr>
          <w:p w14:paraId="1112FDDB" w14:textId="77777777" w:rsidR="005F0881" w:rsidRPr="00F2575A" w:rsidRDefault="005F0881" w:rsidP="005F0881">
            <w:pPr>
              <w:pStyle w:val="Tabletext"/>
              <w:spacing w:before="0" w:after="0"/>
              <w:jc w:val="right"/>
              <w:rPr>
                <w:sz w:val="16"/>
              </w:rPr>
            </w:pPr>
          </w:p>
        </w:tc>
        <w:tc>
          <w:tcPr>
            <w:tcW w:w="1570" w:type="dxa"/>
            <w:tcBorders>
              <w:top w:val="single" w:sz="4" w:space="0" w:color="auto"/>
              <w:bottom w:val="nil"/>
            </w:tcBorders>
            <w:shd w:val="clear" w:color="auto" w:fill="auto"/>
            <w:vAlign w:val="bottom"/>
          </w:tcPr>
          <w:p w14:paraId="20A1820B" w14:textId="41ED3E12" w:rsidR="005F0881" w:rsidRPr="00FD2645" w:rsidRDefault="005F0881" w:rsidP="005F0881">
            <w:pPr>
              <w:pStyle w:val="Tabletext"/>
              <w:tabs>
                <w:tab w:val="decimal" w:pos="1313"/>
              </w:tabs>
              <w:spacing w:before="0" w:after="0"/>
              <w:rPr>
                <w:b/>
                <w:bCs/>
                <w:sz w:val="16"/>
              </w:rPr>
            </w:pPr>
            <w:r w:rsidRPr="00FD2645">
              <w:rPr>
                <w:b/>
                <w:bCs/>
                <w:sz w:val="16"/>
              </w:rPr>
              <w:t>(11.0)</w:t>
            </w:r>
          </w:p>
        </w:tc>
      </w:tr>
      <w:tr w:rsidR="005F0881" w14:paraId="670DECE9" w14:textId="77777777" w:rsidTr="00F2575A">
        <w:trPr>
          <w:trHeight w:hRule="exact" w:val="57"/>
        </w:trPr>
        <w:tc>
          <w:tcPr>
            <w:tcW w:w="4253" w:type="dxa"/>
            <w:tcBorders>
              <w:top w:val="nil"/>
              <w:bottom w:val="nil"/>
            </w:tcBorders>
            <w:shd w:val="clear" w:color="auto" w:fill="auto"/>
            <w:vAlign w:val="bottom"/>
          </w:tcPr>
          <w:p w14:paraId="6BF807BF" w14:textId="77777777" w:rsidR="005F0881" w:rsidRPr="00F2575A" w:rsidRDefault="005F0881" w:rsidP="005F0881">
            <w:pPr>
              <w:pStyle w:val="Tabletext"/>
              <w:spacing w:before="0" w:after="0"/>
              <w:rPr>
                <w:b/>
                <w:bCs/>
                <w:sz w:val="16"/>
              </w:rPr>
            </w:pPr>
          </w:p>
        </w:tc>
        <w:tc>
          <w:tcPr>
            <w:tcW w:w="1082" w:type="dxa"/>
            <w:tcBorders>
              <w:top w:val="nil"/>
              <w:bottom w:val="nil"/>
            </w:tcBorders>
            <w:vAlign w:val="bottom"/>
          </w:tcPr>
          <w:p w14:paraId="254E0FEB" w14:textId="77777777" w:rsidR="005F0881" w:rsidRPr="00F2575A" w:rsidRDefault="005F0881" w:rsidP="005F0881">
            <w:pPr>
              <w:pStyle w:val="Tabletext"/>
              <w:spacing w:before="0" w:after="0"/>
              <w:jc w:val="center"/>
              <w:rPr>
                <w:b/>
                <w:bCs/>
                <w:sz w:val="16"/>
                <w:highlight w:val="yellow"/>
              </w:rPr>
            </w:pPr>
          </w:p>
        </w:tc>
        <w:tc>
          <w:tcPr>
            <w:tcW w:w="1568" w:type="dxa"/>
            <w:tcBorders>
              <w:top w:val="nil"/>
              <w:bottom w:val="nil"/>
            </w:tcBorders>
            <w:shd w:val="clear" w:color="auto" w:fill="auto"/>
            <w:vAlign w:val="bottom"/>
          </w:tcPr>
          <w:p w14:paraId="3EC562A5" w14:textId="02F637F8" w:rsidR="005F0881" w:rsidRPr="00F2718C" w:rsidRDefault="005F0881" w:rsidP="005F0881">
            <w:pPr>
              <w:pStyle w:val="Tabletext"/>
              <w:tabs>
                <w:tab w:val="decimal" w:pos="1302"/>
              </w:tabs>
              <w:spacing w:before="0" w:after="0"/>
              <w:rPr>
                <w:b/>
                <w:sz w:val="16"/>
              </w:rPr>
            </w:pPr>
          </w:p>
        </w:tc>
        <w:tc>
          <w:tcPr>
            <w:tcW w:w="118" w:type="dxa"/>
            <w:tcBorders>
              <w:top w:val="nil"/>
              <w:bottom w:val="nil"/>
            </w:tcBorders>
            <w:vAlign w:val="bottom"/>
          </w:tcPr>
          <w:p w14:paraId="3566173A"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2895EA42" w14:textId="64E19212" w:rsidR="005F0881" w:rsidRPr="00F2575A" w:rsidRDefault="005F0881" w:rsidP="005F0881">
            <w:pPr>
              <w:pStyle w:val="Tabletext"/>
              <w:tabs>
                <w:tab w:val="decimal" w:pos="1313"/>
              </w:tabs>
              <w:spacing w:before="0" w:after="0"/>
              <w:rPr>
                <w:sz w:val="16"/>
              </w:rPr>
            </w:pPr>
            <w:r w:rsidRPr="00F2718C">
              <w:rPr>
                <w:sz w:val="16"/>
              </w:rPr>
              <w:t>[]</w:t>
            </w:r>
          </w:p>
        </w:tc>
        <w:tc>
          <w:tcPr>
            <w:tcW w:w="118" w:type="dxa"/>
            <w:tcBorders>
              <w:top w:val="nil"/>
              <w:bottom w:val="nil"/>
            </w:tcBorders>
            <w:vAlign w:val="bottom"/>
          </w:tcPr>
          <w:p w14:paraId="1A48A5D1"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vAlign w:val="bottom"/>
          </w:tcPr>
          <w:p w14:paraId="700E1379" w14:textId="77777777" w:rsidR="005F0881" w:rsidRPr="00BB0B74" w:rsidRDefault="005F0881" w:rsidP="005F0881">
            <w:pPr>
              <w:pStyle w:val="Tabletext"/>
              <w:tabs>
                <w:tab w:val="decimal" w:pos="1313"/>
              </w:tabs>
              <w:spacing w:before="0" w:after="0"/>
              <w:rPr>
                <w:sz w:val="16"/>
              </w:rPr>
            </w:pPr>
          </w:p>
        </w:tc>
      </w:tr>
      <w:tr w:rsidR="005F0881" w14:paraId="712B0F46" w14:textId="77777777">
        <w:trPr>
          <w:trHeight w:val="52"/>
        </w:trPr>
        <w:tc>
          <w:tcPr>
            <w:tcW w:w="4253" w:type="dxa"/>
            <w:tcBorders>
              <w:top w:val="nil"/>
              <w:bottom w:val="nil"/>
            </w:tcBorders>
            <w:shd w:val="clear" w:color="auto" w:fill="auto"/>
            <w:vAlign w:val="bottom"/>
          </w:tcPr>
          <w:p w14:paraId="1C468C79" w14:textId="77777777" w:rsidR="005F0881" w:rsidRPr="00F2575A" w:rsidRDefault="005F0881" w:rsidP="005F0881">
            <w:pPr>
              <w:pStyle w:val="Tabletext"/>
              <w:spacing w:before="0" w:after="0"/>
              <w:rPr>
                <w:sz w:val="16"/>
              </w:rPr>
            </w:pPr>
            <w:r w:rsidRPr="00F2575A">
              <w:rPr>
                <w:sz w:val="16"/>
              </w:rPr>
              <w:t>Cash and cash equivalents at beginning of period</w:t>
            </w:r>
          </w:p>
        </w:tc>
        <w:tc>
          <w:tcPr>
            <w:tcW w:w="1082" w:type="dxa"/>
            <w:tcBorders>
              <w:top w:val="nil"/>
              <w:bottom w:val="nil"/>
            </w:tcBorders>
            <w:vAlign w:val="bottom"/>
          </w:tcPr>
          <w:p w14:paraId="5987D206" w14:textId="77777777" w:rsidR="005F0881" w:rsidRPr="00F2575A" w:rsidRDefault="005F0881" w:rsidP="005F0881">
            <w:pPr>
              <w:pStyle w:val="Tabletext"/>
              <w:spacing w:before="0" w:after="0"/>
              <w:jc w:val="center"/>
              <w:rPr>
                <w:b/>
                <w:bCs/>
                <w:sz w:val="16"/>
                <w:highlight w:val="yellow"/>
              </w:rPr>
            </w:pPr>
          </w:p>
        </w:tc>
        <w:tc>
          <w:tcPr>
            <w:tcW w:w="1568" w:type="dxa"/>
            <w:tcBorders>
              <w:top w:val="nil"/>
              <w:bottom w:val="nil"/>
            </w:tcBorders>
            <w:shd w:val="clear" w:color="auto" w:fill="auto"/>
            <w:vAlign w:val="bottom"/>
          </w:tcPr>
          <w:p w14:paraId="4A9128BD" w14:textId="775DF68F" w:rsidR="005F0881" w:rsidRPr="00F2718C" w:rsidRDefault="005F0881" w:rsidP="005F0881">
            <w:pPr>
              <w:pStyle w:val="Tabletext"/>
              <w:tabs>
                <w:tab w:val="decimal" w:pos="1302"/>
              </w:tabs>
              <w:spacing w:before="0" w:after="0"/>
              <w:rPr>
                <w:sz w:val="16"/>
              </w:rPr>
            </w:pPr>
            <w:r>
              <w:rPr>
                <w:sz w:val="16"/>
              </w:rPr>
              <w:t>268.2</w:t>
            </w:r>
          </w:p>
        </w:tc>
        <w:tc>
          <w:tcPr>
            <w:tcW w:w="118" w:type="dxa"/>
            <w:tcBorders>
              <w:top w:val="nil"/>
              <w:bottom w:val="nil"/>
            </w:tcBorders>
            <w:vAlign w:val="bottom"/>
          </w:tcPr>
          <w:p w14:paraId="3DD4BE77" w14:textId="77777777" w:rsidR="005F0881" w:rsidRPr="00F2575A" w:rsidRDefault="005F0881" w:rsidP="005F0881">
            <w:pPr>
              <w:pStyle w:val="Tabletext"/>
              <w:spacing w:before="0" w:after="0"/>
              <w:jc w:val="right"/>
              <w:rPr>
                <w:sz w:val="16"/>
              </w:rPr>
            </w:pPr>
          </w:p>
        </w:tc>
        <w:tc>
          <w:tcPr>
            <w:tcW w:w="1569" w:type="dxa"/>
            <w:tcBorders>
              <w:top w:val="nil"/>
              <w:bottom w:val="nil"/>
            </w:tcBorders>
            <w:shd w:val="clear" w:color="auto" w:fill="auto"/>
            <w:vAlign w:val="bottom"/>
          </w:tcPr>
          <w:p w14:paraId="259BB2F9" w14:textId="6E9948ED" w:rsidR="005F0881" w:rsidRPr="00F2575A" w:rsidRDefault="005F0881" w:rsidP="005F0881">
            <w:pPr>
              <w:pStyle w:val="Tabletext"/>
              <w:tabs>
                <w:tab w:val="decimal" w:pos="1313"/>
              </w:tabs>
              <w:spacing w:before="0" w:after="0"/>
              <w:rPr>
                <w:sz w:val="16"/>
              </w:rPr>
            </w:pPr>
            <w:r w:rsidRPr="00F2718C">
              <w:rPr>
                <w:sz w:val="16"/>
              </w:rPr>
              <w:t>280.3</w:t>
            </w:r>
          </w:p>
        </w:tc>
        <w:tc>
          <w:tcPr>
            <w:tcW w:w="118" w:type="dxa"/>
            <w:tcBorders>
              <w:top w:val="nil"/>
              <w:bottom w:val="nil"/>
            </w:tcBorders>
            <w:vAlign w:val="bottom"/>
          </w:tcPr>
          <w:p w14:paraId="612DC8D5" w14:textId="77777777" w:rsidR="005F0881" w:rsidRPr="00F2575A" w:rsidRDefault="005F0881" w:rsidP="005F0881">
            <w:pPr>
              <w:pStyle w:val="Tabletext"/>
              <w:spacing w:before="0" w:after="0"/>
              <w:jc w:val="right"/>
              <w:rPr>
                <w:sz w:val="16"/>
              </w:rPr>
            </w:pPr>
          </w:p>
        </w:tc>
        <w:tc>
          <w:tcPr>
            <w:tcW w:w="1570" w:type="dxa"/>
            <w:tcBorders>
              <w:top w:val="nil"/>
              <w:bottom w:val="nil"/>
            </w:tcBorders>
            <w:shd w:val="clear" w:color="auto" w:fill="auto"/>
          </w:tcPr>
          <w:p w14:paraId="347E6D12" w14:textId="6798474F" w:rsidR="005F0881" w:rsidRPr="00BB0B74" w:rsidRDefault="005F0881" w:rsidP="005F0881">
            <w:pPr>
              <w:pStyle w:val="Tabletext"/>
              <w:tabs>
                <w:tab w:val="decimal" w:pos="1313"/>
              </w:tabs>
              <w:spacing w:before="0" w:after="0"/>
              <w:rPr>
                <w:sz w:val="16"/>
              </w:rPr>
            </w:pPr>
            <w:r w:rsidRPr="00BB0B74">
              <w:rPr>
                <w:sz w:val="16"/>
              </w:rPr>
              <w:t>280.3</w:t>
            </w:r>
          </w:p>
        </w:tc>
      </w:tr>
      <w:tr w:rsidR="005F0881" w14:paraId="571E358C" w14:textId="77777777">
        <w:trPr>
          <w:trHeight w:val="52"/>
        </w:trPr>
        <w:tc>
          <w:tcPr>
            <w:tcW w:w="4253" w:type="dxa"/>
            <w:tcBorders>
              <w:top w:val="nil"/>
              <w:bottom w:val="nil"/>
            </w:tcBorders>
            <w:shd w:val="clear" w:color="auto" w:fill="auto"/>
            <w:vAlign w:val="bottom"/>
          </w:tcPr>
          <w:p w14:paraId="11EDC613" w14:textId="060EA514" w:rsidR="005F0881" w:rsidRPr="00F2575A" w:rsidRDefault="005F0881" w:rsidP="005F0881">
            <w:pPr>
              <w:pStyle w:val="Tabletext"/>
              <w:spacing w:before="0" w:after="0"/>
              <w:rPr>
                <w:sz w:val="16"/>
              </w:rPr>
            </w:pPr>
            <w:r w:rsidRPr="00F2575A">
              <w:rPr>
                <w:sz w:val="16"/>
              </w:rPr>
              <w:t>Effects of exchange rates on cash and cash equivalents</w:t>
            </w:r>
          </w:p>
        </w:tc>
        <w:tc>
          <w:tcPr>
            <w:tcW w:w="1082" w:type="dxa"/>
            <w:tcBorders>
              <w:top w:val="nil"/>
              <w:bottom w:val="nil"/>
            </w:tcBorders>
            <w:vAlign w:val="bottom"/>
          </w:tcPr>
          <w:p w14:paraId="69D4908E" w14:textId="77777777" w:rsidR="005F0881" w:rsidRPr="00F2575A" w:rsidRDefault="005F0881" w:rsidP="005F0881">
            <w:pPr>
              <w:pStyle w:val="Tabletext"/>
              <w:spacing w:before="0" w:after="0"/>
              <w:jc w:val="center"/>
              <w:rPr>
                <w:b/>
                <w:bCs/>
                <w:sz w:val="16"/>
                <w:highlight w:val="yellow"/>
              </w:rPr>
            </w:pPr>
          </w:p>
        </w:tc>
        <w:tc>
          <w:tcPr>
            <w:tcW w:w="1568" w:type="dxa"/>
            <w:tcBorders>
              <w:top w:val="nil"/>
              <w:bottom w:val="single" w:sz="4" w:space="0" w:color="auto"/>
            </w:tcBorders>
            <w:shd w:val="clear" w:color="auto" w:fill="auto"/>
            <w:vAlign w:val="bottom"/>
          </w:tcPr>
          <w:p w14:paraId="1ABA86A2" w14:textId="27646AC6" w:rsidR="005F0881" w:rsidRPr="00F2718C" w:rsidRDefault="00C644EC" w:rsidP="005F0881">
            <w:pPr>
              <w:pStyle w:val="Tabletext"/>
              <w:tabs>
                <w:tab w:val="decimal" w:pos="1302"/>
              </w:tabs>
              <w:spacing w:before="0" w:after="0"/>
              <w:rPr>
                <w:sz w:val="16"/>
              </w:rPr>
            </w:pPr>
            <w:r>
              <w:rPr>
                <w:sz w:val="16"/>
              </w:rPr>
              <w:t>1.6</w:t>
            </w:r>
          </w:p>
        </w:tc>
        <w:tc>
          <w:tcPr>
            <w:tcW w:w="118" w:type="dxa"/>
            <w:tcBorders>
              <w:top w:val="nil"/>
              <w:bottom w:val="nil"/>
            </w:tcBorders>
            <w:vAlign w:val="bottom"/>
          </w:tcPr>
          <w:p w14:paraId="00CBAFAD" w14:textId="77777777" w:rsidR="005F0881" w:rsidRPr="00F2575A" w:rsidRDefault="005F0881" w:rsidP="005F0881">
            <w:pPr>
              <w:pStyle w:val="Tabletext"/>
              <w:spacing w:before="0" w:after="0"/>
              <w:jc w:val="right"/>
              <w:rPr>
                <w:sz w:val="16"/>
              </w:rPr>
            </w:pPr>
          </w:p>
        </w:tc>
        <w:tc>
          <w:tcPr>
            <w:tcW w:w="1569" w:type="dxa"/>
            <w:tcBorders>
              <w:top w:val="nil"/>
              <w:bottom w:val="single" w:sz="4" w:space="0" w:color="auto"/>
            </w:tcBorders>
            <w:shd w:val="clear" w:color="auto" w:fill="auto"/>
            <w:vAlign w:val="bottom"/>
          </w:tcPr>
          <w:p w14:paraId="211F2384" w14:textId="68982EB8" w:rsidR="005F0881" w:rsidRPr="00F2575A" w:rsidRDefault="005F0881" w:rsidP="005F0881">
            <w:pPr>
              <w:pStyle w:val="Tabletext"/>
              <w:tabs>
                <w:tab w:val="decimal" w:pos="1313"/>
              </w:tabs>
              <w:spacing w:before="0" w:after="0"/>
              <w:rPr>
                <w:sz w:val="16"/>
              </w:rPr>
            </w:pPr>
            <w:r w:rsidRPr="00F2718C">
              <w:rPr>
                <w:sz w:val="16"/>
              </w:rPr>
              <w:t>(1.1)</w:t>
            </w:r>
          </w:p>
        </w:tc>
        <w:tc>
          <w:tcPr>
            <w:tcW w:w="118" w:type="dxa"/>
            <w:tcBorders>
              <w:top w:val="nil"/>
              <w:bottom w:val="nil"/>
            </w:tcBorders>
            <w:vAlign w:val="bottom"/>
          </w:tcPr>
          <w:p w14:paraId="42A2441D" w14:textId="77777777" w:rsidR="005F0881" w:rsidRPr="00F2575A" w:rsidRDefault="005F0881" w:rsidP="005F0881">
            <w:pPr>
              <w:pStyle w:val="Tabletext"/>
              <w:spacing w:before="0" w:after="0"/>
              <w:jc w:val="right"/>
              <w:rPr>
                <w:sz w:val="16"/>
              </w:rPr>
            </w:pPr>
          </w:p>
        </w:tc>
        <w:tc>
          <w:tcPr>
            <w:tcW w:w="1570" w:type="dxa"/>
            <w:tcBorders>
              <w:top w:val="nil"/>
              <w:bottom w:val="single" w:sz="4" w:space="0" w:color="auto"/>
            </w:tcBorders>
            <w:shd w:val="clear" w:color="auto" w:fill="auto"/>
          </w:tcPr>
          <w:p w14:paraId="661BE49D" w14:textId="5C70098F" w:rsidR="005F0881" w:rsidRPr="00BB0B74" w:rsidRDefault="005F0881" w:rsidP="005F0881">
            <w:pPr>
              <w:pStyle w:val="Tabletext"/>
              <w:tabs>
                <w:tab w:val="decimal" w:pos="1313"/>
              </w:tabs>
              <w:spacing w:before="0" w:after="0"/>
              <w:rPr>
                <w:sz w:val="16"/>
              </w:rPr>
            </w:pPr>
            <w:r w:rsidRPr="00BB0B74">
              <w:rPr>
                <w:sz w:val="16"/>
              </w:rPr>
              <w:t>(1.1)</w:t>
            </w:r>
          </w:p>
        </w:tc>
      </w:tr>
      <w:tr w:rsidR="005F0881" w14:paraId="277AF019" w14:textId="77777777" w:rsidTr="00F2575A">
        <w:trPr>
          <w:trHeight w:val="42"/>
        </w:trPr>
        <w:tc>
          <w:tcPr>
            <w:tcW w:w="4253" w:type="dxa"/>
            <w:tcBorders>
              <w:top w:val="nil"/>
              <w:bottom w:val="nil"/>
            </w:tcBorders>
            <w:shd w:val="clear" w:color="auto" w:fill="auto"/>
            <w:vAlign w:val="bottom"/>
          </w:tcPr>
          <w:p w14:paraId="1BF5D210" w14:textId="77777777" w:rsidR="005F0881" w:rsidRPr="00F2575A" w:rsidRDefault="005F0881" w:rsidP="005F0881">
            <w:pPr>
              <w:pStyle w:val="Tabletext"/>
              <w:spacing w:before="0" w:after="0"/>
              <w:rPr>
                <w:b/>
                <w:bCs/>
                <w:sz w:val="16"/>
              </w:rPr>
            </w:pPr>
            <w:r w:rsidRPr="00F2575A">
              <w:rPr>
                <w:b/>
                <w:bCs/>
                <w:sz w:val="16"/>
              </w:rPr>
              <w:t>Cash and cash equivalents at end of period</w:t>
            </w:r>
          </w:p>
        </w:tc>
        <w:tc>
          <w:tcPr>
            <w:tcW w:w="1082" w:type="dxa"/>
            <w:tcBorders>
              <w:top w:val="nil"/>
              <w:bottom w:val="nil"/>
            </w:tcBorders>
            <w:vAlign w:val="bottom"/>
          </w:tcPr>
          <w:p w14:paraId="40887D5D" w14:textId="6742AFE4" w:rsidR="005F0881" w:rsidRPr="00F2575A" w:rsidRDefault="005F0881" w:rsidP="005F0881">
            <w:pPr>
              <w:pStyle w:val="Tabletext"/>
              <w:spacing w:before="0" w:after="0"/>
              <w:ind w:right="131"/>
              <w:jc w:val="center"/>
              <w:rPr>
                <w:sz w:val="16"/>
                <w:highlight w:val="yellow"/>
              </w:rPr>
            </w:pPr>
            <w:r w:rsidRPr="00F2575A">
              <w:rPr>
                <w:sz w:val="16"/>
              </w:rPr>
              <w:t>12</w:t>
            </w:r>
          </w:p>
        </w:tc>
        <w:tc>
          <w:tcPr>
            <w:tcW w:w="1568" w:type="dxa"/>
            <w:tcBorders>
              <w:top w:val="single" w:sz="4" w:space="0" w:color="auto"/>
              <w:bottom w:val="double" w:sz="4" w:space="0" w:color="auto"/>
            </w:tcBorders>
            <w:shd w:val="clear" w:color="auto" w:fill="auto"/>
            <w:vAlign w:val="bottom"/>
          </w:tcPr>
          <w:p w14:paraId="4F3E328C" w14:textId="5BAAB8D2" w:rsidR="005F0881" w:rsidRPr="00F2718C" w:rsidRDefault="005F0881" w:rsidP="005F0881">
            <w:pPr>
              <w:pStyle w:val="Tabletext"/>
              <w:tabs>
                <w:tab w:val="decimal" w:pos="1302"/>
              </w:tabs>
              <w:spacing w:before="0" w:after="0"/>
              <w:rPr>
                <w:b/>
                <w:bCs/>
                <w:sz w:val="16"/>
              </w:rPr>
            </w:pPr>
            <w:r>
              <w:rPr>
                <w:b/>
                <w:bCs/>
                <w:sz w:val="16"/>
              </w:rPr>
              <w:t>206.9</w:t>
            </w:r>
          </w:p>
        </w:tc>
        <w:tc>
          <w:tcPr>
            <w:tcW w:w="118" w:type="dxa"/>
            <w:tcBorders>
              <w:top w:val="nil"/>
              <w:bottom w:val="nil"/>
            </w:tcBorders>
            <w:vAlign w:val="bottom"/>
          </w:tcPr>
          <w:p w14:paraId="202615EE" w14:textId="77777777" w:rsidR="005F0881" w:rsidRPr="00F2575A" w:rsidRDefault="005F0881" w:rsidP="005F0881">
            <w:pPr>
              <w:pStyle w:val="Tabletext"/>
              <w:spacing w:before="0" w:after="0"/>
              <w:jc w:val="right"/>
              <w:rPr>
                <w:sz w:val="16"/>
              </w:rPr>
            </w:pPr>
          </w:p>
        </w:tc>
        <w:tc>
          <w:tcPr>
            <w:tcW w:w="1569" w:type="dxa"/>
            <w:tcBorders>
              <w:top w:val="single" w:sz="4" w:space="0" w:color="auto"/>
              <w:bottom w:val="double" w:sz="4" w:space="0" w:color="auto"/>
            </w:tcBorders>
            <w:shd w:val="clear" w:color="auto" w:fill="auto"/>
            <w:vAlign w:val="bottom"/>
          </w:tcPr>
          <w:p w14:paraId="7024029B" w14:textId="47A05F18" w:rsidR="005F0881" w:rsidRPr="00F2575A" w:rsidRDefault="005F0881" w:rsidP="005F0881">
            <w:pPr>
              <w:pStyle w:val="Tabletext"/>
              <w:tabs>
                <w:tab w:val="decimal" w:pos="1313"/>
              </w:tabs>
              <w:spacing w:before="0" w:after="0"/>
              <w:rPr>
                <w:sz w:val="16"/>
              </w:rPr>
            </w:pPr>
            <w:r w:rsidRPr="00F2718C">
              <w:rPr>
                <w:b/>
                <w:bCs/>
                <w:sz w:val="16"/>
              </w:rPr>
              <w:t>284.0</w:t>
            </w:r>
          </w:p>
        </w:tc>
        <w:tc>
          <w:tcPr>
            <w:tcW w:w="118" w:type="dxa"/>
            <w:tcBorders>
              <w:top w:val="nil"/>
              <w:bottom w:val="nil"/>
            </w:tcBorders>
            <w:vAlign w:val="bottom"/>
          </w:tcPr>
          <w:p w14:paraId="3084E886" w14:textId="77777777" w:rsidR="005F0881" w:rsidRPr="00F2575A" w:rsidRDefault="005F0881" w:rsidP="005F0881">
            <w:pPr>
              <w:pStyle w:val="Tabletext"/>
              <w:spacing w:before="0" w:after="0"/>
              <w:jc w:val="right"/>
              <w:rPr>
                <w:sz w:val="16"/>
              </w:rPr>
            </w:pPr>
          </w:p>
        </w:tc>
        <w:tc>
          <w:tcPr>
            <w:tcW w:w="1570" w:type="dxa"/>
            <w:tcBorders>
              <w:top w:val="single" w:sz="4" w:space="0" w:color="auto"/>
              <w:bottom w:val="double" w:sz="4" w:space="0" w:color="auto"/>
            </w:tcBorders>
            <w:shd w:val="clear" w:color="auto" w:fill="auto"/>
            <w:vAlign w:val="bottom"/>
          </w:tcPr>
          <w:p w14:paraId="75D92C07" w14:textId="0F0FAFB2" w:rsidR="005F0881" w:rsidRPr="00FD2645" w:rsidRDefault="005F0881" w:rsidP="005F0881">
            <w:pPr>
              <w:pStyle w:val="Tabletext"/>
              <w:tabs>
                <w:tab w:val="decimal" w:pos="1313"/>
              </w:tabs>
              <w:spacing w:before="0" w:after="0"/>
              <w:rPr>
                <w:b/>
                <w:bCs/>
                <w:sz w:val="16"/>
              </w:rPr>
            </w:pPr>
            <w:r w:rsidRPr="00FD2645">
              <w:rPr>
                <w:b/>
                <w:bCs/>
                <w:sz w:val="16"/>
              </w:rPr>
              <w:t>268.2</w:t>
            </w:r>
          </w:p>
        </w:tc>
      </w:tr>
    </w:tbl>
    <w:p w14:paraId="069A1AB1" w14:textId="77777777" w:rsidR="00AF54A1" w:rsidRDefault="00AF54A1" w:rsidP="00707A86"/>
    <w:p w14:paraId="6224F6EF" w14:textId="77777777" w:rsidR="00AF54A1" w:rsidRPr="00F2575A" w:rsidRDefault="00AF54A1" w:rsidP="00B17DE3">
      <w:pPr>
        <w:pStyle w:val="Footnote"/>
      </w:pPr>
      <w:r w:rsidRPr="00F2575A">
        <w:rPr>
          <w:vertAlign w:val="superscript"/>
        </w:rPr>
        <w:t>1</w:t>
      </w:r>
      <w:r w:rsidRPr="00F2575A">
        <w:t xml:space="preserve"> Includes purchases of seed investments and fund units used as a hedge against compensation awards linked to the value of those funds and, where the Group’s investment in seed is judged to give it control of a fund, purchases of financial assets by that fund. </w:t>
      </w:r>
    </w:p>
    <w:p w14:paraId="6A8959F0" w14:textId="59E7FFBF" w:rsidR="00AF54A1" w:rsidRPr="00F2575A" w:rsidRDefault="00AF54A1" w:rsidP="00B17DE3">
      <w:pPr>
        <w:pStyle w:val="Footnote"/>
      </w:pPr>
      <w:r>
        <w:rPr>
          <w:vertAlign w:val="superscript"/>
        </w:rPr>
        <w:t>2</w:t>
      </w:r>
      <w:r w:rsidRPr="00F2575A">
        <w:t xml:space="preserve"> Includes proceeds from disposals of seed investments and, where the Group’s investment in seed is judged to give it control of a fund, disposals of financial assets by that fund. </w:t>
      </w:r>
    </w:p>
    <w:p w14:paraId="26BEC1C2" w14:textId="1BF4B926" w:rsidR="00AF54A1" w:rsidRPr="00F2575A" w:rsidRDefault="00AF54A1" w:rsidP="00B17DE3">
      <w:pPr>
        <w:pStyle w:val="Footnote"/>
      </w:pPr>
      <w:r>
        <w:rPr>
          <w:vertAlign w:val="superscript"/>
        </w:rPr>
        <w:t>3</w:t>
      </w:r>
      <w:r w:rsidRPr="00F2575A">
        <w:t xml:space="preserve"> Comprises cash and cash equivalents held by a fund at the point that the Group ceases to control the fund and it is no longer consolidated. </w:t>
      </w:r>
    </w:p>
    <w:p w14:paraId="0C314B36" w14:textId="495BC432" w:rsidR="00BE7BEB" w:rsidRDefault="00BE7BEB" w:rsidP="00BE7BEB">
      <w:pPr>
        <w:pStyle w:val="Footnote"/>
      </w:pPr>
      <w:r>
        <w:rPr>
          <w:vertAlign w:val="superscript"/>
        </w:rPr>
        <w:t>4</w:t>
      </w:r>
      <w:r w:rsidR="008F4DF9" w:rsidRPr="00577845">
        <w:t xml:space="preserve"> </w:t>
      </w:r>
      <w:r w:rsidRPr="001368F7">
        <w:t>In the Group’s 202</w:t>
      </w:r>
      <w:r>
        <w:t>3</w:t>
      </w:r>
      <w:r w:rsidRPr="001368F7">
        <w:t xml:space="preserve"> </w:t>
      </w:r>
      <w:r>
        <w:t>Interim</w:t>
      </w:r>
      <w:r w:rsidRPr="001368F7">
        <w:t xml:space="preserve"> Report and Accounts, these lines were aggregated as ’Net finance costs</w:t>
      </w:r>
      <w:r w:rsidR="008F4DF9">
        <w:t xml:space="preserve"> paid</w:t>
      </w:r>
      <w:r w:rsidRPr="001368F7">
        <w:t>’.</w:t>
      </w:r>
    </w:p>
    <w:p w14:paraId="44314F78" w14:textId="103AF7EC" w:rsidR="00842A81" w:rsidRPr="00F2575A" w:rsidRDefault="00842A81" w:rsidP="00B17DE3">
      <w:pPr>
        <w:pStyle w:val="Footnote"/>
      </w:pPr>
    </w:p>
    <w:p w14:paraId="6B6BAA63" w14:textId="77777777" w:rsidR="00707A86" w:rsidRDefault="00707A86" w:rsidP="00707A86">
      <w:pPr>
        <w:rPr>
          <w:rFonts w:ascii="Source Sans Pro Semibold" w:eastAsiaTheme="minorHAnsi" w:hAnsi="Source Sans Pro Semibold"/>
          <w:color w:val="16293F" w:themeColor="text1"/>
          <w:sz w:val="24"/>
          <w:lang w:val="en-GB" w:eastAsia="en-US"/>
        </w:rPr>
      </w:pPr>
      <w:r>
        <w:br w:type="page"/>
      </w:r>
    </w:p>
    <w:tbl>
      <w:tblPr>
        <w:tblStyle w:val="TableGrid"/>
        <w:tblW w:w="0" w:type="auto"/>
        <w:tblLook w:val="04A0" w:firstRow="1" w:lastRow="0" w:firstColumn="1" w:lastColumn="0" w:noHBand="0" w:noVBand="1"/>
      </w:tblPr>
      <w:tblGrid>
        <w:gridCol w:w="10205"/>
      </w:tblGrid>
      <w:tr w:rsidR="002042C7" w:rsidRPr="001520AE" w14:paraId="10F0B0F2" w14:textId="77777777" w:rsidTr="00A97AF6">
        <w:trPr>
          <w:trHeight w:val="708"/>
        </w:trPr>
        <w:tc>
          <w:tcPr>
            <w:tcW w:w="10205" w:type="dxa"/>
          </w:tcPr>
          <w:p w14:paraId="3B994C84" w14:textId="77777777" w:rsidR="00A76D4E" w:rsidRPr="001520AE" w:rsidRDefault="00A76D4E" w:rsidP="00A97AF6">
            <w:pPr>
              <w:pStyle w:val="Heading"/>
              <w:spacing w:after="120"/>
              <w:rPr>
                <w:sz w:val="52"/>
                <w:szCs w:val="40"/>
              </w:rPr>
            </w:pPr>
            <w:r>
              <w:rPr>
                <w:sz w:val="52"/>
                <w:szCs w:val="40"/>
              </w:rPr>
              <w:lastRenderedPageBreak/>
              <w:t>Notes to the Group financial statements</w:t>
            </w:r>
          </w:p>
        </w:tc>
      </w:tr>
      <w:tr w:rsidR="002042C7" w:rsidRPr="00A517F6" w14:paraId="263E3444" w14:textId="77777777" w:rsidTr="00A97AF6">
        <w:trPr>
          <w:trHeight w:hRule="exact" w:val="284"/>
        </w:trPr>
        <w:tc>
          <w:tcPr>
            <w:tcW w:w="10205" w:type="dxa"/>
            <w:shd w:val="clear" w:color="auto" w:fill="16293F" w:themeFill="text1"/>
          </w:tcPr>
          <w:p w14:paraId="7AB4E2CB" w14:textId="77777777" w:rsidR="00A76D4E" w:rsidRPr="00A517F6" w:rsidRDefault="00A76D4E" w:rsidP="00A97AF6">
            <w:pPr>
              <w:pStyle w:val="Bodytext0"/>
              <w:spacing w:before="0" w:line="240" w:lineRule="auto"/>
              <w:rPr>
                <w:sz w:val="16"/>
                <w:szCs w:val="18"/>
              </w:rPr>
            </w:pPr>
          </w:p>
        </w:tc>
      </w:tr>
    </w:tbl>
    <w:p w14:paraId="6C9BE53E" w14:textId="77777777" w:rsidR="00A76D4E" w:rsidRDefault="00A76D4E" w:rsidP="00A76D4E">
      <w:pPr>
        <w:pStyle w:val="Subheading"/>
      </w:pPr>
      <w:r>
        <w:t>Introduction</w:t>
      </w:r>
    </w:p>
    <w:p w14:paraId="7E3AA33D" w14:textId="581C0F1C" w:rsidR="0052785A" w:rsidRPr="00B17DE3" w:rsidRDefault="0052785A" w:rsidP="00B17DE3">
      <w:pPr>
        <w:pStyle w:val="Bodytext0"/>
      </w:pPr>
      <w:r w:rsidRPr="00B17DE3">
        <w:t>Jupiter Fund Management plc (the Company) and its subsidiaries (together, the Group) offer a range of asset management products. Through its subsidiaries, the Group acts as an investment manager to authorised unit trusts, SICAVs, ICVCs, OEICs, investment trust</w:t>
      </w:r>
      <w:r w:rsidR="003256A3" w:rsidRPr="00B17DE3">
        <w:t xml:space="preserve"> companie</w:t>
      </w:r>
      <w:r w:rsidR="004E27C9" w:rsidRPr="00B17DE3">
        <w:t>s</w:t>
      </w:r>
      <w:r w:rsidRPr="00B17DE3">
        <w:t xml:space="preserve">, </w:t>
      </w:r>
      <w:r w:rsidR="003256A3" w:rsidRPr="00B17DE3">
        <w:t>pension funds and other specialist funds</w:t>
      </w:r>
      <w:r w:rsidR="00E54BB6" w:rsidRPr="00B17DE3">
        <w:t xml:space="preserve">. </w:t>
      </w:r>
      <w:r w:rsidRPr="00B17DE3">
        <w:t xml:space="preserve">At 30 June </w:t>
      </w:r>
      <w:r w:rsidR="00E85F7E">
        <w:t>2024</w:t>
      </w:r>
      <w:r w:rsidRPr="00B17DE3">
        <w:t>, the Group had offices in the United Kingdom, Ireland, Germany, Hong Kong, Italy, Luxembourg, Singapore, Spain, Sweden</w:t>
      </w:r>
      <w:r w:rsidR="0097411E">
        <w:t xml:space="preserve"> and</w:t>
      </w:r>
      <w:r w:rsidRPr="00B17DE3">
        <w:t xml:space="preserve"> Switzerland. </w:t>
      </w:r>
    </w:p>
    <w:p w14:paraId="7DFE9A8F" w14:textId="77777777" w:rsidR="00EB7E88" w:rsidRPr="00850474" w:rsidRDefault="00EB7E88" w:rsidP="00EB7E88">
      <w:pPr>
        <w:pStyle w:val="Subheading"/>
      </w:pPr>
      <w:r w:rsidRPr="006B566A">
        <w:t>Basis of preparation and other accounting policies</w:t>
      </w:r>
    </w:p>
    <w:p w14:paraId="2B7C6D31" w14:textId="586A631B" w:rsidR="00EB7E88" w:rsidRPr="00B17DE3" w:rsidRDefault="00EB7E88" w:rsidP="00B17DE3">
      <w:pPr>
        <w:pStyle w:val="Bodytext0"/>
      </w:pPr>
      <w:r w:rsidRPr="00B17DE3">
        <w:t xml:space="preserve">Within this Interim Report and Accounts, all current and comparative data covering periods to (or as at) 30 June are unaudited. Data given in respect of the year ended 31 December </w:t>
      </w:r>
      <w:r w:rsidR="00E85F7E">
        <w:t>2023</w:t>
      </w:r>
      <w:r w:rsidRPr="00B17DE3">
        <w:t xml:space="preserve"> is audited. Information which is the required content of the Interim Management Report can be found on </w:t>
      </w:r>
      <w:r w:rsidRPr="007D6C4B">
        <w:t xml:space="preserve">pages </w:t>
      </w:r>
      <w:r w:rsidRPr="00577845">
        <w:t>1</w:t>
      </w:r>
      <w:r w:rsidRPr="007D6C4B">
        <w:t xml:space="preserve"> to </w:t>
      </w:r>
      <w:r w:rsidRPr="00577845">
        <w:t>6</w:t>
      </w:r>
      <w:r w:rsidRPr="007D6C4B">
        <w:t xml:space="preserve">, </w:t>
      </w:r>
      <w:r w:rsidRPr="00577845">
        <w:t>2</w:t>
      </w:r>
      <w:r w:rsidR="00D1219A" w:rsidRPr="00577845">
        <w:t>3</w:t>
      </w:r>
      <w:r w:rsidRPr="007D6C4B">
        <w:t xml:space="preserve">, and </w:t>
      </w:r>
      <w:r w:rsidRPr="00577845">
        <w:t>2</w:t>
      </w:r>
      <w:r w:rsidR="00632148" w:rsidRPr="00577845">
        <w:t>5</w:t>
      </w:r>
      <w:r w:rsidRPr="007D6C4B">
        <w:t xml:space="preserve"> to </w:t>
      </w:r>
      <w:r w:rsidRPr="00577845">
        <w:t>2</w:t>
      </w:r>
      <w:r w:rsidR="00632148" w:rsidRPr="00577845">
        <w:t>8</w:t>
      </w:r>
      <w:r w:rsidRPr="007D6C4B">
        <w:t>.</w:t>
      </w:r>
    </w:p>
    <w:p w14:paraId="5F75B369" w14:textId="117A013A" w:rsidR="00EB7E88" w:rsidRPr="00B17DE3" w:rsidRDefault="00EB7E88" w:rsidP="00B17DE3">
      <w:pPr>
        <w:pStyle w:val="Bodytext0"/>
      </w:pPr>
      <w:r w:rsidRPr="00B17DE3">
        <w:t xml:space="preserve">These condensed financial statements for the six months ended 30 June </w:t>
      </w:r>
      <w:r w:rsidR="00E85F7E">
        <w:t>2024</w:t>
      </w:r>
      <w:r w:rsidRPr="00B17DE3">
        <w:t xml:space="preserve"> have been prepared in accordance with the Disclosure Guidance and Transparency Rules sourcebook of the Financial Conduct Authority and with </w:t>
      </w:r>
      <w:r w:rsidR="00B65CC9" w:rsidRPr="00B17DE3">
        <w:t xml:space="preserve">UK-adopted International Accounting Standard </w:t>
      </w:r>
      <w:r w:rsidRPr="00B17DE3">
        <w:t xml:space="preserve">IAS 34 </w:t>
      </w:r>
      <w:r w:rsidRPr="00952D0B">
        <w:rPr>
          <w:i/>
          <w:iCs/>
        </w:rPr>
        <w:t>Interim Financial Reporting</w:t>
      </w:r>
      <w:r w:rsidRPr="00B17DE3">
        <w:t xml:space="preserve">. The condensed financial statements should be read in conjunction with the Group’s annual financial statements for the year ended 31 December </w:t>
      </w:r>
      <w:r w:rsidR="00E85F7E">
        <w:t>2023</w:t>
      </w:r>
      <w:r w:rsidRPr="00B17DE3">
        <w:t xml:space="preserve">, which were prepared in accordance with UK-adopted </w:t>
      </w:r>
      <w:r w:rsidR="00F64F8C" w:rsidRPr="00B17DE3">
        <w:t>I</w:t>
      </w:r>
      <w:r w:rsidRPr="00B17DE3">
        <w:t xml:space="preserve">nternational </w:t>
      </w:r>
      <w:r w:rsidR="00F64F8C" w:rsidRPr="00B17DE3">
        <w:t>A</w:t>
      </w:r>
      <w:r w:rsidR="000A1ECC" w:rsidRPr="00B17DE3">
        <w:t>ccounting</w:t>
      </w:r>
      <w:r w:rsidRPr="00B17DE3">
        <w:t xml:space="preserve"> </w:t>
      </w:r>
      <w:r w:rsidR="00F64F8C" w:rsidRPr="00B17DE3">
        <w:t>S</w:t>
      </w:r>
      <w:r w:rsidRPr="00B17DE3">
        <w:t>tandards and with the requirements of the Companies Act 2006 as applicable to companies reporting under those standards.</w:t>
      </w:r>
    </w:p>
    <w:p w14:paraId="4170AF57" w14:textId="7A3650B7" w:rsidR="00EB7E88" w:rsidRPr="00B17DE3" w:rsidRDefault="00EB7E88" w:rsidP="00B17DE3">
      <w:pPr>
        <w:pStyle w:val="Bodytext0"/>
      </w:pPr>
      <w:r w:rsidRPr="00B17DE3">
        <w:t xml:space="preserve">The condensed financial statements do not comprise statutory accounts within the meaning of section 434 of the Companies Act 2006. Statutory accounts for the year ended 31 December </w:t>
      </w:r>
      <w:r w:rsidR="00E85F7E">
        <w:t>2023</w:t>
      </w:r>
      <w:r w:rsidRPr="00B17DE3">
        <w:t xml:space="preserve"> were approved by the Board on 2</w:t>
      </w:r>
      <w:r w:rsidR="00D4670F">
        <w:t>2</w:t>
      </w:r>
      <w:r w:rsidRPr="00B17DE3">
        <w:t xml:space="preserve"> February </w:t>
      </w:r>
      <w:r w:rsidR="00E85F7E">
        <w:t>2024</w:t>
      </w:r>
      <w:r w:rsidRPr="00B17DE3">
        <w:t xml:space="preserve"> and delivered to the Registrar of Companies. The report of the auditors on those accounts was unqualified, did not contain an emphasis of matter paragraph and did not contain any statement under section 498 of the Companies Act 2006. The condensed financial statements have been reviewed, not audited.</w:t>
      </w:r>
    </w:p>
    <w:p w14:paraId="708D31F1" w14:textId="093E30ED" w:rsidR="00EB7E88" w:rsidRPr="00B17DE3" w:rsidRDefault="00EB7E88" w:rsidP="00B17DE3">
      <w:pPr>
        <w:pStyle w:val="Bodytext0"/>
      </w:pPr>
      <w:r w:rsidRPr="00B17DE3">
        <w:t xml:space="preserve">The Group </w:t>
      </w:r>
      <w:r w:rsidR="001A219F" w:rsidRPr="00B17DE3">
        <w:t>is</w:t>
      </w:r>
      <w:r w:rsidRPr="00B17DE3">
        <w:t xml:space="preserve"> able to operate within its available resources even </w:t>
      </w:r>
      <w:r w:rsidR="0096024B" w:rsidRPr="00B17DE3">
        <w:t>in a stressed scenario</w:t>
      </w:r>
      <w:r w:rsidRPr="00B17DE3">
        <w:t xml:space="preserve">. The Directors have not identified any material uncertainties to the Group’s ability to continue to adopt the going concern basis. As a consequence, the Directors have a reasonable expectation that the Group has adequate resources to continue operating for a period of at least 12 months from the </w:t>
      </w:r>
      <w:r w:rsidR="00860340" w:rsidRPr="00B17DE3">
        <w:t xml:space="preserve">date of approval of </w:t>
      </w:r>
      <w:r w:rsidR="00C80C8B" w:rsidRPr="00B17DE3">
        <w:t>the condensed financial statements</w:t>
      </w:r>
      <w:r w:rsidRPr="00B17DE3">
        <w:t xml:space="preserve">. Accordingly, they continue to adopt the going concern basis of accounting in preparing these financial statements. </w:t>
      </w:r>
    </w:p>
    <w:p w14:paraId="3AD2B6AD" w14:textId="0EC4EA71" w:rsidR="00EB7E88" w:rsidRPr="002F2F2C" w:rsidRDefault="0013201A" w:rsidP="00EB7E88">
      <w:pPr>
        <w:pStyle w:val="Subheading2"/>
      </w:pPr>
      <w:r>
        <w:t xml:space="preserve">New </w:t>
      </w:r>
      <w:r w:rsidR="00EB7E88" w:rsidRPr="002F2F2C">
        <w:t xml:space="preserve">accounting </w:t>
      </w:r>
      <w:r>
        <w:t>standards</w:t>
      </w:r>
    </w:p>
    <w:p w14:paraId="40B6EB48" w14:textId="23AC5FB1" w:rsidR="00EB7E88" w:rsidRDefault="00EB7E88" w:rsidP="00B17DE3">
      <w:pPr>
        <w:pStyle w:val="Bodytext0"/>
      </w:pPr>
      <w:r w:rsidRPr="00B17DE3">
        <w:t>The International Accounting Standards Board</w:t>
      </w:r>
      <w:r w:rsidR="00DA6FD3">
        <w:t xml:space="preserve"> (IASB)</w:t>
      </w:r>
      <w:r w:rsidRPr="00B17DE3">
        <w:t xml:space="preserve"> and IFRS Interpretations Committee (IC) have issued a number of new accounting standards and interpretations and amendments to existing standards and interpretations. </w:t>
      </w:r>
      <w:r w:rsidR="00DA6FD3">
        <w:t>Other than IFRS 18, t</w:t>
      </w:r>
      <w:r w:rsidRPr="00B17DE3">
        <w:t>here are no IFRSs or IFRS IC interpretations that are not yet effective that would be expected to have a material impact on the Group.</w:t>
      </w:r>
    </w:p>
    <w:p w14:paraId="2645A921" w14:textId="5ADF1D74" w:rsidR="00DA6FD3" w:rsidRDefault="00DA6FD3" w:rsidP="00DA6FD3">
      <w:pPr>
        <w:pStyle w:val="Bodytext0"/>
      </w:pPr>
      <w:r>
        <w:t xml:space="preserve">The IASB issued IFRS 18 </w:t>
      </w:r>
      <w:r w:rsidRPr="000174DB">
        <w:rPr>
          <w:i/>
          <w:iCs/>
        </w:rPr>
        <w:t>Presentation and Disclosure in Financial Statements</w:t>
      </w:r>
      <w:r>
        <w:t xml:space="preserve"> on 9 April 2024. The standard</w:t>
      </w:r>
      <w:r w:rsidR="002B54F6">
        <w:t xml:space="preserve">, which is effective for </w:t>
      </w:r>
      <w:r w:rsidR="00192BDD">
        <w:t>periods beginning on or after 1 January 2027,</w:t>
      </w:r>
      <w:r>
        <w:t xml:space="preserve"> aims to improve comparability and transparency of communication in financial statements, and replaces IAS 1 </w:t>
      </w:r>
      <w:r w:rsidRPr="000174DB">
        <w:rPr>
          <w:i/>
          <w:iCs/>
        </w:rPr>
        <w:t>Presentation of Financial Statements</w:t>
      </w:r>
      <w:r>
        <w:t>.</w:t>
      </w:r>
      <w:r w:rsidR="00594A9D" w:rsidRPr="00594A9D">
        <w:t xml:space="preserve"> </w:t>
      </w:r>
      <w:r w:rsidR="00594A9D">
        <w:t>The Group has not applied IFRS 18 in these financial statements.</w:t>
      </w:r>
    </w:p>
    <w:p w14:paraId="59762CB4" w14:textId="77777777" w:rsidR="00DA6FD3" w:rsidRPr="00B17DE3" w:rsidRDefault="00DA6FD3" w:rsidP="00DA6FD3">
      <w:pPr>
        <w:pStyle w:val="Bodytext0"/>
      </w:pPr>
      <w:r>
        <w:t xml:space="preserve">IFRS 18 introduces new presentational requirements within the income statement, including specified totals and sub-totals. It also requires disclosure of management-defined performance measures and requirements for aggregation and disaggregation of financial information based on the identified roles of the primary financial statements and notes to the accounts. The new requirements are expected to impact the presentation, but not the recognition or measurement, of items in the income statement, the cash flow statement and relevant notes to the accounts, including what the Group currently reports as its ‘Operating profit’. </w:t>
      </w:r>
    </w:p>
    <w:p w14:paraId="446CFA3B" w14:textId="77777777" w:rsidR="00EB7E88" w:rsidRDefault="00EB7E88" w:rsidP="00EB7E88">
      <w:pPr>
        <w:pStyle w:val="Subheading2"/>
      </w:pPr>
      <w:r>
        <w:t>Accounting policies</w:t>
      </w:r>
    </w:p>
    <w:p w14:paraId="5AF599DA" w14:textId="0D0024F4" w:rsidR="00C20CF9" w:rsidRDefault="00EB7E88" w:rsidP="00DA6FD3">
      <w:pPr>
        <w:pStyle w:val="Bodytext0"/>
        <w:rPr>
          <w:rFonts w:ascii="Source Sans Pro Semibold" w:hAnsi="Source Sans Pro Semibold"/>
          <w:color w:val="16293F" w:themeColor="text1"/>
          <w:sz w:val="24"/>
        </w:rPr>
      </w:pPr>
      <w:r w:rsidRPr="00423552">
        <w:t xml:space="preserve">The accounting policies applied are consistent with those applied in the Group’s annual financial statements for the year ended 31 December </w:t>
      </w:r>
      <w:r w:rsidR="00E85F7E">
        <w:t>2023</w:t>
      </w:r>
      <w:r w:rsidRPr="00423552">
        <w:t>.</w:t>
      </w:r>
      <w:r w:rsidR="00C20CF9">
        <w:rPr>
          <w:rFonts w:ascii="Source Sans Pro Semibold" w:hAnsi="Source Sans Pro Semibold"/>
          <w:color w:val="16293F" w:themeColor="text1"/>
          <w:sz w:val="24"/>
        </w:rPr>
        <w:br w:type="page"/>
      </w:r>
    </w:p>
    <w:p w14:paraId="2A30D126" w14:textId="5040A48D" w:rsidR="0052785A" w:rsidRPr="00381175" w:rsidRDefault="0052785A" w:rsidP="00423552">
      <w:r w:rsidRPr="00381175">
        <w:rPr>
          <w:rFonts w:ascii="Source Sans Pro Semibold" w:eastAsiaTheme="minorHAnsi" w:hAnsi="Source Sans Pro Semibold"/>
          <w:color w:val="16293F" w:themeColor="text1"/>
          <w:sz w:val="24"/>
          <w:lang w:val="en-GB" w:eastAsia="en-US"/>
        </w:rPr>
        <w:lastRenderedPageBreak/>
        <w:t>1</w:t>
      </w:r>
      <w:r w:rsidR="00525389" w:rsidRPr="00381175">
        <w:rPr>
          <w:rFonts w:ascii="Source Sans Pro Semibold" w:eastAsiaTheme="minorHAnsi" w:hAnsi="Source Sans Pro Semibold"/>
          <w:color w:val="16293F" w:themeColor="text1"/>
          <w:sz w:val="24"/>
          <w:lang w:val="en-GB" w:eastAsia="en-US"/>
        </w:rPr>
        <w:t>.</w:t>
      </w:r>
      <w:r w:rsidRPr="00381175">
        <w:rPr>
          <w:rFonts w:ascii="Source Sans Pro Semibold" w:eastAsiaTheme="minorHAnsi" w:hAnsi="Source Sans Pro Semibold"/>
          <w:color w:val="16293F" w:themeColor="text1"/>
          <w:sz w:val="24"/>
          <w:lang w:val="en-GB" w:eastAsia="en-US"/>
        </w:rPr>
        <w:tab/>
        <w:t>Revenue</w:t>
      </w:r>
    </w:p>
    <w:p w14:paraId="5D750AF1" w14:textId="70F5ABD5" w:rsidR="0052785A" w:rsidRDefault="0052785A" w:rsidP="0052785A">
      <w:pPr>
        <w:pStyle w:val="Bodytext0"/>
        <w:rPr>
          <w:lang w:val="en-US"/>
        </w:rPr>
      </w:pPr>
      <w:r w:rsidRPr="003D74DA">
        <w:rPr>
          <w:lang w:val="en-US"/>
        </w:rPr>
        <w:t xml:space="preserve">The Group’s primary source of </w:t>
      </w:r>
      <w:r w:rsidR="003256A3">
        <w:rPr>
          <w:lang w:val="en-US"/>
        </w:rPr>
        <w:t xml:space="preserve">recurring </w:t>
      </w:r>
      <w:r w:rsidRPr="003D74DA">
        <w:rPr>
          <w:lang w:val="en-US"/>
        </w:rPr>
        <w:t>revenue is management fees. Management fees are charged for investment management or administrative services and are normally based on an agreed percentage of AUM. Initial charges and commissions are for additional administrative services at the beginning of a client relationship, as well as ongoing administrative costs. Performance fees may be earned from some funds</w:t>
      </w:r>
      <w:r w:rsidR="00F96C98">
        <w:rPr>
          <w:lang w:val="en-US"/>
        </w:rPr>
        <w:t xml:space="preserve"> or clients</w:t>
      </w:r>
      <w:r w:rsidRPr="003D74DA">
        <w:rPr>
          <w:lang w:val="en-US"/>
        </w:rPr>
        <w:t xml:space="preserve"> when agreed performance conditions are met. Net revenue is stated after fee and commission expenses to intermediaries for ongoing services under distribution agreements.</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52785A" w14:paraId="2D0C7D29" w14:textId="77777777" w:rsidTr="00B17DE3">
        <w:tc>
          <w:tcPr>
            <w:tcW w:w="3402" w:type="dxa"/>
            <w:tcBorders>
              <w:bottom w:val="nil"/>
            </w:tcBorders>
            <w:vAlign w:val="bottom"/>
          </w:tcPr>
          <w:p w14:paraId="4884E4E8" w14:textId="77777777" w:rsidR="0052785A" w:rsidRPr="005405BA" w:rsidRDefault="0052785A" w:rsidP="00B17DE3">
            <w:pPr>
              <w:pStyle w:val="Tableheading"/>
              <w:jc w:val="right"/>
            </w:pPr>
          </w:p>
        </w:tc>
        <w:tc>
          <w:tcPr>
            <w:tcW w:w="2212" w:type="dxa"/>
            <w:tcBorders>
              <w:top w:val="nil"/>
              <w:bottom w:val="nil"/>
            </w:tcBorders>
            <w:vAlign w:val="bottom"/>
          </w:tcPr>
          <w:p w14:paraId="2D4E6D7A" w14:textId="77777777" w:rsidR="0052785A" w:rsidRDefault="0052785A" w:rsidP="00B17DE3">
            <w:pPr>
              <w:pStyle w:val="Tableheading"/>
              <w:jc w:val="right"/>
            </w:pPr>
            <w:r>
              <w:t xml:space="preserve">Six months ended </w:t>
            </w:r>
          </w:p>
          <w:p w14:paraId="34CAA8F4" w14:textId="517D8F78" w:rsidR="0052785A" w:rsidRDefault="0052785A" w:rsidP="00B17DE3">
            <w:pPr>
              <w:pStyle w:val="Tableheading"/>
              <w:jc w:val="right"/>
            </w:pPr>
            <w:r>
              <w:tab/>
              <w:t xml:space="preserve">30 June </w:t>
            </w:r>
            <w:r w:rsidR="00E85F7E">
              <w:t>2024</w:t>
            </w:r>
          </w:p>
          <w:p w14:paraId="5DC064FE" w14:textId="77777777" w:rsidR="0052785A" w:rsidRPr="005405BA" w:rsidRDefault="0052785A" w:rsidP="00B17DE3">
            <w:pPr>
              <w:pStyle w:val="Tableheading"/>
              <w:jc w:val="right"/>
            </w:pPr>
            <w:r>
              <w:t>£m</w:t>
            </w:r>
          </w:p>
        </w:tc>
        <w:tc>
          <w:tcPr>
            <w:tcW w:w="193" w:type="dxa"/>
            <w:tcBorders>
              <w:top w:val="nil"/>
              <w:bottom w:val="nil"/>
            </w:tcBorders>
            <w:vAlign w:val="bottom"/>
          </w:tcPr>
          <w:p w14:paraId="38EF41A3" w14:textId="77777777" w:rsidR="0052785A" w:rsidRPr="00955F6B" w:rsidRDefault="0052785A" w:rsidP="00B17DE3">
            <w:pPr>
              <w:pStyle w:val="Tableheading"/>
              <w:jc w:val="right"/>
            </w:pPr>
          </w:p>
        </w:tc>
        <w:tc>
          <w:tcPr>
            <w:tcW w:w="2212" w:type="dxa"/>
            <w:tcBorders>
              <w:top w:val="nil"/>
              <w:bottom w:val="nil"/>
            </w:tcBorders>
            <w:vAlign w:val="bottom"/>
          </w:tcPr>
          <w:p w14:paraId="4DB5CA21" w14:textId="77777777" w:rsidR="0052785A" w:rsidRPr="00E22938" w:rsidRDefault="0052785A" w:rsidP="00B17DE3">
            <w:pPr>
              <w:pStyle w:val="Tableheading"/>
              <w:jc w:val="right"/>
            </w:pPr>
            <w:r w:rsidRPr="00E22938">
              <w:t xml:space="preserve">Six months ended </w:t>
            </w:r>
          </w:p>
          <w:p w14:paraId="52182B81" w14:textId="078BBD01" w:rsidR="0052785A" w:rsidRPr="00E22938" w:rsidRDefault="0052785A" w:rsidP="00B17DE3">
            <w:pPr>
              <w:pStyle w:val="Tableheading"/>
              <w:jc w:val="right"/>
            </w:pPr>
            <w:r w:rsidRPr="00E22938">
              <w:tab/>
              <w:t xml:space="preserve">30 June </w:t>
            </w:r>
            <w:r w:rsidR="00E85F7E">
              <w:t>2023</w:t>
            </w:r>
          </w:p>
          <w:p w14:paraId="0449D3B3" w14:textId="77777777" w:rsidR="0052785A" w:rsidRPr="00E22938" w:rsidRDefault="0052785A" w:rsidP="00B17DE3">
            <w:pPr>
              <w:pStyle w:val="Tableheading"/>
              <w:jc w:val="right"/>
            </w:pPr>
            <w:r w:rsidRPr="00E22938">
              <w:t>£m</w:t>
            </w:r>
          </w:p>
        </w:tc>
        <w:tc>
          <w:tcPr>
            <w:tcW w:w="193" w:type="dxa"/>
            <w:tcBorders>
              <w:top w:val="nil"/>
              <w:bottom w:val="nil"/>
            </w:tcBorders>
            <w:vAlign w:val="bottom"/>
          </w:tcPr>
          <w:p w14:paraId="1F4B39B8" w14:textId="77777777" w:rsidR="0052785A" w:rsidRPr="00E22938" w:rsidRDefault="0052785A" w:rsidP="00B17DE3">
            <w:pPr>
              <w:pStyle w:val="Tableheading"/>
              <w:jc w:val="right"/>
            </w:pPr>
          </w:p>
        </w:tc>
        <w:tc>
          <w:tcPr>
            <w:tcW w:w="2213" w:type="dxa"/>
            <w:tcBorders>
              <w:top w:val="nil"/>
              <w:bottom w:val="nil"/>
            </w:tcBorders>
            <w:vAlign w:val="bottom"/>
          </w:tcPr>
          <w:p w14:paraId="23F20A75" w14:textId="77777777" w:rsidR="0052785A" w:rsidRPr="00E22938" w:rsidRDefault="0052785A" w:rsidP="00B17DE3">
            <w:pPr>
              <w:pStyle w:val="Tableheading"/>
              <w:jc w:val="right"/>
            </w:pPr>
            <w:r w:rsidRPr="00E22938">
              <w:t xml:space="preserve">Year ended </w:t>
            </w:r>
          </w:p>
          <w:p w14:paraId="1787F057" w14:textId="71DB1D70" w:rsidR="0052785A" w:rsidRPr="00E22938" w:rsidRDefault="0052785A" w:rsidP="00B17DE3">
            <w:pPr>
              <w:pStyle w:val="Tableheading"/>
              <w:jc w:val="right"/>
            </w:pPr>
            <w:r w:rsidRPr="00E22938">
              <w:t xml:space="preserve">31 December </w:t>
            </w:r>
            <w:r w:rsidR="00E85F7E">
              <w:t>2023</w:t>
            </w:r>
          </w:p>
          <w:p w14:paraId="551BF82B" w14:textId="77777777" w:rsidR="0052785A" w:rsidRPr="00E22938" w:rsidRDefault="0052785A" w:rsidP="00B17DE3">
            <w:pPr>
              <w:pStyle w:val="Tableheading"/>
              <w:jc w:val="right"/>
              <w:rPr>
                <w:highlight w:val="yellow"/>
              </w:rPr>
            </w:pPr>
            <w:r w:rsidRPr="00E22938">
              <w:t>£m</w:t>
            </w:r>
          </w:p>
        </w:tc>
      </w:tr>
      <w:tr w:rsidR="007266A5" w14:paraId="11A95095" w14:textId="77777777">
        <w:tc>
          <w:tcPr>
            <w:tcW w:w="3402" w:type="dxa"/>
            <w:tcBorders>
              <w:top w:val="nil"/>
              <w:bottom w:val="nil"/>
            </w:tcBorders>
            <w:shd w:val="clear" w:color="auto" w:fill="auto"/>
            <w:vAlign w:val="center"/>
          </w:tcPr>
          <w:p w14:paraId="532A6B2E" w14:textId="77777777" w:rsidR="007266A5" w:rsidRPr="009A0E69" w:rsidRDefault="007266A5" w:rsidP="007266A5">
            <w:pPr>
              <w:pStyle w:val="Tabletext"/>
            </w:pPr>
            <w:r>
              <w:t>Management fees</w:t>
            </w:r>
          </w:p>
        </w:tc>
        <w:tc>
          <w:tcPr>
            <w:tcW w:w="2212" w:type="dxa"/>
            <w:tcBorders>
              <w:top w:val="nil"/>
              <w:bottom w:val="nil"/>
            </w:tcBorders>
            <w:shd w:val="clear" w:color="auto" w:fill="auto"/>
            <w:vAlign w:val="center"/>
          </w:tcPr>
          <w:p w14:paraId="1D5EA306" w14:textId="47047A29" w:rsidR="007266A5" w:rsidRPr="00A5447C" w:rsidRDefault="009F4846" w:rsidP="007266A5">
            <w:pPr>
              <w:pStyle w:val="Tabletext"/>
              <w:tabs>
                <w:tab w:val="decimal" w:pos="1891"/>
              </w:tabs>
            </w:pPr>
            <w:r>
              <w:t>187.5</w:t>
            </w:r>
          </w:p>
        </w:tc>
        <w:tc>
          <w:tcPr>
            <w:tcW w:w="193" w:type="dxa"/>
            <w:tcBorders>
              <w:top w:val="nil"/>
              <w:bottom w:val="nil"/>
            </w:tcBorders>
          </w:tcPr>
          <w:p w14:paraId="52A0D274" w14:textId="77777777" w:rsidR="007266A5" w:rsidRPr="00A66CA2" w:rsidRDefault="007266A5" w:rsidP="007266A5">
            <w:pPr>
              <w:pStyle w:val="Tabletext"/>
              <w:jc w:val="right"/>
            </w:pPr>
          </w:p>
        </w:tc>
        <w:tc>
          <w:tcPr>
            <w:tcW w:w="2212" w:type="dxa"/>
            <w:tcBorders>
              <w:top w:val="nil"/>
              <w:bottom w:val="nil"/>
            </w:tcBorders>
            <w:shd w:val="clear" w:color="auto" w:fill="auto"/>
            <w:vAlign w:val="center"/>
          </w:tcPr>
          <w:p w14:paraId="7EB68B99" w14:textId="13CF8CB7" w:rsidR="007266A5" w:rsidRPr="00A66CA2" w:rsidRDefault="007266A5" w:rsidP="007266A5">
            <w:pPr>
              <w:pStyle w:val="Tabletext"/>
              <w:tabs>
                <w:tab w:val="decimal" w:pos="1903"/>
              </w:tabs>
            </w:pPr>
            <w:r w:rsidRPr="00F2575A">
              <w:t>198.5</w:t>
            </w:r>
          </w:p>
        </w:tc>
        <w:tc>
          <w:tcPr>
            <w:tcW w:w="193" w:type="dxa"/>
            <w:tcBorders>
              <w:top w:val="nil"/>
              <w:bottom w:val="nil"/>
            </w:tcBorders>
          </w:tcPr>
          <w:p w14:paraId="3C165628" w14:textId="77777777" w:rsidR="007266A5" w:rsidRPr="00A66CA2" w:rsidRDefault="007266A5" w:rsidP="007266A5">
            <w:pPr>
              <w:pStyle w:val="Tabletext"/>
              <w:jc w:val="right"/>
            </w:pPr>
          </w:p>
        </w:tc>
        <w:tc>
          <w:tcPr>
            <w:tcW w:w="2213" w:type="dxa"/>
            <w:tcBorders>
              <w:top w:val="nil"/>
              <w:bottom w:val="nil"/>
            </w:tcBorders>
            <w:shd w:val="clear" w:color="auto" w:fill="auto"/>
          </w:tcPr>
          <w:p w14:paraId="3FF413D3" w14:textId="3C5AD1A4" w:rsidR="007266A5" w:rsidRPr="00F2575A" w:rsidRDefault="007266A5" w:rsidP="007266A5">
            <w:pPr>
              <w:pStyle w:val="Tabletext"/>
              <w:tabs>
                <w:tab w:val="decimal" w:pos="1848"/>
              </w:tabs>
              <w:rPr>
                <w:highlight w:val="yellow"/>
              </w:rPr>
            </w:pPr>
            <w:r w:rsidRPr="00131B4F">
              <w:rPr>
                <w:rFonts w:eastAsia="Times New Roman"/>
                <w:szCs w:val="18"/>
                <w:lang w:eastAsia="en-GB"/>
              </w:rPr>
              <w:t>389.9</w:t>
            </w:r>
          </w:p>
        </w:tc>
      </w:tr>
      <w:tr w:rsidR="007266A5" w14:paraId="251D790C" w14:textId="77777777">
        <w:tc>
          <w:tcPr>
            <w:tcW w:w="3402" w:type="dxa"/>
            <w:tcBorders>
              <w:top w:val="nil"/>
              <w:bottom w:val="nil"/>
            </w:tcBorders>
            <w:shd w:val="clear" w:color="auto" w:fill="auto"/>
            <w:vAlign w:val="center"/>
          </w:tcPr>
          <w:p w14:paraId="2785302F" w14:textId="77777777" w:rsidR="007266A5" w:rsidRPr="009A0E69" w:rsidRDefault="007266A5" w:rsidP="007266A5">
            <w:pPr>
              <w:pStyle w:val="Tabletext"/>
            </w:pPr>
            <w:r>
              <w:t xml:space="preserve">Initial charges and commissions  </w:t>
            </w:r>
          </w:p>
        </w:tc>
        <w:tc>
          <w:tcPr>
            <w:tcW w:w="2212" w:type="dxa"/>
            <w:tcBorders>
              <w:top w:val="nil"/>
              <w:bottom w:val="nil"/>
            </w:tcBorders>
            <w:shd w:val="clear" w:color="auto" w:fill="auto"/>
          </w:tcPr>
          <w:p w14:paraId="3B963C90" w14:textId="4908492E" w:rsidR="007266A5" w:rsidRPr="00A5447C" w:rsidRDefault="009F4846" w:rsidP="007266A5">
            <w:pPr>
              <w:pStyle w:val="Tabletext"/>
              <w:tabs>
                <w:tab w:val="decimal" w:pos="1891"/>
              </w:tabs>
            </w:pPr>
            <w:r>
              <w:t>1.2</w:t>
            </w:r>
          </w:p>
        </w:tc>
        <w:tc>
          <w:tcPr>
            <w:tcW w:w="193" w:type="dxa"/>
            <w:tcBorders>
              <w:top w:val="nil"/>
              <w:bottom w:val="nil"/>
            </w:tcBorders>
          </w:tcPr>
          <w:p w14:paraId="0D9E30B7" w14:textId="77777777" w:rsidR="007266A5" w:rsidRPr="00A66CA2" w:rsidRDefault="007266A5" w:rsidP="007266A5">
            <w:pPr>
              <w:pStyle w:val="Tabletext"/>
              <w:jc w:val="right"/>
            </w:pPr>
          </w:p>
        </w:tc>
        <w:tc>
          <w:tcPr>
            <w:tcW w:w="2212" w:type="dxa"/>
            <w:tcBorders>
              <w:top w:val="nil"/>
              <w:bottom w:val="nil"/>
            </w:tcBorders>
            <w:shd w:val="clear" w:color="auto" w:fill="auto"/>
          </w:tcPr>
          <w:p w14:paraId="08BF8C23" w14:textId="2BA9A0EA" w:rsidR="007266A5" w:rsidRPr="00A66CA2" w:rsidRDefault="007266A5" w:rsidP="007266A5">
            <w:pPr>
              <w:pStyle w:val="Tabletext"/>
              <w:tabs>
                <w:tab w:val="decimal" w:pos="1903"/>
              </w:tabs>
            </w:pPr>
            <w:r w:rsidRPr="00F2575A">
              <w:t>1.3</w:t>
            </w:r>
          </w:p>
        </w:tc>
        <w:tc>
          <w:tcPr>
            <w:tcW w:w="193" w:type="dxa"/>
            <w:tcBorders>
              <w:top w:val="nil"/>
              <w:bottom w:val="nil"/>
            </w:tcBorders>
          </w:tcPr>
          <w:p w14:paraId="376FE246" w14:textId="77777777" w:rsidR="007266A5" w:rsidRPr="00A66CA2" w:rsidRDefault="007266A5" w:rsidP="007266A5">
            <w:pPr>
              <w:pStyle w:val="Tabletext"/>
              <w:jc w:val="right"/>
            </w:pPr>
          </w:p>
        </w:tc>
        <w:tc>
          <w:tcPr>
            <w:tcW w:w="2213" w:type="dxa"/>
            <w:tcBorders>
              <w:top w:val="nil"/>
              <w:bottom w:val="nil"/>
            </w:tcBorders>
            <w:shd w:val="clear" w:color="auto" w:fill="auto"/>
          </w:tcPr>
          <w:p w14:paraId="5A485CD0" w14:textId="632E3BAC" w:rsidR="007266A5" w:rsidRPr="00F2575A" w:rsidRDefault="007266A5" w:rsidP="007266A5">
            <w:pPr>
              <w:pStyle w:val="Tabletext"/>
              <w:tabs>
                <w:tab w:val="decimal" w:pos="1848"/>
              </w:tabs>
              <w:rPr>
                <w:highlight w:val="yellow"/>
              </w:rPr>
            </w:pPr>
            <w:r w:rsidRPr="00131B4F">
              <w:rPr>
                <w:rFonts w:eastAsia="Times New Roman"/>
                <w:szCs w:val="18"/>
                <w:lang w:eastAsia="en-GB"/>
              </w:rPr>
              <w:t>2.5</w:t>
            </w:r>
          </w:p>
        </w:tc>
      </w:tr>
      <w:tr w:rsidR="007266A5" w14:paraId="1CBBE141" w14:textId="77777777">
        <w:tc>
          <w:tcPr>
            <w:tcW w:w="3402" w:type="dxa"/>
            <w:tcBorders>
              <w:top w:val="nil"/>
              <w:bottom w:val="nil"/>
            </w:tcBorders>
            <w:shd w:val="clear" w:color="auto" w:fill="auto"/>
            <w:vAlign w:val="center"/>
          </w:tcPr>
          <w:p w14:paraId="76B980E5" w14:textId="77777777" w:rsidR="007266A5" w:rsidRDefault="007266A5" w:rsidP="007266A5">
            <w:pPr>
              <w:pStyle w:val="Tabletext"/>
            </w:pPr>
            <w:r>
              <w:t>Performance fees</w:t>
            </w:r>
          </w:p>
        </w:tc>
        <w:tc>
          <w:tcPr>
            <w:tcW w:w="2212" w:type="dxa"/>
            <w:tcBorders>
              <w:top w:val="nil"/>
              <w:bottom w:val="single" w:sz="4" w:space="0" w:color="auto"/>
            </w:tcBorders>
            <w:shd w:val="clear" w:color="auto" w:fill="auto"/>
          </w:tcPr>
          <w:p w14:paraId="4592D298" w14:textId="2253377D" w:rsidR="007266A5" w:rsidRPr="00A5447C" w:rsidRDefault="009F4846" w:rsidP="007266A5">
            <w:pPr>
              <w:pStyle w:val="Tabletext"/>
              <w:tabs>
                <w:tab w:val="decimal" w:pos="1891"/>
              </w:tabs>
            </w:pPr>
            <w:r>
              <w:t>3.9</w:t>
            </w:r>
          </w:p>
        </w:tc>
        <w:tc>
          <w:tcPr>
            <w:tcW w:w="193" w:type="dxa"/>
            <w:tcBorders>
              <w:top w:val="nil"/>
              <w:bottom w:val="nil"/>
            </w:tcBorders>
          </w:tcPr>
          <w:p w14:paraId="2CA5DF5F" w14:textId="77777777" w:rsidR="007266A5" w:rsidRPr="00A66CA2" w:rsidRDefault="007266A5" w:rsidP="007266A5">
            <w:pPr>
              <w:pStyle w:val="Tabletext"/>
              <w:jc w:val="right"/>
            </w:pPr>
          </w:p>
        </w:tc>
        <w:tc>
          <w:tcPr>
            <w:tcW w:w="2212" w:type="dxa"/>
            <w:tcBorders>
              <w:top w:val="nil"/>
              <w:bottom w:val="single" w:sz="4" w:space="0" w:color="auto"/>
            </w:tcBorders>
            <w:shd w:val="clear" w:color="auto" w:fill="auto"/>
          </w:tcPr>
          <w:p w14:paraId="7277044B" w14:textId="7C18B312" w:rsidR="007266A5" w:rsidRPr="00A66CA2" w:rsidRDefault="007266A5" w:rsidP="007266A5">
            <w:pPr>
              <w:pStyle w:val="Tabletext"/>
              <w:tabs>
                <w:tab w:val="decimal" w:pos="1903"/>
              </w:tabs>
            </w:pPr>
            <w:r w:rsidRPr="00F2575A">
              <w:t>0.4</w:t>
            </w:r>
          </w:p>
        </w:tc>
        <w:tc>
          <w:tcPr>
            <w:tcW w:w="193" w:type="dxa"/>
            <w:tcBorders>
              <w:top w:val="nil"/>
              <w:bottom w:val="nil"/>
            </w:tcBorders>
          </w:tcPr>
          <w:p w14:paraId="5AECA7B5" w14:textId="77777777" w:rsidR="007266A5" w:rsidRPr="00A66CA2" w:rsidRDefault="007266A5" w:rsidP="007266A5">
            <w:pPr>
              <w:pStyle w:val="Tabletext"/>
              <w:jc w:val="right"/>
            </w:pPr>
          </w:p>
        </w:tc>
        <w:tc>
          <w:tcPr>
            <w:tcW w:w="2213" w:type="dxa"/>
            <w:tcBorders>
              <w:top w:val="nil"/>
              <w:bottom w:val="single" w:sz="4" w:space="0" w:color="auto"/>
            </w:tcBorders>
            <w:shd w:val="clear" w:color="auto" w:fill="auto"/>
          </w:tcPr>
          <w:p w14:paraId="43EAAB56" w14:textId="3CF006F8" w:rsidR="007266A5" w:rsidRPr="00F2575A" w:rsidRDefault="007266A5" w:rsidP="007266A5">
            <w:pPr>
              <w:pStyle w:val="Tabletext"/>
              <w:tabs>
                <w:tab w:val="decimal" w:pos="1848"/>
              </w:tabs>
              <w:rPr>
                <w:highlight w:val="yellow"/>
              </w:rPr>
            </w:pPr>
            <w:r w:rsidRPr="00131B4F">
              <w:rPr>
                <w:rFonts w:eastAsia="Times New Roman"/>
                <w:szCs w:val="18"/>
                <w:lang w:eastAsia="en-GB"/>
              </w:rPr>
              <w:t>13.2</w:t>
            </w:r>
          </w:p>
        </w:tc>
      </w:tr>
      <w:tr w:rsidR="007266A5" w14:paraId="4FD49A86" w14:textId="77777777">
        <w:tc>
          <w:tcPr>
            <w:tcW w:w="3402" w:type="dxa"/>
            <w:tcBorders>
              <w:top w:val="nil"/>
              <w:bottom w:val="nil"/>
            </w:tcBorders>
            <w:shd w:val="clear" w:color="auto" w:fill="auto"/>
            <w:vAlign w:val="center"/>
          </w:tcPr>
          <w:p w14:paraId="6EBD3A60" w14:textId="77777777" w:rsidR="007266A5" w:rsidRPr="00851326" w:rsidRDefault="007266A5" w:rsidP="007266A5">
            <w:pPr>
              <w:pStyle w:val="Tabletext"/>
              <w:rPr>
                <w:b/>
                <w:bCs/>
              </w:rPr>
            </w:pPr>
            <w:r>
              <w:rPr>
                <w:b/>
                <w:bCs/>
              </w:rPr>
              <w:t>Revenue</w:t>
            </w:r>
          </w:p>
        </w:tc>
        <w:tc>
          <w:tcPr>
            <w:tcW w:w="2212" w:type="dxa"/>
            <w:tcBorders>
              <w:top w:val="single" w:sz="4" w:space="0" w:color="auto"/>
              <w:bottom w:val="nil"/>
            </w:tcBorders>
            <w:shd w:val="clear" w:color="auto" w:fill="auto"/>
          </w:tcPr>
          <w:p w14:paraId="6C7564D1" w14:textId="3A8A8386" w:rsidR="007266A5" w:rsidRPr="00A5447C" w:rsidRDefault="009F4846" w:rsidP="007266A5">
            <w:pPr>
              <w:pStyle w:val="Tabletext"/>
              <w:tabs>
                <w:tab w:val="decimal" w:pos="1891"/>
              </w:tabs>
              <w:rPr>
                <w:b/>
              </w:rPr>
            </w:pPr>
            <w:r>
              <w:rPr>
                <w:b/>
              </w:rPr>
              <w:t>192.6</w:t>
            </w:r>
          </w:p>
        </w:tc>
        <w:tc>
          <w:tcPr>
            <w:tcW w:w="193" w:type="dxa"/>
            <w:tcBorders>
              <w:top w:val="nil"/>
              <w:bottom w:val="nil"/>
            </w:tcBorders>
          </w:tcPr>
          <w:p w14:paraId="6EA98E26" w14:textId="77777777" w:rsidR="007266A5" w:rsidRPr="00A66CA2" w:rsidRDefault="007266A5" w:rsidP="007266A5">
            <w:pPr>
              <w:pStyle w:val="Tabletext"/>
              <w:jc w:val="right"/>
            </w:pPr>
          </w:p>
        </w:tc>
        <w:tc>
          <w:tcPr>
            <w:tcW w:w="2212" w:type="dxa"/>
            <w:tcBorders>
              <w:top w:val="single" w:sz="4" w:space="0" w:color="auto"/>
              <w:bottom w:val="nil"/>
            </w:tcBorders>
            <w:shd w:val="clear" w:color="auto" w:fill="auto"/>
          </w:tcPr>
          <w:p w14:paraId="79BF3B1E" w14:textId="79D2226D" w:rsidR="007266A5" w:rsidRPr="00A66CA2" w:rsidRDefault="007266A5" w:rsidP="007266A5">
            <w:pPr>
              <w:pStyle w:val="Tabletext"/>
              <w:tabs>
                <w:tab w:val="decimal" w:pos="1903"/>
              </w:tabs>
            </w:pPr>
            <w:r w:rsidRPr="00F2718C">
              <w:rPr>
                <w:b/>
              </w:rPr>
              <w:t>200.2</w:t>
            </w:r>
          </w:p>
        </w:tc>
        <w:tc>
          <w:tcPr>
            <w:tcW w:w="193" w:type="dxa"/>
            <w:tcBorders>
              <w:top w:val="nil"/>
              <w:bottom w:val="nil"/>
            </w:tcBorders>
          </w:tcPr>
          <w:p w14:paraId="384BDCB8" w14:textId="77777777" w:rsidR="007266A5" w:rsidRPr="00A66CA2" w:rsidRDefault="007266A5" w:rsidP="007266A5">
            <w:pPr>
              <w:pStyle w:val="Tabletext"/>
              <w:jc w:val="right"/>
            </w:pPr>
          </w:p>
        </w:tc>
        <w:tc>
          <w:tcPr>
            <w:tcW w:w="2213" w:type="dxa"/>
            <w:tcBorders>
              <w:top w:val="single" w:sz="4" w:space="0" w:color="auto"/>
              <w:bottom w:val="nil"/>
            </w:tcBorders>
            <w:shd w:val="clear" w:color="auto" w:fill="auto"/>
          </w:tcPr>
          <w:p w14:paraId="515F4B32" w14:textId="707F662F" w:rsidR="007266A5" w:rsidRPr="00F2575A" w:rsidRDefault="007266A5" w:rsidP="007266A5">
            <w:pPr>
              <w:pStyle w:val="Tabletext"/>
              <w:tabs>
                <w:tab w:val="decimal" w:pos="1848"/>
              </w:tabs>
              <w:rPr>
                <w:b/>
                <w:bCs/>
                <w:highlight w:val="yellow"/>
              </w:rPr>
            </w:pPr>
            <w:r w:rsidRPr="00131B4F">
              <w:rPr>
                <w:rFonts w:eastAsia="Times New Roman"/>
                <w:b/>
                <w:szCs w:val="18"/>
                <w:lang w:eastAsia="en-GB"/>
              </w:rPr>
              <w:t>405.6</w:t>
            </w:r>
          </w:p>
        </w:tc>
      </w:tr>
      <w:tr w:rsidR="007266A5" w14:paraId="725A9EDF" w14:textId="77777777" w:rsidTr="00F2575A">
        <w:tc>
          <w:tcPr>
            <w:tcW w:w="3402" w:type="dxa"/>
            <w:tcBorders>
              <w:top w:val="nil"/>
              <w:bottom w:val="nil"/>
            </w:tcBorders>
            <w:shd w:val="clear" w:color="auto" w:fill="auto"/>
          </w:tcPr>
          <w:p w14:paraId="2A38ECF5" w14:textId="1DFBC3B3" w:rsidR="007266A5" w:rsidRPr="009A0E69" w:rsidRDefault="007266A5" w:rsidP="007266A5">
            <w:pPr>
              <w:pStyle w:val="Tabletext"/>
            </w:pPr>
            <w:r>
              <w:t>Fee and commission expenses relating to management fees</w:t>
            </w:r>
          </w:p>
        </w:tc>
        <w:tc>
          <w:tcPr>
            <w:tcW w:w="2212" w:type="dxa"/>
            <w:tcBorders>
              <w:top w:val="nil"/>
              <w:bottom w:val="nil"/>
            </w:tcBorders>
            <w:shd w:val="clear" w:color="auto" w:fill="auto"/>
          </w:tcPr>
          <w:p w14:paraId="64E74A85" w14:textId="7A9F095B" w:rsidR="007266A5" w:rsidRPr="00A5447C" w:rsidRDefault="009F4846" w:rsidP="007266A5">
            <w:pPr>
              <w:pStyle w:val="Tabletext"/>
              <w:tabs>
                <w:tab w:val="decimal" w:pos="1891"/>
              </w:tabs>
            </w:pPr>
            <w:r>
              <w:t>(18.5)</w:t>
            </w:r>
          </w:p>
        </w:tc>
        <w:tc>
          <w:tcPr>
            <w:tcW w:w="193" w:type="dxa"/>
            <w:tcBorders>
              <w:top w:val="nil"/>
              <w:bottom w:val="nil"/>
            </w:tcBorders>
          </w:tcPr>
          <w:p w14:paraId="1822B027" w14:textId="77777777" w:rsidR="007266A5" w:rsidRPr="00A66CA2" w:rsidRDefault="007266A5" w:rsidP="007266A5">
            <w:pPr>
              <w:pStyle w:val="Tabletext"/>
            </w:pPr>
          </w:p>
        </w:tc>
        <w:tc>
          <w:tcPr>
            <w:tcW w:w="2212" w:type="dxa"/>
            <w:tcBorders>
              <w:top w:val="nil"/>
              <w:bottom w:val="nil"/>
            </w:tcBorders>
            <w:shd w:val="clear" w:color="auto" w:fill="auto"/>
          </w:tcPr>
          <w:p w14:paraId="05CC87DC" w14:textId="764BC002" w:rsidR="007266A5" w:rsidRPr="00A66CA2" w:rsidRDefault="007266A5" w:rsidP="007266A5">
            <w:pPr>
              <w:pStyle w:val="Tabletext"/>
              <w:tabs>
                <w:tab w:val="decimal" w:pos="1903"/>
              </w:tabs>
            </w:pPr>
            <w:r w:rsidRPr="00F2575A">
              <w:t>(18.7)</w:t>
            </w:r>
          </w:p>
        </w:tc>
        <w:tc>
          <w:tcPr>
            <w:tcW w:w="193" w:type="dxa"/>
            <w:tcBorders>
              <w:top w:val="nil"/>
              <w:bottom w:val="nil"/>
            </w:tcBorders>
          </w:tcPr>
          <w:p w14:paraId="1284C589" w14:textId="77777777" w:rsidR="007266A5" w:rsidRPr="00A66CA2" w:rsidRDefault="007266A5" w:rsidP="007266A5">
            <w:pPr>
              <w:pStyle w:val="Tabletext"/>
            </w:pPr>
          </w:p>
        </w:tc>
        <w:tc>
          <w:tcPr>
            <w:tcW w:w="2213" w:type="dxa"/>
            <w:tcBorders>
              <w:top w:val="nil"/>
              <w:bottom w:val="nil"/>
            </w:tcBorders>
            <w:shd w:val="clear" w:color="auto" w:fill="auto"/>
          </w:tcPr>
          <w:p w14:paraId="0A9ADE9B" w14:textId="630C7BF1" w:rsidR="007266A5" w:rsidRPr="00F2575A" w:rsidRDefault="007266A5" w:rsidP="007266A5">
            <w:pPr>
              <w:pStyle w:val="Tabletext"/>
              <w:tabs>
                <w:tab w:val="decimal" w:pos="1848"/>
              </w:tabs>
              <w:rPr>
                <w:highlight w:val="yellow"/>
              </w:rPr>
            </w:pPr>
            <w:r w:rsidRPr="00131B4F">
              <w:rPr>
                <w:rFonts w:eastAsia="Times New Roman"/>
                <w:szCs w:val="18"/>
                <w:lang w:eastAsia="en-GB"/>
              </w:rPr>
              <w:t>(35.9)</w:t>
            </w:r>
          </w:p>
        </w:tc>
      </w:tr>
      <w:tr w:rsidR="007266A5" w14:paraId="2F34DCA0" w14:textId="77777777" w:rsidTr="00F2575A">
        <w:tc>
          <w:tcPr>
            <w:tcW w:w="3402" w:type="dxa"/>
            <w:tcBorders>
              <w:top w:val="nil"/>
              <w:bottom w:val="nil"/>
            </w:tcBorders>
            <w:shd w:val="clear" w:color="auto" w:fill="auto"/>
            <w:vAlign w:val="center"/>
          </w:tcPr>
          <w:p w14:paraId="198DC48E" w14:textId="77777777" w:rsidR="007266A5" w:rsidRPr="00E36C1E" w:rsidRDefault="007266A5" w:rsidP="007266A5">
            <w:pPr>
              <w:pStyle w:val="Tabletext"/>
            </w:pPr>
            <w:r w:rsidRPr="00E36C1E">
              <w:t xml:space="preserve">Fees and commission expenses relating to initial charges and commissions </w:t>
            </w:r>
          </w:p>
        </w:tc>
        <w:tc>
          <w:tcPr>
            <w:tcW w:w="2212" w:type="dxa"/>
            <w:tcBorders>
              <w:top w:val="nil"/>
              <w:bottom w:val="single" w:sz="4" w:space="0" w:color="auto"/>
            </w:tcBorders>
            <w:shd w:val="clear" w:color="auto" w:fill="auto"/>
          </w:tcPr>
          <w:p w14:paraId="6EBA32A8" w14:textId="19B526A0" w:rsidR="007266A5" w:rsidRPr="00A5447C" w:rsidRDefault="009F4846" w:rsidP="007266A5">
            <w:pPr>
              <w:pStyle w:val="Tabletext"/>
              <w:tabs>
                <w:tab w:val="decimal" w:pos="1891"/>
              </w:tabs>
            </w:pPr>
            <w:r>
              <w:t>(0.4)</w:t>
            </w:r>
          </w:p>
        </w:tc>
        <w:tc>
          <w:tcPr>
            <w:tcW w:w="193" w:type="dxa"/>
            <w:tcBorders>
              <w:top w:val="nil"/>
              <w:bottom w:val="nil"/>
            </w:tcBorders>
          </w:tcPr>
          <w:p w14:paraId="78364446" w14:textId="77777777" w:rsidR="007266A5" w:rsidRPr="00A66CA2" w:rsidRDefault="007266A5" w:rsidP="007266A5">
            <w:pPr>
              <w:pStyle w:val="Tabletext"/>
            </w:pPr>
          </w:p>
        </w:tc>
        <w:tc>
          <w:tcPr>
            <w:tcW w:w="2212" w:type="dxa"/>
            <w:tcBorders>
              <w:top w:val="nil"/>
              <w:bottom w:val="single" w:sz="4" w:space="0" w:color="auto"/>
            </w:tcBorders>
            <w:shd w:val="clear" w:color="auto" w:fill="auto"/>
          </w:tcPr>
          <w:p w14:paraId="54E62B56" w14:textId="74451246" w:rsidR="007266A5" w:rsidRPr="00A66CA2" w:rsidRDefault="007266A5" w:rsidP="007266A5">
            <w:pPr>
              <w:pStyle w:val="Tabletext"/>
              <w:tabs>
                <w:tab w:val="decimal" w:pos="1903"/>
              </w:tabs>
            </w:pPr>
            <w:r w:rsidRPr="00F2575A">
              <w:t>(0.5)</w:t>
            </w:r>
          </w:p>
        </w:tc>
        <w:tc>
          <w:tcPr>
            <w:tcW w:w="193" w:type="dxa"/>
            <w:tcBorders>
              <w:top w:val="nil"/>
              <w:bottom w:val="nil"/>
            </w:tcBorders>
          </w:tcPr>
          <w:p w14:paraId="1D197077" w14:textId="77777777" w:rsidR="007266A5" w:rsidRPr="00A66CA2" w:rsidRDefault="007266A5" w:rsidP="007266A5">
            <w:pPr>
              <w:pStyle w:val="Tabletext"/>
            </w:pPr>
          </w:p>
        </w:tc>
        <w:tc>
          <w:tcPr>
            <w:tcW w:w="2213" w:type="dxa"/>
            <w:tcBorders>
              <w:top w:val="nil"/>
              <w:bottom w:val="single" w:sz="4" w:space="0" w:color="auto"/>
            </w:tcBorders>
            <w:shd w:val="clear" w:color="auto" w:fill="auto"/>
          </w:tcPr>
          <w:p w14:paraId="73FC401F" w14:textId="0258EE6D" w:rsidR="007266A5" w:rsidRPr="00F2575A" w:rsidRDefault="007266A5" w:rsidP="007266A5">
            <w:pPr>
              <w:pStyle w:val="Tabletext"/>
              <w:tabs>
                <w:tab w:val="decimal" w:pos="1848"/>
              </w:tabs>
              <w:rPr>
                <w:highlight w:val="yellow"/>
              </w:rPr>
            </w:pPr>
            <w:r w:rsidRPr="00131B4F">
              <w:rPr>
                <w:rFonts w:eastAsia="Times New Roman"/>
                <w:szCs w:val="18"/>
                <w:lang w:eastAsia="en-GB"/>
              </w:rPr>
              <w:t>(0.9)</w:t>
            </w:r>
          </w:p>
        </w:tc>
      </w:tr>
      <w:tr w:rsidR="007266A5" w14:paraId="3874A444" w14:textId="77777777">
        <w:tc>
          <w:tcPr>
            <w:tcW w:w="3402" w:type="dxa"/>
            <w:tcBorders>
              <w:top w:val="nil"/>
              <w:bottom w:val="nil"/>
            </w:tcBorders>
            <w:shd w:val="clear" w:color="auto" w:fill="auto"/>
            <w:vAlign w:val="center"/>
          </w:tcPr>
          <w:p w14:paraId="1A00A73E" w14:textId="77777777" w:rsidR="007266A5" w:rsidRPr="00851326" w:rsidRDefault="007266A5" w:rsidP="007266A5">
            <w:pPr>
              <w:pStyle w:val="Tabletext"/>
              <w:rPr>
                <w:b/>
                <w:bCs/>
              </w:rPr>
            </w:pPr>
            <w:r>
              <w:rPr>
                <w:b/>
                <w:bCs/>
              </w:rPr>
              <w:t xml:space="preserve">Net revenue </w:t>
            </w:r>
          </w:p>
        </w:tc>
        <w:tc>
          <w:tcPr>
            <w:tcW w:w="2212" w:type="dxa"/>
            <w:tcBorders>
              <w:top w:val="single" w:sz="4" w:space="0" w:color="auto"/>
              <w:bottom w:val="double" w:sz="4" w:space="0" w:color="auto"/>
            </w:tcBorders>
            <w:shd w:val="clear" w:color="auto" w:fill="auto"/>
          </w:tcPr>
          <w:p w14:paraId="261CA315" w14:textId="3E323997" w:rsidR="007266A5" w:rsidRPr="007D1D3E" w:rsidRDefault="009F4846" w:rsidP="007266A5">
            <w:pPr>
              <w:pStyle w:val="Tabletext"/>
              <w:tabs>
                <w:tab w:val="decimal" w:pos="1891"/>
              </w:tabs>
              <w:rPr>
                <w:b/>
                <w:bCs/>
              </w:rPr>
            </w:pPr>
            <w:r>
              <w:rPr>
                <w:b/>
                <w:bCs/>
              </w:rPr>
              <w:t>173.7</w:t>
            </w:r>
          </w:p>
        </w:tc>
        <w:tc>
          <w:tcPr>
            <w:tcW w:w="193" w:type="dxa"/>
            <w:tcBorders>
              <w:top w:val="nil"/>
              <w:bottom w:val="nil"/>
            </w:tcBorders>
          </w:tcPr>
          <w:p w14:paraId="33A920E4" w14:textId="77777777" w:rsidR="007266A5" w:rsidRPr="00231BD4" w:rsidRDefault="007266A5" w:rsidP="007266A5">
            <w:pPr>
              <w:pStyle w:val="Tabletext"/>
              <w:jc w:val="right"/>
            </w:pPr>
          </w:p>
        </w:tc>
        <w:tc>
          <w:tcPr>
            <w:tcW w:w="2212" w:type="dxa"/>
            <w:tcBorders>
              <w:top w:val="single" w:sz="4" w:space="0" w:color="auto"/>
              <w:bottom w:val="double" w:sz="4" w:space="0" w:color="auto"/>
            </w:tcBorders>
            <w:shd w:val="clear" w:color="auto" w:fill="auto"/>
          </w:tcPr>
          <w:p w14:paraId="7A5F9082" w14:textId="256D476D" w:rsidR="007266A5" w:rsidRPr="00231BD4" w:rsidRDefault="007266A5" w:rsidP="007266A5">
            <w:pPr>
              <w:pStyle w:val="Tabletext"/>
              <w:tabs>
                <w:tab w:val="decimal" w:pos="1903"/>
              </w:tabs>
            </w:pPr>
            <w:r w:rsidRPr="00423552">
              <w:rPr>
                <w:b/>
              </w:rPr>
              <w:t>181.0</w:t>
            </w:r>
          </w:p>
        </w:tc>
        <w:tc>
          <w:tcPr>
            <w:tcW w:w="193" w:type="dxa"/>
            <w:tcBorders>
              <w:top w:val="nil"/>
              <w:bottom w:val="nil"/>
            </w:tcBorders>
          </w:tcPr>
          <w:p w14:paraId="3F37C895" w14:textId="77777777" w:rsidR="007266A5" w:rsidRPr="00A66CA2" w:rsidRDefault="007266A5" w:rsidP="007266A5">
            <w:pPr>
              <w:pStyle w:val="Tabletext"/>
              <w:jc w:val="right"/>
            </w:pPr>
          </w:p>
        </w:tc>
        <w:tc>
          <w:tcPr>
            <w:tcW w:w="2213" w:type="dxa"/>
            <w:tcBorders>
              <w:top w:val="single" w:sz="4" w:space="0" w:color="auto"/>
              <w:bottom w:val="double" w:sz="4" w:space="0" w:color="auto"/>
            </w:tcBorders>
            <w:shd w:val="clear" w:color="auto" w:fill="auto"/>
          </w:tcPr>
          <w:p w14:paraId="5A16D19F" w14:textId="53D160B7" w:rsidR="007266A5" w:rsidRPr="00F2575A" w:rsidRDefault="007266A5" w:rsidP="007266A5">
            <w:pPr>
              <w:pStyle w:val="Tabletext"/>
              <w:tabs>
                <w:tab w:val="decimal" w:pos="1848"/>
              </w:tabs>
              <w:rPr>
                <w:b/>
                <w:bCs/>
                <w:highlight w:val="yellow"/>
              </w:rPr>
            </w:pPr>
            <w:r w:rsidRPr="00131B4F">
              <w:rPr>
                <w:rFonts w:eastAsia="Times New Roman"/>
                <w:b/>
                <w:szCs w:val="18"/>
                <w:lang w:eastAsia="en-GB"/>
              </w:rPr>
              <w:t>368.8</w:t>
            </w:r>
          </w:p>
        </w:tc>
      </w:tr>
    </w:tbl>
    <w:p w14:paraId="66D4FCB2" w14:textId="31131A8E" w:rsidR="0052785A" w:rsidRPr="00E36C1E" w:rsidRDefault="00913723" w:rsidP="0052785A">
      <w:pPr>
        <w:pStyle w:val="Subheading"/>
      </w:pPr>
      <w:r>
        <w:t>2.</w:t>
      </w:r>
      <w:r w:rsidR="0052785A">
        <w:tab/>
        <w:t>Segmental reporting</w:t>
      </w:r>
    </w:p>
    <w:p w14:paraId="693F3F60" w14:textId="665DF614" w:rsidR="006318C4" w:rsidRDefault="0052785A" w:rsidP="006318C4">
      <w:pPr>
        <w:pStyle w:val="Bodytext0"/>
        <w:rPr>
          <w:lang w:val="en-US"/>
        </w:rPr>
      </w:pPr>
      <w:r w:rsidRPr="00E36C1E">
        <w:rPr>
          <w:lang w:val="en-US"/>
        </w:rPr>
        <w:t>The Group offers a range of products and services through different distribution channels. All financial, business and strategic decisions are made centrally by the Board of Directors (the Board), which determines the key performance indicators of the Group. Information is reported to the chief operating decision maker, the Board, on a single segment basis. While the Group has the ability to analyse its underlying information in different ways, for example by product type, this information is only used to allocate resources and assess performance for the Group as a whole. On this basis, the Group considers itself to be a single-segment investment management business.</w:t>
      </w:r>
    </w:p>
    <w:p w14:paraId="360524D5" w14:textId="45926242" w:rsidR="0052785A" w:rsidRPr="00E36C1E" w:rsidRDefault="00913723" w:rsidP="0052785A">
      <w:pPr>
        <w:pStyle w:val="Subheading"/>
      </w:pPr>
      <w:r>
        <w:t>3.</w:t>
      </w:r>
      <w:r w:rsidR="0052785A">
        <w:tab/>
        <w:t>Administrative expenses</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52785A" w:rsidRPr="00955F6B" w14:paraId="46348DD1" w14:textId="77777777" w:rsidTr="00B17DE3">
        <w:tc>
          <w:tcPr>
            <w:tcW w:w="3402" w:type="dxa"/>
            <w:tcBorders>
              <w:bottom w:val="nil"/>
            </w:tcBorders>
            <w:vAlign w:val="bottom"/>
          </w:tcPr>
          <w:p w14:paraId="7E62D9BD" w14:textId="77777777" w:rsidR="0052785A" w:rsidRPr="005405BA" w:rsidRDefault="0052785A" w:rsidP="00B17DE3">
            <w:pPr>
              <w:pStyle w:val="Tableheading"/>
              <w:jc w:val="right"/>
            </w:pPr>
          </w:p>
        </w:tc>
        <w:tc>
          <w:tcPr>
            <w:tcW w:w="2212" w:type="dxa"/>
            <w:tcBorders>
              <w:top w:val="nil"/>
              <w:bottom w:val="nil"/>
            </w:tcBorders>
            <w:vAlign w:val="bottom"/>
          </w:tcPr>
          <w:p w14:paraId="31482A1D" w14:textId="77777777" w:rsidR="0052785A" w:rsidRDefault="0052785A" w:rsidP="00B17DE3">
            <w:pPr>
              <w:pStyle w:val="Tableheading"/>
              <w:jc w:val="right"/>
            </w:pPr>
            <w:r>
              <w:t xml:space="preserve">Six months ended </w:t>
            </w:r>
          </w:p>
          <w:p w14:paraId="38845727" w14:textId="6A30A3CF" w:rsidR="0052785A" w:rsidRDefault="0052785A" w:rsidP="00B17DE3">
            <w:pPr>
              <w:pStyle w:val="Tableheading"/>
              <w:jc w:val="right"/>
            </w:pPr>
            <w:r>
              <w:tab/>
              <w:t xml:space="preserve">30 June </w:t>
            </w:r>
            <w:r w:rsidR="00E85F7E">
              <w:t>2024</w:t>
            </w:r>
          </w:p>
          <w:p w14:paraId="48104AFC" w14:textId="77777777" w:rsidR="0052785A" w:rsidRPr="005405BA" w:rsidRDefault="0052785A" w:rsidP="00B17DE3">
            <w:pPr>
              <w:pStyle w:val="Tableheading"/>
              <w:jc w:val="right"/>
            </w:pPr>
            <w:r>
              <w:t>£m</w:t>
            </w:r>
          </w:p>
        </w:tc>
        <w:tc>
          <w:tcPr>
            <w:tcW w:w="193" w:type="dxa"/>
            <w:tcBorders>
              <w:top w:val="nil"/>
              <w:bottom w:val="nil"/>
            </w:tcBorders>
            <w:vAlign w:val="bottom"/>
          </w:tcPr>
          <w:p w14:paraId="34197AE4" w14:textId="77777777" w:rsidR="0052785A" w:rsidRPr="00955F6B" w:rsidRDefault="0052785A" w:rsidP="00B17DE3">
            <w:pPr>
              <w:pStyle w:val="Tableheading"/>
              <w:jc w:val="right"/>
            </w:pPr>
          </w:p>
        </w:tc>
        <w:tc>
          <w:tcPr>
            <w:tcW w:w="2212" w:type="dxa"/>
            <w:tcBorders>
              <w:top w:val="nil"/>
              <w:bottom w:val="nil"/>
            </w:tcBorders>
            <w:vAlign w:val="bottom"/>
          </w:tcPr>
          <w:p w14:paraId="508C5265" w14:textId="77777777" w:rsidR="0052785A" w:rsidRPr="00424382" w:rsidRDefault="0052785A" w:rsidP="00B17DE3">
            <w:pPr>
              <w:pStyle w:val="Tableheading"/>
              <w:jc w:val="right"/>
            </w:pPr>
            <w:r w:rsidRPr="00424382">
              <w:t xml:space="preserve">Six months ended </w:t>
            </w:r>
          </w:p>
          <w:p w14:paraId="3241D72A" w14:textId="2B8E1BE3" w:rsidR="0052785A" w:rsidRPr="00424382" w:rsidRDefault="0052785A" w:rsidP="00B17DE3">
            <w:pPr>
              <w:pStyle w:val="Tableheading"/>
              <w:jc w:val="right"/>
            </w:pPr>
            <w:r w:rsidRPr="00424382">
              <w:tab/>
              <w:t xml:space="preserve">30 June </w:t>
            </w:r>
            <w:r w:rsidR="00E85F7E">
              <w:t>2023</w:t>
            </w:r>
          </w:p>
          <w:p w14:paraId="22E8445F" w14:textId="77777777" w:rsidR="0052785A" w:rsidRPr="00424382" w:rsidRDefault="0052785A" w:rsidP="00B17DE3">
            <w:pPr>
              <w:pStyle w:val="Tableheading"/>
              <w:jc w:val="right"/>
            </w:pPr>
            <w:r w:rsidRPr="00424382">
              <w:t>£m</w:t>
            </w:r>
          </w:p>
        </w:tc>
        <w:tc>
          <w:tcPr>
            <w:tcW w:w="193" w:type="dxa"/>
            <w:tcBorders>
              <w:top w:val="nil"/>
              <w:bottom w:val="nil"/>
            </w:tcBorders>
            <w:vAlign w:val="bottom"/>
          </w:tcPr>
          <w:p w14:paraId="4393A962" w14:textId="77777777" w:rsidR="0052785A" w:rsidRPr="00424382" w:rsidRDefault="0052785A" w:rsidP="00B17DE3">
            <w:pPr>
              <w:pStyle w:val="Tableheading"/>
              <w:jc w:val="right"/>
            </w:pPr>
          </w:p>
        </w:tc>
        <w:tc>
          <w:tcPr>
            <w:tcW w:w="2213" w:type="dxa"/>
            <w:tcBorders>
              <w:top w:val="nil"/>
              <w:bottom w:val="nil"/>
            </w:tcBorders>
            <w:vAlign w:val="bottom"/>
          </w:tcPr>
          <w:p w14:paraId="12D5E946" w14:textId="77777777" w:rsidR="0052785A" w:rsidRPr="00424382" w:rsidRDefault="0052785A" w:rsidP="00B17DE3">
            <w:pPr>
              <w:pStyle w:val="Tableheading"/>
              <w:jc w:val="right"/>
            </w:pPr>
            <w:r w:rsidRPr="00424382">
              <w:t xml:space="preserve">Year ended </w:t>
            </w:r>
          </w:p>
          <w:p w14:paraId="3362DFA6" w14:textId="2EB57C1E" w:rsidR="0052785A" w:rsidRPr="00424382" w:rsidRDefault="0052785A" w:rsidP="00B17DE3">
            <w:pPr>
              <w:pStyle w:val="Tableheading"/>
              <w:jc w:val="right"/>
            </w:pPr>
            <w:r w:rsidRPr="00424382">
              <w:t xml:space="preserve">31 December </w:t>
            </w:r>
            <w:r w:rsidR="00E85F7E">
              <w:t>2023</w:t>
            </w:r>
          </w:p>
          <w:p w14:paraId="732AA623" w14:textId="77777777" w:rsidR="0052785A" w:rsidRPr="00424382" w:rsidRDefault="0052785A" w:rsidP="00B17DE3">
            <w:pPr>
              <w:pStyle w:val="Tableheading"/>
              <w:jc w:val="right"/>
              <w:rPr>
                <w:highlight w:val="yellow"/>
              </w:rPr>
            </w:pPr>
            <w:r w:rsidRPr="00424382">
              <w:t>£m</w:t>
            </w:r>
          </w:p>
        </w:tc>
      </w:tr>
      <w:tr w:rsidR="007266A5" w:rsidRPr="00A66CA2" w14:paraId="6F7F3933" w14:textId="77777777" w:rsidTr="00F2575A">
        <w:tc>
          <w:tcPr>
            <w:tcW w:w="3402" w:type="dxa"/>
            <w:tcBorders>
              <w:top w:val="nil"/>
              <w:bottom w:val="nil"/>
            </w:tcBorders>
            <w:shd w:val="clear" w:color="auto" w:fill="auto"/>
          </w:tcPr>
          <w:p w14:paraId="69316390" w14:textId="77777777" w:rsidR="007266A5" w:rsidRPr="009A0E69" w:rsidRDefault="007266A5" w:rsidP="007266A5">
            <w:pPr>
              <w:pStyle w:val="Tabletext"/>
            </w:pPr>
            <w:r>
              <w:t xml:space="preserve">Staff costs </w:t>
            </w:r>
          </w:p>
        </w:tc>
        <w:tc>
          <w:tcPr>
            <w:tcW w:w="2212" w:type="dxa"/>
            <w:tcBorders>
              <w:top w:val="nil"/>
              <w:bottom w:val="nil"/>
            </w:tcBorders>
            <w:shd w:val="clear" w:color="auto" w:fill="auto"/>
          </w:tcPr>
          <w:p w14:paraId="26C586F2" w14:textId="4B4A1123" w:rsidR="007266A5" w:rsidRPr="00D44E92" w:rsidRDefault="00F76EA4" w:rsidP="007266A5">
            <w:pPr>
              <w:pStyle w:val="Tabletext"/>
              <w:tabs>
                <w:tab w:val="decimal" w:pos="1912"/>
              </w:tabs>
            </w:pPr>
            <w:r>
              <w:t>81.2</w:t>
            </w:r>
          </w:p>
        </w:tc>
        <w:tc>
          <w:tcPr>
            <w:tcW w:w="193" w:type="dxa"/>
            <w:tcBorders>
              <w:top w:val="nil"/>
              <w:bottom w:val="nil"/>
            </w:tcBorders>
          </w:tcPr>
          <w:p w14:paraId="02D6C085" w14:textId="77777777" w:rsidR="007266A5" w:rsidRPr="00A66CA2" w:rsidRDefault="007266A5" w:rsidP="007266A5">
            <w:pPr>
              <w:pStyle w:val="Tabletext"/>
            </w:pPr>
          </w:p>
        </w:tc>
        <w:tc>
          <w:tcPr>
            <w:tcW w:w="2212" w:type="dxa"/>
            <w:tcBorders>
              <w:top w:val="nil"/>
              <w:bottom w:val="nil"/>
            </w:tcBorders>
            <w:shd w:val="clear" w:color="auto" w:fill="auto"/>
          </w:tcPr>
          <w:p w14:paraId="03A45030" w14:textId="35863261" w:rsidR="007266A5" w:rsidRPr="00A66CA2" w:rsidRDefault="007266A5" w:rsidP="007266A5">
            <w:pPr>
              <w:pStyle w:val="Tabletext"/>
              <w:tabs>
                <w:tab w:val="decimal" w:pos="1930"/>
              </w:tabs>
            </w:pPr>
            <w:r>
              <w:t>79.3</w:t>
            </w:r>
          </w:p>
        </w:tc>
        <w:tc>
          <w:tcPr>
            <w:tcW w:w="193" w:type="dxa"/>
            <w:tcBorders>
              <w:top w:val="nil"/>
              <w:bottom w:val="nil"/>
            </w:tcBorders>
          </w:tcPr>
          <w:p w14:paraId="51A4F8D0" w14:textId="77777777" w:rsidR="007266A5" w:rsidRPr="00A66CA2" w:rsidRDefault="007266A5" w:rsidP="007266A5">
            <w:pPr>
              <w:pStyle w:val="Tabletext"/>
            </w:pPr>
          </w:p>
        </w:tc>
        <w:tc>
          <w:tcPr>
            <w:tcW w:w="2213" w:type="dxa"/>
            <w:tcBorders>
              <w:top w:val="nil"/>
              <w:bottom w:val="nil"/>
            </w:tcBorders>
            <w:shd w:val="clear" w:color="auto" w:fill="auto"/>
          </w:tcPr>
          <w:p w14:paraId="40EA16F3" w14:textId="162415E6" w:rsidR="007266A5" w:rsidRPr="00940B78" w:rsidRDefault="00A87186" w:rsidP="007266A5">
            <w:pPr>
              <w:pStyle w:val="Tabletext"/>
              <w:tabs>
                <w:tab w:val="decimal" w:pos="1942"/>
              </w:tabs>
            </w:pPr>
            <w:r w:rsidRPr="00940B78">
              <w:rPr>
                <w:rFonts w:eastAsia="Times New Roman"/>
                <w:szCs w:val="18"/>
                <w:lang w:eastAsia="en-GB"/>
              </w:rPr>
              <w:t>159.6</w:t>
            </w:r>
          </w:p>
        </w:tc>
      </w:tr>
      <w:tr w:rsidR="007266A5" w:rsidRPr="00A66CA2" w14:paraId="0FD1E480" w14:textId="77777777" w:rsidTr="00F2575A">
        <w:tc>
          <w:tcPr>
            <w:tcW w:w="3402" w:type="dxa"/>
            <w:tcBorders>
              <w:top w:val="nil"/>
              <w:bottom w:val="nil"/>
            </w:tcBorders>
            <w:shd w:val="clear" w:color="auto" w:fill="auto"/>
          </w:tcPr>
          <w:p w14:paraId="7EC239F5" w14:textId="5CB8BECB" w:rsidR="007266A5" w:rsidRPr="009A0E69" w:rsidRDefault="007266A5" w:rsidP="007266A5">
            <w:pPr>
              <w:pStyle w:val="Tabletext"/>
            </w:pPr>
            <w:r>
              <w:t>Depreciation of property, plant and equipment</w:t>
            </w:r>
          </w:p>
        </w:tc>
        <w:tc>
          <w:tcPr>
            <w:tcW w:w="2212" w:type="dxa"/>
            <w:tcBorders>
              <w:top w:val="nil"/>
              <w:bottom w:val="nil"/>
            </w:tcBorders>
            <w:shd w:val="clear" w:color="auto" w:fill="auto"/>
          </w:tcPr>
          <w:p w14:paraId="7C366383" w14:textId="2FA56E0F" w:rsidR="007266A5" w:rsidRPr="00D44E92" w:rsidRDefault="00F76EA4" w:rsidP="007266A5">
            <w:pPr>
              <w:pStyle w:val="Tabletext"/>
              <w:tabs>
                <w:tab w:val="decimal" w:pos="1912"/>
              </w:tabs>
            </w:pPr>
            <w:r>
              <w:t>2.8</w:t>
            </w:r>
          </w:p>
        </w:tc>
        <w:tc>
          <w:tcPr>
            <w:tcW w:w="193" w:type="dxa"/>
            <w:tcBorders>
              <w:top w:val="nil"/>
              <w:bottom w:val="nil"/>
            </w:tcBorders>
          </w:tcPr>
          <w:p w14:paraId="4D948E01" w14:textId="77777777" w:rsidR="007266A5" w:rsidRPr="00A66CA2" w:rsidRDefault="007266A5" w:rsidP="007266A5">
            <w:pPr>
              <w:pStyle w:val="Tabletext"/>
            </w:pPr>
          </w:p>
        </w:tc>
        <w:tc>
          <w:tcPr>
            <w:tcW w:w="2212" w:type="dxa"/>
            <w:tcBorders>
              <w:top w:val="nil"/>
              <w:bottom w:val="nil"/>
            </w:tcBorders>
            <w:shd w:val="clear" w:color="auto" w:fill="auto"/>
          </w:tcPr>
          <w:p w14:paraId="5718881D" w14:textId="6A8C1A7D" w:rsidR="007266A5" w:rsidRPr="00A66CA2" w:rsidRDefault="007266A5" w:rsidP="007266A5">
            <w:pPr>
              <w:pStyle w:val="Tabletext"/>
              <w:tabs>
                <w:tab w:val="decimal" w:pos="1930"/>
              </w:tabs>
            </w:pPr>
            <w:r w:rsidRPr="00F2575A">
              <w:t>2.6</w:t>
            </w:r>
          </w:p>
        </w:tc>
        <w:tc>
          <w:tcPr>
            <w:tcW w:w="193" w:type="dxa"/>
            <w:tcBorders>
              <w:top w:val="nil"/>
              <w:bottom w:val="nil"/>
            </w:tcBorders>
          </w:tcPr>
          <w:p w14:paraId="632AB2E0" w14:textId="77777777" w:rsidR="007266A5" w:rsidRPr="00A66CA2" w:rsidRDefault="007266A5" w:rsidP="007266A5">
            <w:pPr>
              <w:pStyle w:val="Tabletext"/>
            </w:pPr>
          </w:p>
        </w:tc>
        <w:tc>
          <w:tcPr>
            <w:tcW w:w="2213" w:type="dxa"/>
            <w:tcBorders>
              <w:top w:val="nil"/>
              <w:bottom w:val="nil"/>
            </w:tcBorders>
            <w:shd w:val="clear" w:color="auto" w:fill="auto"/>
          </w:tcPr>
          <w:p w14:paraId="781D1C41" w14:textId="51E18F10" w:rsidR="007266A5" w:rsidRPr="00A87186" w:rsidRDefault="00A87186" w:rsidP="007266A5">
            <w:pPr>
              <w:pStyle w:val="Tabletext"/>
              <w:tabs>
                <w:tab w:val="decimal" w:pos="1942"/>
              </w:tabs>
            </w:pPr>
            <w:r w:rsidRPr="00A87186">
              <w:t>5.2</w:t>
            </w:r>
          </w:p>
        </w:tc>
      </w:tr>
      <w:tr w:rsidR="007266A5" w:rsidRPr="00A66CA2" w14:paraId="71FB1342" w14:textId="77777777" w:rsidTr="00F2575A">
        <w:tc>
          <w:tcPr>
            <w:tcW w:w="3402" w:type="dxa"/>
            <w:tcBorders>
              <w:top w:val="nil"/>
              <w:bottom w:val="nil"/>
            </w:tcBorders>
            <w:shd w:val="clear" w:color="auto" w:fill="auto"/>
          </w:tcPr>
          <w:p w14:paraId="0237B1C9" w14:textId="77777777" w:rsidR="007266A5" w:rsidRDefault="007266A5" w:rsidP="007266A5">
            <w:pPr>
              <w:pStyle w:val="Tabletext"/>
            </w:pPr>
            <w:r>
              <w:t xml:space="preserve">Other administrative expenses </w:t>
            </w:r>
          </w:p>
        </w:tc>
        <w:tc>
          <w:tcPr>
            <w:tcW w:w="2212" w:type="dxa"/>
            <w:tcBorders>
              <w:top w:val="nil"/>
              <w:bottom w:val="single" w:sz="4" w:space="0" w:color="auto"/>
            </w:tcBorders>
            <w:shd w:val="clear" w:color="auto" w:fill="auto"/>
          </w:tcPr>
          <w:p w14:paraId="2DAC10BC" w14:textId="525C529E" w:rsidR="007266A5" w:rsidRPr="00D44E92" w:rsidRDefault="00F76EA4" w:rsidP="007266A5">
            <w:pPr>
              <w:pStyle w:val="Tabletext"/>
              <w:tabs>
                <w:tab w:val="decimal" w:pos="1912"/>
              </w:tabs>
            </w:pPr>
            <w:r>
              <w:t>46.5</w:t>
            </w:r>
          </w:p>
        </w:tc>
        <w:tc>
          <w:tcPr>
            <w:tcW w:w="193" w:type="dxa"/>
            <w:tcBorders>
              <w:top w:val="nil"/>
              <w:bottom w:val="nil"/>
            </w:tcBorders>
          </w:tcPr>
          <w:p w14:paraId="3D0AD64A" w14:textId="77777777" w:rsidR="007266A5" w:rsidRPr="00A66CA2" w:rsidRDefault="007266A5" w:rsidP="007266A5">
            <w:pPr>
              <w:pStyle w:val="Tabletext"/>
            </w:pPr>
          </w:p>
        </w:tc>
        <w:tc>
          <w:tcPr>
            <w:tcW w:w="2212" w:type="dxa"/>
            <w:tcBorders>
              <w:top w:val="nil"/>
              <w:bottom w:val="single" w:sz="4" w:space="0" w:color="auto"/>
            </w:tcBorders>
            <w:shd w:val="clear" w:color="auto" w:fill="auto"/>
          </w:tcPr>
          <w:p w14:paraId="63CBA521" w14:textId="272442C8" w:rsidR="007266A5" w:rsidRPr="00A66CA2" w:rsidRDefault="007266A5" w:rsidP="007266A5">
            <w:pPr>
              <w:pStyle w:val="Tabletext"/>
              <w:tabs>
                <w:tab w:val="decimal" w:pos="1930"/>
              </w:tabs>
            </w:pPr>
            <w:r>
              <w:t>51.2</w:t>
            </w:r>
          </w:p>
        </w:tc>
        <w:tc>
          <w:tcPr>
            <w:tcW w:w="193" w:type="dxa"/>
            <w:tcBorders>
              <w:top w:val="nil"/>
              <w:bottom w:val="nil"/>
            </w:tcBorders>
          </w:tcPr>
          <w:p w14:paraId="168AD16F" w14:textId="77777777" w:rsidR="007266A5" w:rsidRPr="00A66CA2" w:rsidRDefault="007266A5" w:rsidP="007266A5">
            <w:pPr>
              <w:pStyle w:val="Tabletext"/>
            </w:pPr>
          </w:p>
        </w:tc>
        <w:tc>
          <w:tcPr>
            <w:tcW w:w="2213" w:type="dxa"/>
            <w:tcBorders>
              <w:top w:val="nil"/>
              <w:bottom w:val="single" w:sz="4" w:space="0" w:color="auto"/>
            </w:tcBorders>
            <w:shd w:val="clear" w:color="auto" w:fill="auto"/>
          </w:tcPr>
          <w:p w14:paraId="66915F1F" w14:textId="00967FC3" w:rsidR="007266A5" w:rsidRPr="00A87186" w:rsidRDefault="00A87186" w:rsidP="007266A5">
            <w:pPr>
              <w:pStyle w:val="Tabletext"/>
              <w:tabs>
                <w:tab w:val="decimal" w:pos="1942"/>
              </w:tabs>
            </w:pPr>
            <w:r w:rsidRPr="00A87186">
              <w:t>102.1</w:t>
            </w:r>
          </w:p>
        </w:tc>
      </w:tr>
      <w:tr w:rsidR="007266A5" w:rsidRPr="00A66CA2" w14:paraId="4D9951D6" w14:textId="77777777" w:rsidTr="00F2575A">
        <w:tc>
          <w:tcPr>
            <w:tcW w:w="3402" w:type="dxa"/>
            <w:tcBorders>
              <w:top w:val="nil"/>
              <w:bottom w:val="nil"/>
            </w:tcBorders>
            <w:shd w:val="clear" w:color="auto" w:fill="auto"/>
          </w:tcPr>
          <w:p w14:paraId="481EB380" w14:textId="52610778" w:rsidR="007266A5" w:rsidRPr="00851326" w:rsidRDefault="007266A5" w:rsidP="007266A5">
            <w:pPr>
              <w:pStyle w:val="Tabletext"/>
              <w:rPr>
                <w:b/>
                <w:bCs/>
              </w:rPr>
            </w:pPr>
            <w:r>
              <w:rPr>
                <w:b/>
                <w:bCs/>
              </w:rPr>
              <w:t>Administrative expenses before</w:t>
            </w:r>
            <w:r w:rsidR="0097411E">
              <w:rPr>
                <w:b/>
                <w:bCs/>
              </w:rPr>
              <w:t xml:space="preserve"> net (</w:t>
            </w:r>
            <w:r w:rsidR="00E75A6C">
              <w:rPr>
                <w:b/>
                <w:bCs/>
              </w:rPr>
              <w:t>gains)/</w:t>
            </w:r>
            <w:r>
              <w:rPr>
                <w:b/>
                <w:bCs/>
              </w:rPr>
              <w:t xml:space="preserve">losses arising from economic hedging of fund awards </w:t>
            </w:r>
          </w:p>
        </w:tc>
        <w:tc>
          <w:tcPr>
            <w:tcW w:w="2212" w:type="dxa"/>
            <w:tcBorders>
              <w:top w:val="single" w:sz="4" w:space="0" w:color="auto"/>
              <w:bottom w:val="nil"/>
            </w:tcBorders>
            <w:shd w:val="clear" w:color="auto" w:fill="auto"/>
          </w:tcPr>
          <w:p w14:paraId="5CD91E53" w14:textId="66743590" w:rsidR="007266A5" w:rsidRPr="00D44E92" w:rsidRDefault="00F76EA4" w:rsidP="007266A5">
            <w:pPr>
              <w:pStyle w:val="Tabletext"/>
              <w:tabs>
                <w:tab w:val="decimal" w:pos="1912"/>
              </w:tabs>
              <w:rPr>
                <w:b/>
              </w:rPr>
            </w:pPr>
            <w:r>
              <w:rPr>
                <w:b/>
              </w:rPr>
              <w:t>130.5</w:t>
            </w:r>
          </w:p>
        </w:tc>
        <w:tc>
          <w:tcPr>
            <w:tcW w:w="193" w:type="dxa"/>
            <w:tcBorders>
              <w:top w:val="nil"/>
              <w:bottom w:val="nil"/>
            </w:tcBorders>
          </w:tcPr>
          <w:p w14:paraId="106D346A" w14:textId="77777777" w:rsidR="007266A5" w:rsidRPr="00CF007D" w:rsidRDefault="007266A5" w:rsidP="007266A5">
            <w:pPr>
              <w:pStyle w:val="Tabletext"/>
              <w:rPr>
                <w:b/>
                <w:bCs/>
              </w:rPr>
            </w:pPr>
          </w:p>
        </w:tc>
        <w:tc>
          <w:tcPr>
            <w:tcW w:w="2212" w:type="dxa"/>
            <w:tcBorders>
              <w:top w:val="single" w:sz="4" w:space="0" w:color="auto"/>
              <w:bottom w:val="nil"/>
            </w:tcBorders>
            <w:shd w:val="clear" w:color="auto" w:fill="auto"/>
          </w:tcPr>
          <w:p w14:paraId="48808D51" w14:textId="0E436CE8" w:rsidR="007266A5" w:rsidRPr="00A66CA2" w:rsidRDefault="007266A5" w:rsidP="007266A5">
            <w:pPr>
              <w:pStyle w:val="Tabletext"/>
              <w:tabs>
                <w:tab w:val="decimal" w:pos="1930"/>
              </w:tabs>
            </w:pPr>
            <w:r>
              <w:rPr>
                <w:b/>
                <w:bCs/>
              </w:rPr>
              <w:t>133.1</w:t>
            </w:r>
          </w:p>
        </w:tc>
        <w:tc>
          <w:tcPr>
            <w:tcW w:w="193" w:type="dxa"/>
            <w:tcBorders>
              <w:top w:val="nil"/>
              <w:bottom w:val="nil"/>
            </w:tcBorders>
          </w:tcPr>
          <w:p w14:paraId="06BA28DB" w14:textId="77777777" w:rsidR="007266A5" w:rsidRPr="00A66CA2" w:rsidRDefault="007266A5" w:rsidP="007266A5">
            <w:pPr>
              <w:pStyle w:val="Tabletext"/>
            </w:pPr>
          </w:p>
        </w:tc>
        <w:tc>
          <w:tcPr>
            <w:tcW w:w="2213" w:type="dxa"/>
            <w:tcBorders>
              <w:top w:val="single" w:sz="4" w:space="0" w:color="auto"/>
              <w:bottom w:val="nil"/>
            </w:tcBorders>
            <w:shd w:val="clear" w:color="auto" w:fill="auto"/>
          </w:tcPr>
          <w:p w14:paraId="2EBE1787" w14:textId="4F3CC456" w:rsidR="007266A5" w:rsidRPr="00A87186" w:rsidRDefault="00A87186" w:rsidP="007266A5">
            <w:pPr>
              <w:pStyle w:val="Tabletext"/>
              <w:tabs>
                <w:tab w:val="decimal" w:pos="1942"/>
              </w:tabs>
              <w:rPr>
                <w:b/>
                <w:bCs/>
              </w:rPr>
            </w:pPr>
            <w:r w:rsidRPr="00A87186">
              <w:rPr>
                <w:b/>
                <w:bCs/>
              </w:rPr>
              <w:t>266.9</w:t>
            </w:r>
          </w:p>
        </w:tc>
      </w:tr>
      <w:tr w:rsidR="007266A5" w:rsidRPr="00A66CA2" w14:paraId="20821AA7" w14:textId="77777777" w:rsidTr="00F2575A">
        <w:tc>
          <w:tcPr>
            <w:tcW w:w="3402" w:type="dxa"/>
            <w:tcBorders>
              <w:top w:val="nil"/>
              <w:bottom w:val="nil"/>
            </w:tcBorders>
            <w:shd w:val="clear" w:color="auto" w:fill="auto"/>
          </w:tcPr>
          <w:p w14:paraId="0DE556A3" w14:textId="6F6862C1" w:rsidR="007266A5" w:rsidRPr="009A0E69" w:rsidRDefault="007266A5" w:rsidP="007266A5">
            <w:pPr>
              <w:pStyle w:val="Tabletext"/>
            </w:pPr>
            <w:r>
              <w:t xml:space="preserve">Net </w:t>
            </w:r>
            <w:r w:rsidR="00E75A6C">
              <w:t>(gains)/</w:t>
            </w:r>
            <w:r>
              <w:t xml:space="preserve">losses on instruments held to provide an economic hedge for fund awards </w:t>
            </w:r>
          </w:p>
        </w:tc>
        <w:tc>
          <w:tcPr>
            <w:tcW w:w="2212" w:type="dxa"/>
            <w:tcBorders>
              <w:top w:val="nil"/>
              <w:bottom w:val="nil"/>
            </w:tcBorders>
            <w:shd w:val="clear" w:color="auto" w:fill="auto"/>
          </w:tcPr>
          <w:p w14:paraId="3239612A" w14:textId="050CDC6F" w:rsidR="007266A5" w:rsidRPr="00D44E92" w:rsidRDefault="00F76EA4" w:rsidP="007266A5">
            <w:pPr>
              <w:pStyle w:val="Tabletext"/>
              <w:tabs>
                <w:tab w:val="decimal" w:pos="1912"/>
              </w:tabs>
            </w:pPr>
            <w:r>
              <w:t>(1.4)</w:t>
            </w:r>
          </w:p>
        </w:tc>
        <w:tc>
          <w:tcPr>
            <w:tcW w:w="193" w:type="dxa"/>
            <w:tcBorders>
              <w:top w:val="nil"/>
              <w:bottom w:val="nil"/>
            </w:tcBorders>
          </w:tcPr>
          <w:p w14:paraId="5E5159B4" w14:textId="77777777" w:rsidR="007266A5" w:rsidRPr="00A66CA2" w:rsidRDefault="007266A5" w:rsidP="007266A5">
            <w:pPr>
              <w:pStyle w:val="Tabletext"/>
            </w:pPr>
          </w:p>
        </w:tc>
        <w:tc>
          <w:tcPr>
            <w:tcW w:w="2212" w:type="dxa"/>
            <w:tcBorders>
              <w:top w:val="nil"/>
              <w:bottom w:val="nil"/>
            </w:tcBorders>
            <w:shd w:val="clear" w:color="auto" w:fill="auto"/>
          </w:tcPr>
          <w:p w14:paraId="71EB393C" w14:textId="134DFBB5" w:rsidR="007266A5" w:rsidRPr="00A66CA2" w:rsidRDefault="007266A5" w:rsidP="007266A5">
            <w:pPr>
              <w:pStyle w:val="Tabletext"/>
              <w:tabs>
                <w:tab w:val="decimal" w:pos="1930"/>
              </w:tabs>
            </w:pPr>
            <w:r>
              <w:t>1.3</w:t>
            </w:r>
          </w:p>
        </w:tc>
        <w:tc>
          <w:tcPr>
            <w:tcW w:w="193" w:type="dxa"/>
            <w:tcBorders>
              <w:top w:val="nil"/>
              <w:bottom w:val="nil"/>
            </w:tcBorders>
          </w:tcPr>
          <w:p w14:paraId="67FFB3BF" w14:textId="77777777" w:rsidR="007266A5" w:rsidRPr="00A66CA2" w:rsidRDefault="007266A5" w:rsidP="007266A5">
            <w:pPr>
              <w:pStyle w:val="Tabletext"/>
            </w:pPr>
          </w:p>
        </w:tc>
        <w:tc>
          <w:tcPr>
            <w:tcW w:w="2213" w:type="dxa"/>
            <w:tcBorders>
              <w:top w:val="nil"/>
              <w:bottom w:val="nil"/>
            </w:tcBorders>
            <w:shd w:val="clear" w:color="auto" w:fill="auto"/>
          </w:tcPr>
          <w:p w14:paraId="579F9774" w14:textId="45AC33A8" w:rsidR="007266A5" w:rsidRPr="00A87186" w:rsidRDefault="00A87186" w:rsidP="007266A5">
            <w:pPr>
              <w:pStyle w:val="Tabletext"/>
              <w:tabs>
                <w:tab w:val="decimal" w:pos="1942"/>
              </w:tabs>
            </w:pPr>
            <w:r w:rsidRPr="00A87186">
              <w:t>(1.5)</w:t>
            </w:r>
          </w:p>
        </w:tc>
      </w:tr>
      <w:tr w:rsidR="007266A5" w:rsidRPr="00A66CA2" w14:paraId="38339E3B" w14:textId="77777777" w:rsidTr="00F2575A">
        <w:tc>
          <w:tcPr>
            <w:tcW w:w="3402" w:type="dxa"/>
            <w:tcBorders>
              <w:top w:val="nil"/>
              <w:bottom w:val="nil"/>
            </w:tcBorders>
            <w:shd w:val="clear" w:color="auto" w:fill="auto"/>
          </w:tcPr>
          <w:p w14:paraId="3A454685" w14:textId="77777777" w:rsidR="007266A5" w:rsidRPr="00851326" w:rsidRDefault="007266A5" w:rsidP="007266A5">
            <w:pPr>
              <w:pStyle w:val="Tabletext"/>
              <w:rPr>
                <w:b/>
                <w:bCs/>
              </w:rPr>
            </w:pPr>
            <w:r>
              <w:rPr>
                <w:b/>
                <w:bCs/>
              </w:rPr>
              <w:t xml:space="preserve">Total administrative expenses </w:t>
            </w:r>
          </w:p>
        </w:tc>
        <w:tc>
          <w:tcPr>
            <w:tcW w:w="2212" w:type="dxa"/>
            <w:tcBorders>
              <w:top w:val="single" w:sz="4" w:space="0" w:color="auto"/>
              <w:bottom w:val="double" w:sz="4" w:space="0" w:color="auto"/>
            </w:tcBorders>
            <w:shd w:val="clear" w:color="auto" w:fill="auto"/>
          </w:tcPr>
          <w:p w14:paraId="0EAF2B98" w14:textId="37E0FBA0" w:rsidR="007266A5" w:rsidRPr="00D44E92" w:rsidRDefault="00F76EA4" w:rsidP="007266A5">
            <w:pPr>
              <w:pStyle w:val="Tabletext"/>
              <w:tabs>
                <w:tab w:val="decimal" w:pos="1912"/>
              </w:tabs>
              <w:rPr>
                <w:b/>
              </w:rPr>
            </w:pPr>
            <w:r>
              <w:rPr>
                <w:b/>
              </w:rPr>
              <w:t>129.1</w:t>
            </w:r>
          </w:p>
        </w:tc>
        <w:tc>
          <w:tcPr>
            <w:tcW w:w="193" w:type="dxa"/>
            <w:tcBorders>
              <w:top w:val="nil"/>
              <w:bottom w:val="nil"/>
            </w:tcBorders>
          </w:tcPr>
          <w:p w14:paraId="7128206F" w14:textId="77777777" w:rsidR="007266A5" w:rsidRPr="0047199A" w:rsidRDefault="007266A5" w:rsidP="007266A5">
            <w:pPr>
              <w:pStyle w:val="Tabletext"/>
            </w:pPr>
          </w:p>
        </w:tc>
        <w:tc>
          <w:tcPr>
            <w:tcW w:w="2212" w:type="dxa"/>
            <w:tcBorders>
              <w:top w:val="single" w:sz="4" w:space="0" w:color="auto"/>
              <w:bottom w:val="double" w:sz="4" w:space="0" w:color="auto"/>
            </w:tcBorders>
            <w:shd w:val="clear" w:color="auto" w:fill="auto"/>
          </w:tcPr>
          <w:p w14:paraId="2B7147B3" w14:textId="5FE7346F" w:rsidR="007266A5" w:rsidRPr="0047199A" w:rsidRDefault="007266A5" w:rsidP="007266A5">
            <w:pPr>
              <w:pStyle w:val="Tabletext"/>
              <w:tabs>
                <w:tab w:val="decimal" w:pos="1930"/>
              </w:tabs>
            </w:pPr>
            <w:r w:rsidRPr="00F2575A">
              <w:rPr>
                <w:b/>
                <w:bCs/>
              </w:rPr>
              <w:t>134.</w:t>
            </w:r>
            <w:r>
              <w:rPr>
                <w:b/>
                <w:bCs/>
              </w:rPr>
              <w:t>4</w:t>
            </w:r>
          </w:p>
        </w:tc>
        <w:tc>
          <w:tcPr>
            <w:tcW w:w="193" w:type="dxa"/>
            <w:tcBorders>
              <w:top w:val="nil"/>
              <w:bottom w:val="nil"/>
            </w:tcBorders>
          </w:tcPr>
          <w:p w14:paraId="33D85DCB" w14:textId="77777777" w:rsidR="007266A5" w:rsidRPr="00A66CA2" w:rsidRDefault="007266A5" w:rsidP="007266A5">
            <w:pPr>
              <w:pStyle w:val="Tabletext"/>
            </w:pPr>
          </w:p>
        </w:tc>
        <w:tc>
          <w:tcPr>
            <w:tcW w:w="2213" w:type="dxa"/>
            <w:tcBorders>
              <w:top w:val="single" w:sz="4" w:space="0" w:color="auto"/>
              <w:bottom w:val="double" w:sz="4" w:space="0" w:color="auto"/>
            </w:tcBorders>
            <w:shd w:val="clear" w:color="auto" w:fill="auto"/>
          </w:tcPr>
          <w:p w14:paraId="0E92FE54" w14:textId="63D818AC" w:rsidR="007266A5" w:rsidRPr="00940B78" w:rsidRDefault="00A87186" w:rsidP="007266A5">
            <w:pPr>
              <w:pStyle w:val="Tabletext"/>
              <w:tabs>
                <w:tab w:val="decimal" w:pos="1942"/>
              </w:tabs>
              <w:rPr>
                <w:rFonts w:eastAsia="SimSun"/>
                <w:b/>
                <w:bCs/>
                <w:lang w:eastAsia="zh-CN"/>
              </w:rPr>
            </w:pPr>
            <w:r w:rsidRPr="00940B78">
              <w:rPr>
                <w:b/>
                <w:bCs/>
              </w:rPr>
              <w:t>265.4</w:t>
            </w:r>
          </w:p>
        </w:tc>
      </w:tr>
    </w:tbl>
    <w:p w14:paraId="0A09BEC2" w14:textId="5208DD8B" w:rsidR="003B08B5" w:rsidRPr="006318C4" w:rsidRDefault="00FB507A" w:rsidP="00632714">
      <w:pPr>
        <w:pStyle w:val="Bodytext0"/>
      </w:pPr>
      <w:r>
        <w:t xml:space="preserve"> </w:t>
      </w:r>
    </w:p>
    <w:p w14:paraId="2F49FC60" w14:textId="4D0932C2" w:rsidR="0052785A" w:rsidRDefault="00913723" w:rsidP="0052785A">
      <w:pPr>
        <w:pStyle w:val="Subheading"/>
      </w:pPr>
      <w:r>
        <w:lastRenderedPageBreak/>
        <w:t>4.</w:t>
      </w:r>
      <w:r w:rsidR="0052785A">
        <w:tab/>
        <w:t xml:space="preserve">Other </w:t>
      </w:r>
      <w:r w:rsidR="000860AE">
        <w:t>gains</w:t>
      </w:r>
    </w:p>
    <w:p w14:paraId="4463B888" w14:textId="726653F0" w:rsidR="0052785A" w:rsidRDefault="0052785A" w:rsidP="0052785A">
      <w:pPr>
        <w:pStyle w:val="Bodytext0"/>
      </w:pPr>
      <w:r>
        <w:t>Other</w:t>
      </w:r>
      <w:r w:rsidR="000860AE">
        <w:t xml:space="preserve"> gains</w:t>
      </w:r>
      <w:r>
        <w:t xml:space="preserve"> relate principally to </w:t>
      </w:r>
      <w:r w:rsidR="000860AE">
        <w:t xml:space="preserve">net </w:t>
      </w:r>
      <w:r>
        <w:t xml:space="preserve">gains made on the Group’s seed investment portfolio and derivative instruments held to provide economic hedges against that portfolio. The portfolio and derivatives are held at </w:t>
      </w:r>
      <w:r w:rsidR="000860AE">
        <w:t>FVTPL</w:t>
      </w:r>
      <w:r>
        <w:t xml:space="preserve"> (see Note </w:t>
      </w:r>
      <w:r w:rsidR="0073396B">
        <w:t>11</w:t>
      </w:r>
      <w:r>
        <w:t>). Gains and losses on these investments comprise both realised and unrealised amounts.</w:t>
      </w:r>
      <w:r w:rsidR="0082217B">
        <w:t xml:space="preserve"> </w:t>
      </w:r>
    </w:p>
    <w:p w14:paraId="25B855B7" w14:textId="77777777" w:rsidR="0082217B" w:rsidRPr="00B95E10" w:rsidRDefault="0082217B" w:rsidP="0052785A">
      <w:pPr>
        <w:pStyle w:val="Bodytext0"/>
      </w:pP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52785A" w:rsidRPr="00955F6B" w14:paraId="4733B71E" w14:textId="77777777" w:rsidTr="00B17DE3">
        <w:tc>
          <w:tcPr>
            <w:tcW w:w="3402" w:type="dxa"/>
            <w:tcBorders>
              <w:bottom w:val="nil"/>
            </w:tcBorders>
            <w:vAlign w:val="bottom"/>
          </w:tcPr>
          <w:p w14:paraId="40AB0216" w14:textId="77777777" w:rsidR="0052785A" w:rsidRPr="005405BA" w:rsidRDefault="0052785A" w:rsidP="00B17DE3">
            <w:pPr>
              <w:pStyle w:val="Tableheading"/>
              <w:jc w:val="right"/>
            </w:pPr>
          </w:p>
        </w:tc>
        <w:tc>
          <w:tcPr>
            <w:tcW w:w="2212" w:type="dxa"/>
            <w:tcBorders>
              <w:top w:val="nil"/>
              <w:bottom w:val="nil"/>
            </w:tcBorders>
            <w:vAlign w:val="bottom"/>
          </w:tcPr>
          <w:p w14:paraId="7B7BE72C" w14:textId="77777777" w:rsidR="0052785A" w:rsidRDefault="0052785A" w:rsidP="00B17DE3">
            <w:pPr>
              <w:pStyle w:val="Tableheading"/>
              <w:jc w:val="right"/>
            </w:pPr>
            <w:r>
              <w:t xml:space="preserve">Six months ended </w:t>
            </w:r>
          </w:p>
          <w:p w14:paraId="5B607360" w14:textId="67CC73AF" w:rsidR="0052785A" w:rsidRDefault="0052785A" w:rsidP="00B17DE3">
            <w:pPr>
              <w:pStyle w:val="Tableheading"/>
              <w:jc w:val="right"/>
            </w:pPr>
            <w:r>
              <w:tab/>
              <w:t xml:space="preserve">30 June </w:t>
            </w:r>
            <w:r w:rsidR="00E85F7E">
              <w:t>2024</w:t>
            </w:r>
          </w:p>
          <w:p w14:paraId="1E371566" w14:textId="77777777" w:rsidR="0052785A" w:rsidRPr="005405BA" w:rsidRDefault="0052785A" w:rsidP="00B17DE3">
            <w:pPr>
              <w:pStyle w:val="Tableheading"/>
              <w:jc w:val="right"/>
            </w:pPr>
            <w:r>
              <w:t>£m</w:t>
            </w:r>
          </w:p>
        </w:tc>
        <w:tc>
          <w:tcPr>
            <w:tcW w:w="193" w:type="dxa"/>
            <w:tcBorders>
              <w:top w:val="nil"/>
              <w:bottom w:val="nil"/>
            </w:tcBorders>
            <w:vAlign w:val="bottom"/>
          </w:tcPr>
          <w:p w14:paraId="423CB6A2" w14:textId="77777777" w:rsidR="0052785A" w:rsidRPr="00955F6B" w:rsidRDefault="0052785A" w:rsidP="00B17DE3">
            <w:pPr>
              <w:pStyle w:val="Tableheading"/>
              <w:jc w:val="right"/>
            </w:pPr>
          </w:p>
        </w:tc>
        <w:tc>
          <w:tcPr>
            <w:tcW w:w="2212" w:type="dxa"/>
            <w:tcBorders>
              <w:top w:val="nil"/>
              <w:bottom w:val="nil"/>
            </w:tcBorders>
            <w:vAlign w:val="bottom"/>
          </w:tcPr>
          <w:p w14:paraId="2E3730C1" w14:textId="77777777" w:rsidR="0052785A" w:rsidRPr="00B17DE3" w:rsidRDefault="0052785A" w:rsidP="00B17DE3">
            <w:pPr>
              <w:pStyle w:val="Tableheading"/>
              <w:jc w:val="right"/>
            </w:pPr>
            <w:r w:rsidRPr="00B17DE3">
              <w:t xml:space="preserve">Six months ended </w:t>
            </w:r>
          </w:p>
          <w:p w14:paraId="16563608" w14:textId="4EDC8A7D" w:rsidR="0052785A" w:rsidRPr="00B17DE3" w:rsidRDefault="0052785A" w:rsidP="00B17DE3">
            <w:pPr>
              <w:pStyle w:val="Tableheading"/>
              <w:jc w:val="right"/>
            </w:pPr>
            <w:r w:rsidRPr="00B17DE3">
              <w:tab/>
              <w:t xml:space="preserve">30 June </w:t>
            </w:r>
            <w:r w:rsidR="00E85F7E">
              <w:t>2023</w:t>
            </w:r>
          </w:p>
          <w:p w14:paraId="04638330" w14:textId="77777777" w:rsidR="0052785A" w:rsidRPr="00B17DE3" w:rsidRDefault="0052785A" w:rsidP="00B17DE3">
            <w:pPr>
              <w:pStyle w:val="Tableheading"/>
              <w:jc w:val="right"/>
            </w:pPr>
            <w:r w:rsidRPr="00B17DE3">
              <w:t>£m</w:t>
            </w:r>
          </w:p>
        </w:tc>
        <w:tc>
          <w:tcPr>
            <w:tcW w:w="193" w:type="dxa"/>
            <w:tcBorders>
              <w:top w:val="nil"/>
              <w:bottom w:val="nil"/>
            </w:tcBorders>
            <w:vAlign w:val="bottom"/>
          </w:tcPr>
          <w:p w14:paraId="78AC7757" w14:textId="77777777" w:rsidR="0052785A" w:rsidRPr="00B17DE3" w:rsidRDefault="0052785A" w:rsidP="00B17DE3">
            <w:pPr>
              <w:pStyle w:val="Tableheading"/>
              <w:jc w:val="right"/>
            </w:pPr>
          </w:p>
        </w:tc>
        <w:tc>
          <w:tcPr>
            <w:tcW w:w="2213" w:type="dxa"/>
            <w:tcBorders>
              <w:top w:val="nil"/>
              <w:bottom w:val="nil"/>
            </w:tcBorders>
            <w:vAlign w:val="bottom"/>
          </w:tcPr>
          <w:p w14:paraId="0B6B3992" w14:textId="77777777" w:rsidR="0052785A" w:rsidRPr="00B17DE3" w:rsidRDefault="0052785A" w:rsidP="00B17DE3">
            <w:pPr>
              <w:pStyle w:val="Tableheading"/>
              <w:jc w:val="right"/>
            </w:pPr>
            <w:r w:rsidRPr="00B17DE3">
              <w:t xml:space="preserve">Year ended </w:t>
            </w:r>
          </w:p>
          <w:p w14:paraId="2B8C5E59" w14:textId="5AF6CA0E" w:rsidR="0052785A" w:rsidRPr="00B17DE3" w:rsidRDefault="0052785A" w:rsidP="00B17DE3">
            <w:pPr>
              <w:pStyle w:val="Tableheading"/>
              <w:jc w:val="right"/>
            </w:pPr>
            <w:r w:rsidRPr="00B17DE3">
              <w:t xml:space="preserve">31 December </w:t>
            </w:r>
            <w:r w:rsidR="00E85F7E">
              <w:t>2023</w:t>
            </w:r>
          </w:p>
          <w:p w14:paraId="430C3AAC" w14:textId="77777777" w:rsidR="0052785A" w:rsidRPr="00B17DE3" w:rsidRDefault="0052785A" w:rsidP="00B17DE3">
            <w:pPr>
              <w:pStyle w:val="Tableheading"/>
              <w:jc w:val="right"/>
              <w:rPr>
                <w:highlight w:val="yellow"/>
              </w:rPr>
            </w:pPr>
            <w:r w:rsidRPr="00B17DE3">
              <w:t>£m</w:t>
            </w:r>
          </w:p>
        </w:tc>
      </w:tr>
      <w:tr w:rsidR="007266A5" w:rsidRPr="00A66CA2" w14:paraId="5DA66608" w14:textId="77777777" w:rsidTr="00F2575A">
        <w:tc>
          <w:tcPr>
            <w:tcW w:w="3402" w:type="dxa"/>
            <w:tcBorders>
              <w:top w:val="nil"/>
              <w:bottom w:val="nil"/>
            </w:tcBorders>
            <w:shd w:val="clear" w:color="auto" w:fill="auto"/>
          </w:tcPr>
          <w:p w14:paraId="2604E38D" w14:textId="77777777" w:rsidR="007266A5" w:rsidRPr="009A0E69" w:rsidRDefault="007266A5" w:rsidP="007266A5">
            <w:pPr>
              <w:pStyle w:val="Tabletext"/>
            </w:pPr>
            <w:r>
              <w:t xml:space="preserve">Dividend income  </w:t>
            </w:r>
          </w:p>
        </w:tc>
        <w:tc>
          <w:tcPr>
            <w:tcW w:w="2212" w:type="dxa"/>
            <w:tcBorders>
              <w:top w:val="nil"/>
              <w:bottom w:val="nil"/>
            </w:tcBorders>
            <w:shd w:val="clear" w:color="auto" w:fill="auto"/>
          </w:tcPr>
          <w:p w14:paraId="249A500C" w14:textId="6041FA1E" w:rsidR="007266A5" w:rsidRPr="006D1ADA" w:rsidRDefault="001046E1" w:rsidP="007266A5">
            <w:pPr>
              <w:pStyle w:val="Tabletext"/>
              <w:tabs>
                <w:tab w:val="decimal" w:pos="1926"/>
              </w:tabs>
            </w:pPr>
            <w:r>
              <w:t>0.5</w:t>
            </w:r>
          </w:p>
        </w:tc>
        <w:tc>
          <w:tcPr>
            <w:tcW w:w="193" w:type="dxa"/>
            <w:tcBorders>
              <w:top w:val="nil"/>
              <w:bottom w:val="nil"/>
            </w:tcBorders>
          </w:tcPr>
          <w:p w14:paraId="4EFD9C33" w14:textId="77777777" w:rsidR="007266A5" w:rsidRPr="003D6CAB" w:rsidRDefault="007266A5" w:rsidP="007266A5">
            <w:pPr>
              <w:pStyle w:val="Tabletext"/>
            </w:pPr>
          </w:p>
        </w:tc>
        <w:tc>
          <w:tcPr>
            <w:tcW w:w="2212" w:type="dxa"/>
            <w:tcBorders>
              <w:top w:val="nil"/>
              <w:bottom w:val="nil"/>
            </w:tcBorders>
            <w:shd w:val="clear" w:color="auto" w:fill="auto"/>
          </w:tcPr>
          <w:p w14:paraId="725E2113" w14:textId="4C7612D5" w:rsidR="007266A5" w:rsidRPr="00A66CA2" w:rsidRDefault="007266A5" w:rsidP="007266A5">
            <w:pPr>
              <w:pStyle w:val="Tabletext"/>
              <w:tabs>
                <w:tab w:val="decimal" w:pos="1903"/>
              </w:tabs>
            </w:pPr>
            <w:r w:rsidRPr="00F2575A">
              <w:t>0.3</w:t>
            </w:r>
          </w:p>
        </w:tc>
        <w:tc>
          <w:tcPr>
            <w:tcW w:w="193" w:type="dxa"/>
            <w:tcBorders>
              <w:top w:val="nil"/>
              <w:bottom w:val="nil"/>
            </w:tcBorders>
          </w:tcPr>
          <w:p w14:paraId="2027B9DC" w14:textId="77777777" w:rsidR="007266A5" w:rsidRPr="00A66CA2" w:rsidRDefault="007266A5" w:rsidP="007266A5">
            <w:pPr>
              <w:pStyle w:val="Tabletext"/>
            </w:pPr>
          </w:p>
        </w:tc>
        <w:tc>
          <w:tcPr>
            <w:tcW w:w="2213" w:type="dxa"/>
            <w:tcBorders>
              <w:top w:val="nil"/>
              <w:bottom w:val="nil"/>
            </w:tcBorders>
            <w:shd w:val="clear" w:color="auto" w:fill="auto"/>
          </w:tcPr>
          <w:p w14:paraId="2F11EC63" w14:textId="079D6CE2" w:rsidR="007266A5" w:rsidRPr="00F2575A" w:rsidRDefault="007266A5" w:rsidP="007266A5">
            <w:pPr>
              <w:pStyle w:val="Tabletext"/>
              <w:tabs>
                <w:tab w:val="decimal" w:pos="1891"/>
              </w:tabs>
              <w:rPr>
                <w:highlight w:val="yellow"/>
              </w:rPr>
            </w:pPr>
            <w:r w:rsidRPr="00131B4F">
              <w:rPr>
                <w:rFonts w:eastAsia="Times New Roman"/>
                <w:szCs w:val="18"/>
                <w:lang w:eastAsia="en-GB"/>
              </w:rPr>
              <w:t>0.6</w:t>
            </w:r>
          </w:p>
        </w:tc>
      </w:tr>
      <w:tr w:rsidR="007266A5" w:rsidRPr="00A66CA2" w14:paraId="3524943A" w14:textId="77777777" w:rsidTr="00F2575A">
        <w:tc>
          <w:tcPr>
            <w:tcW w:w="3402" w:type="dxa"/>
            <w:tcBorders>
              <w:top w:val="nil"/>
              <w:bottom w:val="nil"/>
            </w:tcBorders>
            <w:shd w:val="clear" w:color="auto" w:fill="auto"/>
          </w:tcPr>
          <w:p w14:paraId="53A53977" w14:textId="12A16FFD" w:rsidR="007266A5" w:rsidRPr="009A0E69" w:rsidRDefault="007266A5" w:rsidP="007266A5">
            <w:pPr>
              <w:pStyle w:val="Tabletext"/>
            </w:pPr>
            <w:r>
              <w:rPr>
                <w:lang w:val="en-US"/>
              </w:rPr>
              <w:t>Net g</w:t>
            </w:r>
            <w:r w:rsidRPr="006D1ADA">
              <w:rPr>
                <w:lang w:val="en-US"/>
              </w:rPr>
              <w:t>ains</w:t>
            </w:r>
            <w:r>
              <w:t xml:space="preserve"> on financial instruments designated at FVTPL upon initial recognition </w:t>
            </w:r>
          </w:p>
        </w:tc>
        <w:tc>
          <w:tcPr>
            <w:tcW w:w="2212" w:type="dxa"/>
            <w:tcBorders>
              <w:top w:val="nil"/>
              <w:bottom w:val="nil"/>
            </w:tcBorders>
            <w:shd w:val="clear" w:color="auto" w:fill="auto"/>
          </w:tcPr>
          <w:p w14:paraId="049A6E0A" w14:textId="37D3CBAC" w:rsidR="007266A5" w:rsidRPr="00F2575A" w:rsidRDefault="001046E1" w:rsidP="007266A5">
            <w:pPr>
              <w:pStyle w:val="Tabletext"/>
              <w:tabs>
                <w:tab w:val="decimal" w:pos="1926"/>
              </w:tabs>
            </w:pPr>
            <w:r>
              <w:t>9.6</w:t>
            </w:r>
          </w:p>
        </w:tc>
        <w:tc>
          <w:tcPr>
            <w:tcW w:w="193" w:type="dxa"/>
            <w:tcBorders>
              <w:top w:val="nil"/>
              <w:bottom w:val="nil"/>
            </w:tcBorders>
          </w:tcPr>
          <w:p w14:paraId="337C2703" w14:textId="77777777" w:rsidR="007266A5" w:rsidRPr="00A66CA2" w:rsidRDefault="007266A5" w:rsidP="007266A5">
            <w:pPr>
              <w:pStyle w:val="Tabletext"/>
            </w:pPr>
          </w:p>
        </w:tc>
        <w:tc>
          <w:tcPr>
            <w:tcW w:w="2212" w:type="dxa"/>
            <w:tcBorders>
              <w:top w:val="nil"/>
              <w:bottom w:val="nil"/>
            </w:tcBorders>
            <w:shd w:val="clear" w:color="auto" w:fill="auto"/>
          </w:tcPr>
          <w:p w14:paraId="3CF16C77" w14:textId="432A36C8" w:rsidR="007266A5" w:rsidRPr="00A66CA2" w:rsidRDefault="007266A5" w:rsidP="007266A5">
            <w:pPr>
              <w:pStyle w:val="Tabletext"/>
              <w:tabs>
                <w:tab w:val="decimal" w:pos="1903"/>
              </w:tabs>
            </w:pPr>
            <w:r w:rsidRPr="00F2575A">
              <w:t>2.5</w:t>
            </w:r>
          </w:p>
        </w:tc>
        <w:tc>
          <w:tcPr>
            <w:tcW w:w="193" w:type="dxa"/>
            <w:tcBorders>
              <w:top w:val="nil"/>
              <w:bottom w:val="nil"/>
            </w:tcBorders>
          </w:tcPr>
          <w:p w14:paraId="14DAEAEC" w14:textId="77777777" w:rsidR="007266A5" w:rsidRPr="00A66CA2" w:rsidRDefault="007266A5" w:rsidP="007266A5">
            <w:pPr>
              <w:pStyle w:val="Tabletext"/>
            </w:pPr>
          </w:p>
        </w:tc>
        <w:tc>
          <w:tcPr>
            <w:tcW w:w="2213" w:type="dxa"/>
            <w:tcBorders>
              <w:top w:val="nil"/>
              <w:bottom w:val="nil"/>
            </w:tcBorders>
            <w:shd w:val="clear" w:color="auto" w:fill="auto"/>
          </w:tcPr>
          <w:p w14:paraId="2D732379" w14:textId="2C5C7344" w:rsidR="007266A5" w:rsidRPr="00F2575A" w:rsidRDefault="007266A5" w:rsidP="007266A5">
            <w:pPr>
              <w:pStyle w:val="Tabletext"/>
              <w:tabs>
                <w:tab w:val="decimal" w:pos="1891"/>
              </w:tabs>
              <w:rPr>
                <w:highlight w:val="yellow"/>
              </w:rPr>
            </w:pPr>
            <w:r w:rsidRPr="00131B4F">
              <w:rPr>
                <w:rFonts w:eastAsia="Times New Roman"/>
                <w:szCs w:val="18"/>
                <w:lang w:eastAsia="en-GB"/>
              </w:rPr>
              <w:t>8.2</w:t>
            </w:r>
          </w:p>
        </w:tc>
      </w:tr>
      <w:tr w:rsidR="007266A5" w:rsidRPr="00A66CA2" w14:paraId="7A243396" w14:textId="77777777" w:rsidTr="00F2575A">
        <w:tc>
          <w:tcPr>
            <w:tcW w:w="3402" w:type="dxa"/>
            <w:tcBorders>
              <w:top w:val="nil"/>
              <w:bottom w:val="nil"/>
            </w:tcBorders>
            <w:shd w:val="clear" w:color="auto" w:fill="auto"/>
          </w:tcPr>
          <w:p w14:paraId="5757428C" w14:textId="244B6BED" w:rsidR="007266A5" w:rsidRDefault="007266A5" w:rsidP="007266A5">
            <w:pPr>
              <w:pStyle w:val="Tabletext"/>
            </w:pPr>
            <w:r>
              <w:t xml:space="preserve">Net losses on financial instruments at FVTPL </w:t>
            </w:r>
          </w:p>
        </w:tc>
        <w:tc>
          <w:tcPr>
            <w:tcW w:w="2212" w:type="dxa"/>
            <w:tcBorders>
              <w:top w:val="nil"/>
              <w:bottom w:val="single" w:sz="4" w:space="0" w:color="auto"/>
            </w:tcBorders>
            <w:shd w:val="clear" w:color="auto" w:fill="auto"/>
          </w:tcPr>
          <w:p w14:paraId="49A0C7A8" w14:textId="2F031E7B" w:rsidR="007266A5" w:rsidRPr="00F2575A" w:rsidRDefault="001046E1" w:rsidP="007266A5">
            <w:pPr>
              <w:pStyle w:val="Tabletext"/>
              <w:tabs>
                <w:tab w:val="decimal" w:pos="1926"/>
              </w:tabs>
            </w:pPr>
            <w:r>
              <w:t>(6.6)</w:t>
            </w:r>
          </w:p>
        </w:tc>
        <w:tc>
          <w:tcPr>
            <w:tcW w:w="193" w:type="dxa"/>
            <w:tcBorders>
              <w:top w:val="nil"/>
              <w:bottom w:val="nil"/>
            </w:tcBorders>
          </w:tcPr>
          <w:p w14:paraId="381846DB" w14:textId="77777777" w:rsidR="007266A5" w:rsidRPr="00B033FD" w:rsidRDefault="007266A5" w:rsidP="007266A5">
            <w:pPr>
              <w:pStyle w:val="Tabletext"/>
            </w:pPr>
          </w:p>
        </w:tc>
        <w:tc>
          <w:tcPr>
            <w:tcW w:w="2212" w:type="dxa"/>
            <w:tcBorders>
              <w:top w:val="nil"/>
              <w:bottom w:val="single" w:sz="4" w:space="0" w:color="auto"/>
            </w:tcBorders>
            <w:shd w:val="clear" w:color="auto" w:fill="auto"/>
          </w:tcPr>
          <w:p w14:paraId="16631CB3" w14:textId="03F3B44A" w:rsidR="007266A5" w:rsidRPr="00A66CA2" w:rsidRDefault="007266A5" w:rsidP="007266A5">
            <w:pPr>
              <w:pStyle w:val="Tabletext"/>
              <w:tabs>
                <w:tab w:val="decimal" w:pos="1903"/>
              </w:tabs>
            </w:pPr>
            <w:r w:rsidRPr="00F2575A">
              <w:t>(2.</w:t>
            </w:r>
            <w:r>
              <w:t>4</w:t>
            </w:r>
            <w:r w:rsidRPr="00F2575A">
              <w:t>)</w:t>
            </w:r>
          </w:p>
        </w:tc>
        <w:tc>
          <w:tcPr>
            <w:tcW w:w="193" w:type="dxa"/>
            <w:tcBorders>
              <w:top w:val="nil"/>
              <w:bottom w:val="nil"/>
            </w:tcBorders>
          </w:tcPr>
          <w:p w14:paraId="7350AA09" w14:textId="77777777" w:rsidR="007266A5" w:rsidRPr="00A66CA2" w:rsidRDefault="007266A5" w:rsidP="007266A5">
            <w:pPr>
              <w:pStyle w:val="Tabletext"/>
            </w:pPr>
          </w:p>
        </w:tc>
        <w:tc>
          <w:tcPr>
            <w:tcW w:w="2213" w:type="dxa"/>
            <w:tcBorders>
              <w:top w:val="nil"/>
              <w:bottom w:val="single" w:sz="4" w:space="0" w:color="auto"/>
            </w:tcBorders>
            <w:shd w:val="clear" w:color="auto" w:fill="auto"/>
          </w:tcPr>
          <w:p w14:paraId="7897FF25" w14:textId="3EB3679A" w:rsidR="007266A5" w:rsidRPr="00F2575A" w:rsidRDefault="007266A5" w:rsidP="007266A5">
            <w:pPr>
              <w:pStyle w:val="Tabletext"/>
              <w:tabs>
                <w:tab w:val="decimal" w:pos="1891"/>
              </w:tabs>
              <w:rPr>
                <w:highlight w:val="yellow"/>
              </w:rPr>
            </w:pPr>
            <w:r w:rsidRPr="00131B4F">
              <w:rPr>
                <w:rFonts w:eastAsia="Times New Roman"/>
                <w:szCs w:val="18"/>
                <w:lang w:eastAsia="en-GB"/>
              </w:rPr>
              <w:t>(5.6)</w:t>
            </w:r>
          </w:p>
        </w:tc>
      </w:tr>
      <w:tr w:rsidR="007266A5" w:rsidRPr="00A66CA2" w14:paraId="5498EDD1" w14:textId="77777777" w:rsidTr="00F2575A">
        <w:tc>
          <w:tcPr>
            <w:tcW w:w="3402" w:type="dxa"/>
            <w:tcBorders>
              <w:top w:val="nil"/>
              <w:bottom w:val="nil"/>
            </w:tcBorders>
            <w:shd w:val="clear" w:color="auto" w:fill="auto"/>
          </w:tcPr>
          <w:p w14:paraId="59DBF927" w14:textId="5AAF176C" w:rsidR="007266A5" w:rsidRPr="00851326" w:rsidRDefault="007266A5" w:rsidP="007266A5">
            <w:pPr>
              <w:pStyle w:val="Tabletext"/>
              <w:rPr>
                <w:b/>
                <w:bCs/>
              </w:rPr>
            </w:pPr>
            <w:r>
              <w:rPr>
                <w:b/>
                <w:bCs/>
              </w:rPr>
              <w:t>Other gains</w:t>
            </w:r>
          </w:p>
        </w:tc>
        <w:tc>
          <w:tcPr>
            <w:tcW w:w="2212" w:type="dxa"/>
            <w:tcBorders>
              <w:top w:val="single" w:sz="4" w:space="0" w:color="auto"/>
              <w:bottom w:val="double" w:sz="4" w:space="0" w:color="auto"/>
            </w:tcBorders>
            <w:shd w:val="clear" w:color="auto" w:fill="auto"/>
          </w:tcPr>
          <w:p w14:paraId="66F22A27" w14:textId="38077AC4" w:rsidR="007266A5" w:rsidRPr="00AA3020" w:rsidRDefault="001046E1" w:rsidP="007266A5">
            <w:pPr>
              <w:pStyle w:val="Tabletext"/>
              <w:tabs>
                <w:tab w:val="decimal" w:pos="1926"/>
              </w:tabs>
              <w:rPr>
                <w:b/>
                <w:bCs/>
              </w:rPr>
            </w:pPr>
            <w:r>
              <w:rPr>
                <w:b/>
                <w:bCs/>
              </w:rPr>
              <w:t>3.5</w:t>
            </w:r>
          </w:p>
        </w:tc>
        <w:tc>
          <w:tcPr>
            <w:tcW w:w="193" w:type="dxa"/>
            <w:tcBorders>
              <w:top w:val="nil"/>
              <w:bottom w:val="nil"/>
            </w:tcBorders>
          </w:tcPr>
          <w:p w14:paraId="734803F7" w14:textId="77777777" w:rsidR="007266A5" w:rsidRPr="00CF007D" w:rsidRDefault="007266A5" w:rsidP="007266A5">
            <w:pPr>
              <w:pStyle w:val="Tabletext"/>
              <w:rPr>
                <w:b/>
                <w:bCs/>
              </w:rPr>
            </w:pPr>
          </w:p>
        </w:tc>
        <w:tc>
          <w:tcPr>
            <w:tcW w:w="2212" w:type="dxa"/>
            <w:tcBorders>
              <w:top w:val="single" w:sz="4" w:space="0" w:color="auto"/>
              <w:bottom w:val="double" w:sz="4" w:space="0" w:color="auto"/>
            </w:tcBorders>
            <w:shd w:val="clear" w:color="auto" w:fill="auto"/>
          </w:tcPr>
          <w:p w14:paraId="2CCD06DA" w14:textId="4B2E45A8" w:rsidR="007266A5" w:rsidRPr="00A66CA2" w:rsidRDefault="007266A5" w:rsidP="007266A5">
            <w:pPr>
              <w:pStyle w:val="Tabletext"/>
              <w:tabs>
                <w:tab w:val="decimal" w:pos="1903"/>
              </w:tabs>
            </w:pPr>
            <w:r w:rsidRPr="00423552">
              <w:rPr>
                <w:b/>
              </w:rPr>
              <w:t>0.4</w:t>
            </w:r>
          </w:p>
        </w:tc>
        <w:tc>
          <w:tcPr>
            <w:tcW w:w="193" w:type="dxa"/>
            <w:tcBorders>
              <w:top w:val="nil"/>
              <w:bottom w:val="nil"/>
            </w:tcBorders>
          </w:tcPr>
          <w:p w14:paraId="508CB73B" w14:textId="77777777" w:rsidR="007266A5" w:rsidRPr="00A66CA2" w:rsidRDefault="007266A5" w:rsidP="007266A5">
            <w:pPr>
              <w:pStyle w:val="Tabletext"/>
            </w:pPr>
          </w:p>
        </w:tc>
        <w:tc>
          <w:tcPr>
            <w:tcW w:w="2213" w:type="dxa"/>
            <w:tcBorders>
              <w:top w:val="single" w:sz="4" w:space="0" w:color="auto"/>
              <w:bottom w:val="double" w:sz="4" w:space="0" w:color="auto"/>
            </w:tcBorders>
            <w:shd w:val="clear" w:color="auto" w:fill="auto"/>
          </w:tcPr>
          <w:p w14:paraId="415E2AB3" w14:textId="53136B47" w:rsidR="007266A5" w:rsidRPr="00F2575A" w:rsidRDefault="007266A5" w:rsidP="007266A5">
            <w:pPr>
              <w:pStyle w:val="Tabletext"/>
              <w:tabs>
                <w:tab w:val="decimal" w:pos="1891"/>
              </w:tabs>
              <w:rPr>
                <w:b/>
                <w:bCs/>
                <w:highlight w:val="yellow"/>
              </w:rPr>
            </w:pPr>
            <w:r w:rsidRPr="00131B4F">
              <w:rPr>
                <w:rFonts w:eastAsia="Times New Roman"/>
                <w:b/>
                <w:szCs w:val="18"/>
                <w:lang w:eastAsia="en-GB"/>
              </w:rPr>
              <w:t>3.2</w:t>
            </w:r>
          </w:p>
        </w:tc>
      </w:tr>
    </w:tbl>
    <w:p w14:paraId="1294F31A" w14:textId="33B6C580" w:rsidR="0052785A" w:rsidRDefault="00913723" w:rsidP="0052785A">
      <w:pPr>
        <w:pStyle w:val="Subheading"/>
      </w:pPr>
      <w:r>
        <w:t>5.</w:t>
      </w:r>
      <w:r w:rsidR="0052785A">
        <w:tab/>
      </w:r>
      <w:r w:rsidR="00940B78">
        <w:t>Finance income and</w:t>
      </w:r>
      <w:r w:rsidR="006C58B4">
        <w:t xml:space="preserve"> f</w:t>
      </w:r>
      <w:r w:rsidR="0052785A">
        <w:t>inance costs</w:t>
      </w:r>
    </w:p>
    <w:p w14:paraId="0FF7EDB9" w14:textId="77777777" w:rsidR="00A87186" w:rsidRPr="00131B4F" w:rsidRDefault="00A87186" w:rsidP="00A87186">
      <w:pPr>
        <w:pStyle w:val="Bodytext0"/>
      </w:pPr>
      <w:r w:rsidRPr="00131B4F">
        <w:t>Finance income com</w:t>
      </w:r>
      <w:r>
        <w:t>prises income earned on the Group’s cash and cash equivalents, being bank deposits and investments in short-term money market funds. Interest on cash and cash equivalents is recognised on an accrual basis using the effective interest method.</w:t>
      </w:r>
    </w:p>
    <w:p w14:paraId="5D2E53B4" w14:textId="77777777" w:rsidR="007D1EF9" w:rsidRDefault="007D1EF9" w:rsidP="0052785A">
      <w:pPr>
        <w:pStyle w:val="Bodytext0"/>
        <w:rPr>
          <w:color w:val="3E5772"/>
        </w:rPr>
      </w:pP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52785A" w:rsidRPr="00955F6B" w14:paraId="25314F49" w14:textId="77777777" w:rsidTr="00B17DE3">
        <w:tc>
          <w:tcPr>
            <w:tcW w:w="3402" w:type="dxa"/>
            <w:tcBorders>
              <w:bottom w:val="nil"/>
            </w:tcBorders>
            <w:vAlign w:val="bottom"/>
          </w:tcPr>
          <w:p w14:paraId="41A877D7" w14:textId="77777777" w:rsidR="0052785A" w:rsidRPr="005405BA" w:rsidRDefault="0052785A" w:rsidP="00B17DE3">
            <w:pPr>
              <w:pStyle w:val="Tableheading"/>
              <w:jc w:val="right"/>
            </w:pPr>
          </w:p>
        </w:tc>
        <w:tc>
          <w:tcPr>
            <w:tcW w:w="2212" w:type="dxa"/>
            <w:tcBorders>
              <w:top w:val="nil"/>
              <w:bottom w:val="nil"/>
            </w:tcBorders>
            <w:vAlign w:val="bottom"/>
          </w:tcPr>
          <w:p w14:paraId="770A39C3" w14:textId="77777777" w:rsidR="0052785A" w:rsidRDefault="0052785A" w:rsidP="00B17DE3">
            <w:pPr>
              <w:pStyle w:val="Tableheading"/>
              <w:jc w:val="right"/>
            </w:pPr>
            <w:r>
              <w:t xml:space="preserve">Six months ended </w:t>
            </w:r>
          </w:p>
          <w:p w14:paraId="5E56D2B1" w14:textId="053CE746" w:rsidR="0052785A" w:rsidRDefault="0052785A" w:rsidP="00B17DE3">
            <w:pPr>
              <w:pStyle w:val="Tableheading"/>
              <w:jc w:val="right"/>
            </w:pPr>
            <w:r>
              <w:tab/>
              <w:t xml:space="preserve">30 June </w:t>
            </w:r>
            <w:r w:rsidR="00E85F7E">
              <w:t>2024</w:t>
            </w:r>
          </w:p>
          <w:p w14:paraId="43DDBD06" w14:textId="77777777" w:rsidR="0052785A" w:rsidRPr="005405BA" w:rsidRDefault="0052785A" w:rsidP="00B17DE3">
            <w:pPr>
              <w:pStyle w:val="Tableheading"/>
              <w:jc w:val="right"/>
            </w:pPr>
            <w:r>
              <w:t>£m</w:t>
            </w:r>
          </w:p>
        </w:tc>
        <w:tc>
          <w:tcPr>
            <w:tcW w:w="193" w:type="dxa"/>
            <w:tcBorders>
              <w:top w:val="nil"/>
              <w:bottom w:val="nil"/>
            </w:tcBorders>
            <w:vAlign w:val="bottom"/>
          </w:tcPr>
          <w:p w14:paraId="2CA95829" w14:textId="77777777" w:rsidR="0052785A" w:rsidRPr="00955F6B" w:rsidRDefault="0052785A" w:rsidP="00B17DE3">
            <w:pPr>
              <w:pStyle w:val="Tableheading"/>
              <w:jc w:val="right"/>
            </w:pPr>
          </w:p>
        </w:tc>
        <w:tc>
          <w:tcPr>
            <w:tcW w:w="2212" w:type="dxa"/>
            <w:tcBorders>
              <w:top w:val="nil"/>
              <w:bottom w:val="nil"/>
            </w:tcBorders>
            <w:vAlign w:val="bottom"/>
          </w:tcPr>
          <w:p w14:paraId="77A7F395" w14:textId="77777777" w:rsidR="0052785A" w:rsidRPr="00367F80" w:rsidRDefault="0052785A" w:rsidP="00B17DE3">
            <w:pPr>
              <w:pStyle w:val="Tableheading"/>
              <w:jc w:val="right"/>
            </w:pPr>
            <w:r w:rsidRPr="00367F80">
              <w:t xml:space="preserve">Six months ended </w:t>
            </w:r>
          </w:p>
          <w:p w14:paraId="0138A168" w14:textId="7F5C3824" w:rsidR="0052785A" w:rsidRPr="00367F80" w:rsidRDefault="0052785A" w:rsidP="00B17DE3">
            <w:pPr>
              <w:pStyle w:val="Tableheading"/>
              <w:jc w:val="right"/>
            </w:pPr>
            <w:r w:rsidRPr="00367F80">
              <w:tab/>
              <w:t xml:space="preserve">30 June </w:t>
            </w:r>
            <w:r w:rsidR="00E85F7E">
              <w:t>2023</w:t>
            </w:r>
          </w:p>
          <w:p w14:paraId="7494B313" w14:textId="77777777" w:rsidR="0052785A" w:rsidRPr="00367F80" w:rsidRDefault="0052785A" w:rsidP="00B17DE3">
            <w:pPr>
              <w:pStyle w:val="Tableheading"/>
              <w:jc w:val="right"/>
            </w:pPr>
            <w:r w:rsidRPr="00367F80">
              <w:t>£m</w:t>
            </w:r>
          </w:p>
        </w:tc>
        <w:tc>
          <w:tcPr>
            <w:tcW w:w="193" w:type="dxa"/>
            <w:tcBorders>
              <w:top w:val="nil"/>
              <w:bottom w:val="nil"/>
            </w:tcBorders>
            <w:vAlign w:val="bottom"/>
          </w:tcPr>
          <w:p w14:paraId="07A6C4C3" w14:textId="77777777" w:rsidR="0052785A" w:rsidRPr="00367F80" w:rsidRDefault="0052785A" w:rsidP="00B17DE3">
            <w:pPr>
              <w:pStyle w:val="Tableheading"/>
              <w:jc w:val="right"/>
            </w:pPr>
          </w:p>
        </w:tc>
        <w:tc>
          <w:tcPr>
            <w:tcW w:w="2213" w:type="dxa"/>
            <w:tcBorders>
              <w:top w:val="nil"/>
              <w:bottom w:val="nil"/>
            </w:tcBorders>
            <w:vAlign w:val="bottom"/>
          </w:tcPr>
          <w:p w14:paraId="23D7183A" w14:textId="77777777" w:rsidR="0052785A" w:rsidRPr="00367F80" w:rsidRDefault="0052785A" w:rsidP="00B17DE3">
            <w:pPr>
              <w:pStyle w:val="Tableheading"/>
              <w:jc w:val="right"/>
            </w:pPr>
            <w:r w:rsidRPr="00367F80">
              <w:t xml:space="preserve">Year ended </w:t>
            </w:r>
          </w:p>
          <w:p w14:paraId="0DC92311" w14:textId="08DA8107" w:rsidR="0052785A" w:rsidRPr="00367F80" w:rsidRDefault="0052785A" w:rsidP="00B17DE3">
            <w:pPr>
              <w:pStyle w:val="Tableheading"/>
              <w:jc w:val="right"/>
            </w:pPr>
            <w:r w:rsidRPr="00367F80">
              <w:t xml:space="preserve">31 December </w:t>
            </w:r>
            <w:r w:rsidR="00E85F7E">
              <w:t>2023</w:t>
            </w:r>
          </w:p>
          <w:p w14:paraId="78530D47" w14:textId="77777777" w:rsidR="0052785A" w:rsidRPr="00367F80" w:rsidRDefault="0052785A" w:rsidP="00B17DE3">
            <w:pPr>
              <w:pStyle w:val="Tableheading"/>
              <w:jc w:val="right"/>
              <w:rPr>
                <w:highlight w:val="yellow"/>
              </w:rPr>
            </w:pPr>
            <w:r w:rsidRPr="00367F80">
              <w:t>£m</w:t>
            </w:r>
          </w:p>
        </w:tc>
      </w:tr>
      <w:tr w:rsidR="00A87186" w:rsidRPr="00A66CA2" w14:paraId="5E3C9122" w14:textId="77777777" w:rsidTr="00F2575A">
        <w:tc>
          <w:tcPr>
            <w:tcW w:w="3402" w:type="dxa"/>
            <w:tcBorders>
              <w:top w:val="nil"/>
              <w:bottom w:val="nil"/>
            </w:tcBorders>
            <w:shd w:val="clear" w:color="auto" w:fill="auto"/>
          </w:tcPr>
          <w:p w14:paraId="6FBB6BF9" w14:textId="48BE7061" w:rsidR="00A87186" w:rsidRPr="009A0E69" w:rsidRDefault="00A87186" w:rsidP="00A87186">
            <w:pPr>
              <w:pStyle w:val="Tabletext"/>
            </w:pPr>
            <w:r w:rsidRPr="00396809">
              <w:rPr>
                <w:rFonts w:eastAsia="Times New Roman"/>
                <w:szCs w:val="18"/>
                <w:lang w:eastAsia="en-GB"/>
              </w:rPr>
              <w:t xml:space="preserve">Interest on </w:t>
            </w:r>
            <w:r>
              <w:rPr>
                <w:rFonts w:eastAsia="Times New Roman"/>
                <w:szCs w:val="18"/>
                <w:lang w:eastAsia="en-GB"/>
              </w:rPr>
              <w:t>bank deposits</w:t>
            </w:r>
            <w:r w:rsidRPr="00396809">
              <w:rPr>
                <w:rFonts w:eastAsia="Times New Roman"/>
                <w:szCs w:val="18"/>
                <w:lang w:eastAsia="en-GB"/>
              </w:rPr>
              <w:t xml:space="preserve"> </w:t>
            </w:r>
          </w:p>
        </w:tc>
        <w:tc>
          <w:tcPr>
            <w:tcW w:w="2212" w:type="dxa"/>
            <w:tcBorders>
              <w:top w:val="nil"/>
              <w:bottom w:val="nil"/>
            </w:tcBorders>
            <w:shd w:val="clear" w:color="auto" w:fill="auto"/>
          </w:tcPr>
          <w:p w14:paraId="042A221A" w14:textId="1714AEDA" w:rsidR="00A87186" w:rsidRPr="004E04F0" w:rsidRDefault="00D14CFF" w:rsidP="00577845">
            <w:pPr>
              <w:pStyle w:val="Tabletext"/>
              <w:tabs>
                <w:tab w:val="decimal" w:pos="1845"/>
              </w:tabs>
            </w:pPr>
            <w:r>
              <w:t>1.9</w:t>
            </w:r>
          </w:p>
        </w:tc>
        <w:tc>
          <w:tcPr>
            <w:tcW w:w="193" w:type="dxa"/>
            <w:tcBorders>
              <w:top w:val="nil"/>
              <w:bottom w:val="nil"/>
            </w:tcBorders>
          </w:tcPr>
          <w:p w14:paraId="5F6AEF9F" w14:textId="77777777" w:rsidR="00A87186" w:rsidRPr="00A66CA2" w:rsidRDefault="00A87186" w:rsidP="00A87186">
            <w:pPr>
              <w:pStyle w:val="Tabletext"/>
            </w:pPr>
          </w:p>
        </w:tc>
        <w:tc>
          <w:tcPr>
            <w:tcW w:w="2212" w:type="dxa"/>
            <w:tcBorders>
              <w:top w:val="nil"/>
              <w:bottom w:val="nil"/>
            </w:tcBorders>
            <w:shd w:val="clear" w:color="auto" w:fill="auto"/>
          </w:tcPr>
          <w:p w14:paraId="24779F19" w14:textId="2B64608C" w:rsidR="00A87186" w:rsidRPr="001C5115" w:rsidRDefault="001C5115" w:rsidP="00A87186">
            <w:pPr>
              <w:pStyle w:val="Tabletext"/>
              <w:tabs>
                <w:tab w:val="decimal" w:pos="1930"/>
              </w:tabs>
            </w:pPr>
            <w:r w:rsidRPr="001C5115">
              <w:t>1.3</w:t>
            </w:r>
          </w:p>
        </w:tc>
        <w:tc>
          <w:tcPr>
            <w:tcW w:w="193" w:type="dxa"/>
            <w:tcBorders>
              <w:top w:val="nil"/>
              <w:bottom w:val="nil"/>
            </w:tcBorders>
          </w:tcPr>
          <w:p w14:paraId="1C1F50FC" w14:textId="77777777" w:rsidR="00A87186" w:rsidRPr="00A66CA2" w:rsidRDefault="00A87186" w:rsidP="00A87186">
            <w:pPr>
              <w:pStyle w:val="Tabletext"/>
            </w:pPr>
          </w:p>
        </w:tc>
        <w:tc>
          <w:tcPr>
            <w:tcW w:w="2213" w:type="dxa"/>
            <w:tcBorders>
              <w:top w:val="nil"/>
              <w:bottom w:val="nil"/>
            </w:tcBorders>
            <w:shd w:val="clear" w:color="auto" w:fill="auto"/>
          </w:tcPr>
          <w:p w14:paraId="78729149" w14:textId="590EAA05" w:rsidR="00A87186" w:rsidRPr="001C5115" w:rsidRDefault="001C5115" w:rsidP="00A87186">
            <w:pPr>
              <w:pStyle w:val="Tabletext"/>
              <w:tabs>
                <w:tab w:val="decimal" w:pos="1923"/>
              </w:tabs>
            </w:pPr>
            <w:r w:rsidRPr="001C5115">
              <w:rPr>
                <w:rFonts w:eastAsia="Times New Roman"/>
                <w:szCs w:val="18"/>
                <w:lang w:eastAsia="en-GB"/>
              </w:rPr>
              <w:t>3.5</w:t>
            </w:r>
          </w:p>
        </w:tc>
      </w:tr>
      <w:tr w:rsidR="00A87186" w:rsidRPr="00A66CA2" w14:paraId="717333BF" w14:textId="77777777" w:rsidTr="00F2575A">
        <w:tc>
          <w:tcPr>
            <w:tcW w:w="3402" w:type="dxa"/>
            <w:tcBorders>
              <w:top w:val="nil"/>
              <w:bottom w:val="nil"/>
            </w:tcBorders>
            <w:shd w:val="clear" w:color="auto" w:fill="auto"/>
          </w:tcPr>
          <w:p w14:paraId="5498A9AE" w14:textId="4D37FD6D" w:rsidR="00A87186" w:rsidRPr="009A0E69" w:rsidRDefault="00A87186" w:rsidP="00A87186">
            <w:pPr>
              <w:pStyle w:val="Tabletext"/>
            </w:pPr>
            <w:r w:rsidRPr="00396809">
              <w:rPr>
                <w:rFonts w:eastAsia="Times New Roman"/>
                <w:szCs w:val="18"/>
                <w:lang w:eastAsia="en-GB"/>
              </w:rPr>
              <w:t xml:space="preserve">Interest on </w:t>
            </w:r>
            <w:r>
              <w:rPr>
                <w:rFonts w:eastAsia="Times New Roman"/>
                <w:szCs w:val="18"/>
                <w:lang w:eastAsia="en-GB"/>
              </w:rPr>
              <w:t>short-term money market fund investments</w:t>
            </w:r>
            <w:r w:rsidRPr="00396809">
              <w:rPr>
                <w:rFonts w:eastAsia="Times New Roman"/>
                <w:szCs w:val="18"/>
                <w:lang w:eastAsia="en-GB"/>
              </w:rPr>
              <w:t xml:space="preserve"> </w:t>
            </w:r>
          </w:p>
        </w:tc>
        <w:tc>
          <w:tcPr>
            <w:tcW w:w="2212" w:type="dxa"/>
            <w:tcBorders>
              <w:top w:val="nil"/>
              <w:bottom w:val="nil"/>
            </w:tcBorders>
            <w:shd w:val="clear" w:color="auto" w:fill="auto"/>
          </w:tcPr>
          <w:p w14:paraId="7FB25A5D" w14:textId="78401211" w:rsidR="00A87186" w:rsidRPr="004E04F0" w:rsidRDefault="00D14CFF" w:rsidP="00577845">
            <w:pPr>
              <w:pStyle w:val="Tabletext"/>
              <w:tabs>
                <w:tab w:val="decimal" w:pos="1845"/>
              </w:tabs>
            </w:pPr>
            <w:r>
              <w:t>2.2</w:t>
            </w:r>
          </w:p>
        </w:tc>
        <w:tc>
          <w:tcPr>
            <w:tcW w:w="193" w:type="dxa"/>
            <w:tcBorders>
              <w:top w:val="nil"/>
              <w:bottom w:val="nil"/>
            </w:tcBorders>
          </w:tcPr>
          <w:p w14:paraId="7841A009" w14:textId="77777777" w:rsidR="00A87186" w:rsidRPr="00A66CA2" w:rsidRDefault="00A87186" w:rsidP="00A87186">
            <w:pPr>
              <w:pStyle w:val="Tabletext"/>
            </w:pPr>
          </w:p>
        </w:tc>
        <w:tc>
          <w:tcPr>
            <w:tcW w:w="2212" w:type="dxa"/>
            <w:tcBorders>
              <w:top w:val="nil"/>
              <w:bottom w:val="nil"/>
            </w:tcBorders>
            <w:shd w:val="clear" w:color="auto" w:fill="auto"/>
          </w:tcPr>
          <w:p w14:paraId="08A57C06" w14:textId="48C9E680" w:rsidR="00A87186" w:rsidRPr="001C5115" w:rsidRDefault="001C5115" w:rsidP="00A87186">
            <w:pPr>
              <w:pStyle w:val="Tabletext"/>
              <w:tabs>
                <w:tab w:val="decimal" w:pos="1930"/>
              </w:tabs>
            </w:pPr>
            <w:r w:rsidRPr="001C5115">
              <w:t>-</w:t>
            </w:r>
          </w:p>
        </w:tc>
        <w:tc>
          <w:tcPr>
            <w:tcW w:w="193" w:type="dxa"/>
            <w:tcBorders>
              <w:top w:val="nil"/>
              <w:bottom w:val="nil"/>
            </w:tcBorders>
          </w:tcPr>
          <w:p w14:paraId="4F93A44E" w14:textId="77777777" w:rsidR="00A87186" w:rsidRPr="00A66CA2" w:rsidRDefault="00A87186" w:rsidP="00A87186">
            <w:pPr>
              <w:pStyle w:val="Tabletext"/>
            </w:pPr>
          </w:p>
        </w:tc>
        <w:tc>
          <w:tcPr>
            <w:tcW w:w="2213" w:type="dxa"/>
            <w:tcBorders>
              <w:top w:val="nil"/>
              <w:bottom w:val="nil"/>
            </w:tcBorders>
            <w:shd w:val="clear" w:color="auto" w:fill="auto"/>
          </w:tcPr>
          <w:p w14:paraId="6E133207" w14:textId="49BDF418" w:rsidR="00A87186" w:rsidRPr="001C5115" w:rsidRDefault="001C5115" w:rsidP="00A87186">
            <w:pPr>
              <w:pStyle w:val="Tabletext"/>
              <w:tabs>
                <w:tab w:val="decimal" w:pos="1923"/>
              </w:tabs>
            </w:pPr>
            <w:r w:rsidRPr="001C5115">
              <w:rPr>
                <w:rFonts w:eastAsia="Times New Roman"/>
                <w:szCs w:val="18"/>
                <w:lang w:eastAsia="en-GB"/>
              </w:rPr>
              <w:t>2.3</w:t>
            </w:r>
          </w:p>
        </w:tc>
      </w:tr>
      <w:tr w:rsidR="007266A5" w:rsidRPr="00A66CA2" w14:paraId="2C533A4B" w14:textId="77777777" w:rsidTr="00F2575A">
        <w:tc>
          <w:tcPr>
            <w:tcW w:w="3402" w:type="dxa"/>
            <w:tcBorders>
              <w:top w:val="nil"/>
              <w:bottom w:val="nil"/>
            </w:tcBorders>
            <w:shd w:val="clear" w:color="auto" w:fill="auto"/>
          </w:tcPr>
          <w:p w14:paraId="5BCC03BD" w14:textId="4B17DB3E" w:rsidR="007266A5" w:rsidRPr="00851326" w:rsidRDefault="007266A5" w:rsidP="007266A5">
            <w:pPr>
              <w:pStyle w:val="Tabletext"/>
              <w:rPr>
                <w:b/>
                <w:bCs/>
              </w:rPr>
            </w:pPr>
          </w:p>
        </w:tc>
        <w:tc>
          <w:tcPr>
            <w:tcW w:w="2212" w:type="dxa"/>
            <w:tcBorders>
              <w:top w:val="single" w:sz="4" w:space="0" w:color="auto"/>
              <w:bottom w:val="double" w:sz="4" w:space="0" w:color="auto"/>
            </w:tcBorders>
            <w:shd w:val="clear" w:color="auto" w:fill="auto"/>
          </w:tcPr>
          <w:p w14:paraId="3CB85E19" w14:textId="5CA6372F" w:rsidR="007266A5" w:rsidRPr="00AA3020" w:rsidRDefault="002B0587" w:rsidP="00577845">
            <w:pPr>
              <w:pStyle w:val="Tabletext"/>
              <w:tabs>
                <w:tab w:val="decimal" w:pos="1845"/>
              </w:tabs>
              <w:rPr>
                <w:b/>
                <w:bCs/>
              </w:rPr>
            </w:pPr>
            <w:r>
              <w:rPr>
                <w:b/>
                <w:bCs/>
              </w:rPr>
              <w:t>4.1</w:t>
            </w:r>
          </w:p>
        </w:tc>
        <w:tc>
          <w:tcPr>
            <w:tcW w:w="193" w:type="dxa"/>
            <w:tcBorders>
              <w:top w:val="nil"/>
              <w:bottom w:val="nil"/>
            </w:tcBorders>
          </w:tcPr>
          <w:p w14:paraId="07FEC944" w14:textId="77777777" w:rsidR="007266A5" w:rsidRPr="00423552" w:rsidRDefault="007266A5" w:rsidP="007266A5">
            <w:pPr>
              <w:pStyle w:val="Tabletext"/>
              <w:rPr>
                <w:b/>
              </w:rPr>
            </w:pPr>
          </w:p>
        </w:tc>
        <w:tc>
          <w:tcPr>
            <w:tcW w:w="2212" w:type="dxa"/>
            <w:tcBorders>
              <w:top w:val="single" w:sz="4" w:space="0" w:color="auto"/>
              <w:bottom w:val="double" w:sz="4" w:space="0" w:color="auto"/>
            </w:tcBorders>
            <w:shd w:val="clear" w:color="auto" w:fill="auto"/>
          </w:tcPr>
          <w:p w14:paraId="547BE38F" w14:textId="52232421" w:rsidR="007266A5" w:rsidRPr="001C5115" w:rsidRDefault="001C5115" w:rsidP="007266A5">
            <w:pPr>
              <w:pStyle w:val="Tabletext"/>
              <w:tabs>
                <w:tab w:val="decimal" w:pos="1930"/>
              </w:tabs>
            </w:pPr>
            <w:r w:rsidRPr="001C5115">
              <w:rPr>
                <w:b/>
              </w:rPr>
              <w:t>1.3</w:t>
            </w:r>
          </w:p>
        </w:tc>
        <w:tc>
          <w:tcPr>
            <w:tcW w:w="193" w:type="dxa"/>
            <w:tcBorders>
              <w:top w:val="nil"/>
              <w:bottom w:val="nil"/>
            </w:tcBorders>
          </w:tcPr>
          <w:p w14:paraId="2FD5C515" w14:textId="77777777" w:rsidR="007266A5" w:rsidRPr="00A66CA2" w:rsidRDefault="007266A5" w:rsidP="007266A5">
            <w:pPr>
              <w:pStyle w:val="Tabletext"/>
            </w:pPr>
          </w:p>
        </w:tc>
        <w:tc>
          <w:tcPr>
            <w:tcW w:w="2213" w:type="dxa"/>
            <w:tcBorders>
              <w:top w:val="single" w:sz="4" w:space="0" w:color="auto"/>
              <w:bottom w:val="double" w:sz="4" w:space="0" w:color="auto"/>
            </w:tcBorders>
            <w:shd w:val="clear" w:color="auto" w:fill="auto"/>
          </w:tcPr>
          <w:p w14:paraId="36F69231" w14:textId="2C412FBB" w:rsidR="007266A5" w:rsidRPr="001C5115" w:rsidRDefault="001C5115" w:rsidP="007266A5">
            <w:pPr>
              <w:pStyle w:val="Tabletext"/>
              <w:tabs>
                <w:tab w:val="decimal" w:pos="1923"/>
              </w:tabs>
              <w:rPr>
                <w:b/>
                <w:bCs/>
              </w:rPr>
            </w:pPr>
            <w:r w:rsidRPr="001C5115">
              <w:rPr>
                <w:rFonts w:eastAsia="Times New Roman"/>
                <w:b/>
                <w:bCs/>
                <w:szCs w:val="18"/>
                <w:lang w:eastAsia="en-GB"/>
              </w:rPr>
              <w:t>5.8</w:t>
            </w:r>
          </w:p>
        </w:tc>
      </w:tr>
    </w:tbl>
    <w:p w14:paraId="7EC3A893" w14:textId="77777777" w:rsidR="00A87186" w:rsidRDefault="00A87186" w:rsidP="00A87186">
      <w:pPr>
        <w:pStyle w:val="Bodytext0"/>
      </w:pPr>
    </w:p>
    <w:p w14:paraId="2EF19FDA" w14:textId="45EBB676" w:rsidR="00A87186" w:rsidRDefault="00A87186" w:rsidP="00A87186">
      <w:pPr>
        <w:pStyle w:val="Bodytext0"/>
      </w:pPr>
      <w:r>
        <w:t>Finance</w:t>
      </w:r>
      <w:r w:rsidRPr="00396809">
        <w:t xml:space="preserve"> costs principally relate to interest payable on Tier 2 subordinated debt notes (see Note </w:t>
      </w:r>
      <w:r>
        <w:t>13</w:t>
      </w:r>
      <w:r w:rsidRPr="00396809">
        <w:t xml:space="preserve">) and the unwinding of the discount applied to lease liabilities. </w:t>
      </w:r>
      <w:r>
        <w:t>F</w:t>
      </w:r>
      <w:r w:rsidRPr="00396809">
        <w:t>inance costs also include ancillary charges for commitment fees and arrangement fees associated with the revolving credit facility. Interest payable is charged on an accrual basis using the effective interest method.</w:t>
      </w:r>
    </w:p>
    <w:p w14:paraId="65631919" w14:textId="77777777" w:rsidR="00A87186" w:rsidRDefault="00A87186" w:rsidP="00A87186">
      <w:pPr>
        <w:pStyle w:val="Bodytext0"/>
      </w:pP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A87186" w:rsidRPr="00367F80" w14:paraId="547D1BB7" w14:textId="77777777">
        <w:tc>
          <w:tcPr>
            <w:tcW w:w="3402" w:type="dxa"/>
            <w:tcBorders>
              <w:bottom w:val="nil"/>
            </w:tcBorders>
            <w:vAlign w:val="bottom"/>
          </w:tcPr>
          <w:p w14:paraId="0F8CB452" w14:textId="77777777" w:rsidR="00A87186" w:rsidRPr="005405BA" w:rsidRDefault="00A87186">
            <w:pPr>
              <w:pStyle w:val="Tableheading"/>
              <w:jc w:val="right"/>
            </w:pPr>
          </w:p>
        </w:tc>
        <w:tc>
          <w:tcPr>
            <w:tcW w:w="2212" w:type="dxa"/>
            <w:tcBorders>
              <w:top w:val="nil"/>
              <w:bottom w:val="nil"/>
            </w:tcBorders>
            <w:vAlign w:val="bottom"/>
          </w:tcPr>
          <w:p w14:paraId="23EE677C" w14:textId="77777777" w:rsidR="00A87186" w:rsidRDefault="00A87186">
            <w:pPr>
              <w:pStyle w:val="Tableheading"/>
              <w:jc w:val="right"/>
            </w:pPr>
            <w:r>
              <w:t xml:space="preserve">Six months ended </w:t>
            </w:r>
          </w:p>
          <w:p w14:paraId="0C04D4A5" w14:textId="77777777" w:rsidR="00A87186" w:rsidRDefault="00A87186">
            <w:pPr>
              <w:pStyle w:val="Tableheading"/>
              <w:jc w:val="right"/>
            </w:pPr>
            <w:r>
              <w:tab/>
              <w:t>30 June 2024</w:t>
            </w:r>
          </w:p>
          <w:p w14:paraId="305E7431" w14:textId="77777777" w:rsidR="00A87186" w:rsidRPr="005405BA" w:rsidRDefault="00A87186">
            <w:pPr>
              <w:pStyle w:val="Tableheading"/>
              <w:jc w:val="right"/>
            </w:pPr>
            <w:r>
              <w:t>£m</w:t>
            </w:r>
          </w:p>
        </w:tc>
        <w:tc>
          <w:tcPr>
            <w:tcW w:w="193" w:type="dxa"/>
            <w:tcBorders>
              <w:top w:val="nil"/>
              <w:bottom w:val="nil"/>
            </w:tcBorders>
            <w:vAlign w:val="bottom"/>
          </w:tcPr>
          <w:p w14:paraId="329C42C2" w14:textId="77777777" w:rsidR="00A87186" w:rsidRPr="00955F6B" w:rsidRDefault="00A87186">
            <w:pPr>
              <w:pStyle w:val="Tableheading"/>
              <w:jc w:val="right"/>
            </w:pPr>
          </w:p>
        </w:tc>
        <w:tc>
          <w:tcPr>
            <w:tcW w:w="2212" w:type="dxa"/>
            <w:tcBorders>
              <w:top w:val="nil"/>
              <w:bottom w:val="nil"/>
            </w:tcBorders>
            <w:vAlign w:val="bottom"/>
          </w:tcPr>
          <w:p w14:paraId="2FB9E6D7" w14:textId="77777777" w:rsidR="00A87186" w:rsidRPr="00367F80" w:rsidRDefault="00A87186">
            <w:pPr>
              <w:pStyle w:val="Tableheading"/>
              <w:jc w:val="right"/>
            </w:pPr>
            <w:r w:rsidRPr="00367F80">
              <w:t xml:space="preserve">Six months ended </w:t>
            </w:r>
          </w:p>
          <w:p w14:paraId="09D9A232" w14:textId="77777777" w:rsidR="00A87186" w:rsidRPr="00367F80" w:rsidRDefault="00A87186">
            <w:pPr>
              <w:pStyle w:val="Tableheading"/>
              <w:jc w:val="right"/>
            </w:pPr>
            <w:r w:rsidRPr="00367F80">
              <w:tab/>
              <w:t xml:space="preserve">30 June </w:t>
            </w:r>
            <w:r>
              <w:t>2023</w:t>
            </w:r>
          </w:p>
          <w:p w14:paraId="7D3014B4" w14:textId="77777777" w:rsidR="00A87186" w:rsidRPr="00367F80" w:rsidRDefault="00A87186">
            <w:pPr>
              <w:pStyle w:val="Tableheading"/>
              <w:jc w:val="right"/>
            </w:pPr>
            <w:r w:rsidRPr="00367F80">
              <w:t>£m</w:t>
            </w:r>
          </w:p>
        </w:tc>
        <w:tc>
          <w:tcPr>
            <w:tcW w:w="193" w:type="dxa"/>
            <w:tcBorders>
              <w:top w:val="nil"/>
              <w:bottom w:val="nil"/>
            </w:tcBorders>
            <w:vAlign w:val="bottom"/>
          </w:tcPr>
          <w:p w14:paraId="3897349A" w14:textId="77777777" w:rsidR="00A87186" w:rsidRPr="00367F80" w:rsidRDefault="00A87186">
            <w:pPr>
              <w:pStyle w:val="Tableheading"/>
              <w:jc w:val="right"/>
            </w:pPr>
          </w:p>
        </w:tc>
        <w:tc>
          <w:tcPr>
            <w:tcW w:w="2213" w:type="dxa"/>
            <w:tcBorders>
              <w:top w:val="nil"/>
              <w:bottom w:val="nil"/>
            </w:tcBorders>
            <w:vAlign w:val="bottom"/>
          </w:tcPr>
          <w:p w14:paraId="1BC9D17D" w14:textId="77777777" w:rsidR="00A87186" w:rsidRPr="00367F80" w:rsidRDefault="00A87186">
            <w:pPr>
              <w:pStyle w:val="Tableheading"/>
              <w:jc w:val="right"/>
            </w:pPr>
            <w:r w:rsidRPr="00367F80">
              <w:t xml:space="preserve">Year ended </w:t>
            </w:r>
          </w:p>
          <w:p w14:paraId="28765E36" w14:textId="77777777" w:rsidR="00A87186" w:rsidRPr="00367F80" w:rsidRDefault="00A87186">
            <w:pPr>
              <w:pStyle w:val="Tableheading"/>
              <w:jc w:val="right"/>
            </w:pPr>
            <w:r w:rsidRPr="00367F80">
              <w:t xml:space="preserve">31 December </w:t>
            </w:r>
            <w:r>
              <w:t>2023</w:t>
            </w:r>
          </w:p>
          <w:p w14:paraId="60090120" w14:textId="77777777" w:rsidR="00A87186" w:rsidRPr="00367F80" w:rsidRDefault="00A87186">
            <w:pPr>
              <w:pStyle w:val="Tableheading"/>
              <w:jc w:val="right"/>
              <w:rPr>
                <w:highlight w:val="yellow"/>
              </w:rPr>
            </w:pPr>
            <w:r w:rsidRPr="00367F80">
              <w:t>£m</w:t>
            </w:r>
          </w:p>
        </w:tc>
      </w:tr>
      <w:tr w:rsidR="001C5115" w:rsidRPr="007266A5" w14:paraId="7616BD40" w14:textId="77777777">
        <w:tc>
          <w:tcPr>
            <w:tcW w:w="3402" w:type="dxa"/>
            <w:tcBorders>
              <w:top w:val="nil"/>
              <w:bottom w:val="nil"/>
            </w:tcBorders>
            <w:shd w:val="clear" w:color="auto" w:fill="auto"/>
          </w:tcPr>
          <w:p w14:paraId="5E9D1551" w14:textId="48014D30" w:rsidR="001C5115" w:rsidRPr="009A0E69" w:rsidRDefault="001C5115" w:rsidP="001C5115">
            <w:pPr>
              <w:pStyle w:val="Tabletext"/>
            </w:pPr>
            <w:r w:rsidRPr="00396809">
              <w:rPr>
                <w:rFonts w:eastAsia="Times New Roman"/>
                <w:szCs w:val="18"/>
                <w:lang w:eastAsia="en-GB"/>
              </w:rPr>
              <w:t xml:space="preserve">Interest on subordinated debt </w:t>
            </w:r>
          </w:p>
        </w:tc>
        <w:tc>
          <w:tcPr>
            <w:tcW w:w="2212" w:type="dxa"/>
            <w:tcBorders>
              <w:top w:val="nil"/>
              <w:bottom w:val="nil"/>
            </w:tcBorders>
            <w:shd w:val="clear" w:color="auto" w:fill="auto"/>
          </w:tcPr>
          <w:p w14:paraId="4B47BC76" w14:textId="69F19425" w:rsidR="001C5115" w:rsidRPr="004E04F0" w:rsidRDefault="00930FD6" w:rsidP="00577845">
            <w:pPr>
              <w:pStyle w:val="Tabletext"/>
              <w:tabs>
                <w:tab w:val="decimal" w:pos="1845"/>
              </w:tabs>
            </w:pPr>
            <w:r>
              <w:t>2.3</w:t>
            </w:r>
          </w:p>
        </w:tc>
        <w:tc>
          <w:tcPr>
            <w:tcW w:w="193" w:type="dxa"/>
            <w:tcBorders>
              <w:top w:val="nil"/>
              <w:bottom w:val="nil"/>
            </w:tcBorders>
          </w:tcPr>
          <w:p w14:paraId="1A15D442" w14:textId="77777777" w:rsidR="001C5115" w:rsidRPr="00A66CA2" w:rsidRDefault="001C5115" w:rsidP="001C5115">
            <w:pPr>
              <w:pStyle w:val="Tabletext"/>
            </w:pPr>
          </w:p>
        </w:tc>
        <w:tc>
          <w:tcPr>
            <w:tcW w:w="2212" w:type="dxa"/>
            <w:tcBorders>
              <w:top w:val="nil"/>
              <w:bottom w:val="nil"/>
            </w:tcBorders>
            <w:shd w:val="clear" w:color="auto" w:fill="auto"/>
          </w:tcPr>
          <w:p w14:paraId="527CB633" w14:textId="0FFB12CA" w:rsidR="001C5115" w:rsidRPr="00CD5A0E" w:rsidRDefault="001C5115" w:rsidP="001C5115">
            <w:pPr>
              <w:pStyle w:val="Tabletext"/>
              <w:tabs>
                <w:tab w:val="decimal" w:pos="1930"/>
              </w:tabs>
              <w:rPr>
                <w:highlight w:val="yellow"/>
              </w:rPr>
            </w:pPr>
            <w:r w:rsidRPr="00F2575A">
              <w:t>2.3</w:t>
            </w:r>
          </w:p>
        </w:tc>
        <w:tc>
          <w:tcPr>
            <w:tcW w:w="193" w:type="dxa"/>
            <w:tcBorders>
              <w:top w:val="nil"/>
              <w:bottom w:val="nil"/>
            </w:tcBorders>
          </w:tcPr>
          <w:p w14:paraId="1566B4A5" w14:textId="77777777" w:rsidR="001C5115" w:rsidRPr="00A66CA2" w:rsidRDefault="001C5115" w:rsidP="001C5115">
            <w:pPr>
              <w:pStyle w:val="Tabletext"/>
            </w:pPr>
          </w:p>
        </w:tc>
        <w:tc>
          <w:tcPr>
            <w:tcW w:w="2213" w:type="dxa"/>
            <w:tcBorders>
              <w:top w:val="nil"/>
              <w:bottom w:val="nil"/>
            </w:tcBorders>
            <w:shd w:val="clear" w:color="auto" w:fill="auto"/>
            <w:vAlign w:val="bottom"/>
          </w:tcPr>
          <w:p w14:paraId="202CE9EC" w14:textId="671696E3" w:rsidR="001C5115" w:rsidRPr="007266A5" w:rsidRDefault="001C5115" w:rsidP="001C5115">
            <w:pPr>
              <w:pStyle w:val="Tabletext"/>
              <w:tabs>
                <w:tab w:val="decimal" w:pos="1923"/>
              </w:tabs>
              <w:rPr>
                <w:highlight w:val="yellow"/>
              </w:rPr>
            </w:pPr>
            <w:r w:rsidRPr="00131B4F">
              <w:rPr>
                <w:rFonts w:eastAsia="Times New Roman"/>
                <w:szCs w:val="18"/>
                <w:lang w:eastAsia="en-GB"/>
              </w:rPr>
              <w:t>4.5</w:t>
            </w:r>
          </w:p>
        </w:tc>
      </w:tr>
      <w:tr w:rsidR="001C5115" w:rsidRPr="007266A5" w14:paraId="5CC9489C" w14:textId="77777777">
        <w:tc>
          <w:tcPr>
            <w:tcW w:w="3402" w:type="dxa"/>
            <w:tcBorders>
              <w:top w:val="nil"/>
              <w:bottom w:val="nil"/>
            </w:tcBorders>
            <w:shd w:val="clear" w:color="auto" w:fill="auto"/>
          </w:tcPr>
          <w:p w14:paraId="61673B21" w14:textId="5F470DCA" w:rsidR="001C5115" w:rsidRPr="009A0E69" w:rsidRDefault="001C5115" w:rsidP="001C5115">
            <w:pPr>
              <w:pStyle w:val="Tabletext"/>
            </w:pPr>
            <w:r w:rsidRPr="00396809">
              <w:rPr>
                <w:rFonts w:eastAsia="Times New Roman"/>
                <w:szCs w:val="18"/>
                <w:lang w:eastAsia="en-GB"/>
              </w:rPr>
              <w:t xml:space="preserve">Interest on lease liabilities </w:t>
            </w:r>
          </w:p>
        </w:tc>
        <w:tc>
          <w:tcPr>
            <w:tcW w:w="2212" w:type="dxa"/>
            <w:tcBorders>
              <w:top w:val="nil"/>
              <w:bottom w:val="nil"/>
            </w:tcBorders>
            <w:shd w:val="clear" w:color="auto" w:fill="auto"/>
          </w:tcPr>
          <w:p w14:paraId="50545CFE" w14:textId="5E1D2950" w:rsidR="001C5115" w:rsidRPr="004E04F0" w:rsidRDefault="00930FD6" w:rsidP="00577845">
            <w:pPr>
              <w:pStyle w:val="Tabletext"/>
              <w:tabs>
                <w:tab w:val="decimal" w:pos="1845"/>
              </w:tabs>
            </w:pPr>
            <w:r>
              <w:t>0.7</w:t>
            </w:r>
          </w:p>
        </w:tc>
        <w:tc>
          <w:tcPr>
            <w:tcW w:w="193" w:type="dxa"/>
            <w:tcBorders>
              <w:top w:val="nil"/>
              <w:bottom w:val="nil"/>
            </w:tcBorders>
          </w:tcPr>
          <w:p w14:paraId="4F806DB7" w14:textId="77777777" w:rsidR="001C5115" w:rsidRPr="00A66CA2" w:rsidRDefault="001C5115" w:rsidP="001C5115">
            <w:pPr>
              <w:pStyle w:val="Tabletext"/>
            </w:pPr>
          </w:p>
        </w:tc>
        <w:tc>
          <w:tcPr>
            <w:tcW w:w="2212" w:type="dxa"/>
            <w:tcBorders>
              <w:top w:val="nil"/>
              <w:bottom w:val="nil"/>
            </w:tcBorders>
            <w:shd w:val="clear" w:color="auto" w:fill="auto"/>
          </w:tcPr>
          <w:p w14:paraId="0CFDDF79" w14:textId="307829EF" w:rsidR="001C5115" w:rsidRPr="00CD5A0E" w:rsidRDefault="001C5115" w:rsidP="001C5115">
            <w:pPr>
              <w:pStyle w:val="Tabletext"/>
              <w:tabs>
                <w:tab w:val="decimal" w:pos="1930"/>
              </w:tabs>
              <w:rPr>
                <w:highlight w:val="yellow"/>
              </w:rPr>
            </w:pPr>
            <w:r w:rsidRPr="00F2575A">
              <w:t>0.7</w:t>
            </w:r>
          </w:p>
        </w:tc>
        <w:tc>
          <w:tcPr>
            <w:tcW w:w="193" w:type="dxa"/>
            <w:tcBorders>
              <w:top w:val="nil"/>
              <w:bottom w:val="nil"/>
            </w:tcBorders>
          </w:tcPr>
          <w:p w14:paraId="0272DE35" w14:textId="77777777" w:rsidR="001C5115" w:rsidRPr="00A66CA2" w:rsidRDefault="001C5115" w:rsidP="001C5115">
            <w:pPr>
              <w:pStyle w:val="Tabletext"/>
            </w:pPr>
          </w:p>
        </w:tc>
        <w:tc>
          <w:tcPr>
            <w:tcW w:w="2213" w:type="dxa"/>
            <w:tcBorders>
              <w:top w:val="nil"/>
              <w:bottom w:val="nil"/>
            </w:tcBorders>
            <w:shd w:val="clear" w:color="auto" w:fill="auto"/>
          </w:tcPr>
          <w:p w14:paraId="0BC3420B" w14:textId="7C77F55C" w:rsidR="001C5115" w:rsidRPr="007266A5" w:rsidRDefault="001C5115" w:rsidP="001C5115">
            <w:pPr>
              <w:pStyle w:val="Tabletext"/>
              <w:tabs>
                <w:tab w:val="decimal" w:pos="1923"/>
              </w:tabs>
              <w:rPr>
                <w:highlight w:val="yellow"/>
              </w:rPr>
            </w:pPr>
            <w:r w:rsidRPr="00131B4F">
              <w:rPr>
                <w:rFonts w:eastAsia="Times New Roman"/>
                <w:szCs w:val="18"/>
                <w:lang w:eastAsia="en-GB"/>
              </w:rPr>
              <w:t>1.5</w:t>
            </w:r>
          </w:p>
        </w:tc>
      </w:tr>
      <w:tr w:rsidR="001C5115" w:rsidRPr="007266A5" w14:paraId="002EE9CC" w14:textId="77777777">
        <w:tc>
          <w:tcPr>
            <w:tcW w:w="3402" w:type="dxa"/>
            <w:tcBorders>
              <w:top w:val="nil"/>
              <w:bottom w:val="nil"/>
            </w:tcBorders>
            <w:shd w:val="clear" w:color="auto" w:fill="auto"/>
          </w:tcPr>
          <w:p w14:paraId="30F36460" w14:textId="56BBD461" w:rsidR="001C5115" w:rsidRPr="009A0E69" w:rsidRDefault="001C5115" w:rsidP="001C5115">
            <w:pPr>
              <w:pStyle w:val="Tabletext"/>
            </w:pPr>
            <w:r w:rsidRPr="00396809">
              <w:rPr>
                <w:rFonts w:eastAsia="Times New Roman"/>
                <w:szCs w:val="18"/>
                <w:lang w:eastAsia="en-GB"/>
              </w:rPr>
              <w:t xml:space="preserve">Finance cost on the revolving credit facility </w:t>
            </w:r>
          </w:p>
        </w:tc>
        <w:tc>
          <w:tcPr>
            <w:tcW w:w="2212" w:type="dxa"/>
            <w:tcBorders>
              <w:top w:val="nil"/>
              <w:bottom w:val="nil"/>
            </w:tcBorders>
            <w:shd w:val="clear" w:color="auto" w:fill="auto"/>
          </w:tcPr>
          <w:p w14:paraId="045E8E05" w14:textId="4650CF32" w:rsidR="001C5115" w:rsidRPr="004E04F0" w:rsidRDefault="00930FD6" w:rsidP="00577845">
            <w:pPr>
              <w:pStyle w:val="Tabletext"/>
              <w:tabs>
                <w:tab w:val="decimal" w:pos="1845"/>
              </w:tabs>
            </w:pPr>
            <w:r>
              <w:t>0.1</w:t>
            </w:r>
          </w:p>
        </w:tc>
        <w:tc>
          <w:tcPr>
            <w:tcW w:w="193" w:type="dxa"/>
            <w:tcBorders>
              <w:top w:val="nil"/>
              <w:bottom w:val="nil"/>
            </w:tcBorders>
          </w:tcPr>
          <w:p w14:paraId="3A7B12CF" w14:textId="77777777" w:rsidR="001C5115" w:rsidRPr="00A66CA2" w:rsidRDefault="001C5115" w:rsidP="001C5115">
            <w:pPr>
              <w:pStyle w:val="Tabletext"/>
            </w:pPr>
          </w:p>
        </w:tc>
        <w:tc>
          <w:tcPr>
            <w:tcW w:w="2212" w:type="dxa"/>
            <w:tcBorders>
              <w:top w:val="nil"/>
              <w:bottom w:val="nil"/>
            </w:tcBorders>
            <w:shd w:val="clear" w:color="auto" w:fill="auto"/>
          </w:tcPr>
          <w:p w14:paraId="1E8D637F" w14:textId="0C604FF7" w:rsidR="001C5115" w:rsidRPr="00CD5A0E" w:rsidRDefault="001C5115" w:rsidP="001C5115">
            <w:pPr>
              <w:pStyle w:val="Tabletext"/>
              <w:tabs>
                <w:tab w:val="decimal" w:pos="1930"/>
              </w:tabs>
              <w:rPr>
                <w:highlight w:val="yellow"/>
              </w:rPr>
            </w:pPr>
            <w:r w:rsidRPr="00F2575A">
              <w:t>0.1</w:t>
            </w:r>
          </w:p>
        </w:tc>
        <w:tc>
          <w:tcPr>
            <w:tcW w:w="193" w:type="dxa"/>
            <w:tcBorders>
              <w:top w:val="nil"/>
              <w:bottom w:val="nil"/>
            </w:tcBorders>
          </w:tcPr>
          <w:p w14:paraId="312EBFE0" w14:textId="77777777" w:rsidR="001C5115" w:rsidRPr="00A66CA2" w:rsidRDefault="001C5115" w:rsidP="001C5115">
            <w:pPr>
              <w:pStyle w:val="Tabletext"/>
            </w:pPr>
          </w:p>
        </w:tc>
        <w:tc>
          <w:tcPr>
            <w:tcW w:w="2213" w:type="dxa"/>
            <w:tcBorders>
              <w:top w:val="nil"/>
              <w:bottom w:val="nil"/>
            </w:tcBorders>
            <w:shd w:val="clear" w:color="auto" w:fill="auto"/>
          </w:tcPr>
          <w:p w14:paraId="6983CBD0" w14:textId="026A3204" w:rsidR="001C5115" w:rsidRPr="007266A5" w:rsidRDefault="001C5115" w:rsidP="001C5115">
            <w:pPr>
              <w:pStyle w:val="Tabletext"/>
              <w:tabs>
                <w:tab w:val="decimal" w:pos="1923"/>
              </w:tabs>
              <w:rPr>
                <w:highlight w:val="yellow"/>
              </w:rPr>
            </w:pPr>
            <w:r w:rsidRPr="00131B4F">
              <w:rPr>
                <w:rFonts w:eastAsia="Times New Roman"/>
                <w:szCs w:val="18"/>
                <w:lang w:eastAsia="en-GB"/>
              </w:rPr>
              <w:t>0.2</w:t>
            </w:r>
          </w:p>
        </w:tc>
      </w:tr>
      <w:tr w:rsidR="001C5115" w:rsidRPr="007266A5" w14:paraId="11FB52D3" w14:textId="77777777">
        <w:tc>
          <w:tcPr>
            <w:tcW w:w="3402" w:type="dxa"/>
            <w:tcBorders>
              <w:top w:val="nil"/>
              <w:bottom w:val="nil"/>
            </w:tcBorders>
            <w:shd w:val="clear" w:color="auto" w:fill="auto"/>
          </w:tcPr>
          <w:p w14:paraId="3EB49BFE" w14:textId="7ECF66A0" w:rsidR="001C5115" w:rsidRPr="00851326" w:rsidRDefault="001C5115" w:rsidP="001C5115">
            <w:pPr>
              <w:pStyle w:val="Tabletext"/>
              <w:rPr>
                <w:b/>
                <w:bCs/>
              </w:rPr>
            </w:pPr>
          </w:p>
        </w:tc>
        <w:tc>
          <w:tcPr>
            <w:tcW w:w="2212" w:type="dxa"/>
            <w:tcBorders>
              <w:top w:val="single" w:sz="4" w:space="0" w:color="auto"/>
              <w:bottom w:val="double" w:sz="4" w:space="0" w:color="auto"/>
            </w:tcBorders>
            <w:shd w:val="clear" w:color="auto" w:fill="auto"/>
          </w:tcPr>
          <w:p w14:paraId="31D12ED9" w14:textId="4D3A7300" w:rsidR="001C5115" w:rsidRPr="00AA3020" w:rsidRDefault="00930FD6" w:rsidP="00577845">
            <w:pPr>
              <w:pStyle w:val="Tabletext"/>
              <w:tabs>
                <w:tab w:val="decimal" w:pos="1845"/>
              </w:tabs>
              <w:rPr>
                <w:b/>
                <w:bCs/>
              </w:rPr>
            </w:pPr>
            <w:r>
              <w:rPr>
                <w:b/>
                <w:bCs/>
              </w:rPr>
              <w:t>3.1</w:t>
            </w:r>
          </w:p>
        </w:tc>
        <w:tc>
          <w:tcPr>
            <w:tcW w:w="193" w:type="dxa"/>
            <w:tcBorders>
              <w:top w:val="nil"/>
              <w:bottom w:val="nil"/>
            </w:tcBorders>
          </w:tcPr>
          <w:p w14:paraId="40FF10ED" w14:textId="77777777" w:rsidR="001C5115" w:rsidRPr="00423552" w:rsidRDefault="001C5115" w:rsidP="001C5115">
            <w:pPr>
              <w:pStyle w:val="Tabletext"/>
              <w:rPr>
                <w:b/>
              </w:rPr>
            </w:pPr>
          </w:p>
        </w:tc>
        <w:tc>
          <w:tcPr>
            <w:tcW w:w="2212" w:type="dxa"/>
            <w:tcBorders>
              <w:top w:val="single" w:sz="4" w:space="0" w:color="auto"/>
              <w:bottom w:val="double" w:sz="4" w:space="0" w:color="auto"/>
            </w:tcBorders>
            <w:shd w:val="clear" w:color="auto" w:fill="auto"/>
          </w:tcPr>
          <w:p w14:paraId="143922A0" w14:textId="4958B438" w:rsidR="001C5115" w:rsidRPr="00CD5A0E" w:rsidRDefault="001C5115" w:rsidP="001C5115">
            <w:pPr>
              <w:pStyle w:val="Tabletext"/>
              <w:tabs>
                <w:tab w:val="decimal" w:pos="1930"/>
              </w:tabs>
              <w:rPr>
                <w:highlight w:val="yellow"/>
              </w:rPr>
            </w:pPr>
            <w:r w:rsidRPr="001C5115">
              <w:rPr>
                <w:b/>
              </w:rPr>
              <w:t>3.1</w:t>
            </w:r>
          </w:p>
        </w:tc>
        <w:tc>
          <w:tcPr>
            <w:tcW w:w="193" w:type="dxa"/>
            <w:tcBorders>
              <w:top w:val="nil"/>
              <w:bottom w:val="nil"/>
            </w:tcBorders>
          </w:tcPr>
          <w:p w14:paraId="6EF21563" w14:textId="77777777" w:rsidR="001C5115" w:rsidRPr="00A66CA2" w:rsidRDefault="001C5115" w:rsidP="001C5115">
            <w:pPr>
              <w:pStyle w:val="Tabletext"/>
            </w:pPr>
          </w:p>
        </w:tc>
        <w:tc>
          <w:tcPr>
            <w:tcW w:w="2213" w:type="dxa"/>
            <w:tcBorders>
              <w:top w:val="single" w:sz="4" w:space="0" w:color="auto"/>
              <w:bottom w:val="double" w:sz="4" w:space="0" w:color="auto"/>
            </w:tcBorders>
            <w:shd w:val="clear" w:color="auto" w:fill="auto"/>
          </w:tcPr>
          <w:p w14:paraId="582B58D2" w14:textId="00569422" w:rsidR="001C5115" w:rsidRPr="007266A5" w:rsidRDefault="001C5115" w:rsidP="001C5115">
            <w:pPr>
              <w:pStyle w:val="Tabletext"/>
              <w:tabs>
                <w:tab w:val="decimal" w:pos="1923"/>
              </w:tabs>
              <w:rPr>
                <w:b/>
                <w:bCs/>
                <w:highlight w:val="yellow"/>
              </w:rPr>
            </w:pPr>
            <w:r>
              <w:rPr>
                <w:rFonts w:eastAsia="Times New Roman"/>
                <w:b/>
                <w:bCs/>
                <w:szCs w:val="18"/>
                <w:lang w:eastAsia="en-GB"/>
              </w:rPr>
              <w:t>6.2</w:t>
            </w:r>
          </w:p>
        </w:tc>
      </w:tr>
    </w:tbl>
    <w:p w14:paraId="458DE519" w14:textId="77777777" w:rsidR="00C937EB" w:rsidRDefault="00C937EB">
      <w:pPr>
        <w:rPr>
          <w:rFonts w:ascii="Source Sans Pro Semibold" w:eastAsiaTheme="minorHAnsi" w:hAnsi="Source Sans Pro Semibold"/>
          <w:color w:val="16293F" w:themeColor="text1"/>
          <w:sz w:val="24"/>
          <w:lang w:val="en-GB" w:eastAsia="en-US"/>
        </w:rPr>
      </w:pPr>
      <w:r>
        <w:br w:type="page"/>
      </w:r>
    </w:p>
    <w:p w14:paraId="0FF01695" w14:textId="06325844" w:rsidR="0052785A" w:rsidRPr="00CE5CAE" w:rsidRDefault="00913723" w:rsidP="0052785A">
      <w:pPr>
        <w:pStyle w:val="Subheading"/>
      </w:pPr>
      <w:r>
        <w:lastRenderedPageBreak/>
        <w:t>6.</w:t>
      </w:r>
      <w:r w:rsidR="0052785A">
        <w:tab/>
        <w:t>Income tax expense</w:t>
      </w:r>
    </w:p>
    <w:p w14:paraId="089F029C" w14:textId="77777777" w:rsidR="0052785A" w:rsidRDefault="0052785A" w:rsidP="0052785A">
      <w:pPr>
        <w:pStyle w:val="Bodytext0"/>
        <w:rPr>
          <w:lang w:val="en-US"/>
        </w:rPr>
      </w:pPr>
      <w:r w:rsidRPr="00CE5CAE">
        <w:rPr>
          <w:lang w:val="en-US"/>
        </w:rPr>
        <w:t>Analysis of charge in the period</w:t>
      </w:r>
      <w:r>
        <w:rPr>
          <w:lang w:val="en-US"/>
        </w:rPr>
        <w:t>:</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52785A" w:rsidRPr="00955F6B" w14:paraId="7E514651" w14:textId="77777777" w:rsidTr="00B17DE3">
        <w:tc>
          <w:tcPr>
            <w:tcW w:w="3402" w:type="dxa"/>
            <w:tcBorders>
              <w:bottom w:val="nil"/>
            </w:tcBorders>
            <w:vAlign w:val="bottom"/>
          </w:tcPr>
          <w:p w14:paraId="5733E227" w14:textId="77777777" w:rsidR="0052785A" w:rsidRPr="005405BA" w:rsidRDefault="0052785A" w:rsidP="00B17DE3">
            <w:pPr>
              <w:pStyle w:val="Tableheading"/>
              <w:jc w:val="right"/>
            </w:pPr>
          </w:p>
        </w:tc>
        <w:tc>
          <w:tcPr>
            <w:tcW w:w="2212" w:type="dxa"/>
            <w:tcBorders>
              <w:top w:val="nil"/>
              <w:bottom w:val="nil"/>
            </w:tcBorders>
            <w:vAlign w:val="bottom"/>
          </w:tcPr>
          <w:p w14:paraId="7C77D6F1" w14:textId="77777777" w:rsidR="0052785A" w:rsidRDefault="0052785A" w:rsidP="00B17DE3">
            <w:pPr>
              <w:pStyle w:val="Tableheading"/>
              <w:jc w:val="right"/>
            </w:pPr>
            <w:r>
              <w:t xml:space="preserve">Six months ended </w:t>
            </w:r>
          </w:p>
          <w:p w14:paraId="1C7DE785" w14:textId="51E73021" w:rsidR="0052785A" w:rsidRDefault="0052785A" w:rsidP="00B17DE3">
            <w:pPr>
              <w:pStyle w:val="Tableheading"/>
              <w:jc w:val="right"/>
            </w:pPr>
            <w:r>
              <w:tab/>
              <w:t xml:space="preserve">30 June </w:t>
            </w:r>
            <w:r w:rsidR="00E85F7E">
              <w:t>2024</w:t>
            </w:r>
          </w:p>
          <w:p w14:paraId="2527987C" w14:textId="77777777" w:rsidR="0052785A" w:rsidRPr="005405BA" w:rsidRDefault="0052785A" w:rsidP="00B17DE3">
            <w:pPr>
              <w:pStyle w:val="Tableheading"/>
              <w:jc w:val="right"/>
            </w:pPr>
            <w:r>
              <w:t>£m</w:t>
            </w:r>
          </w:p>
        </w:tc>
        <w:tc>
          <w:tcPr>
            <w:tcW w:w="193" w:type="dxa"/>
            <w:tcBorders>
              <w:top w:val="nil"/>
              <w:bottom w:val="nil"/>
            </w:tcBorders>
            <w:vAlign w:val="bottom"/>
          </w:tcPr>
          <w:p w14:paraId="7B11853D" w14:textId="77777777" w:rsidR="0052785A" w:rsidRPr="00955F6B" w:rsidRDefault="0052785A" w:rsidP="00B17DE3">
            <w:pPr>
              <w:pStyle w:val="Tableheading"/>
              <w:jc w:val="right"/>
            </w:pPr>
          </w:p>
        </w:tc>
        <w:tc>
          <w:tcPr>
            <w:tcW w:w="2212" w:type="dxa"/>
            <w:tcBorders>
              <w:top w:val="nil"/>
              <w:bottom w:val="nil"/>
            </w:tcBorders>
            <w:vAlign w:val="bottom"/>
          </w:tcPr>
          <w:p w14:paraId="6A317E34" w14:textId="77777777" w:rsidR="0052785A" w:rsidRPr="00F26A0A" w:rsidRDefault="0052785A" w:rsidP="00B17DE3">
            <w:pPr>
              <w:pStyle w:val="Tableheading"/>
              <w:jc w:val="right"/>
            </w:pPr>
            <w:r w:rsidRPr="00F26A0A">
              <w:t xml:space="preserve">Six months ended </w:t>
            </w:r>
          </w:p>
          <w:p w14:paraId="07C37346" w14:textId="7D0AFDFA" w:rsidR="0052785A" w:rsidRPr="00F26A0A" w:rsidRDefault="0052785A" w:rsidP="00B17DE3">
            <w:pPr>
              <w:pStyle w:val="Tableheading"/>
              <w:jc w:val="right"/>
            </w:pPr>
            <w:r w:rsidRPr="00F26A0A">
              <w:tab/>
              <w:t xml:space="preserve">30 June </w:t>
            </w:r>
            <w:r w:rsidR="00E85F7E">
              <w:t>2023</w:t>
            </w:r>
          </w:p>
          <w:p w14:paraId="702A0ADC" w14:textId="77777777" w:rsidR="0052785A" w:rsidRPr="009F40EF" w:rsidRDefault="0052785A" w:rsidP="00B17DE3">
            <w:pPr>
              <w:pStyle w:val="Tableheading"/>
              <w:jc w:val="right"/>
              <w:rPr>
                <w:b/>
                <w:bCs/>
              </w:rPr>
            </w:pPr>
            <w:r w:rsidRPr="00F26A0A">
              <w:t>£m</w:t>
            </w:r>
          </w:p>
        </w:tc>
        <w:tc>
          <w:tcPr>
            <w:tcW w:w="193" w:type="dxa"/>
            <w:tcBorders>
              <w:top w:val="nil"/>
              <w:bottom w:val="nil"/>
            </w:tcBorders>
            <w:vAlign w:val="bottom"/>
          </w:tcPr>
          <w:p w14:paraId="17EF903D" w14:textId="77777777" w:rsidR="0052785A" w:rsidRPr="009F40EF" w:rsidRDefault="0052785A" w:rsidP="00B17DE3">
            <w:pPr>
              <w:pStyle w:val="Tableheading"/>
              <w:jc w:val="right"/>
              <w:rPr>
                <w:b/>
                <w:bCs/>
              </w:rPr>
            </w:pPr>
          </w:p>
        </w:tc>
        <w:tc>
          <w:tcPr>
            <w:tcW w:w="2213" w:type="dxa"/>
            <w:tcBorders>
              <w:top w:val="nil"/>
              <w:bottom w:val="nil"/>
            </w:tcBorders>
            <w:vAlign w:val="bottom"/>
          </w:tcPr>
          <w:p w14:paraId="5C7D2071" w14:textId="77777777" w:rsidR="0052785A" w:rsidRPr="00F26A0A" w:rsidRDefault="0052785A" w:rsidP="00B17DE3">
            <w:pPr>
              <w:pStyle w:val="Tableheading"/>
              <w:jc w:val="right"/>
            </w:pPr>
            <w:r w:rsidRPr="00F26A0A">
              <w:t xml:space="preserve">Year ended </w:t>
            </w:r>
          </w:p>
          <w:p w14:paraId="4752764D" w14:textId="06D2BF60" w:rsidR="0052785A" w:rsidRPr="00F26A0A" w:rsidRDefault="0052785A" w:rsidP="00B17DE3">
            <w:pPr>
              <w:pStyle w:val="Tableheading"/>
              <w:jc w:val="right"/>
            </w:pPr>
            <w:r w:rsidRPr="00F26A0A">
              <w:t xml:space="preserve">31 December </w:t>
            </w:r>
            <w:r w:rsidR="00E85F7E">
              <w:t>2023</w:t>
            </w:r>
          </w:p>
          <w:p w14:paraId="41914D5A" w14:textId="77777777" w:rsidR="0052785A" w:rsidRPr="00F26A0A" w:rsidRDefault="0052785A" w:rsidP="00B17DE3">
            <w:pPr>
              <w:pStyle w:val="Tableheading"/>
              <w:jc w:val="right"/>
              <w:rPr>
                <w:highlight w:val="yellow"/>
              </w:rPr>
            </w:pPr>
            <w:r w:rsidRPr="00F26A0A">
              <w:t>£m</w:t>
            </w:r>
          </w:p>
        </w:tc>
      </w:tr>
      <w:tr w:rsidR="0052785A" w:rsidRPr="00A66CA2" w14:paraId="3B852802" w14:textId="77777777" w:rsidTr="00F2575A">
        <w:tc>
          <w:tcPr>
            <w:tcW w:w="3402" w:type="dxa"/>
            <w:tcBorders>
              <w:top w:val="nil"/>
              <w:bottom w:val="nil"/>
            </w:tcBorders>
            <w:shd w:val="clear" w:color="auto" w:fill="auto"/>
          </w:tcPr>
          <w:p w14:paraId="0F037C5A" w14:textId="77777777" w:rsidR="0052785A" w:rsidRPr="006374C6" w:rsidRDefault="0052785A" w:rsidP="00654424">
            <w:pPr>
              <w:pStyle w:val="Tabletext"/>
              <w:rPr>
                <w:b/>
                <w:bCs/>
              </w:rPr>
            </w:pPr>
            <w:r w:rsidRPr="006374C6">
              <w:rPr>
                <w:b/>
                <w:bCs/>
              </w:rPr>
              <w:t xml:space="preserve">Current tax  </w:t>
            </w:r>
          </w:p>
        </w:tc>
        <w:tc>
          <w:tcPr>
            <w:tcW w:w="2212" w:type="dxa"/>
            <w:tcBorders>
              <w:top w:val="nil"/>
              <w:bottom w:val="nil"/>
            </w:tcBorders>
            <w:shd w:val="clear" w:color="auto" w:fill="auto"/>
          </w:tcPr>
          <w:p w14:paraId="13C643F7" w14:textId="77777777" w:rsidR="0052785A" w:rsidRPr="00A66CA2" w:rsidRDefault="0052785A" w:rsidP="00654424">
            <w:pPr>
              <w:pStyle w:val="Tabletext"/>
              <w:tabs>
                <w:tab w:val="decimal" w:pos="1931"/>
              </w:tabs>
            </w:pPr>
          </w:p>
        </w:tc>
        <w:tc>
          <w:tcPr>
            <w:tcW w:w="193" w:type="dxa"/>
            <w:tcBorders>
              <w:top w:val="nil"/>
              <w:bottom w:val="nil"/>
            </w:tcBorders>
          </w:tcPr>
          <w:p w14:paraId="382A2835" w14:textId="77777777" w:rsidR="0052785A" w:rsidRPr="00A66CA2" w:rsidRDefault="0052785A" w:rsidP="00F2575A">
            <w:pPr>
              <w:pStyle w:val="Tabletext"/>
            </w:pPr>
          </w:p>
        </w:tc>
        <w:tc>
          <w:tcPr>
            <w:tcW w:w="2212" w:type="dxa"/>
            <w:tcBorders>
              <w:top w:val="nil"/>
              <w:bottom w:val="nil"/>
            </w:tcBorders>
            <w:shd w:val="clear" w:color="auto" w:fill="auto"/>
          </w:tcPr>
          <w:p w14:paraId="44554C0D" w14:textId="77777777" w:rsidR="0052785A" w:rsidRPr="00A66CA2" w:rsidRDefault="0052785A" w:rsidP="00654424">
            <w:pPr>
              <w:pStyle w:val="Tabletext"/>
              <w:tabs>
                <w:tab w:val="decimal" w:pos="1933"/>
              </w:tabs>
            </w:pPr>
          </w:p>
        </w:tc>
        <w:tc>
          <w:tcPr>
            <w:tcW w:w="193" w:type="dxa"/>
            <w:tcBorders>
              <w:top w:val="nil"/>
              <w:bottom w:val="nil"/>
            </w:tcBorders>
          </w:tcPr>
          <w:p w14:paraId="17535D8D" w14:textId="77777777" w:rsidR="0052785A" w:rsidRPr="00A66CA2" w:rsidRDefault="0052785A" w:rsidP="00F2575A">
            <w:pPr>
              <w:pStyle w:val="Tabletext"/>
            </w:pPr>
          </w:p>
        </w:tc>
        <w:tc>
          <w:tcPr>
            <w:tcW w:w="2213" w:type="dxa"/>
            <w:tcBorders>
              <w:top w:val="nil"/>
              <w:bottom w:val="nil"/>
            </w:tcBorders>
            <w:shd w:val="clear" w:color="auto" w:fill="auto"/>
          </w:tcPr>
          <w:p w14:paraId="7438A0FE" w14:textId="77777777" w:rsidR="0052785A" w:rsidRPr="00F2575A" w:rsidRDefault="0052785A" w:rsidP="00654424">
            <w:pPr>
              <w:pStyle w:val="Tabletext"/>
              <w:tabs>
                <w:tab w:val="decimal" w:pos="1820"/>
              </w:tabs>
              <w:rPr>
                <w:highlight w:val="yellow"/>
              </w:rPr>
            </w:pPr>
          </w:p>
        </w:tc>
      </w:tr>
      <w:tr w:rsidR="007266A5" w:rsidRPr="00A66CA2" w14:paraId="7E52A825" w14:textId="77777777" w:rsidTr="00F2575A">
        <w:tc>
          <w:tcPr>
            <w:tcW w:w="3402" w:type="dxa"/>
            <w:tcBorders>
              <w:top w:val="nil"/>
              <w:bottom w:val="nil"/>
            </w:tcBorders>
            <w:shd w:val="clear" w:color="auto" w:fill="auto"/>
          </w:tcPr>
          <w:p w14:paraId="7E5CB8C1" w14:textId="77777777" w:rsidR="007266A5" w:rsidRPr="009A0E69" w:rsidRDefault="007266A5" w:rsidP="007266A5">
            <w:pPr>
              <w:pStyle w:val="Tabletext"/>
            </w:pPr>
            <w:r>
              <w:t xml:space="preserve">Tax on profits for the period </w:t>
            </w:r>
          </w:p>
        </w:tc>
        <w:tc>
          <w:tcPr>
            <w:tcW w:w="2212" w:type="dxa"/>
            <w:tcBorders>
              <w:top w:val="nil"/>
              <w:bottom w:val="nil"/>
            </w:tcBorders>
            <w:shd w:val="clear" w:color="auto" w:fill="auto"/>
          </w:tcPr>
          <w:p w14:paraId="4628B0C2" w14:textId="704CC34C" w:rsidR="007266A5" w:rsidRPr="000C3112" w:rsidRDefault="00141625" w:rsidP="007266A5">
            <w:pPr>
              <w:pStyle w:val="Tabletext"/>
              <w:tabs>
                <w:tab w:val="decimal" w:pos="1931"/>
              </w:tabs>
            </w:pPr>
            <w:r>
              <w:t>13.7</w:t>
            </w:r>
          </w:p>
        </w:tc>
        <w:tc>
          <w:tcPr>
            <w:tcW w:w="193" w:type="dxa"/>
            <w:tcBorders>
              <w:top w:val="nil"/>
              <w:bottom w:val="nil"/>
            </w:tcBorders>
          </w:tcPr>
          <w:p w14:paraId="2211EB01" w14:textId="77777777" w:rsidR="007266A5" w:rsidRPr="00A66CA2" w:rsidRDefault="007266A5" w:rsidP="007266A5">
            <w:pPr>
              <w:pStyle w:val="Tabletext"/>
            </w:pPr>
          </w:p>
        </w:tc>
        <w:tc>
          <w:tcPr>
            <w:tcW w:w="2212" w:type="dxa"/>
            <w:tcBorders>
              <w:top w:val="nil"/>
              <w:bottom w:val="nil"/>
            </w:tcBorders>
            <w:shd w:val="clear" w:color="auto" w:fill="auto"/>
          </w:tcPr>
          <w:p w14:paraId="247147C0" w14:textId="30E6817A" w:rsidR="007266A5" w:rsidRPr="00A66CA2" w:rsidRDefault="007266A5" w:rsidP="007266A5">
            <w:pPr>
              <w:pStyle w:val="Tabletext"/>
              <w:tabs>
                <w:tab w:val="decimal" w:pos="1933"/>
              </w:tabs>
            </w:pPr>
            <w:r w:rsidRPr="000C3112">
              <w:t>12.7</w:t>
            </w:r>
          </w:p>
        </w:tc>
        <w:tc>
          <w:tcPr>
            <w:tcW w:w="193" w:type="dxa"/>
            <w:tcBorders>
              <w:top w:val="nil"/>
              <w:bottom w:val="nil"/>
            </w:tcBorders>
          </w:tcPr>
          <w:p w14:paraId="28DA680B" w14:textId="77777777" w:rsidR="007266A5" w:rsidRPr="00A66CA2" w:rsidRDefault="007266A5" w:rsidP="007266A5">
            <w:pPr>
              <w:pStyle w:val="Tabletext"/>
            </w:pPr>
          </w:p>
        </w:tc>
        <w:tc>
          <w:tcPr>
            <w:tcW w:w="2213" w:type="dxa"/>
            <w:tcBorders>
              <w:top w:val="nil"/>
              <w:bottom w:val="nil"/>
            </w:tcBorders>
            <w:shd w:val="clear" w:color="auto" w:fill="auto"/>
          </w:tcPr>
          <w:p w14:paraId="5DD638EC" w14:textId="48C66D90" w:rsidR="007266A5" w:rsidRPr="00F2575A" w:rsidRDefault="007266A5" w:rsidP="007266A5">
            <w:pPr>
              <w:pStyle w:val="Tabletext"/>
              <w:tabs>
                <w:tab w:val="decimal" w:pos="1942"/>
              </w:tabs>
              <w:rPr>
                <w:highlight w:val="yellow"/>
              </w:rPr>
            </w:pPr>
            <w:r w:rsidRPr="00131B4F">
              <w:rPr>
                <w:rFonts w:eastAsia="Times New Roman"/>
                <w:szCs w:val="18"/>
                <w:lang w:eastAsia="en-GB"/>
              </w:rPr>
              <w:t>24.1</w:t>
            </w:r>
          </w:p>
        </w:tc>
      </w:tr>
      <w:tr w:rsidR="007266A5" w:rsidRPr="00A66CA2" w14:paraId="4266660E" w14:textId="77777777" w:rsidTr="00F2575A">
        <w:tc>
          <w:tcPr>
            <w:tcW w:w="3402" w:type="dxa"/>
            <w:tcBorders>
              <w:top w:val="nil"/>
              <w:bottom w:val="nil"/>
            </w:tcBorders>
            <w:shd w:val="clear" w:color="auto" w:fill="auto"/>
          </w:tcPr>
          <w:p w14:paraId="4409A1A8" w14:textId="77777777" w:rsidR="007266A5" w:rsidRDefault="007266A5" w:rsidP="007266A5">
            <w:pPr>
              <w:pStyle w:val="Tabletext"/>
            </w:pPr>
            <w:r>
              <w:t xml:space="preserve">Adjustments in respect of prior periods </w:t>
            </w:r>
          </w:p>
        </w:tc>
        <w:tc>
          <w:tcPr>
            <w:tcW w:w="2212" w:type="dxa"/>
            <w:tcBorders>
              <w:top w:val="nil"/>
              <w:bottom w:val="single" w:sz="4" w:space="0" w:color="auto"/>
            </w:tcBorders>
            <w:shd w:val="clear" w:color="auto" w:fill="auto"/>
          </w:tcPr>
          <w:p w14:paraId="408B7A94" w14:textId="152DE2AF" w:rsidR="007266A5" w:rsidRPr="000C3112" w:rsidRDefault="00141625" w:rsidP="007266A5">
            <w:pPr>
              <w:pStyle w:val="Tabletext"/>
              <w:tabs>
                <w:tab w:val="decimal" w:pos="1931"/>
              </w:tabs>
            </w:pPr>
            <w:r>
              <w:t>(0.1)</w:t>
            </w:r>
          </w:p>
        </w:tc>
        <w:tc>
          <w:tcPr>
            <w:tcW w:w="193" w:type="dxa"/>
            <w:tcBorders>
              <w:top w:val="nil"/>
              <w:bottom w:val="nil"/>
            </w:tcBorders>
          </w:tcPr>
          <w:p w14:paraId="41EA63B8" w14:textId="77777777" w:rsidR="007266A5" w:rsidRPr="00A66CA2" w:rsidRDefault="007266A5" w:rsidP="007266A5">
            <w:pPr>
              <w:pStyle w:val="Tabletext"/>
            </w:pPr>
          </w:p>
        </w:tc>
        <w:tc>
          <w:tcPr>
            <w:tcW w:w="2212" w:type="dxa"/>
            <w:tcBorders>
              <w:top w:val="nil"/>
              <w:bottom w:val="single" w:sz="4" w:space="0" w:color="auto"/>
            </w:tcBorders>
            <w:shd w:val="clear" w:color="auto" w:fill="auto"/>
          </w:tcPr>
          <w:p w14:paraId="58006F85" w14:textId="62E09982" w:rsidR="007266A5" w:rsidRPr="00A66CA2" w:rsidRDefault="007266A5" w:rsidP="007266A5">
            <w:pPr>
              <w:pStyle w:val="Tabletext"/>
              <w:tabs>
                <w:tab w:val="decimal" w:pos="1933"/>
              </w:tabs>
            </w:pPr>
            <w:r w:rsidRPr="000C3112">
              <w:t>-</w:t>
            </w:r>
          </w:p>
        </w:tc>
        <w:tc>
          <w:tcPr>
            <w:tcW w:w="193" w:type="dxa"/>
            <w:tcBorders>
              <w:top w:val="nil"/>
              <w:bottom w:val="nil"/>
            </w:tcBorders>
          </w:tcPr>
          <w:p w14:paraId="23C32DD1" w14:textId="77777777" w:rsidR="007266A5" w:rsidRPr="00A66CA2" w:rsidRDefault="007266A5" w:rsidP="007266A5">
            <w:pPr>
              <w:pStyle w:val="Tabletext"/>
            </w:pPr>
          </w:p>
        </w:tc>
        <w:tc>
          <w:tcPr>
            <w:tcW w:w="2213" w:type="dxa"/>
            <w:tcBorders>
              <w:top w:val="nil"/>
              <w:bottom w:val="single" w:sz="4" w:space="0" w:color="auto"/>
            </w:tcBorders>
            <w:shd w:val="clear" w:color="auto" w:fill="auto"/>
          </w:tcPr>
          <w:p w14:paraId="11C15F01" w14:textId="0ACAF6B6" w:rsidR="007266A5" w:rsidRPr="00F2575A" w:rsidRDefault="007266A5" w:rsidP="007266A5">
            <w:pPr>
              <w:pStyle w:val="Tabletext"/>
              <w:tabs>
                <w:tab w:val="decimal" w:pos="1942"/>
              </w:tabs>
              <w:rPr>
                <w:highlight w:val="yellow"/>
              </w:rPr>
            </w:pPr>
            <w:r w:rsidRPr="00131B4F">
              <w:rPr>
                <w:rFonts w:eastAsia="Times New Roman"/>
                <w:szCs w:val="18"/>
                <w:lang w:eastAsia="en-GB"/>
              </w:rPr>
              <w:t>(0.7)</w:t>
            </w:r>
          </w:p>
        </w:tc>
      </w:tr>
      <w:tr w:rsidR="007266A5" w:rsidRPr="00A66CA2" w14:paraId="515089DC" w14:textId="77777777" w:rsidTr="00F2575A">
        <w:tc>
          <w:tcPr>
            <w:tcW w:w="3402" w:type="dxa"/>
            <w:tcBorders>
              <w:top w:val="nil"/>
              <w:bottom w:val="nil"/>
            </w:tcBorders>
            <w:shd w:val="clear" w:color="auto" w:fill="auto"/>
          </w:tcPr>
          <w:p w14:paraId="6D6605DE" w14:textId="01B72613" w:rsidR="007266A5" w:rsidRPr="00F2575A" w:rsidRDefault="007266A5" w:rsidP="007266A5">
            <w:pPr>
              <w:pStyle w:val="Tabletext"/>
              <w:rPr>
                <w:b/>
                <w:bCs/>
              </w:rPr>
            </w:pPr>
            <w:r w:rsidRPr="00F2575A">
              <w:rPr>
                <w:b/>
                <w:bCs/>
              </w:rPr>
              <w:t>Total current tax</w:t>
            </w:r>
          </w:p>
        </w:tc>
        <w:tc>
          <w:tcPr>
            <w:tcW w:w="2212" w:type="dxa"/>
            <w:tcBorders>
              <w:top w:val="single" w:sz="4" w:space="0" w:color="auto"/>
              <w:bottom w:val="nil"/>
            </w:tcBorders>
            <w:shd w:val="clear" w:color="auto" w:fill="auto"/>
          </w:tcPr>
          <w:p w14:paraId="7DFC0D3B" w14:textId="547239D0" w:rsidR="007266A5" w:rsidRPr="00E927E3" w:rsidRDefault="00C119C9" w:rsidP="007266A5">
            <w:pPr>
              <w:pStyle w:val="Tabletext"/>
              <w:tabs>
                <w:tab w:val="decimal" w:pos="1931"/>
              </w:tabs>
              <w:rPr>
                <w:b/>
                <w:bCs/>
              </w:rPr>
            </w:pPr>
            <w:r>
              <w:rPr>
                <w:b/>
                <w:bCs/>
              </w:rPr>
              <w:t>13.6</w:t>
            </w:r>
          </w:p>
        </w:tc>
        <w:tc>
          <w:tcPr>
            <w:tcW w:w="193" w:type="dxa"/>
            <w:tcBorders>
              <w:top w:val="nil"/>
              <w:bottom w:val="nil"/>
            </w:tcBorders>
          </w:tcPr>
          <w:p w14:paraId="49948CBD" w14:textId="77777777" w:rsidR="007266A5" w:rsidRPr="00E927E3" w:rsidRDefault="007266A5" w:rsidP="007266A5">
            <w:pPr>
              <w:pStyle w:val="Tabletext"/>
              <w:rPr>
                <w:b/>
                <w:bCs/>
              </w:rPr>
            </w:pPr>
          </w:p>
        </w:tc>
        <w:tc>
          <w:tcPr>
            <w:tcW w:w="2212" w:type="dxa"/>
            <w:tcBorders>
              <w:top w:val="single" w:sz="4" w:space="0" w:color="auto"/>
              <w:bottom w:val="nil"/>
            </w:tcBorders>
            <w:shd w:val="clear" w:color="auto" w:fill="auto"/>
          </w:tcPr>
          <w:p w14:paraId="62E815AF" w14:textId="5FB8DD51" w:rsidR="007266A5" w:rsidRPr="009F40EF" w:rsidRDefault="007266A5" w:rsidP="007266A5">
            <w:pPr>
              <w:pStyle w:val="Tabletext"/>
              <w:tabs>
                <w:tab w:val="decimal" w:pos="1933"/>
              </w:tabs>
              <w:rPr>
                <w:b/>
                <w:bCs/>
              </w:rPr>
            </w:pPr>
            <w:r w:rsidRPr="00423552">
              <w:rPr>
                <w:b/>
              </w:rPr>
              <w:t>12.7</w:t>
            </w:r>
          </w:p>
        </w:tc>
        <w:tc>
          <w:tcPr>
            <w:tcW w:w="193" w:type="dxa"/>
            <w:tcBorders>
              <w:top w:val="nil"/>
              <w:bottom w:val="nil"/>
            </w:tcBorders>
          </w:tcPr>
          <w:p w14:paraId="7C94D168" w14:textId="77777777" w:rsidR="007266A5" w:rsidRPr="009F40EF" w:rsidRDefault="007266A5" w:rsidP="007266A5">
            <w:pPr>
              <w:pStyle w:val="Tabletext"/>
              <w:rPr>
                <w:b/>
                <w:bCs/>
              </w:rPr>
            </w:pPr>
          </w:p>
        </w:tc>
        <w:tc>
          <w:tcPr>
            <w:tcW w:w="2213" w:type="dxa"/>
            <w:tcBorders>
              <w:top w:val="single" w:sz="4" w:space="0" w:color="auto"/>
              <w:bottom w:val="nil"/>
            </w:tcBorders>
            <w:shd w:val="clear" w:color="auto" w:fill="auto"/>
          </w:tcPr>
          <w:p w14:paraId="74328621" w14:textId="425EB67A" w:rsidR="007266A5" w:rsidRPr="00F2575A" w:rsidRDefault="007266A5" w:rsidP="007266A5">
            <w:pPr>
              <w:pStyle w:val="Tabletext"/>
              <w:tabs>
                <w:tab w:val="decimal" w:pos="1942"/>
              </w:tabs>
              <w:rPr>
                <w:b/>
                <w:bCs/>
                <w:highlight w:val="yellow"/>
              </w:rPr>
            </w:pPr>
            <w:r w:rsidRPr="00131B4F">
              <w:rPr>
                <w:rFonts w:eastAsia="Times New Roman"/>
                <w:b/>
                <w:szCs w:val="18"/>
                <w:lang w:eastAsia="en-GB"/>
              </w:rPr>
              <w:t>23.4</w:t>
            </w:r>
          </w:p>
        </w:tc>
      </w:tr>
      <w:tr w:rsidR="007266A5" w:rsidRPr="00A66CA2" w14:paraId="7354C570" w14:textId="77777777" w:rsidTr="00F2575A">
        <w:tc>
          <w:tcPr>
            <w:tcW w:w="3402" w:type="dxa"/>
            <w:tcBorders>
              <w:top w:val="nil"/>
              <w:bottom w:val="nil"/>
            </w:tcBorders>
            <w:shd w:val="clear" w:color="auto" w:fill="auto"/>
          </w:tcPr>
          <w:p w14:paraId="19C5B017" w14:textId="77777777" w:rsidR="007266A5" w:rsidRPr="00851326" w:rsidRDefault="007266A5" w:rsidP="007266A5">
            <w:pPr>
              <w:pStyle w:val="Tabletext"/>
              <w:rPr>
                <w:b/>
                <w:bCs/>
              </w:rPr>
            </w:pPr>
            <w:r>
              <w:rPr>
                <w:b/>
                <w:bCs/>
              </w:rPr>
              <w:t>Deferred tax</w:t>
            </w:r>
          </w:p>
        </w:tc>
        <w:tc>
          <w:tcPr>
            <w:tcW w:w="2212" w:type="dxa"/>
            <w:tcBorders>
              <w:top w:val="nil"/>
              <w:bottom w:val="nil"/>
            </w:tcBorders>
            <w:shd w:val="clear" w:color="auto" w:fill="auto"/>
          </w:tcPr>
          <w:p w14:paraId="50011CCD" w14:textId="0BABB98A" w:rsidR="007266A5" w:rsidRPr="000C3112" w:rsidRDefault="007266A5" w:rsidP="007266A5">
            <w:pPr>
              <w:pStyle w:val="Tabletext"/>
              <w:tabs>
                <w:tab w:val="decimal" w:pos="1931"/>
              </w:tabs>
            </w:pPr>
          </w:p>
        </w:tc>
        <w:tc>
          <w:tcPr>
            <w:tcW w:w="193" w:type="dxa"/>
            <w:tcBorders>
              <w:top w:val="nil"/>
              <w:bottom w:val="nil"/>
            </w:tcBorders>
          </w:tcPr>
          <w:p w14:paraId="55BAB206" w14:textId="77777777" w:rsidR="007266A5" w:rsidRPr="00A66CA2" w:rsidRDefault="007266A5" w:rsidP="007266A5">
            <w:pPr>
              <w:pStyle w:val="Tabletext"/>
            </w:pPr>
          </w:p>
        </w:tc>
        <w:tc>
          <w:tcPr>
            <w:tcW w:w="2212" w:type="dxa"/>
            <w:tcBorders>
              <w:top w:val="nil"/>
              <w:bottom w:val="nil"/>
            </w:tcBorders>
            <w:shd w:val="clear" w:color="auto" w:fill="auto"/>
          </w:tcPr>
          <w:p w14:paraId="764C69F1" w14:textId="77777777" w:rsidR="007266A5" w:rsidRPr="00A66CA2" w:rsidRDefault="007266A5" w:rsidP="007266A5">
            <w:pPr>
              <w:pStyle w:val="Tabletext"/>
              <w:tabs>
                <w:tab w:val="decimal" w:pos="1933"/>
              </w:tabs>
            </w:pPr>
          </w:p>
        </w:tc>
        <w:tc>
          <w:tcPr>
            <w:tcW w:w="193" w:type="dxa"/>
            <w:tcBorders>
              <w:top w:val="nil"/>
              <w:bottom w:val="nil"/>
            </w:tcBorders>
          </w:tcPr>
          <w:p w14:paraId="6C89339D" w14:textId="77777777" w:rsidR="007266A5" w:rsidRPr="00A66CA2" w:rsidRDefault="007266A5" w:rsidP="007266A5">
            <w:pPr>
              <w:pStyle w:val="Tabletext"/>
            </w:pPr>
          </w:p>
        </w:tc>
        <w:tc>
          <w:tcPr>
            <w:tcW w:w="2213" w:type="dxa"/>
            <w:tcBorders>
              <w:top w:val="nil"/>
              <w:bottom w:val="nil"/>
            </w:tcBorders>
            <w:shd w:val="clear" w:color="auto" w:fill="auto"/>
          </w:tcPr>
          <w:p w14:paraId="668E11FB" w14:textId="77777777" w:rsidR="007266A5" w:rsidRPr="00F2575A" w:rsidRDefault="007266A5" w:rsidP="007266A5">
            <w:pPr>
              <w:pStyle w:val="Tabletext"/>
              <w:tabs>
                <w:tab w:val="decimal" w:pos="1942"/>
              </w:tabs>
              <w:rPr>
                <w:highlight w:val="yellow"/>
              </w:rPr>
            </w:pPr>
          </w:p>
        </w:tc>
      </w:tr>
      <w:tr w:rsidR="007266A5" w:rsidRPr="00A66CA2" w14:paraId="21B0A9D9" w14:textId="77777777" w:rsidTr="00F2575A">
        <w:tc>
          <w:tcPr>
            <w:tcW w:w="3402" w:type="dxa"/>
            <w:tcBorders>
              <w:top w:val="nil"/>
              <w:bottom w:val="nil"/>
            </w:tcBorders>
            <w:shd w:val="clear" w:color="auto" w:fill="auto"/>
          </w:tcPr>
          <w:p w14:paraId="1627522D" w14:textId="0F9B09B9" w:rsidR="007266A5" w:rsidRPr="009A0E69" w:rsidRDefault="007266A5" w:rsidP="007266A5">
            <w:pPr>
              <w:pStyle w:val="Tabletext"/>
            </w:pPr>
            <w:r>
              <w:t>Origination and reversal of temporary differences</w:t>
            </w:r>
          </w:p>
        </w:tc>
        <w:tc>
          <w:tcPr>
            <w:tcW w:w="2212" w:type="dxa"/>
            <w:tcBorders>
              <w:top w:val="nil"/>
              <w:bottom w:val="nil"/>
            </w:tcBorders>
            <w:shd w:val="clear" w:color="auto" w:fill="auto"/>
          </w:tcPr>
          <w:p w14:paraId="7D883ED1" w14:textId="1048300B" w:rsidR="007266A5" w:rsidRPr="000C3112" w:rsidRDefault="00C119C9" w:rsidP="007266A5">
            <w:pPr>
              <w:pStyle w:val="Tabletext"/>
              <w:tabs>
                <w:tab w:val="decimal" w:pos="1931"/>
              </w:tabs>
            </w:pPr>
            <w:r>
              <w:t>(3.</w:t>
            </w:r>
            <w:r w:rsidR="0041090A">
              <w:t>1</w:t>
            </w:r>
            <w:r>
              <w:t>)</w:t>
            </w:r>
          </w:p>
        </w:tc>
        <w:tc>
          <w:tcPr>
            <w:tcW w:w="193" w:type="dxa"/>
            <w:tcBorders>
              <w:top w:val="nil"/>
              <w:bottom w:val="nil"/>
            </w:tcBorders>
          </w:tcPr>
          <w:p w14:paraId="6EDEDA26" w14:textId="77777777" w:rsidR="007266A5" w:rsidRPr="006E4251" w:rsidRDefault="007266A5" w:rsidP="007266A5">
            <w:pPr>
              <w:pStyle w:val="Tabletext"/>
            </w:pPr>
          </w:p>
        </w:tc>
        <w:tc>
          <w:tcPr>
            <w:tcW w:w="2212" w:type="dxa"/>
            <w:tcBorders>
              <w:top w:val="nil"/>
              <w:bottom w:val="nil"/>
            </w:tcBorders>
            <w:shd w:val="clear" w:color="auto" w:fill="auto"/>
          </w:tcPr>
          <w:p w14:paraId="7663D851" w14:textId="30CABC12" w:rsidR="007266A5" w:rsidRPr="006E4251" w:rsidRDefault="007266A5" w:rsidP="007266A5">
            <w:pPr>
              <w:pStyle w:val="Tabletext"/>
              <w:tabs>
                <w:tab w:val="decimal" w:pos="1933"/>
              </w:tabs>
            </w:pPr>
            <w:r w:rsidRPr="000C3112">
              <w:t>(2.1)</w:t>
            </w:r>
          </w:p>
        </w:tc>
        <w:tc>
          <w:tcPr>
            <w:tcW w:w="193" w:type="dxa"/>
            <w:tcBorders>
              <w:top w:val="nil"/>
              <w:bottom w:val="nil"/>
            </w:tcBorders>
          </w:tcPr>
          <w:p w14:paraId="6F6E86A5" w14:textId="77777777" w:rsidR="007266A5" w:rsidRPr="00A66CA2" w:rsidRDefault="007266A5" w:rsidP="007266A5">
            <w:pPr>
              <w:pStyle w:val="Tabletext"/>
            </w:pPr>
          </w:p>
        </w:tc>
        <w:tc>
          <w:tcPr>
            <w:tcW w:w="2213" w:type="dxa"/>
            <w:tcBorders>
              <w:top w:val="nil"/>
              <w:bottom w:val="nil"/>
            </w:tcBorders>
            <w:shd w:val="clear" w:color="auto" w:fill="auto"/>
          </w:tcPr>
          <w:p w14:paraId="7E306571" w14:textId="67F26D83" w:rsidR="007266A5" w:rsidRPr="00F2575A" w:rsidRDefault="007266A5" w:rsidP="007266A5">
            <w:pPr>
              <w:pStyle w:val="Tabletext"/>
              <w:tabs>
                <w:tab w:val="decimal" w:pos="1942"/>
              </w:tabs>
              <w:rPr>
                <w:highlight w:val="yellow"/>
              </w:rPr>
            </w:pPr>
            <w:r w:rsidRPr="00131B4F">
              <w:rPr>
                <w:rFonts w:eastAsia="Times New Roman"/>
                <w:szCs w:val="18"/>
                <w:lang w:eastAsia="en-GB"/>
              </w:rPr>
              <w:t>0.1</w:t>
            </w:r>
          </w:p>
        </w:tc>
      </w:tr>
      <w:tr w:rsidR="007266A5" w:rsidRPr="00A66CA2" w14:paraId="2B4C980D" w14:textId="77777777" w:rsidTr="00F2575A">
        <w:tc>
          <w:tcPr>
            <w:tcW w:w="3402" w:type="dxa"/>
            <w:tcBorders>
              <w:top w:val="nil"/>
              <w:bottom w:val="nil"/>
            </w:tcBorders>
            <w:shd w:val="clear" w:color="auto" w:fill="auto"/>
          </w:tcPr>
          <w:p w14:paraId="11709ECF" w14:textId="77777777" w:rsidR="007266A5" w:rsidRPr="009A0E69" w:rsidRDefault="007266A5" w:rsidP="007266A5">
            <w:pPr>
              <w:pStyle w:val="Tabletext"/>
            </w:pPr>
            <w:r>
              <w:t xml:space="preserve">Adjustments in respect of prior periods </w:t>
            </w:r>
          </w:p>
        </w:tc>
        <w:tc>
          <w:tcPr>
            <w:tcW w:w="2212" w:type="dxa"/>
            <w:tcBorders>
              <w:top w:val="nil"/>
              <w:bottom w:val="single" w:sz="4" w:space="0" w:color="auto"/>
            </w:tcBorders>
            <w:shd w:val="clear" w:color="auto" w:fill="auto"/>
          </w:tcPr>
          <w:p w14:paraId="28892EC9" w14:textId="2856316F" w:rsidR="007266A5" w:rsidRPr="000C3112" w:rsidRDefault="00C119C9" w:rsidP="007266A5">
            <w:pPr>
              <w:pStyle w:val="Tabletext"/>
              <w:tabs>
                <w:tab w:val="decimal" w:pos="1931"/>
              </w:tabs>
            </w:pPr>
            <w:r>
              <w:t>-</w:t>
            </w:r>
          </w:p>
        </w:tc>
        <w:tc>
          <w:tcPr>
            <w:tcW w:w="193" w:type="dxa"/>
            <w:tcBorders>
              <w:top w:val="nil"/>
              <w:bottom w:val="nil"/>
            </w:tcBorders>
          </w:tcPr>
          <w:p w14:paraId="31D4A8B7" w14:textId="77777777" w:rsidR="007266A5" w:rsidRPr="006E4251" w:rsidRDefault="007266A5" w:rsidP="007266A5">
            <w:pPr>
              <w:pStyle w:val="Tabletext"/>
            </w:pPr>
          </w:p>
        </w:tc>
        <w:tc>
          <w:tcPr>
            <w:tcW w:w="2212" w:type="dxa"/>
            <w:tcBorders>
              <w:top w:val="nil"/>
              <w:bottom w:val="single" w:sz="4" w:space="0" w:color="auto"/>
            </w:tcBorders>
            <w:shd w:val="clear" w:color="auto" w:fill="auto"/>
          </w:tcPr>
          <w:p w14:paraId="46594A33" w14:textId="7F37EAC2" w:rsidR="007266A5" w:rsidRPr="006E4251" w:rsidRDefault="007266A5" w:rsidP="007266A5">
            <w:pPr>
              <w:pStyle w:val="Tabletext"/>
              <w:tabs>
                <w:tab w:val="decimal" w:pos="1933"/>
              </w:tabs>
            </w:pPr>
            <w:r w:rsidRPr="000C3112">
              <w:t>-</w:t>
            </w:r>
          </w:p>
        </w:tc>
        <w:tc>
          <w:tcPr>
            <w:tcW w:w="193" w:type="dxa"/>
            <w:tcBorders>
              <w:top w:val="nil"/>
              <w:bottom w:val="nil"/>
            </w:tcBorders>
          </w:tcPr>
          <w:p w14:paraId="6A805892" w14:textId="77777777" w:rsidR="007266A5" w:rsidRPr="00A66CA2" w:rsidRDefault="007266A5" w:rsidP="007266A5">
            <w:pPr>
              <w:pStyle w:val="Tabletext"/>
            </w:pPr>
          </w:p>
        </w:tc>
        <w:tc>
          <w:tcPr>
            <w:tcW w:w="2213" w:type="dxa"/>
            <w:tcBorders>
              <w:top w:val="nil"/>
              <w:bottom w:val="single" w:sz="4" w:space="0" w:color="auto"/>
            </w:tcBorders>
            <w:shd w:val="clear" w:color="auto" w:fill="auto"/>
          </w:tcPr>
          <w:p w14:paraId="58D2D545" w14:textId="35AE7298" w:rsidR="007266A5" w:rsidRPr="00F2575A" w:rsidRDefault="007266A5" w:rsidP="007266A5">
            <w:pPr>
              <w:pStyle w:val="Tabletext"/>
              <w:tabs>
                <w:tab w:val="decimal" w:pos="1942"/>
              </w:tabs>
              <w:rPr>
                <w:highlight w:val="yellow"/>
              </w:rPr>
            </w:pPr>
            <w:r w:rsidRPr="00131B4F">
              <w:rPr>
                <w:rFonts w:eastAsia="Times New Roman"/>
                <w:szCs w:val="18"/>
                <w:lang w:eastAsia="en-GB"/>
              </w:rPr>
              <w:t>(1.2)</w:t>
            </w:r>
          </w:p>
        </w:tc>
      </w:tr>
      <w:tr w:rsidR="007266A5" w:rsidRPr="00A66CA2" w14:paraId="2F442135" w14:textId="77777777" w:rsidTr="00F2575A">
        <w:tc>
          <w:tcPr>
            <w:tcW w:w="3402" w:type="dxa"/>
            <w:tcBorders>
              <w:top w:val="nil"/>
              <w:bottom w:val="nil"/>
            </w:tcBorders>
            <w:shd w:val="clear" w:color="auto" w:fill="auto"/>
          </w:tcPr>
          <w:p w14:paraId="3471F859" w14:textId="33E896A3" w:rsidR="007266A5" w:rsidRPr="00F2575A" w:rsidRDefault="007266A5" w:rsidP="007266A5">
            <w:pPr>
              <w:pStyle w:val="Tabletext"/>
              <w:rPr>
                <w:b/>
                <w:bCs/>
              </w:rPr>
            </w:pPr>
            <w:r w:rsidRPr="00F2575A">
              <w:rPr>
                <w:b/>
                <w:bCs/>
              </w:rPr>
              <w:t>Total deferred tax</w:t>
            </w:r>
          </w:p>
        </w:tc>
        <w:tc>
          <w:tcPr>
            <w:tcW w:w="2212" w:type="dxa"/>
            <w:tcBorders>
              <w:top w:val="single" w:sz="4" w:space="0" w:color="auto"/>
              <w:bottom w:val="nil"/>
            </w:tcBorders>
            <w:shd w:val="clear" w:color="auto" w:fill="auto"/>
          </w:tcPr>
          <w:p w14:paraId="13514F11" w14:textId="6940C2ED" w:rsidR="007266A5" w:rsidRPr="00E927E3" w:rsidRDefault="00C119C9" w:rsidP="007266A5">
            <w:pPr>
              <w:pStyle w:val="Tabletext"/>
              <w:tabs>
                <w:tab w:val="decimal" w:pos="1931"/>
              </w:tabs>
              <w:rPr>
                <w:b/>
                <w:bCs/>
              </w:rPr>
            </w:pPr>
            <w:r>
              <w:rPr>
                <w:b/>
                <w:bCs/>
              </w:rPr>
              <w:t>(3.</w:t>
            </w:r>
            <w:r w:rsidR="0041090A">
              <w:rPr>
                <w:b/>
                <w:bCs/>
              </w:rPr>
              <w:t>1</w:t>
            </w:r>
            <w:r>
              <w:rPr>
                <w:b/>
                <w:bCs/>
              </w:rPr>
              <w:t>)</w:t>
            </w:r>
          </w:p>
        </w:tc>
        <w:tc>
          <w:tcPr>
            <w:tcW w:w="193" w:type="dxa"/>
            <w:tcBorders>
              <w:top w:val="nil"/>
              <w:bottom w:val="nil"/>
            </w:tcBorders>
          </w:tcPr>
          <w:p w14:paraId="315305C2" w14:textId="77777777" w:rsidR="007266A5" w:rsidRPr="009F40EF" w:rsidRDefault="007266A5" w:rsidP="007266A5">
            <w:pPr>
              <w:pStyle w:val="Tabletext"/>
              <w:rPr>
                <w:b/>
                <w:bCs/>
              </w:rPr>
            </w:pPr>
          </w:p>
        </w:tc>
        <w:tc>
          <w:tcPr>
            <w:tcW w:w="2212" w:type="dxa"/>
            <w:tcBorders>
              <w:top w:val="single" w:sz="4" w:space="0" w:color="auto"/>
              <w:bottom w:val="nil"/>
            </w:tcBorders>
            <w:shd w:val="clear" w:color="auto" w:fill="auto"/>
          </w:tcPr>
          <w:p w14:paraId="5910C15C" w14:textId="7A0BDA36" w:rsidR="007266A5" w:rsidRPr="009F40EF" w:rsidRDefault="007266A5" w:rsidP="007266A5">
            <w:pPr>
              <w:pStyle w:val="Tabletext"/>
              <w:tabs>
                <w:tab w:val="decimal" w:pos="1933"/>
              </w:tabs>
              <w:rPr>
                <w:b/>
                <w:bCs/>
              </w:rPr>
            </w:pPr>
            <w:r w:rsidRPr="00423552">
              <w:rPr>
                <w:b/>
              </w:rPr>
              <w:t>(2.1)</w:t>
            </w:r>
          </w:p>
        </w:tc>
        <w:tc>
          <w:tcPr>
            <w:tcW w:w="193" w:type="dxa"/>
            <w:tcBorders>
              <w:top w:val="nil"/>
              <w:bottom w:val="nil"/>
            </w:tcBorders>
          </w:tcPr>
          <w:p w14:paraId="72D6D71C" w14:textId="77777777" w:rsidR="007266A5" w:rsidRPr="009F40EF" w:rsidRDefault="007266A5" w:rsidP="007266A5">
            <w:pPr>
              <w:pStyle w:val="Tabletext"/>
              <w:rPr>
                <w:b/>
                <w:bCs/>
              </w:rPr>
            </w:pPr>
          </w:p>
        </w:tc>
        <w:tc>
          <w:tcPr>
            <w:tcW w:w="2213" w:type="dxa"/>
            <w:tcBorders>
              <w:top w:val="single" w:sz="4" w:space="0" w:color="auto"/>
              <w:bottom w:val="nil"/>
            </w:tcBorders>
            <w:shd w:val="clear" w:color="auto" w:fill="auto"/>
          </w:tcPr>
          <w:p w14:paraId="37075491" w14:textId="4038C26A" w:rsidR="007266A5" w:rsidRPr="00F2575A" w:rsidRDefault="007266A5" w:rsidP="007266A5">
            <w:pPr>
              <w:pStyle w:val="Tabletext"/>
              <w:tabs>
                <w:tab w:val="decimal" w:pos="1942"/>
              </w:tabs>
              <w:rPr>
                <w:b/>
                <w:bCs/>
                <w:highlight w:val="yellow"/>
              </w:rPr>
            </w:pPr>
            <w:r w:rsidRPr="00131B4F">
              <w:rPr>
                <w:rFonts w:eastAsia="Times New Roman"/>
                <w:b/>
                <w:szCs w:val="18"/>
                <w:lang w:eastAsia="en-GB"/>
              </w:rPr>
              <w:t>(1.1)</w:t>
            </w:r>
          </w:p>
        </w:tc>
      </w:tr>
      <w:tr w:rsidR="007266A5" w:rsidRPr="00A66CA2" w14:paraId="27314751" w14:textId="77777777">
        <w:trPr>
          <w:trHeight w:hRule="exact" w:val="113"/>
        </w:trPr>
        <w:tc>
          <w:tcPr>
            <w:tcW w:w="3402" w:type="dxa"/>
            <w:tcBorders>
              <w:top w:val="nil"/>
              <w:bottom w:val="nil"/>
            </w:tcBorders>
            <w:shd w:val="clear" w:color="auto" w:fill="auto"/>
          </w:tcPr>
          <w:p w14:paraId="63BAC29F" w14:textId="77777777" w:rsidR="007266A5" w:rsidRDefault="007266A5" w:rsidP="007266A5">
            <w:pPr>
              <w:pStyle w:val="Tabletext"/>
              <w:ind w:left="194"/>
            </w:pPr>
          </w:p>
        </w:tc>
        <w:tc>
          <w:tcPr>
            <w:tcW w:w="2212" w:type="dxa"/>
            <w:tcBorders>
              <w:top w:val="nil"/>
              <w:bottom w:val="nil"/>
            </w:tcBorders>
            <w:shd w:val="clear" w:color="auto" w:fill="auto"/>
          </w:tcPr>
          <w:p w14:paraId="0EC93BD6" w14:textId="49D0BDF9" w:rsidR="007266A5" w:rsidRPr="00423552" w:rsidRDefault="007266A5" w:rsidP="007266A5">
            <w:pPr>
              <w:pStyle w:val="Tabletext"/>
              <w:tabs>
                <w:tab w:val="decimal" w:pos="1931"/>
              </w:tabs>
              <w:rPr>
                <w:b/>
              </w:rPr>
            </w:pPr>
          </w:p>
        </w:tc>
        <w:tc>
          <w:tcPr>
            <w:tcW w:w="193" w:type="dxa"/>
            <w:tcBorders>
              <w:top w:val="nil"/>
              <w:bottom w:val="nil"/>
            </w:tcBorders>
          </w:tcPr>
          <w:p w14:paraId="59092DB3" w14:textId="77777777" w:rsidR="007266A5" w:rsidRPr="006E4251" w:rsidRDefault="007266A5" w:rsidP="007266A5">
            <w:pPr>
              <w:pStyle w:val="Tabletext"/>
            </w:pPr>
          </w:p>
        </w:tc>
        <w:tc>
          <w:tcPr>
            <w:tcW w:w="2212" w:type="dxa"/>
            <w:tcBorders>
              <w:top w:val="nil"/>
              <w:bottom w:val="nil"/>
            </w:tcBorders>
            <w:shd w:val="clear" w:color="auto" w:fill="auto"/>
          </w:tcPr>
          <w:p w14:paraId="502B0544" w14:textId="77777777" w:rsidR="007266A5" w:rsidRPr="006E4251" w:rsidRDefault="007266A5" w:rsidP="007266A5">
            <w:pPr>
              <w:pStyle w:val="Tabletext"/>
              <w:tabs>
                <w:tab w:val="decimal" w:pos="1933"/>
              </w:tabs>
            </w:pPr>
          </w:p>
        </w:tc>
        <w:tc>
          <w:tcPr>
            <w:tcW w:w="193" w:type="dxa"/>
            <w:tcBorders>
              <w:top w:val="nil"/>
              <w:bottom w:val="nil"/>
            </w:tcBorders>
          </w:tcPr>
          <w:p w14:paraId="1D75E85B" w14:textId="77777777" w:rsidR="007266A5" w:rsidRPr="00A66CA2" w:rsidRDefault="007266A5" w:rsidP="007266A5">
            <w:pPr>
              <w:pStyle w:val="Tabletext"/>
            </w:pPr>
          </w:p>
        </w:tc>
        <w:tc>
          <w:tcPr>
            <w:tcW w:w="2213" w:type="dxa"/>
            <w:tcBorders>
              <w:top w:val="nil"/>
              <w:bottom w:val="nil"/>
            </w:tcBorders>
            <w:shd w:val="clear" w:color="auto" w:fill="auto"/>
            <w:vAlign w:val="bottom"/>
          </w:tcPr>
          <w:p w14:paraId="4F5FBF0D" w14:textId="47F26BDA" w:rsidR="007266A5" w:rsidRPr="00F2575A" w:rsidRDefault="007266A5" w:rsidP="007266A5">
            <w:pPr>
              <w:pStyle w:val="Tabletext"/>
              <w:tabs>
                <w:tab w:val="decimal" w:pos="1942"/>
              </w:tabs>
              <w:rPr>
                <w:highlight w:val="yellow"/>
              </w:rPr>
            </w:pPr>
            <w:r w:rsidRPr="00131B4F">
              <w:rPr>
                <w:rFonts w:eastAsia="Times New Roman"/>
                <w:b/>
                <w:szCs w:val="18"/>
                <w:lang w:eastAsia="en-GB"/>
              </w:rPr>
              <w:t>22.3</w:t>
            </w:r>
          </w:p>
        </w:tc>
      </w:tr>
      <w:tr w:rsidR="007266A5" w:rsidRPr="00A66CA2" w14:paraId="090FA4D9" w14:textId="77777777" w:rsidTr="00F2575A">
        <w:tc>
          <w:tcPr>
            <w:tcW w:w="3402" w:type="dxa"/>
            <w:tcBorders>
              <w:top w:val="nil"/>
              <w:bottom w:val="nil"/>
            </w:tcBorders>
            <w:shd w:val="clear" w:color="auto" w:fill="auto"/>
          </w:tcPr>
          <w:p w14:paraId="2889AFFD" w14:textId="16EE1E01" w:rsidR="007266A5" w:rsidRPr="00851326" w:rsidRDefault="007266A5" w:rsidP="007266A5">
            <w:pPr>
              <w:pStyle w:val="Tabletext"/>
              <w:rPr>
                <w:b/>
                <w:bCs/>
              </w:rPr>
            </w:pPr>
            <w:r>
              <w:rPr>
                <w:b/>
                <w:bCs/>
              </w:rPr>
              <w:t xml:space="preserve">Income tax expense </w:t>
            </w:r>
          </w:p>
        </w:tc>
        <w:tc>
          <w:tcPr>
            <w:tcW w:w="2212" w:type="dxa"/>
            <w:tcBorders>
              <w:top w:val="single" w:sz="4" w:space="0" w:color="auto"/>
              <w:bottom w:val="double" w:sz="4" w:space="0" w:color="auto"/>
            </w:tcBorders>
            <w:shd w:val="clear" w:color="auto" w:fill="auto"/>
          </w:tcPr>
          <w:p w14:paraId="45315447" w14:textId="12AAECBE" w:rsidR="007266A5" w:rsidRPr="00E927E3" w:rsidRDefault="009760F6" w:rsidP="007266A5">
            <w:pPr>
              <w:pStyle w:val="Tabletext"/>
              <w:tabs>
                <w:tab w:val="decimal" w:pos="1931"/>
              </w:tabs>
              <w:rPr>
                <w:b/>
                <w:bCs/>
              </w:rPr>
            </w:pPr>
            <w:r>
              <w:rPr>
                <w:b/>
                <w:bCs/>
              </w:rPr>
              <w:t>10.</w:t>
            </w:r>
            <w:r w:rsidR="0041090A">
              <w:rPr>
                <w:b/>
                <w:bCs/>
              </w:rPr>
              <w:t>5</w:t>
            </w:r>
          </w:p>
        </w:tc>
        <w:tc>
          <w:tcPr>
            <w:tcW w:w="193" w:type="dxa"/>
            <w:tcBorders>
              <w:top w:val="nil"/>
              <w:bottom w:val="nil"/>
            </w:tcBorders>
          </w:tcPr>
          <w:p w14:paraId="107AF9B1" w14:textId="77777777" w:rsidR="007266A5" w:rsidRPr="006E4251" w:rsidRDefault="007266A5" w:rsidP="007266A5">
            <w:pPr>
              <w:pStyle w:val="Tabletext"/>
            </w:pPr>
          </w:p>
        </w:tc>
        <w:tc>
          <w:tcPr>
            <w:tcW w:w="2212" w:type="dxa"/>
            <w:tcBorders>
              <w:top w:val="single" w:sz="4" w:space="0" w:color="auto"/>
              <w:bottom w:val="double" w:sz="4" w:space="0" w:color="auto"/>
            </w:tcBorders>
            <w:shd w:val="clear" w:color="auto" w:fill="auto"/>
          </w:tcPr>
          <w:p w14:paraId="58C9C33B" w14:textId="4C0FB401" w:rsidR="007266A5" w:rsidRPr="006E4251" w:rsidRDefault="007266A5" w:rsidP="007266A5">
            <w:pPr>
              <w:pStyle w:val="Tabletext"/>
              <w:tabs>
                <w:tab w:val="decimal" w:pos="1933"/>
              </w:tabs>
            </w:pPr>
            <w:r w:rsidRPr="00423552">
              <w:rPr>
                <w:b/>
              </w:rPr>
              <w:t>10.6</w:t>
            </w:r>
          </w:p>
        </w:tc>
        <w:tc>
          <w:tcPr>
            <w:tcW w:w="193" w:type="dxa"/>
            <w:tcBorders>
              <w:top w:val="nil"/>
              <w:bottom w:val="nil"/>
            </w:tcBorders>
          </w:tcPr>
          <w:p w14:paraId="4F5396A9" w14:textId="77777777" w:rsidR="007266A5" w:rsidRPr="00A66CA2" w:rsidRDefault="007266A5" w:rsidP="007266A5">
            <w:pPr>
              <w:pStyle w:val="Tabletext"/>
            </w:pPr>
          </w:p>
        </w:tc>
        <w:tc>
          <w:tcPr>
            <w:tcW w:w="2213" w:type="dxa"/>
            <w:tcBorders>
              <w:top w:val="single" w:sz="4" w:space="0" w:color="auto"/>
              <w:bottom w:val="double" w:sz="4" w:space="0" w:color="auto"/>
            </w:tcBorders>
            <w:shd w:val="clear" w:color="auto" w:fill="auto"/>
          </w:tcPr>
          <w:p w14:paraId="54C79E45" w14:textId="0A22602E" w:rsidR="007266A5" w:rsidRPr="00F2575A" w:rsidRDefault="007266A5" w:rsidP="007266A5">
            <w:pPr>
              <w:pStyle w:val="Tabletext"/>
              <w:tabs>
                <w:tab w:val="decimal" w:pos="1942"/>
              </w:tabs>
              <w:rPr>
                <w:b/>
                <w:bCs/>
                <w:highlight w:val="yellow"/>
              </w:rPr>
            </w:pPr>
            <w:r w:rsidRPr="00131B4F">
              <w:rPr>
                <w:rFonts w:eastAsia="Times New Roman"/>
                <w:szCs w:val="18"/>
                <w:lang w:eastAsia="en-GB"/>
              </w:rPr>
              <w:t>2</w:t>
            </w:r>
            <w:r w:rsidR="0097411E">
              <w:rPr>
                <w:rFonts w:eastAsia="Times New Roman"/>
                <w:szCs w:val="18"/>
                <w:lang w:eastAsia="en-GB"/>
              </w:rPr>
              <w:t>2.3</w:t>
            </w:r>
          </w:p>
        </w:tc>
      </w:tr>
    </w:tbl>
    <w:p w14:paraId="31E3B6B0" w14:textId="445F78E9" w:rsidR="007F493D" w:rsidRPr="00415A80" w:rsidRDefault="0052785A" w:rsidP="0052785A">
      <w:pPr>
        <w:pStyle w:val="Bodytext0"/>
        <w:rPr>
          <w:highlight w:val="yellow"/>
          <w:lang w:val="en-US"/>
        </w:rPr>
      </w:pPr>
      <w:r w:rsidRPr="004B59F2">
        <w:rPr>
          <w:lang w:val="en-US"/>
        </w:rPr>
        <w:t xml:space="preserve">The weighted average UK </w:t>
      </w:r>
      <w:r w:rsidR="00DD3856" w:rsidRPr="00DD3856">
        <w:rPr>
          <w:lang w:val="en-US"/>
        </w:rPr>
        <w:t>corporate</w:t>
      </w:r>
      <w:r w:rsidRPr="004B59F2">
        <w:rPr>
          <w:lang w:val="en-US"/>
        </w:rPr>
        <w:t xml:space="preserve"> tax rate for </w:t>
      </w:r>
      <w:r w:rsidR="00E85F7E">
        <w:rPr>
          <w:lang w:val="en-US"/>
        </w:rPr>
        <w:t>2024</w:t>
      </w:r>
      <w:r w:rsidRPr="004B59F2">
        <w:rPr>
          <w:lang w:val="en-US"/>
        </w:rPr>
        <w:t xml:space="preserve"> </w:t>
      </w:r>
      <w:r w:rsidR="00DD3856" w:rsidRPr="00DD3856">
        <w:rPr>
          <w:lang w:val="en-US"/>
        </w:rPr>
        <w:t>FY is 2</w:t>
      </w:r>
      <w:r w:rsidR="007266A5">
        <w:rPr>
          <w:rFonts w:eastAsia="SimSun" w:hint="eastAsia"/>
          <w:lang w:val="en-US" w:eastAsia="zh-CN"/>
        </w:rPr>
        <w:t>5</w:t>
      </w:r>
      <w:r w:rsidRPr="004B59F2">
        <w:rPr>
          <w:lang w:val="en-US"/>
        </w:rPr>
        <w:t>% (</w:t>
      </w:r>
      <w:r w:rsidR="007266A5" w:rsidRPr="007266A5">
        <w:rPr>
          <w:lang w:val="en-US"/>
        </w:rPr>
        <w:t>2023 FY: 23.5%</w:t>
      </w:r>
      <w:r w:rsidRPr="004B59F2">
        <w:rPr>
          <w:lang w:val="en-US"/>
        </w:rPr>
        <w:t xml:space="preserve">). </w:t>
      </w:r>
      <w:r w:rsidR="00F669D6" w:rsidRPr="00775461">
        <w:rPr>
          <w:lang w:val="en-US"/>
        </w:rPr>
        <w:t xml:space="preserve">The UK corporation tax rate increased from 19% to 25% on 1 April </w:t>
      </w:r>
      <w:r w:rsidR="00E85F7E" w:rsidRPr="00775461">
        <w:rPr>
          <w:lang w:val="en-US"/>
        </w:rPr>
        <w:t>202</w:t>
      </w:r>
      <w:r w:rsidR="00775461" w:rsidRPr="00775461">
        <w:rPr>
          <w:lang w:val="en-US"/>
        </w:rPr>
        <w:t>3</w:t>
      </w:r>
      <w:r w:rsidR="00F669D6" w:rsidRPr="00775461">
        <w:rPr>
          <w:lang w:val="en-US"/>
        </w:rPr>
        <w:t xml:space="preserve">. </w:t>
      </w:r>
      <w:r w:rsidRPr="00775461">
        <w:rPr>
          <w:lang w:val="en-US"/>
        </w:rPr>
        <w:t xml:space="preserve">The </w:t>
      </w:r>
      <w:r w:rsidR="00131852" w:rsidRPr="00775461">
        <w:rPr>
          <w:lang w:val="en-US"/>
        </w:rPr>
        <w:t>effective</w:t>
      </w:r>
      <w:r w:rsidRPr="00775461">
        <w:rPr>
          <w:lang w:val="en-US"/>
        </w:rPr>
        <w:t xml:space="preserve"> tax rate used for the period to 30 June </w:t>
      </w:r>
      <w:r w:rsidR="00E85F7E" w:rsidRPr="00775461">
        <w:rPr>
          <w:lang w:val="en-US"/>
        </w:rPr>
        <w:t>2024</w:t>
      </w:r>
      <w:r w:rsidRPr="00775461">
        <w:rPr>
          <w:lang w:val="en-US"/>
        </w:rPr>
        <w:t xml:space="preserve"> is </w:t>
      </w:r>
      <w:r w:rsidR="003F5F01">
        <w:rPr>
          <w:lang w:val="en-US"/>
        </w:rPr>
        <w:t>27.1</w:t>
      </w:r>
      <w:r w:rsidR="00991C41" w:rsidRPr="005F0E7F">
        <w:rPr>
          <w:lang w:val="en-US"/>
        </w:rPr>
        <w:t>%</w:t>
      </w:r>
      <w:r w:rsidR="00991C41" w:rsidRPr="00775461">
        <w:rPr>
          <w:lang w:val="en-US"/>
        </w:rPr>
        <w:t xml:space="preserve">, </w:t>
      </w:r>
      <w:r w:rsidRPr="00775461">
        <w:rPr>
          <w:lang w:val="en-US"/>
        </w:rPr>
        <w:t xml:space="preserve">compared to </w:t>
      </w:r>
      <w:r w:rsidR="00775461" w:rsidRPr="00775461">
        <w:rPr>
          <w:lang w:val="en-US"/>
        </w:rPr>
        <w:t>30.5</w:t>
      </w:r>
      <w:r w:rsidRPr="00775461">
        <w:rPr>
          <w:lang w:val="en-US"/>
        </w:rPr>
        <w:t xml:space="preserve">% for the six months ended 30 June </w:t>
      </w:r>
      <w:r w:rsidR="00E85F7E" w:rsidRPr="00775461">
        <w:rPr>
          <w:lang w:val="en-US"/>
        </w:rPr>
        <w:t>2023</w:t>
      </w:r>
      <w:r w:rsidR="00DD3856" w:rsidRPr="00775461">
        <w:rPr>
          <w:lang w:val="en-US"/>
        </w:rPr>
        <w:t>.</w:t>
      </w:r>
    </w:p>
    <w:p w14:paraId="50273B56" w14:textId="528579E7" w:rsidR="007F493D" w:rsidRPr="00632714" w:rsidRDefault="009A0095" w:rsidP="00632714">
      <w:pPr>
        <w:pStyle w:val="Bodytext0"/>
        <w:rPr>
          <w:lang w:val="en-US"/>
        </w:rPr>
      </w:pPr>
      <w:r>
        <w:rPr>
          <w:lang w:val="en-US"/>
        </w:rPr>
        <w:t xml:space="preserve">The </w:t>
      </w:r>
      <w:r w:rsidR="003F5F01">
        <w:rPr>
          <w:lang w:val="en-US"/>
        </w:rPr>
        <w:t>decrease</w:t>
      </w:r>
      <w:r>
        <w:rPr>
          <w:lang w:val="en-US"/>
        </w:rPr>
        <w:t xml:space="preserve"> in </w:t>
      </w:r>
      <w:r w:rsidR="003F5F01">
        <w:rPr>
          <w:lang w:val="en-US"/>
        </w:rPr>
        <w:t xml:space="preserve">the effective tax rate is primarily due to </w:t>
      </w:r>
      <w:r w:rsidR="008B378E">
        <w:rPr>
          <w:lang w:val="en-US"/>
        </w:rPr>
        <w:t>an</w:t>
      </w:r>
      <w:r w:rsidR="00ED2078">
        <w:rPr>
          <w:lang w:val="en-US"/>
        </w:rPr>
        <w:t xml:space="preserve"> increase in fund unit share price</w:t>
      </w:r>
      <w:r w:rsidR="008947C5">
        <w:rPr>
          <w:lang w:val="en-US"/>
        </w:rPr>
        <w:t>s</w:t>
      </w:r>
      <w:r w:rsidR="00ED2078">
        <w:rPr>
          <w:lang w:val="en-US"/>
        </w:rPr>
        <w:t xml:space="preserve"> in 2024 compared to 2023.</w:t>
      </w:r>
      <w:r w:rsidR="00BF6078">
        <w:rPr>
          <w:lang w:val="en-US"/>
        </w:rPr>
        <w:t xml:space="preserve"> This benefit is slightly offset by a smaller adverse movement in the share price of share-based payments in 2024 compared to 2023</w:t>
      </w:r>
      <w:r w:rsidR="003F5F01">
        <w:rPr>
          <w:lang w:val="en-US"/>
        </w:rPr>
        <w:t xml:space="preserve">. In addition, there was a greater level of disallowable expenditure </w:t>
      </w:r>
      <w:r w:rsidR="00DF776A">
        <w:rPr>
          <w:lang w:val="en-US"/>
        </w:rPr>
        <w:t>in</w:t>
      </w:r>
      <w:r w:rsidR="003F5F01">
        <w:rPr>
          <w:lang w:val="en-US"/>
        </w:rPr>
        <w:t xml:space="preserve"> 2024</w:t>
      </w:r>
      <w:r w:rsidR="00DF776A">
        <w:rPr>
          <w:lang w:val="en-US"/>
        </w:rPr>
        <w:t xml:space="preserve"> compared to 2023</w:t>
      </w:r>
      <w:r w:rsidR="003F5F01">
        <w:rPr>
          <w:lang w:val="en-US"/>
        </w:rPr>
        <w:t>. Combined, these factors give rise to an effective tax rate of 2</w:t>
      </w:r>
      <w:r w:rsidR="006F3366">
        <w:rPr>
          <w:lang w:val="en-US"/>
        </w:rPr>
        <w:t>7.1% which is slightly higher than the UK statutory rate of 25%</w:t>
      </w:r>
      <w:r w:rsidR="00F46514">
        <w:rPr>
          <w:lang w:val="en-US"/>
        </w:rPr>
        <w:t>.</w:t>
      </w:r>
    </w:p>
    <w:p w14:paraId="05A8180B" w14:textId="77777777" w:rsidR="00C937EB" w:rsidRDefault="00C937EB">
      <w:pPr>
        <w:rPr>
          <w:rFonts w:ascii="Source Sans Pro Semibold" w:eastAsiaTheme="minorHAnsi" w:hAnsi="Source Sans Pro Semibold"/>
          <w:color w:val="16293F" w:themeColor="text1"/>
          <w:sz w:val="24"/>
          <w:lang w:val="en-GB" w:eastAsia="en-US"/>
        </w:rPr>
      </w:pPr>
      <w:r>
        <w:br w:type="page"/>
      </w:r>
    </w:p>
    <w:p w14:paraId="4799A662" w14:textId="4A2ACC2D" w:rsidR="0052785A" w:rsidRPr="004B59F2" w:rsidRDefault="00913723" w:rsidP="0052785A">
      <w:pPr>
        <w:pStyle w:val="Subheading"/>
      </w:pPr>
      <w:r>
        <w:lastRenderedPageBreak/>
        <w:t>7.</w:t>
      </w:r>
      <w:r w:rsidR="0052785A">
        <w:tab/>
        <w:t>Earnings per share</w:t>
      </w:r>
      <w:r w:rsidR="00843205">
        <w:t xml:space="preserve"> (EPS)</w:t>
      </w:r>
      <w:r w:rsidR="0052785A">
        <w:tab/>
      </w:r>
    </w:p>
    <w:p w14:paraId="6C90E1A1" w14:textId="4BB6E4CE" w:rsidR="0052785A" w:rsidRPr="004B59F2" w:rsidRDefault="0052785A" w:rsidP="0052785A">
      <w:pPr>
        <w:pStyle w:val="Bodytext0"/>
      </w:pPr>
      <w:r w:rsidRPr="004B59F2">
        <w:t>Basic EPS is calculated by dividing the profit for the period</w:t>
      </w:r>
      <w:r w:rsidR="006C58B4">
        <w:t xml:space="preserve"> attributable to equity holders of Jupiter Fund Management plc (the parent company of the Group)</w:t>
      </w:r>
      <w:r w:rsidRPr="004B59F2">
        <w:t xml:space="preserve"> by the weighted average number of ordinary shares outstanding </w:t>
      </w:r>
      <w:r w:rsidR="006C58B4">
        <w:t xml:space="preserve">and contingently issuable </w:t>
      </w:r>
      <w:r w:rsidRPr="004B59F2">
        <w:t xml:space="preserve">during the period, less the weighted average number of own shares held. Own shares are shares held in an EBT for the benefit of employees under the vesting, lock-in and other incentive arrangements in place. </w:t>
      </w:r>
    </w:p>
    <w:p w14:paraId="0D2CCA23" w14:textId="11CCBC7E" w:rsidR="0052785A" w:rsidRPr="004B59F2" w:rsidRDefault="0052785A" w:rsidP="0052785A">
      <w:pPr>
        <w:pStyle w:val="Bodytext0"/>
      </w:pPr>
      <w:r w:rsidRPr="004B59F2">
        <w:t xml:space="preserve">Diluted EPS is calculated by dividing the profit for the period </w:t>
      </w:r>
      <w:r w:rsidR="006C58B4">
        <w:t xml:space="preserve">(as used in the calculation of basic EPS) </w:t>
      </w:r>
      <w:r w:rsidRPr="004B59F2">
        <w:t xml:space="preserve">by the weighted average number of ordinary shares outstanding during the period for the purpose of basic EPS, plus the weighted average number of ordinary shares that would be issued on the conversion of all the dilutive potential ordinary shares into ordinary shares. </w:t>
      </w:r>
    </w:p>
    <w:p w14:paraId="3C051420" w14:textId="3A0D84F9" w:rsidR="0052785A" w:rsidRDefault="0052785A" w:rsidP="0052785A">
      <w:pPr>
        <w:pStyle w:val="Bodytext0"/>
        <w:rPr>
          <w:lang w:val="en-US"/>
        </w:rPr>
      </w:pPr>
      <w:r w:rsidRPr="004B59F2">
        <w:rPr>
          <w:lang w:val="en-US"/>
        </w:rPr>
        <w:t>The weighted average number of ordinary shares used in the calculation of EPS is as follows:</w:t>
      </w:r>
    </w:p>
    <w:tbl>
      <w:tblPr>
        <w:tblStyle w:val="TableGrid"/>
        <w:tblW w:w="10425" w:type="dxa"/>
        <w:tblBorders>
          <w:bottom w:val="single" w:sz="2" w:space="0" w:color="16293F" w:themeColor="accent1"/>
          <w:insideH w:val="single" w:sz="2" w:space="0" w:color="16293F" w:themeColor="accent1"/>
        </w:tblBorders>
        <w:tblLayout w:type="fixed"/>
        <w:tblCellMar>
          <w:top w:w="57" w:type="dxa"/>
          <w:left w:w="85" w:type="dxa"/>
          <w:bottom w:w="57" w:type="dxa"/>
          <w:right w:w="85" w:type="dxa"/>
        </w:tblCellMar>
        <w:tblLook w:val="04A0" w:firstRow="1" w:lastRow="0" w:firstColumn="1" w:lastColumn="0" w:noHBand="0" w:noVBand="1"/>
      </w:tblPr>
      <w:tblGrid>
        <w:gridCol w:w="3402"/>
        <w:gridCol w:w="2212"/>
        <w:gridCol w:w="193"/>
        <w:gridCol w:w="2212"/>
        <w:gridCol w:w="193"/>
        <w:gridCol w:w="2213"/>
      </w:tblGrid>
      <w:tr w:rsidR="0052785A" w:rsidRPr="00B17DE3" w14:paraId="7FD45E62" w14:textId="77777777" w:rsidTr="00B17DE3">
        <w:tc>
          <w:tcPr>
            <w:tcW w:w="3402" w:type="dxa"/>
            <w:tcBorders>
              <w:bottom w:val="nil"/>
            </w:tcBorders>
            <w:vAlign w:val="bottom"/>
          </w:tcPr>
          <w:p w14:paraId="29E1E6EB" w14:textId="77777777" w:rsidR="0052785A" w:rsidRPr="00B17DE3" w:rsidRDefault="0052785A" w:rsidP="00B17DE3">
            <w:pPr>
              <w:pStyle w:val="Tableheading"/>
            </w:pPr>
            <w:r w:rsidRPr="00B17DE3">
              <w:t xml:space="preserve">Weighted average number of shares </w:t>
            </w:r>
          </w:p>
        </w:tc>
        <w:tc>
          <w:tcPr>
            <w:tcW w:w="2212" w:type="dxa"/>
            <w:tcBorders>
              <w:top w:val="nil"/>
              <w:bottom w:val="nil"/>
            </w:tcBorders>
            <w:vAlign w:val="bottom"/>
          </w:tcPr>
          <w:p w14:paraId="5A64904C" w14:textId="77777777" w:rsidR="0052785A" w:rsidRPr="00B17DE3" w:rsidRDefault="0052785A" w:rsidP="00B17DE3">
            <w:pPr>
              <w:pStyle w:val="Tableheading"/>
              <w:jc w:val="right"/>
            </w:pPr>
            <w:r w:rsidRPr="00B17DE3">
              <w:t xml:space="preserve">Six months ended </w:t>
            </w:r>
          </w:p>
          <w:p w14:paraId="5F00A606" w14:textId="47EE4D7F" w:rsidR="0052785A" w:rsidRPr="00B17DE3" w:rsidRDefault="0052785A" w:rsidP="00B17DE3">
            <w:pPr>
              <w:pStyle w:val="Tableheading"/>
              <w:jc w:val="right"/>
            </w:pPr>
            <w:r w:rsidRPr="00B17DE3">
              <w:tab/>
              <w:t xml:space="preserve">30 June </w:t>
            </w:r>
            <w:r w:rsidR="00E85F7E">
              <w:t>2024</w:t>
            </w:r>
          </w:p>
          <w:p w14:paraId="36EE1C08" w14:textId="77777777" w:rsidR="0052785A" w:rsidRPr="00B17DE3" w:rsidRDefault="0052785A" w:rsidP="00B17DE3">
            <w:pPr>
              <w:pStyle w:val="Tableheading"/>
              <w:jc w:val="right"/>
            </w:pPr>
            <w:r w:rsidRPr="00B17DE3">
              <w:t>Number</w:t>
            </w:r>
          </w:p>
          <w:p w14:paraId="67B62F4D" w14:textId="77777777" w:rsidR="0052785A" w:rsidRPr="00B17DE3" w:rsidRDefault="0052785A" w:rsidP="00B17DE3">
            <w:pPr>
              <w:pStyle w:val="Tableheading"/>
              <w:jc w:val="right"/>
            </w:pPr>
            <w:r w:rsidRPr="00B17DE3">
              <w:t>million</w:t>
            </w:r>
          </w:p>
        </w:tc>
        <w:tc>
          <w:tcPr>
            <w:tcW w:w="193" w:type="dxa"/>
            <w:tcBorders>
              <w:top w:val="nil"/>
              <w:bottom w:val="nil"/>
            </w:tcBorders>
            <w:vAlign w:val="bottom"/>
          </w:tcPr>
          <w:p w14:paraId="5341995A" w14:textId="77777777" w:rsidR="0052785A" w:rsidRPr="00B17DE3" w:rsidRDefault="0052785A" w:rsidP="00B17DE3">
            <w:pPr>
              <w:pStyle w:val="Tableheading"/>
              <w:jc w:val="right"/>
            </w:pPr>
          </w:p>
        </w:tc>
        <w:tc>
          <w:tcPr>
            <w:tcW w:w="2212" w:type="dxa"/>
            <w:tcBorders>
              <w:top w:val="nil"/>
              <w:bottom w:val="nil"/>
            </w:tcBorders>
            <w:vAlign w:val="bottom"/>
          </w:tcPr>
          <w:p w14:paraId="16A4FF9E" w14:textId="77777777" w:rsidR="0052785A" w:rsidRPr="00B17DE3" w:rsidRDefault="0052785A" w:rsidP="00B17DE3">
            <w:pPr>
              <w:pStyle w:val="Tableheading"/>
              <w:jc w:val="right"/>
            </w:pPr>
            <w:r w:rsidRPr="00B17DE3">
              <w:t xml:space="preserve">Six months ended </w:t>
            </w:r>
          </w:p>
          <w:p w14:paraId="52EF15C8" w14:textId="4BEE5C4E" w:rsidR="0052785A" w:rsidRPr="00B17DE3" w:rsidRDefault="0052785A" w:rsidP="00B17DE3">
            <w:pPr>
              <w:pStyle w:val="Tableheading"/>
              <w:jc w:val="right"/>
            </w:pPr>
            <w:r w:rsidRPr="00B17DE3">
              <w:tab/>
              <w:t xml:space="preserve">30 June </w:t>
            </w:r>
            <w:r w:rsidR="00E85F7E">
              <w:t>2023</w:t>
            </w:r>
          </w:p>
          <w:p w14:paraId="39237B24" w14:textId="77777777" w:rsidR="0052785A" w:rsidRPr="00B17DE3" w:rsidRDefault="0052785A" w:rsidP="00B17DE3">
            <w:pPr>
              <w:pStyle w:val="Tableheading"/>
              <w:jc w:val="right"/>
            </w:pPr>
            <w:r w:rsidRPr="00B17DE3">
              <w:t>Number</w:t>
            </w:r>
          </w:p>
          <w:p w14:paraId="2137D39F" w14:textId="77777777" w:rsidR="0052785A" w:rsidRPr="00B17DE3" w:rsidRDefault="0052785A" w:rsidP="00B17DE3">
            <w:pPr>
              <w:pStyle w:val="Tableheading"/>
              <w:jc w:val="right"/>
            </w:pPr>
            <w:r w:rsidRPr="00B17DE3">
              <w:t>million</w:t>
            </w:r>
          </w:p>
        </w:tc>
        <w:tc>
          <w:tcPr>
            <w:tcW w:w="193" w:type="dxa"/>
            <w:tcBorders>
              <w:top w:val="nil"/>
              <w:bottom w:val="nil"/>
            </w:tcBorders>
            <w:vAlign w:val="bottom"/>
          </w:tcPr>
          <w:p w14:paraId="75BE2F6F" w14:textId="77777777" w:rsidR="0052785A" w:rsidRPr="00B17DE3" w:rsidRDefault="0052785A" w:rsidP="00B17DE3">
            <w:pPr>
              <w:pStyle w:val="Tableheading"/>
              <w:jc w:val="right"/>
            </w:pPr>
          </w:p>
        </w:tc>
        <w:tc>
          <w:tcPr>
            <w:tcW w:w="2213" w:type="dxa"/>
            <w:tcBorders>
              <w:top w:val="nil"/>
              <w:bottom w:val="nil"/>
            </w:tcBorders>
            <w:vAlign w:val="bottom"/>
          </w:tcPr>
          <w:p w14:paraId="1C2EA9C4" w14:textId="77777777" w:rsidR="0052785A" w:rsidRPr="00B17DE3" w:rsidRDefault="0052785A" w:rsidP="00B17DE3">
            <w:pPr>
              <w:pStyle w:val="Tableheading"/>
              <w:jc w:val="right"/>
            </w:pPr>
            <w:r w:rsidRPr="00B17DE3">
              <w:t xml:space="preserve">Year ended </w:t>
            </w:r>
          </w:p>
          <w:p w14:paraId="4533822B" w14:textId="54C2600D" w:rsidR="0052785A" w:rsidRPr="00B17DE3" w:rsidRDefault="0052785A" w:rsidP="00B17DE3">
            <w:pPr>
              <w:pStyle w:val="Tableheading"/>
              <w:jc w:val="right"/>
            </w:pPr>
            <w:r w:rsidRPr="00B17DE3">
              <w:t xml:space="preserve">31 December </w:t>
            </w:r>
            <w:r w:rsidR="00E85F7E">
              <w:t>2023</w:t>
            </w:r>
          </w:p>
          <w:p w14:paraId="64158DC6" w14:textId="77777777" w:rsidR="0052785A" w:rsidRPr="00B17DE3" w:rsidRDefault="0052785A" w:rsidP="00B17DE3">
            <w:pPr>
              <w:pStyle w:val="Tableheading"/>
              <w:jc w:val="right"/>
            </w:pPr>
            <w:r w:rsidRPr="00B17DE3">
              <w:t>Number</w:t>
            </w:r>
          </w:p>
          <w:p w14:paraId="29ECE32F" w14:textId="77777777" w:rsidR="0052785A" w:rsidRPr="00B17DE3" w:rsidRDefault="0052785A" w:rsidP="00B17DE3">
            <w:pPr>
              <w:pStyle w:val="Tableheading"/>
              <w:jc w:val="right"/>
            </w:pPr>
            <w:r w:rsidRPr="00B17DE3">
              <w:t>million</w:t>
            </w:r>
          </w:p>
        </w:tc>
      </w:tr>
      <w:tr w:rsidR="00415A80" w:rsidRPr="00AA4C38" w14:paraId="43247AF8" w14:textId="77777777">
        <w:tc>
          <w:tcPr>
            <w:tcW w:w="3402" w:type="dxa"/>
            <w:tcBorders>
              <w:top w:val="nil"/>
              <w:bottom w:val="nil"/>
            </w:tcBorders>
            <w:shd w:val="clear" w:color="auto" w:fill="auto"/>
          </w:tcPr>
          <w:p w14:paraId="1135CD6A" w14:textId="22CAE5CB" w:rsidR="00415A80" w:rsidRPr="00AA4C38" w:rsidRDefault="00415A80" w:rsidP="00415A80">
            <w:pPr>
              <w:pStyle w:val="Tabletext"/>
            </w:pPr>
            <w:r w:rsidRPr="00AA4C38">
              <w:t>Issued share capital</w:t>
            </w:r>
            <w:r w:rsidRPr="00F2575A">
              <w:rPr>
                <w:vertAlign w:val="superscript"/>
              </w:rPr>
              <w:t>1</w:t>
            </w:r>
          </w:p>
        </w:tc>
        <w:tc>
          <w:tcPr>
            <w:tcW w:w="2212" w:type="dxa"/>
            <w:tcBorders>
              <w:top w:val="nil"/>
              <w:bottom w:val="nil"/>
            </w:tcBorders>
            <w:shd w:val="clear" w:color="auto" w:fill="auto"/>
          </w:tcPr>
          <w:p w14:paraId="58162011" w14:textId="6C23BC65" w:rsidR="00415A80" w:rsidRPr="005F0E7F" w:rsidRDefault="00120E16" w:rsidP="00415A80">
            <w:pPr>
              <w:pStyle w:val="Tabletext"/>
              <w:tabs>
                <w:tab w:val="decimal" w:pos="1821"/>
              </w:tabs>
            </w:pPr>
            <w:r w:rsidRPr="005F0E7F">
              <w:t>545.0</w:t>
            </w:r>
          </w:p>
        </w:tc>
        <w:tc>
          <w:tcPr>
            <w:tcW w:w="193" w:type="dxa"/>
            <w:tcBorders>
              <w:top w:val="nil"/>
              <w:bottom w:val="nil"/>
            </w:tcBorders>
          </w:tcPr>
          <w:p w14:paraId="63D90DBB" w14:textId="77777777" w:rsidR="00415A80" w:rsidRPr="00AA4C38" w:rsidRDefault="00415A80" w:rsidP="00415A80">
            <w:pPr>
              <w:pStyle w:val="Tabletext"/>
            </w:pPr>
          </w:p>
        </w:tc>
        <w:tc>
          <w:tcPr>
            <w:tcW w:w="2212" w:type="dxa"/>
            <w:tcBorders>
              <w:top w:val="nil"/>
              <w:bottom w:val="nil"/>
            </w:tcBorders>
            <w:shd w:val="clear" w:color="auto" w:fill="auto"/>
          </w:tcPr>
          <w:p w14:paraId="18F0ABCF" w14:textId="41B154FA" w:rsidR="00415A80" w:rsidRPr="00AA4C38" w:rsidRDefault="00415A80" w:rsidP="00415A80">
            <w:pPr>
              <w:pStyle w:val="Tabletext"/>
              <w:tabs>
                <w:tab w:val="decimal" w:pos="1832"/>
              </w:tabs>
            </w:pPr>
            <w:r w:rsidRPr="00F2718C">
              <w:t>545.1</w:t>
            </w:r>
          </w:p>
        </w:tc>
        <w:tc>
          <w:tcPr>
            <w:tcW w:w="193" w:type="dxa"/>
            <w:tcBorders>
              <w:top w:val="nil"/>
              <w:bottom w:val="nil"/>
            </w:tcBorders>
          </w:tcPr>
          <w:p w14:paraId="63FBD4C0" w14:textId="77777777" w:rsidR="00415A80" w:rsidRPr="00AA4C38" w:rsidRDefault="00415A80" w:rsidP="00415A80">
            <w:pPr>
              <w:pStyle w:val="Tabletext"/>
            </w:pPr>
          </w:p>
        </w:tc>
        <w:tc>
          <w:tcPr>
            <w:tcW w:w="2213" w:type="dxa"/>
            <w:tcBorders>
              <w:top w:val="nil"/>
              <w:bottom w:val="nil"/>
            </w:tcBorders>
            <w:shd w:val="clear" w:color="auto" w:fill="auto"/>
            <w:vAlign w:val="center"/>
          </w:tcPr>
          <w:p w14:paraId="4F1DBE90" w14:textId="1B31F437" w:rsidR="00415A80" w:rsidRPr="00E27B0A" w:rsidRDefault="00415A80" w:rsidP="00415A80">
            <w:pPr>
              <w:pStyle w:val="Tabletext"/>
              <w:tabs>
                <w:tab w:val="decimal" w:pos="1820"/>
              </w:tabs>
            </w:pPr>
            <w:r w:rsidRPr="00131B4F">
              <w:rPr>
                <w:rFonts w:eastAsia="Times New Roman"/>
                <w:szCs w:val="18"/>
                <w:lang w:eastAsia="en-GB"/>
              </w:rPr>
              <w:t>545.0</w:t>
            </w:r>
          </w:p>
        </w:tc>
      </w:tr>
      <w:tr w:rsidR="00415A80" w:rsidRPr="00AA4C38" w14:paraId="7CC7E16D" w14:textId="77777777">
        <w:tc>
          <w:tcPr>
            <w:tcW w:w="3402" w:type="dxa"/>
            <w:tcBorders>
              <w:top w:val="nil"/>
              <w:bottom w:val="nil"/>
            </w:tcBorders>
            <w:shd w:val="clear" w:color="auto" w:fill="auto"/>
          </w:tcPr>
          <w:p w14:paraId="11B4FA98" w14:textId="0D1C6F32" w:rsidR="00415A80" w:rsidRPr="00AA4C38" w:rsidRDefault="00415A80" w:rsidP="00415A80">
            <w:pPr>
              <w:pStyle w:val="Tabletext"/>
            </w:pPr>
            <w:r>
              <w:t>Add: Contingently issuable shares</w:t>
            </w:r>
            <w:r w:rsidRPr="00395985">
              <w:rPr>
                <w:vertAlign w:val="superscript"/>
              </w:rPr>
              <w:t>2</w:t>
            </w:r>
          </w:p>
        </w:tc>
        <w:tc>
          <w:tcPr>
            <w:tcW w:w="2212" w:type="dxa"/>
            <w:tcBorders>
              <w:top w:val="nil"/>
              <w:bottom w:val="nil"/>
            </w:tcBorders>
            <w:shd w:val="clear" w:color="auto" w:fill="auto"/>
          </w:tcPr>
          <w:p w14:paraId="66FE5DB3" w14:textId="65A262F0" w:rsidR="00415A80" w:rsidRPr="005F0E7F" w:rsidRDefault="00120E16" w:rsidP="00415A80">
            <w:pPr>
              <w:pStyle w:val="Tabletext"/>
              <w:tabs>
                <w:tab w:val="decimal" w:pos="1821"/>
              </w:tabs>
            </w:pPr>
            <w:r w:rsidRPr="005F0E7F">
              <w:t>8.</w:t>
            </w:r>
            <w:r w:rsidR="00DD6735">
              <w:t>2</w:t>
            </w:r>
          </w:p>
        </w:tc>
        <w:tc>
          <w:tcPr>
            <w:tcW w:w="193" w:type="dxa"/>
            <w:tcBorders>
              <w:top w:val="nil"/>
              <w:bottom w:val="nil"/>
            </w:tcBorders>
          </w:tcPr>
          <w:p w14:paraId="475D9CFB" w14:textId="77777777" w:rsidR="00415A80" w:rsidRPr="00AA4C38" w:rsidRDefault="00415A80" w:rsidP="00415A80">
            <w:pPr>
              <w:pStyle w:val="Tabletext"/>
            </w:pPr>
          </w:p>
        </w:tc>
        <w:tc>
          <w:tcPr>
            <w:tcW w:w="2212" w:type="dxa"/>
            <w:tcBorders>
              <w:top w:val="nil"/>
              <w:bottom w:val="nil"/>
            </w:tcBorders>
            <w:shd w:val="clear" w:color="auto" w:fill="auto"/>
          </w:tcPr>
          <w:p w14:paraId="6D5C13CF" w14:textId="1EE290B3" w:rsidR="00415A80" w:rsidRPr="00632714" w:rsidRDefault="00415A80" w:rsidP="00415A80">
            <w:pPr>
              <w:pStyle w:val="Tabletext"/>
              <w:tabs>
                <w:tab w:val="decimal" w:pos="1832"/>
              </w:tabs>
            </w:pPr>
            <w:r w:rsidRPr="00F2718C">
              <w:t>5.9</w:t>
            </w:r>
          </w:p>
        </w:tc>
        <w:tc>
          <w:tcPr>
            <w:tcW w:w="193" w:type="dxa"/>
            <w:tcBorders>
              <w:top w:val="nil"/>
              <w:bottom w:val="nil"/>
            </w:tcBorders>
          </w:tcPr>
          <w:p w14:paraId="0070E91C" w14:textId="77777777" w:rsidR="00415A80" w:rsidRPr="00AA4C38" w:rsidRDefault="00415A80" w:rsidP="00415A80">
            <w:pPr>
              <w:pStyle w:val="Tabletext"/>
            </w:pPr>
          </w:p>
        </w:tc>
        <w:tc>
          <w:tcPr>
            <w:tcW w:w="2213" w:type="dxa"/>
            <w:tcBorders>
              <w:top w:val="nil"/>
              <w:bottom w:val="nil"/>
            </w:tcBorders>
            <w:shd w:val="clear" w:color="auto" w:fill="auto"/>
            <w:vAlign w:val="center"/>
          </w:tcPr>
          <w:p w14:paraId="06AB82DC" w14:textId="58C1EE4C" w:rsidR="00415A80" w:rsidRPr="00E27B0A" w:rsidRDefault="00415A80" w:rsidP="00415A80">
            <w:pPr>
              <w:pStyle w:val="Tabletext"/>
              <w:tabs>
                <w:tab w:val="decimal" w:pos="1820"/>
              </w:tabs>
            </w:pPr>
            <w:r w:rsidRPr="00131B4F">
              <w:rPr>
                <w:rFonts w:eastAsia="Times New Roman"/>
                <w:szCs w:val="18"/>
                <w:lang w:eastAsia="en-GB"/>
              </w:rPr>
              <w:t>6.2</w:t>
            </w:r>
          </w:p>
        </w:tc>
      </w:tr>
      <w:tr w:rsidR="00415A80" w:rsidRPr="00AA4C38" w14:paraId="1CD8359C" w14:textId="77777777">
        <w:tc>
          <w:tcPr>
            <w:tcW w:w="3402" w:type="dxa"/>
            <w:tcBorders>
              <w:top w:val="nil"/>
              <w:bottom w:val="nil"/>
            </w:tcBorders>
            <w:shd w:val="clear" w:color="auto" w:fill="auto"/>
          </w:tcPr>
          <w:p w14:paraId="698E6212" w14:textId="02906255" w:rsidR="00415A80" w:rsidRPr="00AA4C38" w:rsidRDefault="00415A80" w:rsidP="00415A80">
            <w:pPr>
              <w:pStyle w:val="Tabletext"/>
            </w:pPr>
            <w:r w:rsidRPr="00AA4C38">
              <w:t xml:space="preserve">Less: </w:t>
            </w:r>
            <w:r>
              <w:t xml:space="preserve">Time-apportioned </w:t>
            </w:r>
            <w:r w:rsidRPr="00AA4C38">
              <w:t xml:space="preserve">own shares held </w:t>
            </w:r>
          </w:p>
        </w:tc>
        <w:tc>
          <w:tcPr>
            <w:tcW w:w="2212" w:type="dxa"/>
            <w:tcBorders>
              <w:top w:val="nil"/>
              <w:bottom w:val="single" w:sz="4" w:space="0" w:color="auto"/>
            </w:tcBorders>
            <w:shd w:val="clear" w:color="auto" w:fill="auto"/>
          </w:tcPr>
          <w:p w14:paraId="16552E8C" w14:textId="28825FBA" w:rsidR="00415A80" w:rsidRPr="000B3165" w:rsidRDefault="00586761" w:rsidP="00415A80">
            <w:pPr>
              <w:pStyle w:val="Tabletext"/>
              <w:tabs>
                <w:tab w:val="decimal" w:pos="1821"/>
              </w:tabs>
            </w:pPr>
            <w:r>
              <w:t>(31.8)</w:t>
            </w:r>
          </w:p>
        </w:tc>
        <w:tc>
          <w:tcPr>
            <w:tcW w:w="193" w:type="dxa"/>
            <w:tcBorders>
              <w:top w:val="nil"/>
              <w:bottom w:val="nil"/>
            </w:tcBorders>
          </w:tcPr>
          <w:p w14:paraId="5CE77AD0" w14:textId="77777777" w:rsidR="00415A80" w:rsidRPr="00AA4C38" w:rsidRDefault="00415A80" w:rsidP="00415A80">
            <w:pPr>
              <w:pStyle w:val="Tabletext"/>
            </w:pPr>
          </w:p>
        </w:tc>
        <w:tc>
          <w:tcPr>
            <w:tcW w:w="2212" w:type="dxa"/>
            <w:tcBorders>
              <w:top w:val="nil"/>
              <w:bottom w:val="single" w:sz="4" w:space="0" w:color="auto"/>
            </w:tcBorders>
            <w:shd w:val="clear" w:color="auto" w:fill="auto"/>
          </w:tcPr>
          <w:p w14:paraId="375F621E" w14:textId="4C72EEF0" w:rsidR="00415A80" w:rsidRPr="00AA4C38" w:rsidRDefault="00415A80" w:rsidP="00415A80">
            <w:pPr>
              <w:pStyle w:val="Tabletext"/>
              <w:tabs>
                <w:tab w:val="decimal" w:pos="1832"/>
              </w:tabs>
            </w:pPr>
            <w:r w:rsidRPr="00F2718C">
              <w:t>(28.1)</w:t>
            </w:r>
          </w:p>
        </w:tc>
        <w:tc>
          <w:tcPr>
            <w:tcW w:w="193" w:type="dxa"/>
            <w:tcBorders>
              <w:top w:val="nil"/>
              <w:bottom w:val="nil"/>
            </w:tcBorders>
          </w:tcPr>
          <w:p w14:paraId="6143E998" w14:textId="77777777" w:rsidR="00415A80" w:rsidRPr="00AA4C38" w:rsidRDefault="00415A80" w:rsidP="00415A80">
            <w:pPr>
              <w:pStyle w:val="Tabletext"/>
            </w:pPr>
          </w:p>
        </w:tc>
        <w:tc>
          <w:tcPr>
            <w:tcW w:w="2213" w:type="dxa"/>
            <w:tcBorders>
              <w:top w:val="nil"/>
              <w:bottom w:val="single" w:sz="4" w:space="0" w:color="auto"/>
            </w:tcBorders>
            <w:shd w:val="clear" w:color="auto" w:fill="auto"/>
            <w:vAlign w:val="center"/>
          </w:tcPr>
          <w:p w14:paraId="05655E1D" w14:textId="7F0D453E" w:rsidR="00415A80" w:rsidRPr="00E27B0A" w:rsidRDefault="00415A80" w:rsidP="00415A80">
            <w:pPr>
              <w:pStyle w:val="Tabletext"/>
              <w:tabs>
                <w:tab w:val="decimal" w:pos="1820"/>
              </w:tabs>
            </w:pPr>
            <w:r w:rsidRPr="00131B4F">
              <w:rPr>
                <w:rFonts w:eastAsia="Times New Roman"/>
                <w:szCs w:val="18"/>
                <w:lang w:eastAsia="en-GB"/>
              </w:rPr>
              <w:t>(31.9)</w:t>
            </w:r>
          </w:p>
        </w:tc>
      </w:tr>
      <w:tr w:rsidR="00415A80" w:rsidRPr="00AA4C38" w14:paraId="7E9160B3" w14:textId="77777777" w:rsidTr="00415A80">
        <w:tc>
          <w:tcPr>
            <w:tcW w:w="3402" w:type="dxa"/>
            <w:tcBorders>
              <w:top w:val="nil"/>
              <w:bottom w:val="nil"/>
            </w:tcBorders>
            <w:shd w:val="clear" w:color="auto" w:fill="auto"/>
          </w:tcPr>
          <w:p w14:paraId="2D8D688E" w14:textId="77777777" w:rsidR="00415A80" w:rsidRPr="00AA4C38" w:rsidRDefault="00415A80" w:rsidP="00415A80">
            <w:pPr>
              <w:pStyle w:val="Tabletext"/>
              <w:rPr>
                <w:b/>
                <w:bCs/>
              </w:rPr>
            </w:pPr>
            <w:r w:rsidRPr="00AA4C38">
              <w:rPr>
                <w:b/>
                <w:bCs/>
              </w:rPr>
              <w:t>Weighted average number of ordinary shares for the purpose of basic EPS</w:t>
            </w:r>
          </w:p>
        </w:tc>
        <w:tc>
          <w:tcPr>
            <w:tcW w:w="2212" w:type="dxa"/>
            <w:tcBorders>
              <w:top w:val="single" w:sz="4" w:space="0" w:color="auto"/>
              <w:bottom w:val="nil"/>
            </w:tcBorders>
            <w:shd w:val="clear" w:color="auto" w:fill="auto"/>
          </w:tcPr>
          <w:p w14:paraId="24F0E2FC" w14:textId="0D5CFB85" w:rsidR="00415A80" w:rsidRPr="000B3165" w:rsidRDefault="00586761" w:rsidP="00415A80">
            <w:pPr>
              <w:pStyle w:val="Tabletext"/>
              <w:tabs>
                <w:tab w:val="decimal" w:pos="1821"/>
              </w:tabs>
              <w:rPr>
                <w:b/>
              </w:rPr>
            </w:pPr>
            <w:r>
              <w:rPr>
                <w:b/>
              </w:rPr>
              <w:t>52</w:t>
            </w:r>
            <w:r w:rsidR="00E36A70">
              <w:rPr>
                <w:b/>
              </w:rPr>
              <w:t>1</w:t>
            </w:r>
            <w:r>
              <w:rPr>
                <w:b/>
              </w:rPr>
              <w:t>.</w:t>
            </w:r>
            <w:r w:rsidR="00E36A70">
              <w:rPr>
                <w:b/>
              </w:rPr>
              <w:t>4</w:t>
            </w:r>
          </w:p>
        </w:tc>
        <w:tc>
          <w:tcPr>
            <w:tcW w:w="193" w:type="dxa"/>
            <w:tcBorders>
              <w:top w:val="nil"/>
              <w:bottom w:val="nil"/>
            </w:tcBorders>
          </w:tcPr>
          <w:p w14:paraId="48409764" w14:textId="77777777" w:rsidR="00415A80" w:rsidRPr="00CF007D" w:rsidRDefault="00415A80" w:rsidP="00415A80">
            <w:pPr>
              <w:pStyle w:val="Tabletext"/>
              <w:rPr>
                <w:b/>
                <w:bCs/>
              </w:rPr>
            </w:pPr>
          </w:p>
        </w:tc>
        <w:tc>
          <w:tcPr>
            <w:tcW w:w="2212" w:type="dxa"/>
            <w:tcBorders>
              <w:top w:val="single" w:sz="4" w:space="0" w:color="auto"/>
              <w:bottom w:val="nil"/>
            </w:tcBorders>
            <w:shd w:val="clear" w:color="auto" w:fill="auto"/>
          </w:tcPr>
          <w:p w14:paraId="70FCB9DB" w14:textId="2D0D65DB" w:rsidR="00415A80" w:rsidRPr="00F5352E" w:rsidRDefault="00415A80" w:rsidP="00415A80">
            <w:pPr>
              <w:pStyle w:val="Tabletext"/>
              <w:tabs>
                <w:tab w:val="decimal" w:pos="1832"/>
              </w:tabs>
            </w:pPr>
            <w:r w:rsidRPr="000B3165">
              <w:rPr>
                <w:b/>
                <w:bCs/>
              </w:rPr>
              <w:t>52</w:t>
            </w:r>
            <w:r>
              <w:rPr>
                <w:b/>
                <w:bCs/>
              </w:rPr>
              <w:t>2</w:t>
            </w:r>
            <w:r w:rsidRPr="000B3165">
              <w:rPr>
                <w:b/>
                <w:bCs/>
              </w:rPr>
              <w:t>.</w:t>
            </w:r>
            <w:r>
              <w:rPr>
                <w:b/>
                <w:bCs/>
              </w:rPr>
              <w:t>9</w:t>
            </w:r>
          </w:p>
        </w:tc>
        <w:tc>
          <w:tcPr>
            <w:tcW w:w="193" w:type="dxa"/>
            <w:tcBorders>
              <w:top w:val="nil"/>
              <w:bottom w:val="nil"/>
            </w:tcBorders>
          </w:tcPr>
          <w:p w14:paraId="2A73014B" w14:textId="77777777" w:rsidR="00415A80" w:rsidRPr="00AA4C38" w:rsidRDefault="00415A80" w:rsidP="00415A80">
            <w:pPr>
              <w:pStyle w:val="Tabletext"/>
            </w:pPr>
          </w:p>
        </w:tc>
        <w:tc>
          <w:tcPr>
            <w:tcW w:w="2213" w:type="dxa"/>
            <w:tcBorders>
              <w:top w:val="single" w:sz="4" w:space="0" w:color="auto"/>
              <w:bottom w:val="nil"/>
            </w:tcBorders>
            <w:shd w:val="clear" w:color="auto" w:fill="auto"/>
          </w:tcPr>
          <w:p w14:paraId="1905621B" w14:textId="6D4ED7BD" w:rsidR="00415A80" w:rsidRPr="00E27B0A" w:rsidRDefault="00415A80" w:rsidP="00415A80">
            <w:pPr>
              <w:pStyle w:val="Tabletext"/>
              <w:tabs>
                <w:tab w:val="decimal" w:pos="1820"/>
              </w:tabs>
              <w:jc w:val="right"/>
              <w:rPr>
                <w:b/>
                <w:bCs/>
              </w:rPr>
            </w:pPr>
            <w:r>
              <w:rPr>
                <w:b/>
                <w:bCs/>
              </w:rPr>
              <w:t>519.3</w:t>
            </w:r>
          </w:p>
        </w:tc>
      </w:tr>
      <w:tr w:rsidR="00415A80" w:rsidRPr="00AA4C38" w14:paraId="3B6029B1" w14:textId="77777777" w:rsidTr="00415A80">
        <w:tc>
          <w:tcPr>
            <w:tcW w:w="3402" w:type="dxa"/>
            <w:tcBorders>
              <w:top w:val="nil"/>
              <w:bottom w:val="nil"/>
            </w:tcBorders>
            <w:shd w:val="clear" w:color="auto" w:fill="auto"/>
          </w:tcPr>
          <w:p w14:paraId="2A37AA64" w14:textId="0514BF82" w:rsidR="00415A80" w:rsidRPr="00AA4C38" w:rsidRDefault="00415A80" w:rsidP="00415A80">
            <w:pPr>
              <w:pStyle w:val="Tabletext"/>
            </w:pPr>
            <w:r w:rsidRPr="00AA4C38">
              <w:t>Add</w:t>
            </w:r>
            <w:r>
              <w:t>:</w:t>
            </w:r>
            <w:r w:rsidRPr="00AA4C38">
              <w:t xml:space="preserve"> </w:t>
            </w:r>
            <w:r>
              <w:t>W</w:t>
            </w:r>
            <w:r w:rsidRPr="00AA4C38">
              <w:t>eighted average number of dilutive potential shares</w:t>
            </w:r>
          </w:p>
        </w:tc>
        <w:tc>
          <w:tcPr>
            <w:tcW w:w="2212" w:type="dxa"/>
            <w:tcBorders>
              <w:top w:val="nil"/>
              <w:bottom w:val="nil"/>
            </w:tcBorders>
            <w:shd w:val="clear" w:color="auto" w:fill="auto"/>
          </w:tcPr>
          <w:p w14:paraId="34907F71" w14:textId="4329E0D4" w:rsidR="00415A80" w:rsidRPr="000B3165" w:rsidRDefault="00DD6735" w:rsidP="00415A80">
            <w:pPr>
              <w:pStyle w:val="Tabletext"/>
              <w:tabs>
                <w:tab w:val="decimal" w:pos="1821"/>
              </w:tabs>
            </w:pPr>
            <w:r>
              <w:t>7.2</w:t>
            </w:r>
          </w:p>
        </w:tc>
        <w:tc>
          <w:tcPr>
            <w:tcW w:w="193" w:type="dxa"/>
            <w:tcBorders>
              <w:top w:val="nil"/>
              <w:bottom w:val="nil"/>
            </w:tcBorders>
          </w:tcPr>
          <w:p w14:paraId="2675E5F9" w14:textId="77777777" w:rsidR="00415A80" w:rsidRPr="00AA4C38" w:rsidRDefault="00415A80" w:rsidP="00415A80">
            <w:pPr>
              <w:pStyle w:val="Tabletext"/>
            </w:pPr>
          </w:p>
        </w:tc>
        <w:tc>
          <w:tcPr>
            <w:tcW w:w="2212" w:type="dxa"/>
            <w:tcBorders>
              <w:top w:val="nil"/>
              <w:bottom w:val="nil"/>
            </w:tcBorders>
            <w:shd w:val="clear" w:color="auto" w:fill="auto"/>
          </w:tcPr>
          <w:p w14:paraId="140445B8" w14:textId="5B8A3C02" w:rsidR="00415A80" w:rsidRPr="00AA4C38" w:rsidRDefault="00415A80" w:rsidP="00415A80">
            <w:pPr>
              <w:pStyle w:val="Tabletext"/>
              <w:tabs>
                <w:tab w:val="decimal" w:pos="1832"/>
              </w:tabs>
            </w:pPr>
            <w:r w:rsidRPr="00F2718C">
              <w:t>8.8</w:t>
            </w:r>
          </w:p>
        </w:tc>
        <w:tc>
          <w:tcPr>
            <w:tcW w:w="193" w:type="dxa"/>
            <w:tcBorders>
              <w:top w:val="nil"/>
              <w:bottom w:val="nil"/>
            </w:tcBorders>
          </w:tcPr>
          <w:p w14:paraId="02F36988" w14:textId="77777777" w:rsidR="00415A80" w:rsidRPr="00AA4C38" w:rsidRDefault="00415A80" w:rsidP="00415A80">
            <w:pPr>
              <w:pStyle w:val="Tabletext"/>
            </w:pPr>
          </w:p>
        </w:tc>
        <w:tc>
          <w:tcPr>
            <w:tcW w:w="2213" w:type="dxa"/>
            <w:tcBorders>
              <w:top w:val="nil"/>
              <w:bottom w:val="nil"/>
            </w:tcBorders>
            <w:shd w:val="clear" w:color="auto" w:fill="auto"/>
          </w:tcPr>
          <w:p w14:paraId="4F243709" w14:textId="5F5EEA09" w:rsidR="00415A80" w:rsidRPr="00415A80" w:rsidRDefault="00415A80" w:rsidP="00415A80">
            <w:pPr>
              <w:pStyle w:val="Tabletext"/>
              <w:tabs>
                <w:tab w:val="decimal" w:pos="1820"/>
              </w:tabs>
              <w:jc w:val="right"/>
              <w:rPr>
                <w:b/>
                <w:bCs/>
              </w:rPr>
            </w:pPr>
            <w:r w:rsidRPr="00415A80">
              <w:rPr>
                <w:b/>
                <w:bCs/>
              </w:rPr>
              <w:t>-</w:t>
            </w:r>
            <w:r w:rsidR="00D50651" w:rsidRPr="00D50651">
              <w:rPr>
                <w:vertAlign w:val="superscript"/>
              </w:rPr>
              <w:t>3</w:t>
            </w:r>
          </w:p>
        </w:tc>
      </w:tr>
      <w:tr w:rsidR="00415A80" w:rsidRPr="00AA4C38" w14:paraId="71AC6C59" w14:textId="77777777" w:rsidTr="005F0E7F">
        <w:tc>
          <w:tcPr>
            <w:tcW w:w="3402" w:type="dxa"/>
            <w:tcBorders>
              <w:top w:val="nil"/>
              <w:bottom w:val="nil"/>
            </w:tcBorders>
            <w:shd w:val="clear" w:color="auto" w:fill="auto"/>
          </w:tcPr>
          <w:p w14:paraId="732C3879" w14:textId="77777777" w:rsidR="00415A80" w:rsidRPr="00AA4C38" w:rsidRDefault="00415A80" w:rsidP="00415A80">
            <w:pPr>
              <w:pStyle w:val="Tabletext"/>
              <w:rPr>
                <w:b/>
                <w:bCs/>
              </w:rPr>
            </w:pPr>
            <w:r w:rsidRPr="00AA4C38">
              <w:rPr>
                <w:b/>
                <w:bCs/>
              </w:rPr>
              <w:t>Weighted average number of ordinary shares for the purpose of diluted EPS</w:t>
            </w:r>
          </w:p>
        </w:tc>
        <w:tc>
          <w:tcPr>
            <w:tcW w:w="2212" w:type="dxa"/>
            <w:tcBorders>
              <w:top w:val="single" w:sz="4" w:space="0" w:color="auto"/>
              <w:bottom w:val="double" w:sz="4" w:space="0" w:color="auto"/>
            </w:tcBorders>
            <w:shd w:val="clear" w:color="auto" w:fill="auto"/>
            <w:vAlign w:val="center"/>
          </w:tcPr>
          <w:p w14:paraId="027F7D9C" w14:textId="7B57E8CD" w:rsidR="00415A80" w:rsidRPr="000B3165" w:rsidRDefault="005666F4" w:rsidP="005F0E7F">
            <w:pPr>
              <w:pStyle w:val="Tabletext"/>
              <w:tabs>
                <w:tab w:val="decimal" w:pos="1821"/>
              </w:tabs>
              <w:jc w:val="right"/>
              <w:rPr>
                <w:b/>
              </w:rPr>
            </w:pPr>
            <w:r>
              <w:rPr>
                <w:b/>
              </w:rPr>
              <w:t>528.6</w:t>
            </w:r>
          </w:p>
        </w:tc>
        <w:tc>
          <w:tcPr>
            <w:tcW w:w="193" w:type="dxa"/>
            <w:tcBorders>
              <w:top w:val="nil"/>
              <w:bottom w:val="nil"/>
            </w:tcBorders>
          </w:tcPr>
          <w:p w14:paraId="700282B1" w14:textId="77777777" w:rsidR="00415A80" w:rsidRPr="00CF007D" w:rsidRDefault="00415A80" w:rsidP="00415A80">
            <w:pPr>
              <w:pStyle w:val="Tabletext"/>
              <w:rPr>
                <w:b/>
                <w:bCs/>
              </w:rPr>
            </w:pPr>
          </w:p>
        </w:tc>
        <w:tc>
          <w:tcPr>
            <w:tcW w:w="2212" w:type="dxa"/>
            <w:tcBorders>
              <w:top w:val="single" w:sz="4" w:space="0" w:color="auto"/>
              <w:bottom w:val="double" w:sz="4" w:space="0" w:color="auto"/>
            </w:tcBorders>
            <w:shd w:val="clear" w:color="auto" w:fill="auto"/>
            <w:vAlign w:val="center"/>
          </w:tcPr>
          <w:p w14:paraId="2B5CA2E9" w14:textId="15D265CC" w:rsidR="00415A80" w:rsidRPr="00F5352E" w:rsidRDefault="00415A80" w:rsidP="005F0E7F">
            <w:pPr>
              <w:pStyle w:val="Tabletext"/>
              <w:tabs>
                <w:tab w:val="decimal" w:pos="1832"/>
              </w:tabs>
              <w:jc w:val="right"/>
            </w:pPr>
            <w:r w:rsidRPr="000B3165">
              <w:rPr>
                <w:b/>
              </w:rPr>
              <w:t>53</w:t>
            </w:r>
            <w:r>
              <w:rPr>
                <w:b/>
              </w:rPr>
              <w:t>1</w:t>
            </w:r>
            <w:r w:rsidRPr="000B3165">
              <w:rPr>
                <w:b/>
              </w:rPr>
              <w:t>.</w:t>
            </w:r>
            <w:r>
              <w:rPr>
                <w:b/>
              </w:rPr>
              <w:t>7</w:t>
            </w:r>
          </w:p>
        </w:tc>
        <w:tc>
          <w:tcPr>
            <w:tcW w:w="193" w:type="dxa"/>
            <w:tcBorders>
              <w:top w:val="nil"/>
              <w:bottom w:val="nil"/>
            </w:tcBorders>
            <w:vAlign w:val="center"/>
          </w:tcPr>
          <w:p w14:paraId="1BE290B3" w14:textId="77777777" w:rsidR="00415A80" w:rsidRPr="00AA4C38" w:rsidRDefault="00415A80" w:rsidP="005F0E7F">
            <w:pPr>
              <w:pStyle w:val="Tabletext"/>
              <w:jc w:val="right"/>
            </w:pPr>
          </w:p>
        </w:tc>
        <w:tc>
          <w:tcPr>
            <w:tcW w:w="2213" w:type="dxa"/>
            <w:tcBorders>
              <w:top w:val="single" w:sz="4" w:space="0" w:color="auto"/>
              <w:bottom w:val="double" w:sz="4" w:space="0" w:color="auto"/>
            </w:tcBorders>
            <w:shd w:val="clear" w:color="auto" w:fill="auto"/>
            <w:vAlign w:val="center"/>
          </w:tcPr>
          <w:p w14:paraId="5DD5E483" w14:textId="605BE9B3" w:rsidR="00415A80" w:rsidRPr="00E27B0A" w:rsidRDefault="00415A80" w:rsidP="00415A80">
            <w:pPr>
              <w:pStyle w:val="Tabletext"/>
              <w:tabs>
                <w:tab w:val="decimal" w:pos="1820"/>
              </w:tabs>
              <w:jc w:val="right"/>
              <w:rPr>
                <w:b/>
                <w:bCs/>
              </w:rPr>
            </w:pPr>
            <w:r w:rsidRPr="00415A80">
              <w:rPr>
                <w:b/>
                <w:bCs/>
              </w:rPr>
              <w:t>519.3</w:t>
            </w:r>
          </w:p>
        </w:tc>
      </w:tr>
    </w:tbl>
    <w:p w14:paraId="2BF15D67" w14:textId="37DFE806" w:rsidR="000C3810" w:rsidRPr="00F2718C" w:rsidRDefault="000C3810" w:rsidP="00B17DE3">
      <w:pPr>
        <w:pStyle w:val="Footnote"/>
      </w:pPr>
      <w:r w:rsidRPr="00F2718C">
        <w:rPr>
          <w:vertAlign w:val="superscript"/>
        </w:rPr>
        <w:t>1</w:t>
      </w:r>
      <w:r w:rsidRPr="00F2718C">
        <w:t xml:space="preserve">The Group purchased and cancelled </w:t>
      </w:r>
      <w:r w:rsidR="0048099E" w:rsidRPr="00F2718C">
        <w:t xml:space="preserve">1.4m ordinary shares </w:t>
      </w:r>
      <w:r w:rsidR="00555988" w:rsidRPr="00F2718C">
        <w:t xml:space="preserve">during the first half of </w:t>
      </w:r>
      <w:r w:rsidR="00E85F7E">
        <w:t>202</w:t>
      </w:r>
      <w:r w:rsidR="00D50651">
        <w:t>3</w:t>
      </w:r>
      <w:r w:rsidRPr="00F2718C">
        <w:t xml:space="preserve"> (see Note</w:t>
      </w:r>
      <w:r w:rsidR="00314B6D" w:rsidRPr="00F2718C">
        <w:t xml:space="preserve"> </w:t>
      </w:r>
      <w:r w:rsidRPr="00F2718C">
        <w:t xml:space="preserve">14). </w:t>
      </w:r>
    </w:p>
    <w:p w14:paraId="137A1145" w14:textId="641FC4F6" w:rsidR="007F1853" w:rsidRDefault="000C3810" w:rsidP="00B17DE3">
      <w:pPr>
        <w:pStyle w:val="Footnote"/>
      </w:pPr>
      <w:r w:rsidRPr="00F2718C">
        <w:rPr>
          <w:vertAlign w:val="superscript"/>
        </w:rPr>
        <w:t>2</w:t>
      </w:r>
      <w:r w:rsidRPr="00F2718C">
        <w:t>Contingently issuable shares relate to vested but unexercised share-based payment awards at the balance sheet date.</w:t>
      </w:r>
    </w:p>
    <w:p w14:paraId="0A480D99" w14:textId="77777777" w:rsidR="00D50651" w:rsidRDefault="00D50651" w:rsidP="00D50651">
      <w:pPr>
        <w:pStyle w:val="Footnote"/>
      </w:pPr>
      <w:r>
        <w:rPr>
          <w:vertAlign w:val="superscript"/>
        </w:rPr>
        <w:t>3</w:t>
      </w:r>
      <w:r>
        <w:t>Potential shares can only be treated as dilutive if their conversion to ordinary shares increases the loss per share. As the impact of including potential shares in the calculation of 2023 EPS would be to decrease the loss per share, they have been excluded from the calculation.</w:t>
      </w:r>
    </w:p>
    <w:p w14:paraId="22371C8B" w14:textId="77777777" w:rsidR="00B17DE3" w:rsidRPr="00F2718C" w:rsidRDefault="00B17DE3" w:rsidP="00B17DE3">
      <w:pPr>
        <w:pStyle w:val="Footnote"/>
      </w:pPr>
    </w:p>
    <w:tbl>
      <w:tblPr>
        <w:tblStyle w:val="TableGrid"/>
        <w:tblW w:w="10425" w:type="dxa"/>
        <w:tblBorders>
          <w:bottom w:val="single" w:sz="2" w:space="0" w:color="16293F" w:themeColor="accent1"/>
          <w:insideH w:val="single" w:sz="2" w:space="0" w:color="16293F" w:themeColor="accent1"/>
        </w:tblBorders>
        <w:tblLayout w:type="fixed"/>
        <w:tblCellMar>
          <w:top w:w="57" w:type="dxa"/>
          <w:left w:w="85" w:type="dxa"/>
          <w:bottom w:w="57" w:type="dxa"/>
          <w:right w:w="85" w:type="dxa"/>
        </w:tblCellMar>
        <w:tblLook w:val="04A0" w:firstRow="1" w:lastRow="0" w:firstColumn="1" w:lastColumn="0" w:noHBand="0" w:noVBand="1"/>
      </w:tblPr>
      <w:tblGrid>
        <w:gridCol w:w="3402"/>
        <w:gridCol w:w="2212"/>
        <w:gridCol w:w="193"/>
        <w:gridCol w:w="2212"/>
        <w:gridCol w:w="193"/>
        <w:gridCol w:w="2213"/>
      </w:tblGrid>
      <w:tr w:rsidR="0052785A" w:rsidRPr="00AA4C38" w14:paraId="0BB2498D" w14:textId="77777777" w:rsidTr="00B17DE3">
        <w:tc>
          <w:tcPr>
            <w:tcW w:w="3402" w:type="dxa"/>
            <w:tcBorders>
              <w:bottom w:val="nil"/>
            </w:tcBorders>
            <w:vAlign w:val="bottom"/>
          </w:tcPr>
          <w:p w14:paraId="7C00CA09" w14:textId="0803A018" w:rsidR="0052785A" w:rsidRPr="00AA4C38" w:rsidRDefault="0052785A" w:rsidP="00B17DE3">
            <w:pPr>
              <w:pStyle w:val="Tableheading"/>
            </w:pPr>
            <w:r w:rsidRPr="00AA4C38">
              <w:t>E</w:t>
            </w:r>
            <w:r w:rsidR="000D2893">
              <w:t>PS</w:t>
            </w:r>
            <w:r w:rsidRPr="00AA4C38">
              <w:t xml:space="preserve"> </w:t>
            </w:r>
          </w:p>
        </w:tc>
        <w:tc>
          <w:tcPr>
            <w:tcW w:w="2212" w:type="dxa"/>
            <w:tcBorders>
              <w:top w:val="nil"/>
              <w:bottom w:val="nil"/>
            </w:tcBorders>
            <w:vAlign w:val="bottom"/>
          </w:tcPr>
          <w:p w14:paraId="4553A717" w14:textId="77777777" w:rsidR="0052785A" w:rsidRPr="00AA4C38" w:rsidRDefault="0052785A" w:rsidP="00B17DE3">
            <w:pPr>
              <w:pStyle w:val="Tableheading"/>
              <w:jc w:val="right"/>
            </w:pPr>
            <w:r w:rsidRPr="00AA4C38">
              <w:t xml:space="preserve">Six months ended </w:t>
            </w:r>
          </w:p>
          <w:p w14:paraId="353E05E2" w14:textId="6A85789F" w:rsidR="0052785A" w:rsidRPr="00AA4C38" w:rsidRDefault="0052785A" w:rsidP="00B17DE3">
            <w:pPr>
              <w:pStyle w:val="Tableheading"/>
              <w:jc w:val="right"/>
            </w:pPr>
            <w:r w:rsidRPr="00AA4C38">
              <w:tab/>
              <w:t xml:space="preserve">30 June </w:t>
            </w:r>
            <w:r w:rsidR="00E85F7E">
              <w:t>2024</w:t>
            </w:r>
          </w:p>
          <w:p w14:paraId="2774717D" w14:textId="77777777" w:rsidR="0052785A" w:rsidRPr="00AA4C38" w:rsidRDefault="0052785A" w:rsidP="00B17DE3">
            <w:pPr>
              <w:pStyle w:val="Tableheading"/>
              <w:jc w:val="right"/>
            </w:pPr>
            <w:r w:rsidRPr="00AA4C38">
              <w:t>Pence</w:t>
            </w:r>
          </w:p>
        </w:tc>
        <w:tc>
          <w:tcPr>
            <w:tcW w:w="193" w:type="dxa"/>
            <w:tcBorders>
              <w:top w:val="nil"/>
              <w:bottom w:val="nil"/>
            </w:tcBorders>
            <w:vAlign w:val="bottom"/>
          </w:tcPr>
          <w:p w14:paraId="39329FB4" w14:textId="77777777" w:rsidR="0052785A" w:rsidRPr="00AA4C38" w:rsidRDefault="0052785A" w:rsidP="00B17DE3">
            <w:pPr>
              <w:pStyle w:val="Tableheading"/>
              <w:jc w:val="right"/>
            </w:pPr>
          </w:p>
        </w:tc>
        <w:tc>
          <w:tcPr>
            <w:tcW w:w="2212" w:type="dxa"/>
            <w:tcBorders>
              <w:top w:val="nil"/>
              <w:bottom w:val="nil"/>
            </w:tcBorders>
            <w:vAlign w:val="bottom"/>
          </w:tcPr>
          <w:p w14:paraId="66258751" w14:textId="77777777" w:rsidR="0052785A" w:rsidRPr="00F974EC" w:rsidRDefault="0052785A" w:rsidP="00B17DE3">
            <w:pPr>
              <w:pStyle w:val="Tableheading"/>
              <w:jc w:val="right"/>
            </w:pPr>
            <w:r w:rsidRPr="00F974EC">
              <w:t xml:space="preserve">Six months ended </w:t>
            </w:r>
          </w:p>
          <w:p w14:paraId="48C520D7" w14:textId="763C35CA" w:rsidR="0052785A" w:rsidRPr="00F974EC" w:rsidRDefault="0052785A" w:rsidP="00B17DE3">
            <w:pPr>
              <w:pStyle w:val="Tableheading"/>
              <w:jc w:val="right"/>
            </w:pPr>
            <w:r w:rsidRPr="00F974EC">
              <w:tab/>
              <w:t xml:space="preserve">30 June </w:t>
            </w:r>
            <w:r w:rsidR="00E85F7E">
              <w:t>2023</w:t>
            </w:r>
          </w:p>
          <w:p w14:paraId="4D89BFF5" w14:textId="77777777" w:rsidR="0052785A" w:rsidRPr="009F40EF" w:rsidRDefault="0052785A" w:rsidP="00B17DE3">
            <w:pPr>
              <w:pStyle w:val="Tableheading"/>
              <w:jc w:val="right"/>
              <w:rPr>
                <w:b/>
                <w:bCs/>
              </w:rPr>
            </w:pPr>
            <w:r w:rsidRPr="00F974EC">
              <w:t>Pence</w:t>
            </w:r>
          </w:p>
        </w:tc>
        <w:tc>
          <w:tcPr>
            <w:tcW w:w="193" w:type="dxa"/>
            <w:tcBorders>
              <w:top w:val="nil"/>
              <w:bottom w:val="nil"/>
            </w:tcBorders>
            <w:vAlign w:val="bottom"/>
          </w:tcPr>
          <w:p w14:paraId="3895EA67" w14:textId="77777777" w:rsidR="0052785A" w:rsidRPr="009F40EF" w:rsidRDefault="0052785A" w:rsidP="00B17DE3">
            <w:pPr>
              <w:pStyle w:val="Tableheading"/>
              <w:jc w:val="right"/>
              <w:rPr>
                <w:b/>
                <w:bCs/>
              </w:rPr>
            </w:pPr>
          </w:p>
        </w:tc>
        <w:tc>
          <w:tcPr>
            <w:tcW w:w="2213" w:type="dxa"/>
            <w:tcBorders>
              <w:top w:val="nil"/>
              <w:bottom w:val="nil"/>
            </w:tcBorders>
            <w:vAlign w:val="bottom"/>
          </w:tcPr>
          <w:p w14:paraId="6A4E476F" w14:textId="77777777" w:rsidR="0052785A" w:rsidRPr="00F974EC" w:rsidRDefault="0052785A" w:rsidP="00B17DE3">
            <w:pPr>
              <w:pStyle w:val="Tableheading"/>
              <w:jc w:val="right"/>
            </w:pPr>
            <w:r w:rsidRPr="00F974EC">
              <w:t xml:space="preserve">Year ended </w:t>
            </w:r>
          </w:p>
          <w:p w14:paraId="58175B3E" w14:textId="38A58412" w:rsidR="0052785A" w:rsidRPr="00F974EC" w:rsidRDefault="0052785A" w:rsidP="00B17DE3">
            <w:pPr>
              <w:pStyle w:val="Tableheading"/>
              <w:jc w:val="right"/>
            </w:pPr>
            <w:r w:rsidRPr="00F974EC">
              <w:t xml:space="preserve">31 December </w:t>
            </w:r>
            <w:r w:rsidR="00E85F7E">
              <w:t>2023</w:t>
            </w:r>
          </w:p>
          <w:p w14:paraId="13144546" w14:textId="77777777" w:rsidR="0052785A" w:rsidRPr="00F974EC" w:rsidRDefault="0052785A" w:rsidP="00B17DE3">
            <w:pPr>
              <w:pStyle w:val="Tableheading"/>
              <w:jc w:val="right"/>
              <w:rPr>
                <w:highlight w:val="yellow"/>
              </w:rPr>
            </w:pPr>
            <w:r w:rsidRPr="00F974EC">
              <w:t>Pence</w:t>
            </w:r>
          </w:p>
        </w:tc>
      </w:tr>
      <w:tr w:rsidR="00415A80" w:rsidRPr="002616FC" w14:paraId="56251398" w14:textId="77777777">
        <w:tc>
          <w:tcPr>
            <w:tcW w:w="3402" w:type="dxa"/>
            <w:tcBorders>
              <w:top w:val="nil"/>
              <w:bottom w:val="nil"/>
            </w:tcBorders>
            <w:shd w:val="clear" w:color="auto" w:fill="auto"/>
            <w:vAlign w:val="center"/>
          </w:tcPr>
          <w:p w14:paraId="51BC65C3" w14:textId="77777777" w:rsidR="00415A80" w:rsidRPr="00AA4C38" w:rsidRDefault="00415A80" w:rsidP="00415A80">
            <w:pPr>
              <w:pStyle w:val="Tabletext"/>
            </w:pPr>
            <w:r w:rsidRPr="00AA4C38">
              <w:t>Basic</w:t>
            </w:r>
          </w:p>
        </w:tc>
        <w:tc>
          <w:tcPr>
            <w:tcW w:w="2212" w:type="dxa"/>
            <w:tcBorders>
              <w:top w:val="nil"/>
              <w:bottom w:val="nil"/>
            </w:tcBorders>
            <w:shd w:val="clear" w:color="auto" w:fill="auto"/>
            <w:vAlign w:val="center"/>
          </w:tcPr>
          <w:p w14:paraId="4398C4E1" w14:textId="5AF28757" w:rsidR="00415A80" w:rsidRPr="005F0E7F" w:rsidRDefault="004E69D2" w:rsidP="00415A80">
            <w:pPr>
              <w:pStyle w:val="Tabletext"/>
              <w:jc w:val="right"/>
              <w:rPr>
                <w:b/>
              </w:rPr>
            </w:pPr>
            <w:r w:rsidRPr="005F0E7F">
              <w:rPr>
                <w:b/>
              </w:rPr>
              <w:t>5.4</w:t>
            </w:r>
          </w:p>
        </w:tc>
        <w:tc>
          <w:tcPr>
            <w:tcW w:w="193" w:type="dxa"/>
            <w:tcBorders>
              <w:top w:val="nil"/>
              <w:bottom w:val="nil"/>
            </w:tcBorders>
          </w:tcPr>
          <w:p w14:paraId="56C5B9D0" w14:textId="77777777" w:rsidR="00415A80" w:rsidRPr="00AA4C38" w:rsidRDefault="00415A80" w:rsidP="00415A80">
            <w:pPr>
              <w:pStyle w:val="Tabletext"/>
              <w:jc w:val="right"/>
            </w:pPr>
          </w:p>
        </w:tc>
        <w:tc>
          <w:tcPr>
            <w:tcW w:w="2212" w:type="dxa"/>
            <w:tcBorders>
              <w:top w:val="nil"/>
              <w:bottom w:val="nil"/>
            </w:tcBorders>
            <w:shd w:val="clear" w:color="auto" w:fill="auto"/>
            <w:vAlign w:val="center"/>
          </w:tcPr>
          <w:p w14:paraId="7A7644BD" w14:textId="68EB67E2" w:rsidR="00415A80" w:rsidRPr="00AA4C38" w:rsidRDefault="00415A80" w:rsidP="00415A80">
            <w:pPr>
              <w:pStyle w:val="Tabletext"/>
              <w:jc w:val="right"/>
            </w:pPr>
            <w:r>
              <w:rPr>
                <w:b/>
                <w:bCs/>
              </w:rPr>
              <w:t>4.6</w:t>
            </w:r>
          </w:p>
        </w:tc>
        <w:tc>
          <w:tcPr>
            <w:tcW w:w="193" w:type="dxa"/>
            <w:tcBorders>
              <w:top w:val="nil"/>
              <w:bottom w:val="nil"/>
            </w:tcBorders>
          </w:tcPr>
          <w:p w14:paraId="2638013F" w14:textId="77777777" w:rsidR="00415A80" w:rsidRPr="00AA4C38" w:rsidRDefault="00415A80" w:rsidP="00415A80">
            <w:pPr>
              <w:pStyle w:val="Tabletext"/>
              <w:jc w:val="right"/>
            </w:pPr>
          </w:p>
        </w:tc>
        <w:tc>
          <w:tcPr>
            <w:tcW w:w="2213" w:type="dxa"/>
            <w:tcBorders>
              <w:top w:val="nil"/>
              <w:bottom w:val="nil"/>
            </w:tcBorders>
            <w:shd w:val="clear" w:color="auto" w:fill="auto"/>
            <w:vAlign w:val="center"/>
          </w:tcPr>
          <w:p w14:paraId="4D9487A8" w14:textId="4C761D88" w:rsidR="00415A80" w:rsidRPr="00D50651" w:rsidRDefault="00415A80" w:rsidP="00415A80">
            <w:pPr>
              <w:pStyle w:val="Tabletext"/>
              <w:jc w:val="right"/>
              <w:rPr>
                <w:b/>
                <w:bCs/>
                <w:highlight w:val="yellow"/>
              </w:rPr>
            </w:pPr>
            <w:r w:rsidRPr="00D50651">
              <w:rPr>
                <w:rFonts w:eastAsia="Times New Roman"/>
                <w:b/>
                <w:bCs/>
                <w:szCs w:val="18"/>
                <w:lang w:eastAsia="en-GB"/>
              </w:rPr>
              <w:t>(2.5)</w:t>
            </w:r>
          </w:p>
        </w:tc>
      </w:tr>
      <w:tr w:rsidR="00415A80" w:rsidRPr="002616FC" w14:paraId="31F9B906" w14:textId="77777777">
        <w:tc>
          <w:tcPr>
            <w:tcW w:w="3402" w:type="dxa"/>
            <w:tcBorders>
              <w:top w:val="nil"/>
              <w:bottom w:val="nil"/>
            </w:tcBorders>
            <w:shd w:val="clear" w:color="auto" w:fill="auto"/>
            <w:vAlign w:val="center"/>
          </w:tcPr>
          <w:p w14:paraId="676D86B5" w14:textId="77777777" w:rsidR="00415A80" w:rsidRDefault="00415A80" w:rsidP="00415A80">
            <w:pPr>
              <w:pStyle w:val="Tabletext"/>
            </w:pPr>
            <w:r>
              <w:t xml:space="preserve">Diluted </w:t>
            </w:r>
          </w:p>
        </w:tc>
        <w:tc>
          <w:tcPr>
            <w:tcW w:w="2212" w:type="dxa"/>
            <w:tcBorders>
              <w:top w:val="nil"/>
              <w:bottom w:val="nil"/>
            </w:tcBorders>
            <w:shd w:val="clear" w:color="auto" w:fill="auto"/>
            <w:vAlign w:val="center"/>
          </w:tcPr>
          <w:p w14:paraId="6FD5BB72" w14:textId="11717999" w:rsidR="00415A80" w:rsidRPr="005F0E7F" w:rsidRDefault="005666F4" w:rsidP="00415A80">
            <w:pPr>
              <w:pStyle w:val="Tabletext"/>
              <w:jc w:val="right"/>
              <w:rPr>
                <w:b/>
              </w:rPr>
            </w:pPr>
            <w:r w:rsidRPr="005F0E7F">
              <w:rPr>
                <w:b/>
                <w:bCs/>
              </w:rPr>
              <w:t>5.3</w:t>
            </w:r>
          </w:p>
        </w:tc>
        <w:tc>
          <w:tcPr>
            <w:tcW w:w="193" w:type="dxa"/>
            <w:tcBorders>
              <w:top w:val="nil"/>
              <w:bottom w:val="nil"/>
            </w:tcBorders>
          </w:tcPr>
          <w:p w14:paraId="7585019E"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0A9BF852" w14:textId="72824312" w:rsidR="00415A80" w:rsidRPr="002616FC" w:rsidRDefault="00415A80" w:rsidP="00415A80">
            <w:pPr>
              <w:pStyle w:val="Tabletext"/>
              <w:jc w:val="right"/>
            </w:pPr>
            <w:r>
              <w:rPr>
                <w:b/>
                <w:bCs/>
              </w:rPr>
              <w:t>4.6</w:t>
            </w:r>
          </w:p>
        </w:tc>
        <w:tc>
          <w:tcPr>
            <w:tcW w:w="193" w:type="dxa"/>
            <w:tcBorders>
              <w:top w:val="nil"/>
              <w:bottom w:val="nil"/>
            </w:tcBorders>
          </w:tcPr>
          <w:p w14:paraId="1C922740" w14:textId="77777777" w:rsidR="00415A80" w:rsidRPr="002616FC" w:rsidRDefault="00415A80" w:rsidP="00415A80">
            <w:pPr>
              <w:pStyle w:val="Tabletext"/>
              <w:jc w:val="right"/>
            </w:pPr>
          </w:p>
        </w:tc>
        <w:tc>
          <w:tcPr>
            <w:tcW w:w="2213" w:type="dxa"/>
            <w:tcBorders>
              <w:top w:val="nil"/>
              <w:bottom w:val="nil"/>
            </w:tcBorders>
            <w:shd w:val="clear" w:color="auto" w:fill="auto"/>
            <w:vAlign w:val="center"/>
          </w:tcPr>
          <w:p w14:paraId="2DF88457" w14:textId="47469192" w:rsidR="00415A80" w:rsidRPr="00D50651" w:rsidRDefault="00415A80" w:rsidP="00415A80">
            <w:pPr>
              <w:pStyle w:val="Tabletext"/>
              <w:jc w:val="right"/>
              <w:rPr>
                <w:b/>
                <w:bCs/>
                <w:highlight w:val="yellow"/>
              </w:rPr>
            </w:pPr>
            <w:r w:rsidRPr="00D50651">
              <w:rPr>
                <w:rFonts w:eastAsia="Times New Roman"/>
                <w:b/>
                <w:bCs/>
                <w:szCs w:val="18"/>
                <w:lang w:eastAsia="en-GB"/>
              </w:rPr>
              <w:t>(2.5)</w:t>
            </w:r>
          </w:p>
        </w:tc>
      </w:tr>
    </w:tbl>
    <w:p w14:paraId="2E8DD9CC" w14:textId="5C2E07B0" w:rsidR="0081027E" w:rsidRPr="0081027E" w:rsidRDefault="00913723" w:rsidP="00632714">
      <w:pPr>
        <w:pStyle w:val="Subheading"/>
      </w:pPr>
      <w:r>
        <w:t>8.</w:t>
      </w:r>
      <w:r w:rsidR="00FF1218">
        <w:tab/>
      </w:r>
      <w:r w:rsidR="00A12B3E">
        <w:t>Goodwill</w:t>
      </w:r>
    </w:p>
    <w:p w14:paraId="5E325CB8" w14:textId="6009551C" w:rsidR="00D50651" w:rsidRPr="00D50651" w:rsidRDefault="00D50651" w:rsidP="00D50651">
      <w:pPr>
        <w:pStyle w:val="Bodytext0"/>
        <w:spacing w:line="252" w:lineRule="exact"/>
        <w:rPr>
          <w:szCs w:val="20"/>
        </w:rPr>
      </w:pPr>
      <w:r w:rsidRPr="00E758F0">
        <w:rPr>
          <w:szCs w:val="20"/>
        </w:rPr>
        <w:t>Goodwill arising on acquisitions, being the excess of the cost of a business combination over the fair value of the identifiable assets, liabilities and contingent liabilities acquired, is capitalised in the consolidated balance sheet. Goodwill is carried at cost less provision for impairment. The carrying value of goodwill is not amortised but is tested annually for impairment or more frequently if any indicators of impairment arise. Goodwill is allocated to cash-generating units (CGUs) for the purpose of impairment testing, with the allocation to those CGUs or groups of CGUs that are expected to benefit from the business combination in which the goodwill arose. Impairment losses on goodwill are not reversed.</w:t>
      </w:r>
    </w:p>
    <w:p w14:paraId="7C1EA093" w14:textId="77777777" w:rsidR="004F71BB" w:rsidRDefault="004F71BB">
      <w:pPr>
        <w:rPr>
          <w:rFonts w:eastAsiaTheme="minorHAnsi"/>
          <w:sz w:val="20"/>
          <w:lang w:val="en-GB" w:eastAsia="en-US"/>
        </w:rPr>
      </w:pPr>
      <w:r>
        <w:br w:type="page"/>
      </w:r>
    </w:p>
    <w:p w14:paraId="6CB11C7F" w14:textId="63FED65B" w:rsidR="00CA4C64" w:rsidRDefault="0081027E" w:rsidP="00187315">
      <w:pPr>
        <w:pStyle w:val="Bodytext0"/>
        <w:spacing w:after="120"/>
      </w:pPr>
      <w:r w:rsidRPr="0081027E">
        <w:lastRenderedPageBreak/>
        <w:t>Goodwill relates to the 2007 acquisition of Knightsbridge Asset Management Limited</w:t>
      </w:r>
      <w:r w:rsidR="005C40F3">
        <w:t xml:space="preserve"> (KAML)</w:t>
      </w:r>
      <w:r w:rsidRPr="0081027E">
        <w:t xml:space="preserve"> and the </w:t>
      </w:r>
      <w:r w:rsidR="00D74337">
        <w:t xml:space="preserve">2020 </w:t>
      </w:r>
      <w:r w:rsidRPr="0081027E">
        <w:t xml:space="preserve">acquisition of Merian </w:t>
      </w:r>
      <w:r w:rsidR="00D74337">
        <w:t>Global Investors Limited</w:t>
      </w:r>
      <w:r w:rsidR="005C40F3">
        <w:t xml:space="preserve"> (Merian)</w:t>
      </w:r>
      <w:r>
        <w:t xml:space="preserve">. </w:t>
      </w:r>
    </w:p>
    <w:tbl>
      <w:tblPr>
        <w:tblW w:w="10240" w:type="dxa"/>
        <w:tblInd w:w="108" w:type="dxa"/>
        <w:tblLayout w:type="fixed"/>
        <w:tblLook w:val="01E0" w:firstRow="1" w:lastRow="1" w:firstColumn="1" w:lastColumn="1" w:noHBand="0" w:noVBand="0"/>
      </w:tblPr>
      <w:tblGrid>
        <w:gridCol w:w="3720"/>
        <w:gridCol w:w="1701"/>
        <w:gridCol w:w="542"/>
        <w:gridCol w:w="1726"/>
        <w:gridCol w:w="425"/>
        <w:gridCol w:w="2126"/>
      </w:tblGrid>
      <w:tr w:rsidR="00D50651" w:rsidRPr="00590D2C" w14:paraId="527029D8" w14:textId="77777777" w:rsidTr="00106936">
        <w:tc>
          <w:tcPr>
            <w:tcW w:w="3720" w:type="dxa"/>
          </w:tcPr>
          <w:p w14:paraId="4214BAF2" w14:textId="34DC7EC5" w:rsidR="00D50651" w:rsidRPr="00590D2C" w:rsidRDefault="00D50651" w:rsidP="00D50651">
            <w:pPr>
              <w:spacing w:after="0"/>
              <w:rPr>
                <w:rFonts w:eastAsia="Times New Roman"/>
                <w:b/>
                <w:color w:val="003D7F" w:themeColor="accent2" w:themeShade="BF"/>
                <w:szCs w:val="18"/>
                <w:lang w:eastAsia="en-GB"/>
              </w:rPr>
            </w:pPr>
          </w:p>
          <w:p w14:paraId="3054A3FE" w14:textId="77777777" w:rsidR="00D50651" w:rsidRPr="00590D2C" w:rsidRDefault="00D50651" w:rsidP="00D50651">
            <w:pPr>
              <w:spacing w:after="0"/>
              <w:rPr>
                <w:rFonts w:eastAsia="Times New Roman"/>
                <w:b/>
                <w:color w:val="003D7F" w:themeColor="accent2" w:themeShade="BF"/>
                <w:szCs w:val="18"/>
                <w:lang w:eastAsia="en-GB"/>
              </w:rPr>
            </w:pPr>
          </w:p>
        </w:tc>
        <w:tc>
          <w:tcPr>
            <w:tcW w:w="1701" w:type="dxa"/>
          </w:tcPr>
          <w:p w14:paraId="668F1E55" w14:textId="232BC606" w:rsidR="00D50651" w:rsidRPr="00590D2C" w:rsidRDefault="00D50651" w:rsidP="00D50651">
            <w:pPr>
              <w:tabs>
                <w:tab w:val="right" w:pos="1314"/>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 xml:space="preserve">30 June </w:t>
            </w:r>
            <w:r w:rsidRPr="00590D2C">
              <w:rPr>
                <w:rFonts w:eastAsia="Times New Roman"/>
                <w:b/>
                <w:bCs/>
                <w:color w:val="003D7F" w:themeColor="accent2" w:themeShade="BF"/>
                <w:szCs w:val="18"/>
                <w:lang w:eastAsia="en-GB"/>
              </w:rPr>
              <w:t>202</w:t>
            </w:r>
            <w:r>
              <w:rPr>
                <w:rFonts w:eastAsia="Times New Roman"/>
                <w:b/>
                <w:bCs/>
                <w:color w:val="003D7F" w:themeColor="accent2" w:themeShade="BF"/>
                <w:szCs w:val="18"/>
                <w:lang w:eastAsia="en-GB"/>
              </w:rPr>
              <w:t>4</w:t>
            </w:r>
          </w:p>
          <w:p w14:paraId="3A9A4098" w14:textId="1B8B9838" w:rsidR="00D50651" w:rsidRPr="00590D2C" w:rsidRDefault="00D50651" w:rsidP="00577845">
            <w:pPr>
              <w:tabs>
                <w:tab w:val="right" w:pos="1378"/>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w:t>
            </w:r>
            <w:r w:rsidRPr="00590D2C">
              <w:rPr>
                <w:rFonts w:eastAsia="Times New Roman"/>
                <w:b/>
                <w:bCs/>
                <w:color w:val="003D7F" w:themeColor="accent2" w:themeShade="BF"/>
                <w:szCs w:val="18"/>
                <w:lang w:eastAsia="en-GB"/>
              </w:rPr>
              <w:t>m</w:t>
            </w:r>
          </w:p>
        </w:tc>
        <w:tc>
          <w:tcPr>
            <w:tcW w:w="542" w:type="dxa"/>
          </w:tcPr>
          <w:p w14:paraId="4AACD6CB" w14:textId="77777777" w:rsidR="00D50651" w:rsidRPr="00590D2C" w:rsidRDefault="00D50651" w:rsidP="00D50651">
            <w:pPr>
              <w:tabs>
                <w:tab w:val="right" w:pos="1314"/>
              </w:tabs>
              <w:spacing w:after="0"/>
              <w:ind w:left="426"/>
              <w:rPr>
                <w:rFonts w:eastAsia="Times New Roman"/>
                <w:b/>
                <w:bCs/>
                <w:color w:val="003D7F" w:themeColor="accent2" w:themeShade="BF"/>
                <w:szCs w:val="18"/>
                <w:lang w:eastAsia="en-GB"/>
              </w:rPr>
            </w:pPr>
          </w:p>
        </w:tc>
        <w:tc>
          <w:tcPr>
            <w:tcW w:w="1726" w:type="dxa"/>
          </w:tcPr>
          <w:p w14:paraId="3A240517" w14:textId="6E9F0C68" w:rsidR="00D50651" w:rsidRPr="00590D2C" w:rsidRDefault="00D50651" w:rsidP="00D50651">
            <w:pPr>
              <w:tabs>
                <w:tab w:val="right" w:pos="1314"/>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 xml:space="preserve">30 June </w:t>
            </w:r>
            <w:r w:rsidRPr="00590D2C">
              <w:rPr>
                <w:rFonts w:eastAsia="Times New Roman"/>
                <w:b/>
                <w:bCs/>
                <w:color w:val="003D7F" w:themeColor="accent2" w:themeShade="BF"/>
                <w:szCs w:val="18"/>
                <w:lang w:eastAsia="en-GB"/>
              </w:rPr>
              <w:t>202</w:t>
            </w:r>
            <w:r>
              <w:rPr>
                <w:rFonts w:eastAsia="Times New Roman"/>
                <w:b/>
                <w:bCs/>
                <w:color w:val="003D7F" w:themeColor="accent2" w:themeShade="BF"/>
                <w:szCs w:val="18"/>
                <w:lang w:eastAsia="en-GB"/>
              </w:rPr>
              <w:t>3</w:t>
            </w:r>
          </w:p>
          <w:p w14:paraId="12E41794" w14:textId="77777777" w:rsidR="00D50651" w:rsidRPr="00590D2C" w:rsidRDefault="00D50651" w:rsidP="00577845">
            <w:pPr>
              <w:tabs>
                <w:tab w:val="right" w:pos="1387"/>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w:t>
            </w:r>
            <w:r w:rsidRPr="00590D2C">
              <w:rPr>
                <w:rFonts w:eastAsia="Times New Roman"/>
                <w:b/>
                <w:bCs/>
                <w:color w:val="003D7F" w:themeColor="accent2" w:themeShade="BF"/>
                <w:szCs w:val="18"/>
                <w:lang w:eastAsia="en-GB"/>
              </w:rPr>
              <w:t>m</w:t>
            </w:r>
          </w:p>
        </w:tc>
        <w:tc>
          <w:tcPr>
            <w:tcW w:w="425" w:type="dxa"/>
          </w:tcPr>
          <w:p w14:paraId="53694289" w14:textId="77777777" w:rsidR="00D50651" w:rsidRPr="00590D2C" w:rsidRDefault="00D50651" w:rsidP="00D50651">
            <w:pPr>
              <w:spacing w:after="0"/>
              <w:ind w:left="426"/>
              <w:jc w:val="right"/>
              <w:rPr>
                <w:rFonts w:eastAsia="Times New Roman"/>
                <w:b/>
                <w:bCs/>
                <w:color w:val="003D7F" w:themeColor="accent2" w:themeShade="BF"/>
                <w:szCs w:val="18"/>
                <w:lang w:eastAsia="en-GB"/>
              </w:rPr>
            </w:pPr>
          </w:p>
        </w:tc>
        <w:tc>
          <w:tcPr>
            <w:tcW w:w="2126" w:type="dxa"/>
          </w:tcPr>
          <w:p w14:paraId="082A5D56" w14:textId="24E9824F" w:rsidR="00D50651" w:rsidRPr="00590D2C" w:rsidRDefault="00D50651" w:rsidP="00D50651">
            <w:pPr>
              <w:tabs>
                <w:tab w:val="right" w:pos="1312"/>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 xml:space="preserve">31 December </w:t>
            </w:r>
            <w:r w:rsidRPr="00590D2C">
              <w:rPr>
                <w:rFonts w:eastAsia="Times New Roman"/>
                <w:b/>
                <w:bCs/>
                <w:color w:val="003D7F" w:themeColor="accent2" w:themeShade="BF"/>
                <w:szCs w:val="18"/>
                <w:lang w:eastAsia="en-GB"/>
              </w:rPr>
              <w:t>202</w:t>
            </w:r>
            <w:r>
              <w:rPr>
                <w:rFonts w:eastAsia="Times New Roman"/>
                <w:b/>
                <w:bCs/>
                <w:color w:val="003D7F" w:themeColor="accent2" w:themeShade="BF"/>
                <w:szCs w:val="18"/>
                <w:lang w:eastAsia="en-GB"/>
              </w:rPr>
              <w:t>3</w:t>
            </w:r>
          </w:p>
          <w:p w14:paraId="5C4B5E5E" w14:textId="77777777" w:rsidR="00D50651" w:rsidRPr="00590D2C" w:rsidRDefault="00D50651" w:rsidP="00577845">
            <w:pPr>
              <w:tabs>
                <w:tab w:val="right" w:pos="1843"/>
              </w:tabs>
              <w:spacing w:after="0"/>
              <w:ind w:left="426"/>
              <w:rPr>
                <w:rFonts w:eastAsia="Times New Roman"/>
                <w:b/>
                <w:bCs/>
                <w:color w:val="003D7F" w:themeColor="accent2" w:themeShade="BF"/>
                <w:szCs w:val="18"/>
                <w:lang w:eastAsia="en-GB"/>
              </w:rPr>
            </w:pPr>
            <w:r w:rsidRPr="00590D2C">
              <w:rPr>
                <w:rFonts w:eastAsia="Times New Roman"/>
                <w:b/>
                <w:bCs/>
                <w:color w:val="003D7F" w:themeColor="accent2" w:themeShade="BF"/>
                <w:szCs w:val="18"/>
                <w:lang w:eastAsia="en-GB"/>
              </w:rPr>
              <w:tab/>
            </w:r>
            <w:r>
              <w:rPr>
                <w:rFonts w:eastAsia="Times New Roman"/>
                <w:b/>
                <w:bCs/>
                <w:color w:val="003D7F" w:themeColor="accent2" w:themeShade="BF"/>
                <w:szCs w:val="18"/>
                <w:lang w:eastAsia="en-GB"/>
              </w:rPr>
              <w:t>£</w:t>
            </w:r>
            <w:r w:rsidRPr="00590D2C">
              <w:rPr>
                <w:rFonts w:eastAsia="Times New Roman"/>
                <w:b/>
                <w:bCs/>
                <w:color w:val="003D7F" w:themeColor="accent2" w:themeShade="BF"/>
                <w:szCs w:val="18"/>
                <w:lang w:eastAsia="en-GB"/>
              </w:rPr>
              <w:t>m</w:t>
            </w:r>
          </w:p>
        </w:tc>
      </w:tr>
      <w:tr w:rsidR="00106936" w:rsidRPr="00C961DC" w14:paraId="4187898C" w14:textId="77777777" w:rsidTr="00106936">
        <w:tc>
          <w:tcPr>
            <w:tcW w:w="3720" w:type="dxa"/>
            <w:shd w:val="clear" w:color="auto" w:fill="FFFFFF"/>
          </w:tcPr>
          <w:p w14:paraId="4E197D9F" w14:textId="49CDB879" w:rsidR="00106936" w:rsidRPr="00131B4F" w:rsidRDefault="00C9068D" w:rsidP="00106936">
            <w:pPr>
              <w:spacing w:after="0"/>
              <w:rPr>
                <w:rFonts w:eastAsia="Times New Roman"/>
                <w:szCs w:val="18"/>
                <w:lang w:eastAsia="en-GB"/>
              </w:rPr>
            </w:pPr>
            <w:r>
              <w:rPr>
                <w:rFonts w:eastAsia="Times New Roman"/>
                <w:szCs w:val="18"/>
                <w:lang w:eastAsia="en-GB"/>
              </w:rPr>
              <w:t>Goodwill</w:t>
            </w:r>
          </w:p>
        </w:tc>
        <w:tc>
          <w:tcPr>
            <w:tcW w:w="1701" w:type="dxa"/>
            <w:tcBorders>
              <w:bottom w:val="single" w:sz="4" w:space="0" w:color="auto"/>
            </w:tcBorders>
            <w:shd w:val="clear" w:color="auto" w:fill="FFFFFF"/>
            <w:vAlign w:val="bottom"/>
          </w:tcPr>
          <w:p w14:paraId="18421342" w14:textId="742ADAB0" w:rsidR="00106936" w:rsidRPr="00577845" w:rsidRDefault="00C9068D" w:rsidP="00106936">
            <w:pPr>
              <w:tabs>
                <w:tab w:val="decimal" w:pos="1290"/>
              </w:tabs>
              <w:spacing w:after="0"/>
              <w:ind w:left="426"/>
              <w:rPr>
                <w:rFonts w:eastAsia="Times New Roman"/>
                <w:szCs w:val="18"/>
                <w:lang w:eastAsia="en-GB"/>
              </w:rPr>
            </w:pPr>
            <w:r w:rsidRPr="00577845">
              <w:rPr>
                <w:rFonts w:eastAsia="Times New Roman"/>
                <w:szCs w:val="18"/>
                <w:lang w:eastAsia="en-GB"/>
              </w:rPr>
              <w:t>494.4</w:t>
            </w:r>
          </w:p>
        </w:tc>
        <w:tc>
          <w:tcPr>
            <w:tcW w:w="542" w:type="dxa"/>
            <w:shd w:val="clear" w:color="auto" w:fill="FFFFFF"/>
            <w:vAlign w:val="bottom"/>
          </w:tcPr>
          <w:p w14:paraId="39E98F89" w14:textId="6C6A44E5" w:rsidR="00106936" w:rsidRPr="00131B4F" w:rsidRDefault="00C9068D" w:rsidP="00106936">
            <w:pPr>
              <w:tabs>
                <w:tab w:val="decimal" w:pos="1290"/>
              </w:tabs>
              <w:spacing w:after="0"/>
              <w:ind w:left="426"/>
              <w:rPr>
                <w:rFonts w:eastAsia="Times New Roman"/>
                <w:szCs w:val="18"/>
                <w:lang w:eastAsia="en-GB"/>
              </w:rPr>
            </w:pPr>
            <w:r>
              <w:rPr>
                <w:rFonts w:eastAsia="Times New Roman"/>
                <w:szCs w:val="18"/>
                <w:lang w:eastAsia="en-GB"/>
              </w:rPr>
              <w:t>5</w:t>
            </w:r>
          </w:p>
        </w:tc>
        <w:tc>
          <w:tcPr>
            <w:tcW w:w="1726" w:type="dxa"/>
            <w:tcBorders>
              <w:bottom w:val="single" w:sz="4" w:space="0" w:color="auto"/>
            </w:tcBorders>
            <w:shd w:val="clear" w:color="auto" w:fill="FFFFFF"/>
            <w:vAlign w:val="bottom"/>
          </w:tcPr>
          <w:p w14:paraId="42F50F8F" w14:textId="2B147EE3" w:rsidR="00106936" w:rsidRPr="00131B4F" w:rsidRDefault="00C9068D" w:rsidP="00106936">
            <w:pPr>
              <w:tabs>
                <w:tab w:val="decimal" w:pos="1290"/>
              </w:tabs>
              <w:spacing w:after="0"/>
              <w:ind w:left="426"/>
              <w:rPr>
                <w:rFonts w:eastAsia="Times New Roman"/>
                <w:szCs w:val="18"/>
                <w:lang w:eastAsia="en-GB"/>
              </w:rPr>
            </w:pPr>
            <w:r>
              <w:rPr>
                <w:rFonts w:eastAsia="Times New Roman"/>
                <w:szCs w:val="18"/>
                <w:lang w:eastAsia="en-GB"/>
              </w:rPr>
              <w:t>570.6</w:t>
            </w:r>
          </w:p>
        </w:tc>
        <w:tc>
          <w:tcPr>
            <w:tcW w:w="425" w:type="dxa"/>
            <w:vAlign w:val="bottom"/>
          </w:tcPr>
          <w:p w14:paraId="4E62AFC6" w14:textId="77777777" w:rsidR="00106936" w:rsidRPr="00131B4F" w:rsidRDefault="00106936" w:rsidP="00106936">
            <w:pPr>
              <w:spacing w:after="0"/>
              <w:ind w:left="426"/>
              <w:jc w:val="right"/>
              <w:rPr>
                <w:rFonts w:eastAsia="Times New Roman"/>
                <w:szCs w:val="18"/>
                <w:lang w:eastAsia="en-GB"/>
              </w:rPr>
            </w:pPr>
          </w:p>
        </w:tc>
        <w:tc>
          <w:tcPr>
            <w:tcW w:w="2126" w:type="dxa"/>
            <w:tcBorders>
              <w:bottom w:val="single" w:sz="4" w:space="0" w:color="auto"/>
            </w:tcBorders>
            <w:shd w:val="clear" w:color="auto" w:fill="FFFFFF"/>
            <w:vAlign w:val="bottom"/>
          </w:tcPr>
          <w:p w14:paraId="3AFE1C11" w14:textId="12778BE1" w:rsidR="00106936" w:rsidRPr="00131B4F" w:rsidRDefault="00DF77BC" w:rsidP="00106936">
            <w:pPr>
              <w:tabs>
                <w:tab w:val="right" w:pos="1312"/>
              </w:tabs>
              <w:spacing w:after="0"/>
              <w:ind w:left="426"/>
              <w:jc w:val="right"/>
              <w:rPr>
                <w:rFonts w:eastAsia="Times New Roman"/>
                <w:szCs w:val="18"/>
                <w:lang w:eastAsia="en-GB"/>
              </w:rPr>
            </w:pPr>
            <w:r>
              <w:rPr>
                <w:rFonts w:eastAsia="Times New Roman"/>
                <w:szCs w:val="18"/>
                <w:lang w:eastAsia="en-GB"/>
              </w:rPr>
              <w:t>494.4</w:t>
            </w:r>
          </w:p>
        </w:tc>
      </w:tr>
      <w:tr w:rsidR="00106936" w:rsidRPr="00C961DC" w14:paraId="64AD8A47" w14:textId="77777777" w:rsidTr="00106936">
        <w:tc>
          <w:tcPr>
            <w:tcW w:w="3720" w:type="dxa"/>
            <w:shd w:val="clear" w:color="auto" w:fill="FFFFFF"/>
          </w:tcPr>
          <w:p w14:paraId="07B4A3BE" w14:textId="705C85F9" w:rsidR="00106936" w:rsidRPr="00131B4F" w:rsidRDefault="00106936" w:rsidP="00106936">
            <w:pPr>
              <w:spacing w:after="0"/>
              <w:rPr>
                <w:rFonts w:eastAsia="Times New Roman"/>
                <w:b/>
                <w:szCs w:val="18"/>
                <w:lang w:eastAsia="en-GB"/>
              </w:rPr>
            </w:pPr>
          </w:p>
        </w:tc>
        <w:tc>
          <w:tcPr>
            <w:tcW w:w="1701" w:type="dxa"/>
            <w:tcBorders>
              <w:top w:val="single" w:sz="4" w:space="0" w:color="auto"/>
              <w:bottom w:val="single" w:sz="4" w:space="0" w:color="auto"/>
            </w:tcBorders>
            <w:shd w:val="clear" w:color="auto" w:fill="FFFFFF"/>
            <w:vAlign w:val="bottom"/>
          </w:tcPr>
          <w:p w14:paraId="03C6C907" w14:textId="288C84AA" w:rsidR="00106936" w:rsidRDefault="00C9068D" w:rsidP="00106936">
            <w:pPr>
              <w:tabs>
                <w:tab w:val="decimal" w:pos="1290"/>
              </w:tabs>
              <w:spacing w:after="0"/>
              <w:ind w:left="426"/>
              <w:rPr>
                <w:rFonts w:eastAsia="Times New Roman"/>
                <w:b/>
                <w:bCs/>
                <w:szCs w:val="18"/>
                <w:lang w:eastAsia="en-GB"/>
              </w:rPr>
            </w:pPr>
            <w:r>
              <w:rPr>
                <w:rFonts w:eastAsia="Times New Roman"/>
                <w:b/>
                <w:bCs/>
                <w:szCs w:val="18"/>
                <w:lang w:eastAsia="en-GB"/>
              </w:rPr>
              <w:t>494.4</w:t>
            </w:r>
          </w:p>
        </w:tc>
        <w:tc>
          <w:tcPr>
            <w:tcW w:w="542" w:type="dxa"/>
            <w:shd w:val="clear" w:color="auto" w:fill="FFFFFF"/>
            <w:vAlign w:val="bottom"/>
          </w:tcPr>
          <w:p w14:paraId="7C1AC218" w14:textId="77777777" w:rsidR="00106936" w:rsidRDefault="00106936" w:rsidP="00106936">
            <w:pPr>
              <w:tabs>
                <w:tab w:val="decimal" w:pos="1290"/>
              </w:tabs>
              <w:spacing w:after="0"/>
              <w:ind w:left="426"/>
              <w:rPr>
                <w:rFonts w:eastAsia="Times New Roman"/>
                <w:b/>
                <w:bCs/>
                <w:szCs w:val="18"/>
                <w:lang w:eastAsia="en-GB"/>
              </w:rPr>
            </w:pPr>
          </w:p>
        </w:tc>
        <w:tc>
          <w:tcPr>
            <w:tcW w:w="1726" w:type="dxa"/>
            <w:tcBorders>
              <w:top w:val="single" w:sz="4" w:space="0" w:color="auto"/>
              <w:bottom w:val="single" w:sz="4" w:space="0" w:color="auto"/>
            </w:tcBorders>
            <w:shd w:val="clear" w:color="auto" w:fill="FFFFFF"/>
            <w:vAlign w:val="bottom"/>
          </w:tcPr>
          <w:p w14:paraId="37FA685F" w14:textId="31CA341E" w:rsidR="00106936" w:rsidRPr="00131B4F" w:rsidRDefault="00C9068D" w:rsidP="00106936">
            <w:pPr>
              <w:tabs>
                <w:tab w:val="decimal" w:pos="1290"/>
              </w:tabs>
              <w:spacing w:after="0"/>
              <w:ind w:left="426"/>
              <w:rPr>
                <w:rFonts w:eastAsia="Times New Roman"/>
                <w:b/>
                <w:szCs w:val="18"/>
                <w:lang w:eastAsia="en-GB"/>
              </w:rPr>
            </w:pPr>
            <w:r>
              <w:rPr>
                <w:rFonts w:eastAsia="Times New Roman"/>
                <w:b/>
                <w:bCs/>
                <w:szCs w:val="18"/>
                <w:lang w:eastAsia="en-GB"/>
              </w:rPr>
              <w:t>570.6</w:t>
            </w:r>
          </w:p>
        </w:tc>
        <w:tc>
          <w:tcPr>
            <w:tcW w:w="425" w:type="dxa"/>
            <w:vAlign w:val="bottom"/>
          </w:tcPr>
          <w:p w14:paraId="1C82CEC5" w14:textId="77777777" w:rsidR="00106936" w:rsidRPr="00131B4F" w:rsidRDefault="00106936" w:rsidP="00106936">
            <w:pPr>
              <w:spacing w:after="0"/>
              <w:ind w:left="426"/>
              <w:jc w:val="right"/>
              <w:rPr>
                <w:rFonts w:eastAsia="Times New Roman"/>
                <w:b/>
                <w:szCs w:val="18"/>
                <w:lang w:eastAsia="en-GB"/>
              </w:rPr>
            </w:pPr>
          </w:p>
        </w:tc>
        <w:tc>
          <w:tcPr>
            <w:tcW w:w="2126" w:type="dxa"/>
            <w:tcBorders>
              <w:top w:val="single" w:sz="4" w:space="0" w:color="auto"/>
              <w:bottom w:val="single" w:sz="4" w:space="0" w:color="auto"/>
            </w:tcBorders>
            <w:shd w:val="clear" w:color="auto" w:fill="FFFFFF"/>
            <w:vAlign w:val="bottom"/>
          </w:tcPr>
          <w:p w14:paraId="61430F44" w14:textId="0F3DE738" w:rsidR="00106936" w:rsidRPr="00131B4F" w:rsidRDefault="00DF77BC" w:rsidP="00106936">
            <w:pPr>
              <w:tabs>
                <w:tab w:val="right" w:pos="1312"/>
              </w:tabs>
              <w:spacing w:after="0"/>
              <w:ind w:left="426"/>
              <w:jc w:val="right"/>
              <w:rPr>
                <w:rFonts w:eastAsia="Times New Roman"/>
                <w:b/>
                <w:szCs w:val="18"/>
                <w:lang w:eastAsia="en-GB"/>
              </w:rPr>
            </w:pPr>
            <w:r>
              <w:rPr>
                <w:rFonts w:eastAsia="Times New Roman"/>
                <w:b/>
                <w:bCs/>
                <w:szCs w:val="18"/>
                <w:lang w:eastAsia="en-GB"/>
              </w:rPr>
              <w:t>494.4</w:t>
            </w:r>
          </w:p>
        </w:tc>
      </w:tr>
      <w:tr w:rsidR="00106936" w:rsidRPr="00C961DC" w14:paraId="1BD41AAD" w14:textId="77777777" w:rsidTr="00106936">
        <w:tc>
          <w:tcPr>
            <w:tcW w:w="3720" w:type="dxa"/>
            <w:shd w:val="clear" w:color="auto" w:fill="FFFFFF"/>
          </w:tcPr>
          <w:p w14:paraId="709EB92E" w14:textId="77777777" w:rsidR="00106936" w:rsidRPr="00131B4F" w:rsidRDefault="00106936" w:rsidP="00106936">
            <w:pPr>
              <w:spacing w:after="0"/>
              <w:rPr>
                <w:rFonts w:eastAsia="Times New Roman"/>
                <w:b/>
                <w:szCs w:val="18"/>
                <w:lang w:eastAsia="en-GB"/>
              </w:rPr>
            </w:pPr>
          </w:p>
        </w:tc>
        <w:tc>
          <w:tcPr>
            <w:tcW w:w="1701" w:type="dxa"/>
            <w:tcBorders>
              <w:top w:val="single" w:sz="4" w:space="0" w:color="auto"/>
            </w:tcBorders>
            <w:shd w:val="clear" w:color="auto" w:fill="FFFFFF"/>
            <w:vAlign w:val="bottom"/>
          </w:tcPr>
          <w:p w14:paraId="554ECD23" w14:textId="77777777" w:rsidR="00106936" w:rsidRPr="00D50651" w:rsidRDefault="00106936" w:rsidP="00106936">
            <w:pPr>
              <w:tabs>
                <w:tab w:val="decimal" w:pos="1290"/>
              </w:tabs>
              <w:spacing w:after="0"/>
              <w:ind w:left="426"/>
              <w:rPr>
                <w:rFonts w:eastAsia="Times New Roman"/>
                <w:b/>
                <w:bCs/>
                <w:szCs w:val="18"/>
                <w:lang w:eastAsia="en-GB"/>
              </w:rPr>
            </w:pPr>
          </w:p>
        </w:tc>
        <w:tc>
          <w:tcPr>
            <w:tcW w:w="542" w:type="dxa"/>
            <w:shd w:val="clear" w:color="auto" w:fill="FFFFFF"/>
            <w:vAlign w:val="bottom"/>
          </w:tcPr>
          <w:p w14:paraId="4B20A4A9" w14:textId="77777777" w:rsidR="00106936" w:rsidRPr="00131B4F" w:rsidRDefault="00106936" w:rsidP="00106936">
            <w:pPr>
              <w:tabs>
                <w:tab w:val="decimal" w:pos="1290"/>
              </w:tabs>
              <w:spacing w:after="0"/>
              <w:ind w:left="426"/>
              <w:rPr>
                <w:rFonts w:eastAsia="Times New Roman"/>
                <w:b/>
                <w:szCs w:val="18"/>
                <w:lang w:eastAsia="en-GB"/>
              </w:rPr>
            </w:pPr>
          </w:p>
        </w:tc>
        <w:tc>
          <w:tcPr>
            <w:tcW w:w="1726" w:type="dxa"/>
            <w:tcBorders>
              <w:top w:val="single" w:sz="4" w:space="0" w:color="auto"/>
            </w:tcBorders>
            <w:shd w:val="clear" w:color="auto" w:fill="FFFFFF"/>
            <w:vAlign w:val="bottom"/>
          </w:tcPr>
          <w:p w14:paraId="14330F6D" w14:textId="29950789" w:rsidR="00106936" w:rsidRPr="00131B4F" w:rsidRDefault="00106936" w:rsidP="00106936">
            <w:pPr>
              <w:tabs>
                <w:tab w:val="decimal" w:pos="1290"/>
              </w:tabs>
              <w:spacing w:after="0"/>
              <w:ind w:left="426"/>
              <w:rPr>
                <w:rFonts w:eastAsia="Times New Roman"/>
                <w:b/>
                <w:szCs w:val="18"/>
                <w:lang w:eastAsia="en-GB"/>
              </w:rPr>
            </w:pPr>
          </w:p>
        </w:tc>
        <w:tc>
          <w:tcPr>
            <w:tcW w:w="425" w:type="dxa"/>
            <w:vAlign w:val="bottom"/>
          </w:tcPr>
          <w:p w14:paraId="05E389DD" w14:textId="77777777" w:rsidR="00106936" w:rsidRPr="00131B4F" w:rsidRDefault="00106936" w:rsidP="00106936">
            <w:pPr>
              <w:spacing w:after="0"/>
              <w:ind w:left="426"/>
              <w:jc w:val="right"/>
              <w:rPr>
                <w:rFonts w:eastAsia="Times New Roman"/>
                <w:b/>
                <w:szCs w:val="18"/>
                <w:lang w:eastAsia="en-GB"/>
              </w:rPr>
            </w:pPr>
          </w:p>
        </w:tc>
        <w:tc>
          <w:tcPr>
            <w:tcW w:w="2126" w:type="dxa"/>
            <w:tcBorders>
              <w:top w:val="single" w:sz="4" w:space="0" w:color="auto"/>
            </w:tcBorders>
            <w:shd w:val="clear" w:color="auto" w:fill="FFFFFF"/>
            <w:vAlign w:val="bottom"/>
          </w:tcPr>
          <w:p w14:paraId="052C9EC8" w14:textId="77777777" w:rsidR="00106936" w:rsidRPr="00131B4F" w:rsidRDefault="00106936" w:rsidP="00106936">
            <w:pPr>
              <w:tabs>
                <w:tab w:val="right" w:pos="1312"/>
              </w:tabs>
              <w:spacing w:after="0"/>
              <w:ind w:left="426"/>
              <w:jc w:val="right"/>
              <w:rPr>
                <w:rFonts w:eastAsia="Times New Roman"/>
                <w:b/>
                <w:szCs w:val="18"/>
                <w:lang w:eastAsia="en-GB"/>
              </w:rPr>
            </w:pPr>
          </w:p>
        </w:tc>
      </w:tr>
    </w:tbl>
    <w:p w14:paraId="1466D9D5" w14:textId="59BFF13B" w:rsidR="00106936" w:rsidRPr="00106936" w:rsidRDefault="00106936" w:rsidP="00106936">
      <w:pPr>
        <w:pStyle w:val="Bodytext0"/>
      </w:pPr>
      <w:r w:rsidRPr="00106936">
        <w:t xml:space="preserve">The Group operates as a single asset management business segment and does not allocate costs between investment strategies or individual funds. </w:t>
      </w:r>
      <w:r w:rsidR="006F22B9">
        <w:t>The</w:t>
      </w:r>
      <w:r w:rsidRPr="00106936">
        <w:t xml:space="preserve"> businesses</w:t>
      </w:r>
      <w:r w:rsidR="006F22B9">
        <w:t xml:space="preserve"> acquired to which the goodwill relates</w:t>
      </w:r>
      <w:r w:rsidRPr="00106936">
        <w:t xml:space="preserve"> are fully integrated and are not separately measured or monitored. It is not possible to assign any reduction in the Group’s profitability between </w:t>
      </w:r>
      <w:r w:rsidR="006F22B9">
        <w:t>the acquired businesses</w:t>
      </w:r>
      <w:r w:rsidRPr="00106936">
        <w:t>, and therefore we adopt a single CGU and consider our impairment test based on Group-wide cash generation to calculate the recoverable amount of the goodwill, using the higher of the value in use (VIU) and fair value less costs of disposal of the CGU, and comparing this to the carrying value of the CGU.</w:t>
      </w:r>
    </w:p>
    <w:p w14:paraId="32E989EB" w14:textId="27D9BE58" w:rsidR="000C3810" w:rsidRPr="00AE07FE" w:rsidRDefault="000C3810" w:rsidP="00106936">
      <w:pPr>
        <w:pStyle w:val="Bodytext0"/>
      </w:pPr>
      <w:r w:rsidRPr="00106936">
        <w:t xml:space="preserve">For the impairment test, the recoverable amount for the goodwill asset </w:t>
      </w:r>
      <w:r w:rsidR="006F22B9">
        <w:t>i</w:t>
      </w:r>
      <w:r w:rsidRPr="00106936">
        <w:t xml:space="preserve">s calculated using a value in use approach, based on the net present value of the Group’s future </w:t>
      </w:r>
      <w:r w:rsidRPr="00AE07FE">
        <w:t xml:space="preserve">earnings. The net present value </w:t>
      </w:r>
      <w:r w:rsidR="006F22B9" w:rsidRPr="00AE07FE">
        <w:t>i</w:t>
      </w:r>
      <w:r w:rsidRPr="00AE07FE">
        <w:t>s calculated using a discounted cash flow model, with the following key assumptions:</w:t>
      </w:r>
    </w:p>
    <w:p w14:paraId="7C48F6ED" w14:textId="4AF1EF3C" w:rsidR="000C3810" w:rsidRPr="005F0E7F" w:rsidRDefault="000C3810" w:rsidP="00B17DE3">
      <w:pPr>
        <w:pStyle w:val="ListParagraph"/>
        <w:numPr>
          <w:ilvl w:val="0"/>
          <w:numId w:val="31"/>
        </w:numPr>
        <w:ind w:left="360"/>
        <w:rPr>
          <w:rFonts w:eastAsiaTheme="minorHAnsi"/>
          <w:sz w:val="20"/>
          <w:lang w:val="en-GB" w:eastAsia="en-US"/>
        </w:rPr>
      </w:pPr>
      <w:r w:rsidRPr="005F0E7F">
        <w:rPr>
          <w:rFonts w:eastAsiaTheme="minorHAnsi"/>
          <w:sz w:val="20"/>
          <w:lang w:val="en-GB" w:eastAsia="en-US"/>
        </w:rPr>
        <w:t xml:space="preserve">The Group’s projected base case forecast cash flows over a period of </w:t>
      </w:r>
      <w:r w:rsidR="00626C89" w:rsidRPr="005F0E7F">
        <w:rPr>
          <w:rFonts w:eastAsiaTheme="minorHAnsi"/>
          <w:sz w:val="20"/>
          <w:lang w:val="en-GB" w:eastAsia="en-US"/>
        </w:rPr>
        <w:t>four and a half years to the end of 202</w:t>
      </w:r>
      <w:r w:rsidR="006F22B9" w:rsidRPr="005F0E7F">
        <w:rPr>
          <w:rFonts w:eastAsiaTheme="minorHAnsi"/>
          <w:sz w:val="20"/>
          <w:lang w:val="en-GB" w:eastAsia="en-US"/>
        </w:rPr>
        <w:t>8</w:t>
      </w:r>
      <w:r w:rsidRPr="005F0E7F">
        <w:rPr>
          <w:rFonts w:eastAsiaTheme="minorHAnsi"/>
          <w:sz w:val="20"/>
          <w:lang w:val="en-GB" w:eastAsia="en-US"/>
        </w:rPr>
        <w:t>,</w:t>
      </w:r>
      <w:r w:rsidRPr="005F0E7F" w:rsidDel="00997511">
        <w:rPr>
          <w:rFonts w:eastAsiaTheme="minorHAnsi"/>
          <w:sz w:val="20"/>
          <w:lang w:val="en-GB" w:eastAsia="en-US"/>
        </w:rPr>
        <w:t xml:space="preserve"> </w:t>
      </w:r>
      <w:r w:rsidRPr="005F0E7F">
        <w:rPr>
          <w:rFonts w:eastAsiaTheme="minorHAnsi"/>
          <w:sz w:val="20"/>
          <w:lang w:val="en-GB" w:eastAsia="en-US"/>
        </w:rPr>
        <w:t>which include</w:t>
      </w:r>
      <w:r w:rsidR="002478DA" w:rsidRPr="005F0E7F">
        <w:rPr>
          <w:rFonts w:eastAsiaTheme="minorHAnsi"/>
          <w:sz w:val="20"/>
          <w:lang w:val="en-GB" w:eastAsia="en-US"/>
        </w:rPr>
        <w:t>s</w:t>
      </w:r>
      <w:r w:rsidRPr="005F0E7F">
        <w:rPr>
          <w:rFonts w:eastAsiaTheme="minorHAnsi"/>
          <w:sz w:val="20"/>
          <w:lang w:val="en-GB" w:eastAsia="en-US"/>
        </w:rPr>
        <w:t xml:space="preserve"> an assumption of annual revenue growth based on our expectations of AUM growth, client fee rates and performance fees. The data </w:t>
      </w:r>
      <w:r w:rsidR="006F22B9" w:rsidRPr="005F0E7F">
        <w:rPr>
          <w:rFonts w:eastAsiaTheme="minorHAnsi"/>
          <w:sz w:val="20"/>
          <w:lang w:val="en-GB" w:eastAsia="en-US"/>
        </w:rPr>
        <w:t>has been taken from the five-year plan, which was approved by the Board in February 2024</w:t>
      </w:r>
      <w:r w:rsidR="003D6E32" w:rsidRPr="005F0E7F">
        <w:rPr>
          <w:rFonts w:eastAsiaTheme="minorHAnsi"/>
          <w:sz w:val="20"/>
          <w:lang w:val="en-GB" w:eastAsia="en-US"/>
        </w:rPr>
        <w:t xml:space="preserve">, updated for actual </w:t>
      </w:r>
      <w:r w:rsidR="00AE07FE" w:rsidRPr="005F0E7F">
        <w:rPr>
          <w:rFonts w:eastAsiaTheme="minorHAnsi"/>
          <w:sz w:val="20"/>
          <w:lang w:val="en-GB" w:eastAsia="en-US"/>
        </w:rPr>
        <w:t>results to 30 June 2024</w:t>
      </w:r>
      <w:r w:rsidRPr="005F0E7F">
        <w:rPr>
          <w:rFonts w:eastAsiaTheme="minorHAnsi"/>
          <w:sz w:val="20"/>
          <w:lang w:val="en-GB" w:eastAsia="en-US"/>
        </w:rPr>
        <w:t xml:space="preserve">; </w:t>
      </w:r>
    </w:p>
    <w:p w14:paraId="0BA91D46" w14:textId="505F2E9D" w:rsidR="000C3810" w:rsidRPr="0076022A" w:rsidRDefault="000C3810" w:rsidP="00B17DE3">
      <w:pPr>
        <w:pStyle w:val="ListParagraph"/>
        <w:numPr>
          <w:ilvl w:val="0"/>
          <w:numId w:val="31"/>
        </w:numPr>
        <w:ind w:left="360"/>
        <w:rPr>
          <w:rFonts w:eastAsiaTheme="minorHAnsi"/>
          <w:sz w:val="20"/>
          <w:lang w:val="en-GB" w:eastAsia="en-US"/>
        </w:rPr>
      </w:pPr>
      <w:r w:rsidRPr="005F0E7F">
        <w:rPr>
          <w:rFonts w:eastAsiaTheme="minorHAnsi"/>
          <w:sz w:val="20"/>
          <w:lang w:val="en-GB" w:eastAsia="en-US"/>
        </w:rPr>
        <w:t>Long-</w:t>
      </w:r>
      <w:r w:rsidRPr="0076022A">
        <w:rPr>
          <w:rFonts w:eastAsiaTheme="minorHAnsi"/>
          <w:sz w:val="20"/>
          <w:lang w:val="en-GB" w:eastAsia="en-US"/>
        </w:rPr>
        <w:t>term growth rates of 2% (</w:t>
      </w:r>
      <w:r w:rsidR="00E85F7E" w:rsidRPr="0076022A">
        <w:rPr>
          <w:rFonts w:eastAsiaTheme="minorHAnsi"/>
          <w:sz w:val="20"/>
          <w:lang w:val="en-GB" w:eastAsia="en-US"/>
        </w:rPr>
        <w:t>2023</w:t>
      </w:r>
      <w:r w:rsidR="00626C89" w:rsidRPr="0076022A">
        <w:rPr>
          <w:rFonts w:eastAsiaTheme="minorHAnsi"/>
          <w:sz w:val="20"/>
          <w:lang w:val="en-GB" w:eastAsia="en-US"/>
        </w:rPr>
        <w:t xml:space="preserve"> FY</w:t>
      </w:r>
      <w:r w:rsidRPr="0076022A">
        <w:rPr>
          <w:rFonts w:eastAsiaTheme="minorHAnsi"/>
          <w:sz w:val="20"/>
          <w:lang w:val="en-GB" w:eastAsia="en-US"/>
        </w:rPr>
        <w:t xml:space="preserve">: </w:t>
      </w:r>
      <w:r w:rsidR="00626C89" w:rsidRPr="0076022A">
        <w:rPr>
          <w:rFonts w:eastAsiaTheme="minorHAnsi"/>
          <w:sz w:val="20"/>
          <w:lang w:val="en-GB" w:eastAsia="en-US"/>
        </w:rPr>
        <w:t>2</w:t>
      </w:r>
      <w:r w:rsidRPr="0076022A">
        <w:rPr>
          <w:rFonts w:eastAsiaTheme="minorHAnsi"/>
          <w:sz w:val="20"/>
          <w:lang w:val="en-GB" w:eastAsia="en-US"/>
        </w:rPr>
        <w:t>%) were used to calculate terminal value; and</w:t>
      </w:r>
    </w:p>
    <w:p w14:paraId="0711ACB2" w14:textId="657F31CF" w:rsidR="000C3810" w:rsidRPr="00CE181C" w:rsidRDefault="006F22B9" w:rsidP="478F60A2">
      <w:pPr>
        <w:pStyle w:val="ListParagraph"/>
        <w:numPr>
          <w:ilvl w:val="0"/>
          <w:numId w:val="31"/>
        </w:numPr>
        <w:ind w:left="360"/>
        <w:rPr>
          <w:sz w:val="20"/>
          <w:szCs w:val="20"/>
          <w:lang w:eastAsia="en-US"/>
        </w:rPr>
      </w:pPr>
      <w:r w:rsidRPr="0076022A">
        <w:rPr>
          <w:sz w:val="20"/>
          <w:szCs w:val="20"/>
          <w:lang w:eastAsia="en-US"/>
        </w:rPr>
        <w:t xml:space="preserve">A post-tax discount rate of </w:t>
      </w:r>
      <w:r w:rsidR="00E1301A" w:rsidRPr="0076022A">
        <w:rPr>
          <w:sz w:val="20"/>
          <w:szCs w:val="20"/>
          <w:lang w:eastAsia="en-US"/>
        </w:rPr>
        <w:t>14.8</w:t>
      </w:r>
      <w:r w:rsidRPr="0076022A">
        <w:rPr>
          <w:sz w:val="20"/>
          <w:szCs w:val="20"/>
          <w:lang w:eastAsia="en-US"/>
        </w:rPr>
        <w:t xml:space="preserve">% (2023 FY: 13.2%) was calculated using the capital asset pricing model. Using a pre-tax discount rate of </w:t>
      </w:r>
      <w:r w:rsidR="00CE0C31" w:rsidRPr="0076022A">
        <w:rPr>
          <w:sz w:val="20"/>
          <w:szCs w:val="20"/>
          <w:lang w:eastAsia="en-US"/>
        </w:rPr>
        <w:t>19.1</w:t>
      </w:r>
      <w:r w:rsidRPr="0076022A">
        <w:rPr>
          <w:sz w:val="20"/>
          <w:szCs w:val="20"/>
          <w:lang w:eastAsia="en-US"/>
        </w:rPr>
        <w:t>% (2023 FY: 17.0%) on pre-tax profitability and cash flows does not produce a materially different result.</w:t>
      </w:r>
    </w:p>
    <w:p w14:paraId="19AD31D3" w14:textId="5BA6ADD6" w:rsidR="00F67824" w:rsidRPr="0076022A" w:rsidRDefault="005A0CDD" w:rsidP="00D67A26">
      <w:pPr>
        <w:rPr>
          <w:rFonts w:eastAsiaTheme="minorHAnsi"/>
          <w:sz w:val="20"/>
          <w:lang w:val="en-GB" w:eastAsia="en-US"/>
        </w:rPr>
      </w:pPr>
      <w:r w:rsidRPr="0076022A">
        <w:rPr>
          <w:rFonts w:eastAsiaTheme="minorHAnsi"/>
          <w:sz w:val="20"/>
          <w:lang w:val="en-GB" w:eastAsia="en-US"/>
        </w:rPr>
        <w:t xml:space="preserve">The impairment test performed indicates positive headroom of recoverable amount over carrying value of </w:t>
      </w:r>
      <w:r w:rsidRPr="00CE181C">
        <w:rPr>
          <w:rFonts w:eastAsiaTheme="minorHAnsi"/>
          <w:sz w:val="20"/>
          <w:lang w:val="en-GB" w:eastAsia="en-US"/>
        </w:rPr>
        <w:t>£</w:t>
      </w:r>
      <w:r w:rsidR="00CE0C31" w:rsidRPr="00CE181C">
        <w:rPr>
          <w:rFonts w:eastAsiaTheme="minorHAnsi"/>
          <w:sz w:val="20"/>
          <w:lang w:val="en-GB" w:eastAsia="en-US"/>
        </w:rPr>
        <w:t>45</w:t>
      </w:r>
      <w:r w:rsidRPr="0076022A">
        <w:rPr>
          <w:rFonts w:eastAsiaTheme="minorHAnsi"/>
          <w:sz w:val="20"/>
          <w:lang w:val="en-GB" w:eastAsia="en-US"/>
        </w:rPr>
        <w:t xml:space="preserve">m at 30 June </w:t>
      </w:r>
      <w:r w:rsidR="00E85F7E" w:rsidRPr="0076022A">
        <w:rPr>
          <w:rFonts w:eastAsiaTheme="minorHAnsi"/>
          <w:sz w:val="20"/>
          <w:lang w:val="en-GB" w:eastAsia="en-US"/>
        </w:rPr>
        <w:t>2024</w:t>
      </w:r>
      <w:r w:rsidRPr="0076022A">
        <w:rPr>
          <w:rFonts w:eastAsiaTheme="minorHAnsi"/>
          <w:sz w:val="20"/>
          <w:lang w:val="en-GB" w:eastAsia="en-US"/>
        </w:rPr>
        <w:t>. The value in use of the asset is higher than its fair value less costs of disposal. Our conclusion therefore is that the Group’s goodwill asset is not currently impaired.</w:t>
      </w:r>
      <w:r w:rsidR="00F67824" w:rsidRPr="0076022A">
        <w:rPr>
          <w:rFonts w:eastAsiaTheme="minorHAnsi"/>
          <w:sz w:val="20"/>
          <w:lang w:val="en-GB" w:eastAsia="en-US"/>
        </w:rPr>
        <w:t xml:space="preserve"> </w:t>
      </w:r>
    </w:p>
    <w:p w14:paraId="4054E80D" w14:textId="3227D864" w:rsidR="00F67824" w:rsidRPr="00CE181C" w:rsidRDefault="00F67824" w:rsidP="00F67824">
      <w:pPr>
        <w:rPr>
          <w:rFonts w:eastAsiaTheme="minorHAnsi"/>
          <w:sz w:val="20"/>
          <w:szCs w:val="20"/>
          <w:lang w:val="en-GB" w:eastAsia="en-US"/>
        </w:rPr>
      </w:pPr>
      <w:r w:rsidRPr="0076022A">
        <w:rPr>
          <w:rFonts w:eastAsiaTheme="minorHAnsi"/>
          <w:sz w:val="20"/>
          <w:lang w:val="en-GB" w:eastAsia="en-US"/>
        </w:rPr>
        <w:t xml:space="preserve">The sensitivity of the Group’s current headroom position to </w:t>
      </w:r>
      <w:r w:rsidR="00066C02" w:rsidRPr="0076022A">
        <w:rPr>
          <w:rFonts w:eastAsiaTheme="minorHAnsi"/>
          <w:sz w:val="20"/>
          <w:lang w:val="en-GB" w:eastAsia="en-US"/>
        </w:rPr>
        <w:t xml:space="preserve">reasonably possible </w:t>
      </w:r>
      <w:r w:rsidRPr="0076022A">
        <w:rPr>
          <w:rFonts w:eastAsiaTheme="minorHAnsi"/>
          <w:sz w:val="20"/>
          <w:lang w:val="en-GB" w:eastAsia="en-US"/>
        </w:rPr>
        <w:t xml:space="preserve">changes in key assumptions </w:t>
      </w:r>
      <w:r w:rsidR="00C67DBB" w:rsidRPr="0076022A">
        <w:rPr>
          <w:rFonts w:eastAsiaTheme="minorHAnsi"/>
          <w:sz w:val="20"/>
          <w:lang w:val="en-GB" w:eastAsia="en-US"/>
        </w:rPr>
        <w:t xml:space="preserve">used in the value in use calculation </w:t>
      </w:r>
      <w:r w:rsidRPr="0076022A">
        <w:rPr>
          <w:rFonts w:eastAsiaTheme="minorHAnsi"/>
          <w:sz w:val="20"/>
          <w:lang w:val="en-GB" w:eastAsia="en-US"/>
        </w:rPr>
        <w:t>is shown in the table below</w:t>
      </w:r>
      <w:r w:rsidR="00F81D5D" w:rsidRPr="0076022A">
        <w:rPr>
          <w:rFonts w:eastAsiaTheme="minorHAnsi"/>
          <w:sz w:val="20"/>
          <w:lang w:val="en-GB" w:eastAsia="en-US"/>
        </w:rPr>
        <w:t xml:space="preserve">. </w:t>
      </w:r>
    </w:p>
    <w:tbl>
      <w:tblPr>
        <w:tblW w:w="10065" w:type="dxa"/>
        <w:tblLayout w:type="fixed"/>
        <w:tblLook w:val="01E0" w:firstRow="1" w:lastRow="1" w:firstColumn="1" w:lastColumn="1" w:noHBand="0" w:noVBand="0"/>
      </w:tblPr>
      <w:tblGrid>
        <w:gridCol w:w="5954"/>
        <w:gridCol w:w="1843"/>
        <w:gridCol w:w="283"/>
        <w:gridCol w:w="1985"/>
      </w:tblGrid>
      <w:tr w:rsidR="00F67824" w:rsidRPr="0076022A" w14:paraId="2A106013" w14:textId="77777777" w:rsidTr="00B17DE3">
        <w:tc>
          <w:tcPr>
            <w:tcW w:w="5954" w:type="dxa"/>
            <w:tcBorders>
              <w:bottom w:val="single" w:sz="4" w:space="0" w:color="auto"/>
            </w:tcBorders>
            <w:vAlign w:val="bottom"/>
          </w:tcPr>
          <w:p w14:paraId="6C242554" w14:textId="77777777" w:rsidR="00F67824" w:rsidRPr="0076022A" w:rsidRDefault="00F67824" w:rsidP="00B17DE3">
            <w:pPr>
              <w:pStyle w:val="Tableheading"/>
            </w:pPr>
            <w:r w:rsidRPr="0076022A">
              <w:t>Key variable</w:t>
            </w:r>
          </w:p>
        </w:tc>
        <w:tc>
          <w:tcPr>
            <w:tcW w:w="1843" w:type="dxa"/>
            <w:tcBorders>
              <w:bottom w:val="single" w:sz="4" w:space="0" w:color="auto"/>
            </w:tcBorders>
            <w:vAlign w:val="bottom"/>
          </w:tcPr>
          <w:p w14:paraId="41B8E600" w14:textId="77777777" w:rsidR="00F67824" w:rsidRPr="0076022A" w:rsidRDefault="00F67824" w:rsidP="00B17DE3">
            <w:pPr>
              <w:pStyle w:val="Tableheading"/>
              <w:jc w:val="right"/>
              <w:rPr>
                <w:bCs/>
              </w:rPr>
            </w:pPr>
            <w:r w:rsidRPr="0076022A">
              <w:t>Reasonably possible adverse movement</w:t>
            </w:r>
          </w:p>
        </w:tc>
        <w:tc>
          <w:tcPr>
            <w:tcW w:w="283" w:type="dxa"/>
            <w:tcBorders>
              <w:bottom w:val="single" w:sz="4" w:space="0" w:color="auto"/>
            </w:tcBorders>
            <w:vAlign w:val="bottom"/>
          </w:tcPr>
          <w:p w14:paraId="6D5C69C9" w14:textId="77777777" w:rsidR="00F67824" w:rsidRPr="00CE181C" w:rsidRDefault="00F67824" w:rsidP="00B17DE3">
            <w:pPr>
              <w:pStyle w:val="Tableheading"/>
              <w:jc w:val="right"/>
              <w:rPr>
                <w:bCs/>
              </w:rPr>
            </w:pPr>
          </w:p>
        </w:tc>
        <w:tc>
          <w:tcPr>
            <w:tcW w:w="1985" w:type="dxa"/>
            <w:tcBorders>
              <w:bottom w:val="single" w:sz="4" w:space="0" w:color="auto"/>
            </w:tcBorders>
            <w:vAlign w:val="bottom"/>
          </w:tcPr>
          <w:p w14:paraId="0D53316B" w14:textId="77777777" w:rsidR="00F67824" w:rsidRPr="0076022A" w:rsidRDefault="00F67824" w:rsidP="00B17DE3">
            <w:pPr>
              <w:pStyle w:val="Tableheading"/>
              <w:jc w:val="right"/>
            </w:pPr>
            <w:r w:rsidRPr="0076022A">
              <w:t>Reduction in headroom</w:t>
            </w:r>
          </w:p>
          <w:p w14:paraId="4B9B90D7" w14:textId="77777777" w:rsidR="00F67824" w:rsidRPr="00CE181C" w:rsidRDefault="00F67824" w:rsidP="00B17DE3">
            <w:pPr>
              <w:pStyle w:val="Tableheading"/>
              <w:jc w:val="right"/>
              <w:rPr>
                <w:bCs/>
              </w:rPr>
            </w:pPr>
            <w:r w:rsidRPr="0076022A">
              <w:t>£m</w:t>
            </w:r>
          </w:p>
        </w:tc>
      </w:tr>
      <w:tr w:rsidR="00F67824" w:rsidRPr="0076022A" w14:paraId="48F6B141" w14:textId="77777777">
        <w:tc>
          <w:tcPr>
            <w:tcW w:w="5954" w:type="dxa"/>
            <w:tcBorders>
              <w:top w:val="single" w:sz="4" w:space="0" w:color="auto"/>
            </w:tcBorders>
          </w:tcPr>
          <w:p w14:paraId="514275D1" w14:textId="77777777" w:rsidR="00F67824" w:rsidRPr="0076022A" w:rsidRDefault="00F67824">
            <w:pPr>
              <w:autoSpaceDE w:val="0"/>
              <w:autoSpaceDN w:val="0"/>
              <w:adjustRightInd w:val="0"/>
              <w:spacing w:after="0"/>
              <w:ind w:left="-108"/>
              <w:rPr>
                <w:rFonts w:eastAsia="Times New Roman"/>
                <w:b/>
                <w:sz w:val="12"/>
                <w:szCs w:val="12"/>
                <w:lang w:eastAsia="en-GB"/>
              </w:rPr>
            </w:pPr>
          </w:p>
        </w:tc>
        <w:tc>
          <w:tcPr>
            <w:tcW w:w="1843" w:type="dxa"/>
            <w:tcBorders>
              <w:top w:val="single" w:sz="4" w:space="0" w:color="auto"/>
            </w:tcBorders>
          </w:tcPr>
          <w:p w14:paraId="7DAEC69D" w14:textId="77777777" w:rsidR="00F67824" w:rsidRPr="0076022A" w:rsidRDefault="00F67824">
            <w:pPr>
              <w:autoSpaceDE w:val="0"/>
              <w:autoSpaceDN w:val="0"/>
              <w:adjustRightInd w:val="0"/>
              <w:spacing w:after="0"/>
              <w:jc w:val="right"/>
              <w:rPr>
                <w:rFonts w:eastAsia="Times New Roman"/>
                <w:b/>
                <w:sz w:val="12"/>
                <w:szCs w:val="12"/>
                <w:lang w:eastAsia="en-GB"/>
              </w:rPr>
            </w:pPr>
          </w:p>
        </w:tc>
        <w:tc>
          <w:tcPr>
            <w:tcW w:w="283" w:type="dxa"/>
            <w:tcBorders>
              <w:top w:val="single" w:sz="4" w:space="0" w:color="auto"/>
            </w:tcBorders>
          </w:tcPr>
          <w:p w14:paraId="35066042" w14:textId="77777777" w:rsidR="00F67824" w:rsidRPr="00CE181C" w:rsidRDefault="00F67824">
            <w:pPr>
              <w:autoSpaceDE w:val="0"/>
              <w:autoSpaceDN w:val="0"/>
              <w:adjustRightInd w:val="0"/>
              <w:spacing w:after="0"/>
              <w:jc w:val="right"/>
              <w:rPr>
                <w:rFonts w:eastAsia="Times New Roman"/>
                <w:b/>
                <w:sz w:val="12"/>
                <w:szCs w:val="12"/>
                <w:lang w:eastAsia="en-GB"/>
              </w:rPr>
            </w:pPr>
          </w:p>
        </w:tc>
        <w:tc>
          <w:tcPr>
            <w:tcW w:w="1985" w:type="dxa"/>
            <w:tcBorders>
              <w:top w:val="single" w:sz="4" w:space="0" w:color="auto"/>
            </w:tcBorders>
          </w:tcPr>
          <w:p w14:paraId="50A79B1E" w14:textId="77777777" w:rsidR="00F67824" w:rsidRPr="00CE181C" w:rsidRDefault="00F67824">
            <w:pPr>
              <w:autoSpaceDE w:val="0"/>
              <w:autoSpaceDN w:val="0"/>
              <w:adjustRightInd w:val="0"/>
              <w:spacing w:after="0"/>
              <w:jc w:val="right"/>
              <w:rPr>
                <w:rFonts w:eastAsia="Times New Roman"/>
                <w:b/>
                <w:sz w:val="12"/>
                <w:szCs w:val="12"/>
                <w:lang w:eastAsia="en-GB"/>
              </w:rPr>
            </w:pPr>
          </w:p>
        </w:tc>
      </w:tr>
      <w:tr w:rsidR="00F67824" w:rsidRPr="0076022A" w14:paraId="77153C18" w14:textId="77777777">
        <w:trPr>
          <w:trHeight w:val="295"/>
        </w:trPr>
        <w:tc>
          <w:tcPr>
            <w:tcW w:w="5954" w:type="dxa"/>
          </w:tcPr>
          <w:p w14:paraId="3AFADEE9" w14:textId="77777777" w:rsidR="00F67824" w:rsidRPr="0076022A" w:rsidRDefault="00F67824">
            <w:pPr>
              <w:autoSpaceDE w:val="0"/>
              <w:autoSpaceDN w:val="0"/>
              <w:adjustRightInd w:val="0"/>
              <w:spacing w:after="0"/>
              <w:ind w:left="-108"/>
              <w:rPr>
                <w:rFonts w:eastAsia="Times New Roman"/>
                <w:b/>
                <w:szCs w:val="18"/>
                <w:vertAlign w:val="superscript"/>
                <w:lang w:eastAsia="en-GB"/>
              </w:rPr>
            </w:pPr>
            <w:r w:rsidRPr="0076022A">
              <w:rPr>
                <w:rFonts w:eastAsia="Times New Roman"/>
                <w:bCs/>
                <w:szCs w:val="18"/>
                <w:lang w:eastAsia="en-GB"/>
              </w:rPr>
              <w:t>Discount rate</w:t>
            </w:r>
          </w:p>
        </w:tc>
        <w:tc>
          <w:tcPr>
            <w:tcW w:w="1843" w:type="dxa"/>
          </w:tcPr>
          <w:p w14:paraId="45465162" w14:textId="77777777" w:rsidR="00F67824" w:rsidRPr="0076022A" w:rsidRDefault="00F67824">
            <w:pPr>
              <w:autoSpaceDE w:val="0"/>
              <w:autoSpaceDN w:val="0"/>
              <w:adjustRightInd w:val="0"/>
              <w:spacing w:after="0"/>
              <w:jc w:val="right"/>
              <w:rPr>
                <w:rFonts w:eastAsia="Times New Roman"/>
                <w:bCs/>
                <w:szCs w:val="18"/>
                <w:lang w:eastAsia="en-GB"/>
              </w:rPr>
            </w:pPr>
            <w:r w:rsidRPr="0076022A">
              <w:rPr>
                <w:rFonts w:eastAsia="Times New Roman"/>
                <w:bCs/>
                <w:szCs w:val="18"/>
                <w:lang w:eastAsia="en-GB"/>
              </w:rPr>
              <w:t>+1%</w:t>
            </w:r>
          </w:p>
        </w:tc>
        <w:tc>
          <w:tcPr>
            <w:tcW w:w="283" w:type="dxa"/>
          </w:tcPr>
          <w:p w14:paraId="35ACF40B" w14:textId="77777777" w:rsidR="00F67824" w:rsidRPr="00CE181C" w:rsidRDefault="00F67824">
            <w:pPr>
              <w:autoSpaceDE w:val="0"/>
              <w:autoSpaceDN w:val="0"/>
              <w:adjustRightInd w:val="0"/>
              <w:spacing w:after="0"/>
              <w:rPr>
                <w:rFonts w:eastAsia="Times New Roman"/>
                <w:b/>
                <w:szCs w:val="18"/>
                <w:lang w:eastAsia="en-GB"/>
              </w:rPr>
            </w:pPr>
          </w:p>
        </w:tc>
        <w:tc>
          <w:tcPr>
            <w:tcW w:w="1985" w:type="dxa"/>
          </w:tcPr>
          <w:p w14:paraId="471B22DC" w14:textId="42723EA5" w:rsidR="00F67824" w:rsidRPr="00CE181C" w:rsidRDefault="00CE0C31">
            <w:pPr>
              <w:autoSpaceDE w:val="0"/>
              <w:autoSpaceDN w:val="0"/>
              <w:adjustRightInd w:val="0"/>
              <w:spacing w:after="0"/>
              <w:jc w:val="right"/>
              <w:rPr>
                <w:rFonts w:eastAsia="Times New Roman"/>
                <w:bCs/>
                <w:szCs w:val="18"/>
                <w:vertAlign w:val="superscript"/>
                <w:lang w:eastAsia="en-GB"/>
              </w:rPr>
            </w:pPr>
            <w:r w:rsidRPr="00CE181C">
              <w:rPr>
                <w:rFonts w:eastAsia="Times New Roman"/>
                <w:bCs/>
                <w:szCs w:val="18"/>
                <w:lang w:eastAsia="en-GB"/>
              </w:rPr>
              <w:t>4</w:t>
            </w:r>
            <w:r w:rsidR="002375E7">
              <w:rPr>
                <w:rFonts w:eastAsia="Times New Roman"/>
                <w:bCs/>
                <w:szCs w:val="18"/>
                <w:lang w:eastAsia="en-GB"/>
              </w:rPr>
              <w:t>3</w:t>
            </w:r>
          </w:p>
        </w:tc>
      </w:tr>
      <w:tr w:rsidR="00F67824" w:rsidRPr="0076022A" w14:paraId="10B7A624" w14:textId="77777777">
        <w:trPr>
          <w:trHeight w:val="295"/>
        </w:trPr>
        <w:tc>
          <w:tcPr>
            <w:tcW w:w="5954" w:type="dxa"/>
          </w:tcPr>
          <w:p w14:paraId="04AF4D53" w14:textId="77777777" w:rsidR="00F67824" w:rsidRPr="0076022A" w:rsidRDefault="00F67824">
            <w:pPr>
              <w:autoSpaceDE w:val="0"/>
              <w:autoSpaceDN w:val="0"/>
              <w:adjustRightInd w:val="0"/>
              <w:spacing w:after="0"/>
              <w:ind w:left="-108"/>
              <w:rPr>
                <w:rFonts w:eastAsia="Times New Roman"/>
                <w:szCs w:val="18"/>
                <w:vertAlign w:val="superscript"/>
                <w:lang w:eastAsia="en-GB"/>
              </w:rPr>
            </w:pPr>
            <w:r w:rsidRPr="0076022A">
              <w:rPr>
                <w:rFonts w:eastAsia="Times New Roman"/>
                <w:szCs w:val="18"/>
                <w:lang w:eastAsia="en-GB"/>
              </w:rPr>
              <w:t>Terminal growth rate movement</w:t>
            </w:r>
          </w:p>
        </w:tc>
        <w:tc>
          <w:tcPr>
            <w:tcW w:w="1843" w:type="dxa"/>
            <w:shd w:val="clear" w:color="auto" w:fill="auto"/>
          </w:tcPr>
          <w:p w14:paraId="54360C25" w14:textId="77777777" w:rsidR="00F67824" w:rsidRPr="0076022A" w:rsidRDefault="00F67824">
            <w:pPr>
              <w:tabs>
                <w:tab w:val="decimal" w:pos="1173"/>
              </w:tabs>
              <w:autoSpaceDE w:val="0"/>
              <w:autoSpaceDN w:val="0"/>
              <w:adjustRightInd w:val="0"/>
              <w:spacing w:after="0"/>
              <w:jc w:val="right"/>
              <w:rPr>
                <w:rFonts w:eastAsia="Times New Roman"/>
                <w:szCs w:val="18"/>
                <w:lang w:eastAsia="en-GB"/>
              </w:rPr>
            </w:pPr>
            <w:r w:rsidRPr="0076022A">
              <w:rPr>
                <w:rFonts w:eastAsia="Times New Roman"/>
                <w:szCs w:val="18"/>
                <w:lang w:eastAsia="en-GB"/>
              </w:rPr>
              <w:t>-1%</w:t>
            </w:r>
          </w:p>
        </w:tc>
        <w:tc>
          <w:tcPr>
            <w:tcW w:w="283" w:type="dxa"/>
          </w:tcPr>
          <w:p w14:paraId="387CBA9D" w14:textId="77777777" w:rsidR="00F67824" w:rsidRPr="00CE181C" w:rsidRDefault="00F67824">
            <w:pPr>
              <w:autoSpaceDE w:val="0"/>
              <w:autoSpaceDN w:val="0"/>
              <w:adjustRightInd w:val="0"/>
              <w:spacing w:after="0"/>
              <w:jc w:val="right"/>
              <w:rPr>
                <w:rFonts w:eastAsia="Times New Roman"/>
                <w:szCs w:val="18"/>
                <w:lang w:eastAsia="en-GB"/>
              </w:rPr>
            </w:pPr>
          </w:p>
        </w:tc>
        <w:tc>
          <w:tcPr>
            <w:tcW w:w="1985" w:type="dxa"/>
            <w:shd w:val="clear" w:color="auto" w:fill="auto"/>
          </w:tcPr>
          <w:p w14:paraId="240FE457" w14:textId="33DA14C3" w:rsidR="00F67824" w:rsidRPr="00CE181C" w:rsidRDefault="00CE0C31">
            <w:pPr>
              <w:tabs>
                <w:tab w:val="decimal" w:pos="1171"/>
              </w:tabs>
              <w:autoSpaceDE w:val="0"/>
              <w:autoSpaceDN w:val="0"/>
              <w:adjustRightInd w:val="0"/>
              <w:spacing w:after="0"/>
              <w:jc w:val="right"/>
              <w:rPr>
                <w:rFonts w:eastAsia="Times New Roman"/>
                <w:szCs w:val="18"/>
                <w:lang w:eastAsia="en-GB"/>
              </w:rPr>
            </w:pPr>
            <w:r w:rsidRPr="00CE181C">
              <w:rPr>
                <w:rFonts w:eastAsia="Times New Roman"/>
                <w:szCs w:val="18"/>
                <w:lang w:eastAsia="en-GB"/>
              </w:rPr>
              <w:t>2</w:t>
            </w:r>
            <w:r w:rsidR="002375E7">
              <w:rPr>
                <w:rFonts w:eastAsia="Times New Roman"/>
                <w:szCs w:val="18"/>
                <w:lang w:eastAsia="en-GB"/>
              </w:rPr>
              <w:t>7</w:t>
            </w:r>
          </w:p>
        </w:tc>
      </w:tr>
      <w:tr w:rsidR="00F67824" w:rsidRPr="00415A80" w14:paraId="6BEAF5EF" w14:textId="77777777">
        <w:trPr>
          <w:trHeight w:val="295"/>
        </w:trPr>
        <w:tc>
          <w:tcPr>
            <w:tcW w:w="5954" w:type="dxa"/>
            <w:tcBorders>
              <w:bottom w:val="single" w:sz="4" w:space="0" w:color="auto"/>
            </w:tcBorders>
          </w:tcPr>
          <w:p w14:paraId="706D5FF5" w14:textId="7A93B57F" w:rsidR="00F67824" w:rsidRPr="0076022A" w:rsidRDefault="00F67824">
            <w:pPr>
              <w:autoSpaceDE w:val="0"/>
              <w:autoSpaceDN w:val="0"/>
              <w:adjustRightInd w:val="0"/>
              <w:spacing w:after="0"/>
              <w:ind w:left="-108"/>
              <w:rPr>
                <w:rFonts w:eastAsia="Times New Roman"/>
                <w:szCs w:val="18"/>
                <w:lang w:eastAsia="en-GB"/>
              </w:rPr>
            </w:pPr>
            <w:r w:rsidRPr="0076022A">
              <w:rPr>
                <w:rFonts w:eastAsia="Times New Roman"/>
                <w:szCs w:val="18"/>
                <w:lang w:eastAsia="en-GB"/>
              </w:rPr>
              <w:t>Decrease in revenue</w:t>
            </w:r>
          </w:p>
        </w:tc>
        <w:tc>
          <w:tcPr>
            <w:tcW w:w="1843" w:type="dxa"/>
            <w:tcBorders>
              <w:bottom w:val="single" w:sz="4" w:space="0" w:color="auto"/>
            </w:tcBorders>
            <w:shd w:val="clear" w:color="auto" w:fill="auto"/>
          </w:tcPr>
          <w:p w14:paraId="2F0732A4" w14:textId="77777777" w:rsidR="00F67824" w:rsidRPr="0076022A" w:rsidRDefault="00F67824">
            <w:pPr>
              <w:tabs>
                <w:tab w:val="decimal" w:pos="1173"/>
              </w:tabs>
              <w:autoSpaceDE w:val="0"/>
              <w:autoSpaceDN w:val="0"/>
              <w:adjustRightInd w:val="0"/>
              <w:spacing w:after="0"/>
              <w:jc w:val="right"/>
              <w:rPr>
                <w:rFonts w:eastAsia="Times New Roman"/>
                <w:szCs w:val="18"/>
                <w:lang w:eastAsia="en-GB"/>
              </w:rPr>
            </w:pPr>
            <w:r w:rsidRPr="0076022A">
              <w:rPr>
                <w:rFonts w:eastAsia="Times New Roman"/>
                <w:szCs w:val="18"/>
                <w:lang w:eastAsia="en-GB"/>
              </w:rPr>
              <w:t>-10%</w:t>
            </w:r>
          </w:p>
        </w:tc>
        <w:tc>
          <w:tcPr>
            <w:tcW w:w="283" w:type="dxa"/>
            <w:tcBorders>
              <w:bottom w:val="single" w:sz="4" w:space="0" w:color="auto"/>
            </w:tcBorders>
          </w:tcPr>
          <w:p w14:paraId="422E8223" w14:textId="77777777" w:rsidR="00F67824" w:rsidRPr="00CE181C" w:rsidRDefault="00F67824">
            <w:pPr>
              <w:autoSpaceDE w:val="0"/>
              <w:autoSpaceDN w:val="0"/>
              <w:adjustRightInd w:val="0"/>
              <w:spacing w:after="0"/>
              <w:jc w:val="right"/>
              <w:rPr>
                <w:rFonts w:eastAsia="Times New Roman"/>
                <w:szCs w:val="18"/>
                <w:lang w:eastAsia="en-GB"/>
              </w:rPr>
            </w:pPr>
          </w:p>
        </w:tc>
        <w:tc>
          <w:tcPr>
            <w:tcW w:w="1985" w:type="dxa"/>
            <w:tcBorders>
              <w:bottom w:val="single" w:sz="4" w:space="0" w:color="auto"/>
            </w:tcBorders>
            <w:shd w:val="clear" w:color="auto" w:fill="auto"/>
          </w:tcPr>
          <w:p w14:paraId="0D435A46" w14:textId="505B47FE" w:rsidR="00F67824" w:rsidRPr="00CE181C" w:rsidRDefault="00CE0C31">
            <w:pPr>
              <w:tabs>
                <w:tab w:val="decimal" w:pos="1171"/>
              </w:tabs>
              <w:autoSpaceDE w:val="0"/>
              <w:autoSpaceDN w:val="0"/>
              <w:adjustRightInd w:val="0"/>
              <w:spacing w:after="0"/>
              <w:jc w:val="right"/>
              <w:rPr>
                <w:rFonts w:eastAsia="Times New Roman"/>
                <w:szCs w:val="18"/>
                <w:lang w:eastAsia="en-GB"/>
              </w:rPr>
            </w:pPr>
            <w:r w:rsidRPr="00CE181C">
              <w:rPr>
                <w:rFonts w:eastAsia="Times New Roman"/>
                <w:szCs w:val="18"/>
                <w:lang w:eastAsia="en-GB"/>
              </w:rPr>
              <w:t>1</w:t>
            </w:r>
            <w:r w:rsidR="002375E7">
              <w:rPr>
                <w:rFonts w:eastAsia="Times New Roman"/>
                <w:szCs w:val="18"/>
                <w:lang w:eastAsia="en-GB"/>
              </w:rPr>
              <w:t>88</w:t>
            </w:r>
            <w:r w:rsidR="004A1E51" w:rsidRPr="00CE181C">
              <w:rPr>
                <w:rFonts w:eastAsia="Times New Roman"/>
                <w:szCs w:val="18"/>
                <w:vertAlign w:val="superscript"/>
                <w:lang w:eastAsia="en-GB"/>
              </w:rPr>
              <w:t>1</w:t>
            </w:r>
          </w:p>
        </w:tc>
      </w:tr>
    </w:tbl>
    <w:p w14:paraId="26BE0189" w14:textId="2D5C5D2B" w:rsidR="00B17DE3" w:rsidRPr="00CE181C" w:rsidRDefault="004A1E51" w:rsidP="00B17DE3">
      <w:pPr>
        <w:pStyle w:val="Footnote"/>
      </w:pPr>
      <w:r w:rsidRPr="00CE181C">
        <w:rPr>
          <w:vertAlign w:val="superscript"/>
        </w:rPr>
        <w:t>1</w:t>
      </w:r>
      <w:r w:rsidR="00C45017" w:rsidRPr="00CE181C">
        <w:t xml:space="preserve">The decrease in revenue </w:t>
      </w:r>
      <w:r w:rsidR="00EB0A8F" w:rsidRPr="00CE181C">
        <w:t>represents a modelled percentage</w:t>
      </w:r>
      <w:r w:rsidR="00015365" w:rsidRPr="00CE181C">
        <w:t xml:space="preserve"> </w:t>
      </w:r>
      <w:r w:rsidR="00E31C6F" w:rsidRPr="00CE181C">
        <w:t>reducti</w:t>
      </w:r>
      <w:r w:rsidR="00015365" w:rsidRPr="00CE181C">
        <w:t>o</w:t>
      </w:r>
      <w:r w:rsidR="00E31C6F" w:rsidRPr="00CE181C">
        <w:t>n in each</w:t>
      </w:r>
      <w:r w:rsidR="00015365" w:rsidRPr="00CE181C">
        <w:t xml:space="preserve"> </w:t>
      </w:r>
      <w:r w:rsidR="00E31C6F" w:rsidRPr="00CE181C">
        <w:t xml:space="preserve">year </w:t>
      </w:r>
      <w:r w:rsidR="00C40341" w:rsidRPr="00CE181C">
        <w:t>projected in the Group’s</w:t>
      </w:r>
      <w:r w:rsidR="000776AC" w:rsidRPr="00CE181C">
        <w:t xml:space="preserve"> base case forecast</w:t>
      </w:r>
      <w:r w:rsidR="00015365" w:rsidRPr="00CE181C">
        <w:t xml:space="preserve"> </w:t>
      </w:r>
      <w:r w:rsidR="00577A33" w:rsidRPr="00CE181C">
        <w:t>cash flows.</w:t>
      </w:r>
    </w:p>
    <w:p w14:paraId="5B20F525" w14:textId="77777777" w:rsidR="006A2C3E" w:rsidRPr="00415A80" w:rsidRDefault="006A2C3E" w:rsidP="00B17DE3">
      <w:pPr>
        <w:pStyle w:val="Footnote"/>
        <w:rPr>
          <w:highlight w:val="yellow"/>
        </w:rPr>
      </w:pPr>
    </w:p>
    <w:p w14:paraId="65289978" w14:textId="77777777" w:rsidR="00106936" w:rsidRPr="00131B4F" w:rsidRDefault="00106936" w:rsidP="00106936">
      <w:pPr>
        <w:rPr>
          <w:rFonts w:eastAsiaTheme="minorHAnsi"/>
          <w:sz w:val="20"/>
          <w:szCs w:val="20"/>
          <w:lang w:val="en-GB" w:eastAsia="en-US"/>
        </w:rPr>
      </w:pPr>
      <w:r w:rsidRPr="00131B4F">
        <w:rPr>
          <w:rFonts w:eastAsiaTheme="minorHAnsi"/>
          <w:sz w:val="20"/>
          <w:szCs w:val="20"/>
          <w:lang w:val="en-GB" w:eastAsia="en-US"/>
        </w:rPr>
        <w:t>The sensitivities modelled above represent the estimated impact on each metric in isolation and make no allowance for actions management</w:t>
      </w:r>
      <w:r>
        <w:rPr>
          <w:rFonts w:eastAsiaTheme="minorHAnsi"/>
          <w:sz w:val="20"/>
          <w:szCs w:val="20"/>
          <w:lang w:val="en-GB" w:eastAsia="en-US"/>
        </w:rPr>
        <w:t xml:space="preserve"> </w:t>
      </w:r>
      <w:r w:rsidRPr="00131B4F">
        <w:rPr>
          <w:rFonts w:eastAsiaTheme="minorHAnsi"/>
          <w:sz w:val="20"/>
          <w:szCs w:val="20"/>
          <w:lang w:val="en-GB" w:eastAsia="en-US"/>
        </w:rPr>
        <w:t>would take to reduce costs should the Group experience future reductions in AUM or profitability.</w:t>
      </w:r>
    </w:p>
    <w:p w14:paraId="6DE20666" w14:textId="4C92C839" w:rsidR="00D15D08" w:rsidRDefault="00913723" w:rsidP="00CF007D">
      <w:pPr>
        <w:pStyle w:val="Subheading"/>
        <w:tabs>
          <w:tab w:val="left" w:pos="567"/>
        </w:tabs>
      </w:pPr>
      <w:r>
        <w:t>9.</w:t>
      </w:r>
      <w:r w:rsidR="00A12B3E">
        <w:tab/>
        <w:t>Intangible assets</w:t>
      </w:r>
    </w:p>
    <w:p w14:paraId="5D8169EC" w14:textId="205AB96F" w:rsidR="003579BA" w:rsidRPr="009B1FBE" w:rsidRDefault="006F22B9" w:rsidP="00632714">
      <w:pPr>
        <w:pStyle w:val="Bodytext0"/>
        <w:spacing w:line="254" w:lineRule="exact"/>
      </w:pPr>
      <w:r>
        <w:t>At 30 June 2024, intangible assets comprise computer software. In prior periods, i</w:t>
      </w:r>
      <w:r w:rsidR="00D15D08" w:rsidRPr="009B1FBE">
        <w:t xml:space="preserve">ntangible assets </w:t>
      </w:r>
      <w:r w:rsidR="00F67824" w:rsidRPr="009B1FBE">
        <w:t xml:space="preserve">principally </w:t>
      </w:r>
      <w:r w:rsidR="00D15D08" w:rsidRPr="009B1FBE">
        <w:t>co</w:t>
      </w:r>
      <w:r w:rsidR="00F67824" w:rsidRPr="009B1FBE">
        <w:t>mprise</w:t>
      </w:r>
      <w:r>
        <w:t>d</w:t>
      </w:r>
      <w:r w:rsidR="00D15D08" w:rsidRPr="009B1FBE">
        <w:t xml:space="preserve"> investment management contracts </w:t>
      </w:r>
      <w:r w:rsidR="00AA3523" w:rsidRPr="009B1FBE">
        <w:t xml:space="preserve">acquired </w:t>
      </w:r>
      <w:r w:rsidR="00686968" w:rsidRPr="009B1FBE">
        <w:t xml:space="preserve">as part </w:t>
      </w:r>
      <w:r w:rsidR="003579BA" w:rsidRPr="009B1FBE">
        <w:t>of</w:t>
      </w:r>
      <w:r w:rsidR="00686968" w:rsidRPr="009B1FBE">
        <w:t xml:space="preserve"> the</w:t>
      </w:r>
      <w:r w:rsidR="003579BA" w:rsidRPr="009B1FBE">
        <w:t xml:space="preserve"> Merian</w:t>
      </w:r>
      <w:r w:rsidR="00686968" w:rsidRPr="009B1FBE">
        <w:t xml:space="preserve"> transaction</w:t>
      </w:r>
      <w:r w:rsidR="003579BA" w:rsidRPr="009B1FBE">
        <w:t>. The</w:t>
      </w:r>
      <w:r w:rsidR="00F67824" w:rsidRPr="009B1FBE">
        <w:t>se co</w:t>
      </w:r>
      <w:r w:rsidR="003579BA" w:rsidRPr="009B1FBE">
        <w:t>ntract</w:t>
      </w:r>
      <w:r w:rsidR="00E863BD" w:rsidRPr="009B1FBE">
        <w:t xml:space="preserve"> asset</w:t>
      </w:r>
      <w:r w:rsidR="003579BA" w:rsidRPr="009B1FBE">
        <w:t xml:space="preserve">s </w:t>
      </w:r>
      <w:r w:rsidR="00F67824" w:rsidRPr="009B1FBE">
        <w:t xml:space="preserve">are </w:t>
      </w:r>
      <w:r>
        <w:t xml:space="preserve">now fully </w:t>
      </w:r>
      <w:r w:rsidR="00F67824" w:rsidRPr="009B1FBE">
        <w:t xml:space="preserve">amortised. </w:t>
      </w:r>
    </w:p>
    <w:p w14:paraId="2A3CC1D3" w14:textId="5C273A8F" w:rsidR="00AA3523" w:rsidRPr="00415A80" w:rsidRDefault="003579BA" w:rsidP="00632714">
      <w:pPr>
        <w:pStyle w:val="Bodytext0"/>
        <w:spacing w:line="254" w:lineRule="exact"/>
        <w:rPr>
          <w:highlight w:val="yellow"/>
        </w:rPr>
      </w:pPr>
      <w:r w:rsidRPr="009B1FBE">
        <w:t xml:space="preserve">During the period, the Group acquired computer software of </w:t>
      </w:r>
      <w:r w:rsidR="00841A02" w:rsidRPr="005F0E7F">
        <w:t>£</w:t>
      </w:r>
      <w:r w:rsidR="00841A02" w:rsidRPr="00841A02">
        <w:t>3.1</w:t>
      </w:r>
      <w:r w:rsidRPr="009B1FBE">
        <w:t>m (</w:t>
      </w:r>
      <w:r w:rsidR="00E85F7E" w:rsidRPr="009B1FBE">
        <w:t>2023</w:t>
      </w:r>
      <w:r w:rsidRPr="009B1FBE">
        <w:t xml:space="preserve"> H1: £</w:t>
      </w:r>
      <w:r w:rsidR="00754EDE" w:rsidRPr="009B1FBE">
        <w:t>1.9</w:t>
      </w:r>
      <w:r w:rsidRPr="009B1FBE">
        <w:t xml:space="preserve">m, </w:t>
      </w:r>
      <w:r w:rsidR="00E85F7E" w:rsidRPr="009B1FBE">
        <w:t>2023</w:t>
      </w:r>
      <w:r w:rsidRPr="009B1FBE">
        <w:t xml:space="preserve"> FY: £</w:t>
      </w:r>
      <w:r w:rsidR="009B1FBE" w:rsidRPr="009B1FBE">
        <w:t>2.9</w:t>
      </w:r>
      <w:r w:rsidRPr="009B1FBE">
        <w:t>m)</w:t>
      </w:r>
      <w:r w:rsidR="006F22B9">
        <w:t>. There were no disposals</w:t>
      </w:r>
      <w:r w:rsidR="00E40BE2" w:rsidRPr="009B1FBE">
        <w:t xml:space="preserve"> (</w:t>
      </w:r>
      <w:r w:rsidR="00E85F7E" w:rsidRPr="009B1FBE">
        <w:t>2023</w:t>
      </w:r>
      <w:r w:rsidR="00E40BE2" w:rsidRPr="009B1FBE">
        <w:t xml:space="preserve"> H1</w:t>
      </w:r>
      <w:r w:rsidR="006F22B9">
        <w:t xml:space="preserve"> and</w:t>
      </w:r>
      <w:r w:rsidR="00E40BE2" w:rsidRPr="009B1FBE">
        <w:t xml:space="preserve"> </w:t>
      </w:r>
      <w:r w:rsidR="00E85F7E" w:rsidRPr="009B1FBE">
        <w:t>2023</w:t>
      </w:r>
      <w:r w:rsidR="00E40BE2" w:rsidRPr="009B1FBE">
        <w:t xml:space="preserve"> FY</w:t>
      </w:r>
      <w:r w:rsidR="006F22B9">
        <w:t>: same</w:t>
      </w:r>
      <w:r w:rsidR="00E40BE2" w:rsidRPr="009B1FBE">
        <w:t>)</w:t>
      </w:r>
      <w:r w:rsidR="0050576A" w:rsidRPr="009B1FBE">
        <w:t>.</w:t>
      </w:r>
      <w:r w:rsidR="003640A7" w:rsidRPr="009B1FBE">
        <w:t xml:space="preserve"> </w:t>
      </w:r>
      <w:r w:rsidR="002B669F" w:rsidRPr="009B1FBE">
        <w:t xml:space="preserve">These assets </w:t>
      </w:r>
      <w:r w:rsidR="003640A7" w:rsidRPr="009B1FBE">
        <w:t>are amortised on a straight-line basis over their estimated useful lives, which are estimated as being</w:t>
      </w:r>
      <w:r w:rsidR="002B669F" w:rsidRPr="009B1FBE">
        <w:t xml:space="preserve"> between</w:t>
      </w:r>
      <w:r w:rsidR="003640A7" w:rsidRPr="009B1FBE">
        <w:t xml:space="preserve"> five and ten years.</w:t>
      </w:r>
    </w:p>
    <w:p w14:paraId="44129585" w14:textId="77777777" w:rsidR="005653EC" w:rsidRDefault="005653EC">
      <w:pPr>
        <w:rPr>
          <w:rFonts w:eastAsiaTheme="minorHAnsi"/>
          <w:sz w:val="20"/>
          <w:lang w:val="en-GB" w:eastAsia="en-US"/>
        </w:rPr>
      </w:pPr>
      <w:r>
        <w:br w:type="page"/>
      </w:r>
    </w:p>
    <w:p w14:paraId="769EEF02" w14:textId="405CD2DF" w:rsidR="003579BA" w:rsidRPr="00415A80" w:rsidRDefault="003579BA" w:rsidP="00632714">
      <w:pPr>
        <w:pStyle w:val="Bodytext0"/>
        <w:spacing w:line="254" w:lineRule="exact"/>
        <w:rPr>
          <w:highlight w:val="yellow"/>
        </w:rPr>
      </w:pPr>
      <w:r w:rsidRPr="005A211A">
        <w:lastRenderedPageBreak/>
        <w:t xml:space="preserve">The amortisation charge for the period was </w:t>
      </w:r>
      <w:r w:rsidR="00710B3B" w:rsidRPr="005F0E7F">
        <w:t>£10.4</w:t>
      </w:r>
      <w:r w:rsidRPr="005F0E7F">
        <w:t>m</w:t>
      </w:r>
      <w:r w:rsidRPr="005A211A">
        <w:t xml:space="preserve"> (</w:t>
      </w:r>
      <w:r w:rsidR="00E85F7E" w:rsidRPr="005A211A">
        <w:t>2023</w:t>
      </w:r>
      <w:r w:rsidRPr="005A211A">
        <w:t xml:space="preserve"> H1: £10.</w:t>
      </w:r>
      <w:r w:rsidR="00754EDE" w:rsidRPr="005A211A">
        <w:t>4</w:t>
      </w:r>
      <w:r w:rsidRPr="005A211A">
        <w:t xml:space="preserve">m, </w:t>
      </w:r>
      <w:r w:rsidR="00E85F7E" w:rsidRPr="005A211A">
        <w:t>2023</w:t>
      </w:r>
      <w:r w:rsidRPr="005A211A">
        <w:t xml:space="preserve"> FY: £2</w:t>
      </w:r>
      <w:r w:rsidR="005A211A" w:rsidRPr="005A211A">
        <w:t>0.6</w:t>
      </w:r>
      <w:r w:rsidRPr="005A211A">
        <w:t>m)</w:t>
      </w:r>
      <w:r w:rsidRPr="005A211A">
        <w:rPr>
          <w:rFonts w:ascii="Arial" w:eastAsiaTheme="minorEastAsia" w:hAnsi="Arial"/>
          <w:color w:val="000000"/>
          <w:sz w:val="16"/>
          <w:lang w:eastAsia="ja-JP"/>
        </w:rPr>
        <w:t>.</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D15D08" w:rsidRPr="00955F6B" w14:paraId="23E997DF" w14:textId="77777777" w:rsidTr="00B17DE3">
        <w:trPr>
          <w:trHeight w:val="622"/>
        </w:trPr>
        <w:tc>
          <w:tcPr>
            <w:tcW w:w="3402" w:type="dxa"/>
            <w:tcBorders>
              <w:bottom w:val="nil"/>
            </w:tcBorders>
            <w:vAlign w:val="bottom"/>
          </w:tcPr>
          <w:p w14:paraId="756BDF6E" w14:textId="77777777" w:rsidR="00D15D08" w:rsidRPr="005405BA" w:rsidRDefault="00D15D08" w:rsidP="00B17DE3">
            <w:pPr>
              <w:pStyle w:val="Tableheading"/>
              <w:jc w:val="right"/>
            </w:pPr>
          </w:p>
        </w:tc>
        <w:tc>
          <w:tcPr>
            <w:tcW w:w="2212" w:type="dxa"/>
            <w:tcBorders>
              <w:top w:val="nil"/>
              <w:bottom w:val="nil"/>
            </w:tcBorders>
            <w:vAlign w:val="bottom"/>
          </w:tcPr>
          <w:p w14:paraId="0BD3DC97" w14:textId="30457399" w:rsidR="00D15D08" w:rsidRDefault="00D15D08" w:rsidP="00B17DE3">
            <w:pPr>
              <w:pStyle w:val="Tableheading"/>
              <w:jc w:val="right"/>
            </w:pPr>
            <w:r>
              <w:tab/>
              <w:t xml:space="preserve">30 June </w:t>
            </w:r>
            <w:r w:rsidR="00E85F7E">
              <w:t>2024</w:t>
            </w:r>
          </w:p>
          <w:p w14:paraId="59C251A3" w14:textId="77777777" w:rsidR="00D15D08" w:rsidRPr="005405BA" w:rsidRDefault="00D15D08" w:rsidP="00B17DE3">
            <w:pPr>
              <w:pStyle w:val="Tableheading"/>
              <w:jc w:val="right"/>
            </w:pPr>
            <w:r>
              <w:t>£m</w:t>
            </w:r>
          </w:p>
        </w:tc>
        <w:tc>
          <w:tcPr>
            <w:tcW w:w="193" w:type="dxa"/>
            <w:tcBorders>
              <w:top w:val="nil"/>
              <w:bottom w:val="nil"/>
            </w:tcBorders>
            <w:vAlign w:val="bottom"/>
          </w:tcPr>
          <w:p w14:paraId="0EC2D0AE" w14:textId="77777777" w:rsidR="00D15D08" w:rsidRPr="00955F6B" w:rsidRDefault="00D15D08" w:rsidP="00B17DE3">
            <w:pPr>
              <w:pStyle w:val="Tableheading"/>
              <w:jc w:val="right"/>
            </w:pPr>
          </w:p>
        </w:tc>
        <w:tc>
          <w:tcPr>
            <w:tcW w:w="2212" w:type="dxa"/>
            <w:tcBorders>
              <w:top w:val="nil"/>
              <w:bottom w:val="nil"/>
            </w:tcBorders>
            <w:vAlign w:val="bottom"/>
          </w:tcPr>
          <w:p w14:paraId="55264419" w14:textId="4F16D1CE" w:rsidR="00D15D08" w:rsidRPr="00926D35" w:rsidRDefault="00D15D08" w:rsidP="00B17DE3">
            <w:pPr>
              <w:pStyle w:val="Tableheading"/>
              <w:jc w:val="right"/>
            </w:pPr>
            <w:r w:rsidRPr="00926D35">
              <w:t xml:space="preserve">30 June </w:t>
            </w:r>
            <w:r w:rsidR="00E85F7E">
              <w:t>2023</w:t>
            </w:r>
          </w:p>
          <w:p w14:paraId="380F5D55" w14:textId="77777777" w:rsidR="00D15D08" w:rsidRPr="009F40EF" w:rsidRDefault="00D15D08" w:rsidP="00B17DE3">
            <w:pPr>
              <w:pStyle w:val="Tableheading"/>
              <w:jc w:val="right"/>
              <w:rPr>
                <w:b/>
                <w:bCs/>
              </w:rPr>
            </w:pPr>
            <w:r w:rsidRPr="00926D35">
              <w:t>£m</w:t>
            </w:r>
          </w:p>
        </w:tc>
        <w:tc>
          <w:tcPr>
            <w:tcW w:w="193" w:type="dxa"/>
            <w:tcBorders>
              <w:top w:val="nil"/>
              <w:bottom w:val="nil"/>
            </w:tcBorders>
            <w:vAlign w:val="bottom"/>
          </w:tcPr>
          <w:p w14:paraId="407C4F16" w14:textId="77777777" w:rsidR="00D15D08" w:rsidRPr="009F40EF" w:rsidRDefault="00D15D08" w:rsidP="00B17DE3">
            <w:pPr>
              <w:pStyle w:val="Tableheading"/>
              <w:jc w:val="right"/>
              <w:rPr>
                <w:b/>
                <w:bCs/>
              </w:rPr>
            </w:pPr>
          </w:p>
        </w:tc>
        <w:tc>
          <w:tcPr>
            <w:tcW w:w="2213" w:type="dxa"/>
            <w:tcBorders>
              <w:top w:val="nil"/>
              <w:bottom w:val="nil"/>
            </w:tcBorders>
            <w:vAlign w:val="bottom"/>
          </w:tcPr>
          <w:p w14:paraId="2B5EB89E" w14:textId="56285FAF" w:rsidR="00D15D08" w:rsidRPr="00926D35" w:rsidRDefault="00D15D08" w:rsidP="00B17DE3">
            <w:pPr>
              <w:pStyle w:val="Tableheading"/>
              <w:jc w:val="right"/>
            </w:pPr>
            <w:r w:rsidRPr="00926D35">
              <w:t xml:space="preserve">31 December </w:t>
            </w:r>
            <w:r w:rsidR="00E85F7E">
              <w:t>2023</w:t>
            </w:r>
          </w:p>
          <w:p w14:paraId="6BDD4D41" w14:textId="77777777" w:rsidR="00D15D08" w:rsidRPr="00926D35" w:rsidRDefault="00D15D08" w:rsidP="00B17DE3">
            <w:pPr>
              <w:pStyle w:val="Tableheading"/>
              <w:jc w:val="right"/>
            </w:pPr>
            <w:r w:rsidRPr="00926D35">
              <w:t>£m</w:t>
            </w:r>
          </w:p>
        </w:tc>
      </w:tr>
      <w:tr w:rsidR="00415A80" w:rsidRPr="00A66CA2" w14:paraId="2AE6329F" w14:textId="77777777">
        <w:trPr>
          <w:trHeight w:val="311"/>
        </w:trPr>
        <w:tc>
          <w:tcPr>
            <w:tcW w:w="3402" w:type="dxa"/>
            <w:tcBorders>
              <w:top w:val="nil"/>
              <w:bottom w:val="nil"/>
            </w:tcBorders>
            <w:shd w:val="clear" w:color="auto" w:fill="auto"/>
            <w:vAlign w:val="center"/>
          </w:tcPr>
          <w:p w14:paraId="53741728" w14:textId="1DCE8E2B" w:rsidR="00415A80" w:rsidRPr="009A0E69" w:rsidRDefault="00415A80" w:rsidP="00415A80">
            <w:pPr>
              <w:pStyle w:val="Tabletext"/>
            </w:pPr>
            <w:r>
              <w:t xml:space="preserve">Intangible assets </w:t>
            </w:r>
          </w:p>
        </w:tc>
        <w:tc>
          <w:tcPr>
            <w:tcW w:w="2212" w:type="dxa"/>
            <w:tcBorders>
              <w:top w:val="nil"/>
              <w:bottom w:val="nil"/>
            </w:tcBorders>
            <w:shd w:val="clear" w:color="auto" w:fill="auto"/>
            <w:vAlign w:val="center"/>
          </w:tcPr>
          <w:p w14:paraId="27A94EDF" w14:textId="266C8721" w:rsidR="00415A80" w:rsidRPr="005F03A6" w:rsidRDefault="001A1E11" w:rsidP="00415A80">
            <w:pPr>
              <w:pStyle w:val="Tabletext"/>
              <w:jc w:val="right"/>
            </w:pPr>
            <w:r>
              <w:t>10.2</w:t>
            </w:r>
          </w:p>
        </w:tc>
        <w:tc>
          <w:tcPr>
            <w:tcW w:w="193" w:type="dxa"/>
            <w:tcBorders>
              <w:top w:val="nil"/>
              <w:bottom w:val="nil"/>
            </w:tcBorders>
          </w:tcPr>
          <w:p w14:paraId="254385B9"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2A6DD357" w14:textId="0C6D4EF3" w:rsidR="00415A80" w:rsidRPr="00A66CA2" w:rsidRDefault="00415A80" w:rsidP="00415A80">
            <w:pPr>
              <w:pStyle w:val="Tabletext"/>
              <w:jc w:val="right"/>
            </w:pPr>
            <w:r w:rsidRPr="00F2575A">
              <w:t>26.7</w:t>
            </w:r>
          </w:p>
        </w:tc>
        <w:tc>
          <w:tcPr>
            <w:tcW w:w="193" w:type="dxa"/>
            <w:tcBorders>
              <w:top w:val="nil"/>
              <w:bottom w:val="nil"/>
            </w:tcBorders>
          </w:tcPr>
          <w:p w14:paraId="52516EDF" w14:textId="77777777" w:rsidR="00415A80" w:rsidRPr="00A66CA2" w:rsidRDefault="00415A80" w:rsidP="00415A80">
            <w:pPr>
              <w:pStyle w:val="Tabletext"/>
              <w:jc w:val="right"/>
            </w:pPr>
          </w:p>
        </w:tc>
        <w:tc>
          <w:tcPr>
            <w:tcW w:w="2213" w:type="dxa"/>
            <w:tcBorders>
              <w:top w:val="nil"/>
              <w:bottom w:val="nil"/>
            </w:tcBorders>
            <w:shd w:val="clear" w:color="auto" w:fill="auto"/>
          </w:tcPr>
          <w:p w14:paraId="191738AE" w14:textId="2C3B663C" w:rsidR="00415A80" w:rsidRPr="000C640E" w:rsidRDefault="00415A80" w:rsidP="00415A80">
            <w:pPr>
              <w:pStyle w:val="Tabletext"/>
              <w:jc w:val="right"/>
            </w:pPr>
            <w:r>
              <w:rPr>
                <w:rFonts w:eastAsia="Times New Roman"/>
                <w:szCs w:val="18"/>
                <w:lang w:eastAsia="en-GB"/>
              </w:rPr>
              <w:t>17.5</w:t>
            </w:r>
          </w:p>
        </w:tc>
      </w:tr>
      <w:tr w:rsidR="00415A80" w:rsidRPr="00A66CA2" w14:paraId="56D91947" w14:textId="77777777" w:rsidTr="009F40EF">
        <w:trPr>
          <w:trHeight w:val="311"/>
        </w:trPr>
        <w:tc>
          <w:tcPr>
            <w:tcW w:w="3402" w:type="dxa"/>
            <w:tcBorders>
              <w:top w:val="nil"/>
              <w:bottom w:val="nil"/>
            </w:tcBorders>
            <w:shd w:val="clear" w:color="auto" w:fill="auto"/>
            <w:vAlign w:val="center"/>
          </w:tcPr>
          <w:p w14:paraId="5C30B535" w14:textId="11471E72" w:rsidR="00415A80" w:rsidRPr="00851326" w:rsidRDefault="00415A80" w:rsidP="00415A80">
            <w:pPr>
              <w:pStyle w:val="Tabletext"/>
              <w:rPr>
                <w:b/>
                <w:bCs/>
              </w:rPr>
            </w:pPr>
          </w:p>
        </w:tc>
        <w:tc>
          <w:tcPr>
            <w:tcW w:w="2212" w:type="dxa"/>
            <w:tcBorders>
              <w:top w:val="single" w:sz="4" w:space="0" w:color="auto"/>
              <w:bottom w:val="double" w:sz="4" w:space="0" w:color="auto"/>
            </w:tcBorders>
            <w:shd w:val="clear" w:color="auto" w:fill="auto"/>
            <w:vAlign w:val="center"/>
          </w:tcPr>
          <w:p w14:paraId="53A49BFA" w14:textId="637D4AFF" w:rsidR="00415A80" w:rsidRPr="00225748" w:rsidRDefault="001A1E11" w:rsidP="00415A80">
            <w:pPr>
              <w:pStyle w:val="Tabletext"/>
              <w:jc w:val="right"/>
              <w:rPr>
                <w:b/>
                <w:bCs/>
              </w:rPr>
            </w:pPr>
            <w:r>
              <w:rPr>
                <w:b/>
                <w:bCs/>
              </w:rPr>
              <w:t>10.2</w:t>
            </w:r>
          </w:p>
        </w:tc>
        <w:tc>
          <w:tcPr>
            <w:tcW w:w="193" w:type="dxa"/>
            <w:tcBorders>
              <w:top w:val="nil"/>
              <w:bottom w:val="nil"/>
            </w:tcBorders>
          </w:tcPr>
          <w:p w14:paraId="6D00AAF9" w14:textId="77777777" w:rsidR="00415A80" w:rsidRPr="00423552" w:rsidRDefault="00415A80" w:rsidP="00415A80">
            <w:pPr>
              <w:pStyle w:val="Tabletext"/>
              <w:jc w:val="right"/>
              <w:rPr>
                <w:b/>
              </w:rPr>
            </w:pPr>
          </w:p>
        </w:tc>
        <w:tc>
          <w:tcPr>
            <w:tcW w:w="2212" w:type="dxa"/>
            <w:tcBorders>
              <w:top w:val="single" w:sz="4" w:space="0" w:color="auto"/>
              <w:bottom w:val="double" w:sz="4" w:space="0" w:color="auto"/>
            </w:tcBorders>
            <w:shd w:val="clear" w:color="auto" w:fill="auto"/>
            <w:vAlign w:val="center"/>
          </w:tcPr>
          <w:p w14:paraId="4DABF48A" w14:textId="6FBCC1FE" w:rsidR="00415A80" w:rsidRPr="00A66CA2" w:rsidRDefault="00415A80" w:rsidP="00415A80">
            <w:pPr>
              <w:pStyle w:val="Tabletext"/>
              <w:jc w:val="right"/>
            </w:pPr>
            <w:r w:rsidRPr="00423552">
              <w:rPr>
                <w:b/>
              </w:rPr>
              <w:t>26.7</w:t>
            </w:r>
          </w:p>
        </w:tc>
        <w:tc>
          <w:tcPr>
            <w:tcW w:w="193" w:type="dxa"/>
            <w:tcBorders>
              <w:top w:val="nil"/>
              <w:bottom w:val="nil"/>
            </w:tcBorders>
          </w:tcPr>
          <w:p w14:paraId="58D12321" w14:textId="77777777" w:rsidR="00415A80" w:rsidRPr="00A66CA2" w:rsidRDefault="00415A80" w:rsidP="00415A80">
            <w:pPr>
              <w:pStyle w:val="Tabletext"/>
              <w:jc w:val="right"/>
            </w:pPr>
          </w:p>
        </w:tc>
        <w:tc>
          <w:tcPr>
            <w:tcW w:w="2213" w:type="dxa"/>
            <w:tcBorders>
              <w:top w:val="single" w:sz="4" w:space="0" w:color="auto"/>
              <w:bottom w:val="double" w:sz="4" w:space="0" w:color="auto"/>
            </w:tcBorders>
            <w:shd w:val="clear" w:color="auto" w:fill="auto"/>
            <w:vAlign w:val="center"/>
          </w:tcPr>
          <w:p w14:paraId="6A3D9063" w14:textId="596933E8" w:rsidR="00415A80" w:rsidRPr="00F2575A" w:rsidRDefault="00415A80" w:rsidP="00415A80">
            <w:pPr>
              <w:pStyle w:val="Tabletext"/>
              <w:jc w:val="right"/>
              <w:rPr>
                <w:b/>
                <w:bCs/>
                <w:highlight w:val="yellow"/>
              </w:rPr>
            </w:pPr>
            <w:r>
              <w:rPr>
                <w:rFonts w:eastAsia="Times New Roman"/>
                <w:b/>
                <w:bCs/>
                <w:szCs w:val="18"/>
                <w:lang w:eastAsia="en-GB"/>
              </w:rPr>
              <w:t>17.5</w:t>
            </w:r>
          </w:p>
        </w:tc>
      </w:tr>
    </w:tbl>
    <w:p w14:paraId="7A21E432" w14:textId="414FAB19" w:rsidR="001A30D8" w:rsidRPr="009F40EF" w:rsidRDefault="001A30D8" w:rsidP="00CF007D">
      <w:pPr>
        <w:pStyle w:val="Subheading"/>
        <w:rPr>
          <w:rFonts w:ascii="Source Sans Pro" w:hAnsi="Source Sans Pro"/>
          <w:color w:val="444444"/>
          <w:sz w:val="20"/>
        </w:rPr>
      </w:pPr>
      <w:r w:rsidRPr="005A211A">
        <w:rPr>
          <w:rFonts w:ascii="Source Sans Pro" w:hAnsi="Source Sans Pro"/>
          <w:color w:val="444444"/>
          <w:sz w:val="20"/>
        </w:rPr>
        <w:t xml:space="preserve">The </w:t>
      </w:r>
      <w:r w:rsidR="00F77AE5" w:rsidRPr="005A211A">
        <w:rPr>
          <w:rFonts w:ascii="Source Sans Pro" w:hAnsi="Source Sans Pro"/>
          <w:color w:val="444444"/>
          <w:sz w:val="20"/>
        </w:rPr>
        <w:t>management statement</w:t>
      </w:r>
      <w:r w:rsidRPr="005A211A">
        <w:rPr>
          <w:rFonts w:ascii="Source Sans Pro" w:hAnsi="Source Sans Pro"/>
          <w:color w:val="444444"/>
          <w:sz w:val="20"/>
        </w:rPr>
        <w:t xml:space="preserve"> of this document </w:t>
      </w:r>
      <w:r w:rsidR="00656835" w:rsidRPr="005A211A">
        <w:rPr>
          <w:rFonts w:ascii="Source Sans Pro" w:hAnsi="Source Sans Pro"/>
          <w:color w:val="444444"/>
          <w:sz w:val="20"/>
        </w:rPr>
        <w:t>refers to</w:t>
      </w:r>
      <w:r w:rsidRPr="005A211A">
        <w:rPr>
          <w:rFonts w:ascii="Source Sans Pro" w:hAnsi="Source Sans Pro"/>
          <w:color w:val="444444"/>
          <w:sz w:val="20"/>
        </w:rPr>
        <w:t xml:space="preserve"> exceptional items of £</w:t>
      </w:r>
      <w:r w:rsidR="00000AC9" w:rsidRPr="005A211A">
        <w:rPr>
          <w:rFonts w:ascii="Source Sans Pro" w:hAnsi="Source Sans Pro"/>
          <w:color w:val="444444"/>
          <w:sz w:val="20"/>
        </w:rPr>
        <w:t>9.</w:t>
      </w:r>
      <w:r w:rsidR="00E36C16">
        <w:rPr>
          <w:rFonts w:ascii="Source Sans Pro" w:hAnsi="Source Sans Pro"/>
          <w:color w:val="444444"/>
          <w:sz w:val="20"/>
        </w:rPr>
        <w:t>2</w:t>
      </w:r>
      <w:r w:rsidRPr="005A211A">
        <w:rPr>
          <w:rFonts w:ascii="Source Sans Pro" w:hAnsi="Source Sans Pro"/>
          <w:color w:val="444444"/>
          <w:sz w:val="20"/>
        </w:rPr>
        <w:t>m (</w:t>
      </w:r>
      <w:r w:rsidR="00E85F7E" w:rsidRPr="005A211A">
        <w:rPr>
          <w:rFonts w:ascii="Source Sans Pro" w:hAnsi="Source Sans Pro"/>
          <w:color w:val="444444"/>
          <w:sz w:val="20"/>
        </w:rPr>
        <w:t>2023</w:t>
      </w:r>
      <w:r w:rsidRPr="005A211A">
        <w:rPr>
          <w:rFonts w:ascii="Source Sans Pro" w:hAnsi="Source Sans Pro"/>
          <w:color w:val="444444"/>
          <w:sz w:val="20"/>
        </w:rPr>
        <w:t xml:space="preserve"> H1: £</w:t>
      </w:r>
      <w:r w:rsidR="00EA51D2" w:rsidRPr="005A211A">
        <w:rPr>
          <w:rFonts w:ascii="Source Sans Pro" w:hAnsi="Source Sans Pro"/>
          <w:color w:val="444444"/>
          <w:sz w:val="20"/>
        </w:rPr>
        <w:t>9.</w:t>
      </w:r>
      <w:r w:rsidR="00822387" w:rsidRPr="005A211A">
        <w:rPr>
          <w:rFonts w:ascii="Source Sans Pro" w:hAnsi="Source Sans Pro"/>
          <w:color w:val="444444"/>
          <w:sz w:val="20"/>
        </w:rPr>
        <w:t>4</w:t>
      </w:r>
      <w:r w:rsidRPr="005A211A">
        <w:rPr>
          <w:rFonts w:ascii="Source Sans Pro" w:hAnsi="Source Sans Pro"/>
          <w:color w:val="444444"/>
          <w:sz w:val="20"/>
        </w:rPr>
        <w:t>m</w:t>
      </w:r>
      <w:r w:rsidR="002C6F33" w:rsidRPr="005A211A">
        <w:rPr>
          <w:rFonts w:ascii="Source Sans Pro" w:hAnsi="Source Sans Pro"/>
          <w:color w:val="444444"/>
          <w:sz w:val="20"/>
        </w:rPr>
        <w:t xml:space="preserve">, </w:t>
      </w:r>
      <w:r w:rsidR="00E85F7E" w:rsidRPr="005A211A">
        <w:rPr>
          <w:rFonts w:ascii="Source Sans Pro" w:hAnsi="Source Sans Pro"/>
          <w:color w:val="444444"/>
          <w:sz w:val="20"/>
        </w:rPr>
        <w:t>2023</w:t>
      </w:r>
      <w:r w:rsidRPr="005A211A">
        <w:rPr>
          <w:rFonts w:ascii="Source Sans Pro" w:hAnsi="Source Sans Pro"/>
          <w:color w:val="444444"/>
          <w:sz w:val="20"/>
        </w:rPr>
        <w:t xml:space="preserve"> FY: £1</w:t>
      </w:r>
      <w:r w:rsidR="00EA51D2" w:rsidRPr="005A211A">
        <w:rPr>
          <w:rFonts w:ascii="Source Sans Pro" w:hAnsi="Source Sans Pro"/>
          <w:color w:val="444444"/>
          <w:sz w:val="20"/>
        </w:rPr>
        <w:t>8.8</w:t>
      </w:r>
      <w:r w:rsidRPr="005A211A">
        <w:rPr>
          <w:rFonts w:ascii="Source Sans Pro" w:hAnsi="Source Sans Pro"/>
          <w:color w:val="444444"/>
          <w:sz w:val="20"/>
        </w:rPr>
        <w:t xml:space="preserve">m) </w:t>
      </w:r>
      <w:r w:rsidR="00BD1FDE" w:rsidRPr="005A211A">
        <w:rPr>
          <w:rFonts w:ascii="Source Sans Pro" w:hAnsi="Source Sans Pro"/>
          <w:color w:val="444444"/>
          <w:sz w:val="20"/>
        </w:rPr>
        <w:t>relating to amortisation</w:t>
      </w:r>
      <w:r w:rsidR="00C4189C" w:rsidRPr="005A211A">
        <w:rPr>
          <w:rFonts w:ascii="Source Sans Pro" w:hAnsi="Source Sans Pro"/>
          <w:color w:val="444444"/>
          <w:sz w:val="20"/>
        </w:rPr>
        <w:t xml:space="preserve"> of intangible asset</w:t>
      </w:r>
      <w:r w:rsidR="001547DA" w:rsidRPr="005A211A">
        <w:rPr>
          <w:rFonts w:ascii="Source Sans Pro" w:hAnsi="Source Sans Pro"/>
          <w:color w:val="444444"/>
          <w:sz w:val="20"/>
        </w:rPr>
        <w:t>s</w:t>
      </w:r>
      <w:r w:rsidRPr="005A211A">
        <w:rPr>
          <w:rFonts w:ascii="Source Sans Pro" w:hAnsi="Source Sans Pro"/>
          <w:color w:val="444444"/>
          <w:sz w:val="20"/>
        </w:rPr>
        <w:t xml:space="preserve">. </w:t>
      </w:r>
      <w:r w:rsidR="00C4205E" w:rsidRPr="005A211A">
        <w:rPr>
          <w:rFonts w:ascii="Source Sans Pro" w:hAnsi="Source Sans Pro"/>
          <w:color w:val="444444"/>
          <w:sz w:val="20"/>
        </w:rPr>
        <w:t xml:space="preserve">This charge </w:t>
      </w:r>
      <w:r w:rsidR="0075409C" w:rsidRPr="005A211A">
        <w:rPr>
          <w:rFonts w:ascii="Source Sans Pro" w:hAnsi="Source Sans Pro"/>
          <w:color w:val="444444"/>
          <w:sz w:val="20"/>
        </w:rPr>
        <w:t xml:space="preserve">is </w:t>
      </w:r>
      <w:r w:rsidR="00E34A51" w:rsidRPr="005A211A">
        <w:rPr>
          <w:rFonts w:ascii="Source Sans Pro" w:hAnsi="Source Sans Pro"/>
          <w:color w:val="444444"/>
          <w:sz w:val="20"/>
        </w:rPr>
        <w:t xml:space="preserve">in respect of </w:t>
      </w:r>
      <w:r w:rsidR="005834EE" w:rsidRPr="005A211A">
        <w:rPr>
          <w:rFonts w:ascii="Source Sans Pro" w:hAnsi="Source Sans Pro"/>
          <w:color w:val="444444"/>
          <w:sz w:val="20"/>
        </w:rPr>
        <w:t xml:space="preserve">the </w:t>
      </w:r>
      <w:r w:rsidR="00723C69" w:rsidRPr="005A211A">
        <w:rPr>
          <w:rFonts w:ascii="Source Sans Pro" w:hAnsi="Source Sans Pro"/>
          <w:color w:val="444444"/>
          <w:sz w:val="20"/>
        </w:rPr>
        <w:t>Merian</w:t>
      </w:r>
      <w:r w:rsidR="005834EE" w:rsidRPr="005A211A">
        <w:rPr>
          <w:rFonts w:ascii="Source Sans Pro" w:hAnsi="Source Sans Pro"/>
          <w:color w:val="444444"/>
          <w:sz w:val="20"/>
        </w:rPr>
        <w:t xml:space="preserve"> acquisition</w:t>
      </w:r>
      <w:r w:rsidR="00723C69" w:rsidRPr="005A211A">
        <w:rPr>
          <w:rFonts w:ascii="Source Sans Pro" w:hAnsi="Source Sans Pro"/>
          <w:color w:val="444444"/>
          <w:sz w:val="20"/>
        </w:rPr>
        <w:t xml:space="preserve"> in 2020.</w:t>
      </w:r>
    </w:p>
    <w:p w14:paraId="4D8A94DC" w14:textId="71E1AFCB" w:rsidR="00B573D4" w:rsidRPr="00B573D4" w:rsidRDefault="0004086D" w:rsidP="00CF007D">
      <w:pPr>
        <w:pStyle w:val="Subheading"/>
      </w:pPr>
      <w:r>
        <w:t>10.</w:t>
      </w:r>
      <w:r w:rsidR="00A12B3E">
        <w:tab/>
      </w:r>
      <w:r w:rsidR="001B2132">
        <w:t>Property, plant and equipment</w:t>
      </w:r>
    </w:p>
    <w:p w14:paraId="12239DCB" w14:textId="14923A82" w:rsidR="00096D05" w:rsidRDefault="00B573D4" w:rsidP="00B573D4">
      <w:pPr>
        <w:pStyle w:val="Bodytext0"/>
        <w:rPr>
          <w:lang w:val="en-US"/>
        </w:rPr>
      </w:pPr>
      <w:r w:rsidRPr="005A211A">
        <w:rPr>
          <w:lang w:val="en-US"/>
        </w:rPr>
        <w:t xml:space="preserve">The net book value of property, plant and equipment at 30 June </w:t>
      </w:r>
      <w:r w:rsidR="00E85F7E" w:rsidRPr="005A211A">
        <w:rPr>
          <w:lang w:val="en-US"/>
        </w:rPr>
        <w:t>2024</w:t>
      </w:r>
      <w:r w:rsidRPr="005A211A">
        <w:rPr>
          <w:lang w:val="en-US"/>
        </w:rPr>
        <w:t xml:space="preserve"> was </w:t>
      </w:r>
      <w:r w:rsidR="00D22726" w:rsidRPr="005F0E7F">
        <w:rPr>
          <w:lang w:val="en-US"/>
        </w:rPr>
        <w:t>£35.8</w:t>
      </w:r>
      <w:r w:rsidRPr="005F0E7F">
        <w:rPr>
          <w:lang w:val="en-US"/>
        </w:rPr>
        <w:t>m</w:t>
      </w:r>
      <w:r w:rsidRPr="005A211A">
        <w:rPr>
          <w:lang w:val="en-US"/>
        </w:rPr>
        <w:t xml:space="preserve"> (</w:t>
      </w:r>
      <w:r w:rsidR="00E85F7E" w:rsidRPr="005A211A">
        <w:rPr>
          <w:lang w:val="en-US"/>
        </w:rPr>
        <w:t>2023</w:t>
      </w:r>
      <w:r w:rsidRPr="005A211A">
        <w:rPr>
          <w:lang w:val="en-US"/>
        </w:rPr>
        <w:t xml:space="preserve"> H1: £</w:t>
      </w:r>
      <w:r w:rsidR="005A211A" w:rsidRPr="005A211A">
        <w:rPr>
          <w:lang w:val="en-US"/>
        </w:rPr>
        <w:t>38.9</w:t>
      </w:r>
      <w:r w:rsidRPr="005A211A">
        <w:rPr>
          <w:lang w:val="en-US"/>
        </w:rPr>
        <w:t xml:space="preserve">m, </w:t>
      </w:r>
      <w:r w:rsidR="00E85F7E" w:rsidRPr="005A211A">
        <w:rPr>
          <w:lang w:val="en-US"/>
        </w:rPr>
        <w:t>2023</w:t>
      </w:r>
      <w:r w:rsidRPr="005A211A">
        <w:rPr>
          <w:lang w:val="en-US"/>
        </w:rPr>
        <w:t xml:space="preserve"> FY: £</w:t>
      </w:r>
      <w:r w:rsidR="005A211A" w:rsidRPr="005A211A">
        <w:rPr>
          <w:lang w:val="en-US"/>
        </w:rPr>
        <w:t>37.5</w:t>
      </w:r>
      <w:r w:rsidRPr="005A211A">
        <w:rPr>
          <w:lang w:val="en-US"/>
        </w:rPr>
        <w:t xml:space="preserve">m). During the period, the Group acquired items of property, plant and equipment (excluding right-to-use leased assets) with a value of </w:t>
      </w:r>
      <w:r w:rsidR="00BB7E60" w:rsidRPr="005F0E7F">
        <w:rPr>
          <w:lang w:val="en-US"/>
        </w:rPr>
        <w:t>£1.1</w:t>
      </w:r>
      <w:r w:rsidRPr="005F0E7F">
        <w:rPr>
          <w:lang w:val="en-US"/>
        </w:rPr>
        <w:t>m</w:t>
      </w:r>
      <w:r w:rsidRPr="005A211A">
        <w:rPr>
          <w:lang w:val="en-US"/>
        </w:rPr>
        <w:t xml:space="preserve"> (</w:t>
      </w:r>
      <w:r w:rsidR="00E85F7E" w:rsidRPr="005A211A">
        <w:rPr>
          <w:lang w:val="en-US"/>
        </w:rPr>
        <w:t>2023</w:t>
      </w:r>
      <w:r w:rsidRPr="005A211A">
        <w:rPr>
          <w:lang w:val="en-US"/>
        </w:rPr>
        <w:t xml:space="preserve"> H1: £0.</w:t>
      </w:r>
      <w:r w:rsidR="005A211A" w:rsidRPr="005A211A">
        <w:rPr>
          <w:lang w:val="en-US"/>
        </w:rPr>
        <w:t>3</w:t>
      </w:r>
      <w:r w:rsidRPr="005A211A">
        <w:rPr>
          <w:lang w:val="en-US"/>
        </w:rPr>
        <w:t xml:space="preserve">m, </w:t>
      </w:r>
      <w:r w:rsidR="00E85F7E" w:rsidRPr="005A211A">
        <w:rPr>
          <w:lang w:val="en-US"/>
        </w:rPr>
        <w:t>2023</w:t>
      </w:r>
      <w:r w:rsidRPr="005A211A">
        <w:rPr>
          <w:lang w:val="en-US"/>
        </w:rPr>
        <w:t xml:space="preserve"> FY: £</w:t>
      </w:r>
      <w:r w:rsidR="005A211A" w:rsidRPr="005A211A">
        <w:rPr>
          <w:lang w:val="en-US"/>
        </w:rPr>
        <w:t>0.6</w:t>
      </w:r>
      <w:r w:rsidRPr="005A211A">
        <w:rPr>
          <w:lang w:val="en-US"/>
        </w:rPr>
        <w:t>m)</w:t>
      </w:r>
      <w:r w:rsidR="00850474" w:rsidRPr="005A211A">
        <w:rPr>
          <w:lang w:val="en-US"/>
        </w:rPr>
        <w:t xml:space="preserve">. </w:t>
      </w:r>
      <w:r w:rsidRPr="005A211A">
        <w:rPr>
          <w:lang w:val="en-US"/>
        </w:rPr>
        <w:t xml:space="preserve">Additions to the right-of-use </w:t>
      </w:r>
      <w:r w:rsidR="00FC5551" w:rsidRPr="005A211A">
        <w:rPr>
          <w:lang w:val="en-US"/>
        </w:rPr>
        <w:t xml:space="preserve">leased </w:t>
      </w:r>
      <w:r w:rsidRPr="005A211A">
        <w:rPr>
          <w:lang w:val="en-US"/>
        </w:rPr>
        <w:t>assets during the period were £</w:t>
      </w:r>
      <w:r w:rsidR="00861EA2">
        <w:rPr>
          <w:lang w:val="en-US"/>
        </w:rPr>
        <w:t>nil</w:t>
      </w:r>
      <w:r w:rsidR="00026813" w:rsidRPr="005A211A">
        <w:rPr>
          <w:lang w:val="en-US"/>
        </w:rPr>
        <w:t xml:space="preserve"> </w:t>
      </w:r>
      <w:r w:rsidRPr="005A211A">
        <w:rPr>
          <w:lang w:val="en-US"/>
        </w:rPr>
        <w:t>(</w:t>
      </w:r>
      <w:r w:rsidR="00E85F7E" w:rsidRPr="005A211A">
        <w:rPr>
          <w:lang w:val="en-US"/>
        </w:rPr>
        <w:t>2023</w:t>
      </w:r>
      <w:r w:rsidRPr="005A211A">
        <w:rPr>
          <w:lang w:val="en-US"/>
        </w:rPr>
        <w:t xml:space="preserve"> H1: £</w:t>
      </w:r>
      <w:r w:rsidR="00754EDE" w:rsidRPr="005A211A">
        <w:rPr>
          <w:lang w:val="en-US"/>
        </w:rPr>
        <w:t>0.</w:t>
      </w:r>
      <w:r w:rsidR="005A211A" w:rsidRPr="005A211A">
        <w:rPr>
          <w:lang w:val="en-US"/>
        </w:rPr>
        <w:t>3</w:t>
      </w:r>
      <w:r w:rsidR="00C82BF5" w:rsidRPr="005A211A">
        <w:rPr>
          <w:lang w:val="en-US"/>
        </w:rPr>
        <w:t>m</w:t>
      </w:r>
      <w:r w:rsidRPr="005A211A">
        <w:rPr>
          <w:lang w:val="en-US"/>
        </w:rPr>
        <w:t xml:space="preserve">, </w:t>
      </w:r>
      <w:r w:rsidR="00E85F7E" w:rsidRPr="005A211A">
        <w:rPr>
          <w:lang w:val="en-US"/>
        </w:rPr>
        <w:t>2023</w:t>
      </w:r>
      <w:r w:rsidRPr="005A211A">
        <w:rPr>
          <w:lang w:val="en-US"/>
        </w:rPr>
        <w:t xml:space="preserve"> FY: £</w:t>
      </w:r>
      <w:r w:rsidR="005A211A" w:rsidRPr="005A211A">
        <w:rPr>
          <w:lang w:val="en-US"/>
        </w:rPr>
        <w:t>0.6</w:t>
      </w:r>
      <w:r w:rsidRPr="005A211A">
        <w:rPr>
          <w:lang w:val="en-US"/>
        </w:rPr>
        <w:t>m).</w:t>
      </w:r>
      <w:r w:rsidRPr="00B573D4">
        <w:rPr>
          <w:lang w:val="en-US"/>
        </w:rPr>
        <w:t xml:space="preserve"> </w:t>
      </w:r>
    </w:p>
    <w:p w14:paraId="2CF9338E" w14:textId="002A1A87" w:rsidR="00096D05" w:rsidRPr="00850474" w:rsidRDefault="00096D05" w:rsidP="00096D05">
      <w:pPr>
        <w:pStyle w:val="Subheading"/>
      </w:pPr>
      <w:r>
        <w:t>11.</w:t>
      </w:r>
      <w:r>
        <w:tab/>
        <w:t>Financial instruments</w:t>
      </w:r>
    </w:p>
    <w:p w14:paraId="32E62D5F" w14:textId="1E55F01F" w:rsidR="00096D05" w:rsidRDefault="00096D05" w:rsidP="00096D05">
      <w:pPr>
        <w:pStyle w:val="Bodytext0"/>
        <w:rPr>
          <w:lang w:val="en-US"/>
        </w:rPr>
      </w:pPr>
      <w:r w:rsidRPr="00850474">
        <w:rPr>
          <w:lang w:val="en-US"/>
        </w:rPr>
        <w:t>As at 30 June 202</w:t>
      </w:r>
      <w:r>
        <w:rPr>
          <w:lang w:val="en-US"/>
        </w:rPr>
        <w:t>3</w:t>
      </w:r>
      <w:r w:rsidRPr="00850474">
        <w:rPr>
          <w:lang w:val="en-US"/>
        </w:rPr>
        <w:t xml:space="preserve">, the Group held the following classes of financial instruments, which principally </w:t>
      </w:r>
      <w:r>
        <w:rPr>
          <w:lang w:val="en-US"/>
        </w:rPr>
        <w:t>comprise</w:t>
      </w:r>
      <w:r w:rsidRPr="00850474">
        <w:rPr>
          <w:lang w:val="en-US"/>
        </w:rPr>
        <w:t xml:space="preserve"> </w:t>
      </w:r>
      <w:r>
        <w:rPr>
          <w:lang w:val="en-US"/>
        </w:rPr>
        <w:t xml:space="preserve">seed </w:t>
      </w:r>
      <w:r w:rsidRPr="00850474">
        <w:rPr>
          <w:lang w:val="en-US"/>
        </w:rPr>
        <w:t xml:space="preserve">investments </w:t>
      </w:r>
      <w:r>
        <w:rPr>
          <w:lang w:val="en-US"/>
        </w:rPr>
        <w:t>and assets held to hedge compensation awards</w:t>
      </w:r>
      <w:r w:rsidRPr="00850474">
        <w:rPr>
          <w:lang w:val="en-US"/>
        </w:rPr>
        <w:t>:</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A54AAF" w:rsidRPr="00F2575A" w14:paraId="18F4CCD8" w14:textId="77777777" w:rsidTr="005F0E7F">
        <w:trPr>
          <w:trHeight w:hRule="exact" w:val="136"/>
        </w:trPr>
        <w:tc>
          <w:tcPr>
            <w:tcW w:w="3402" w:type="dxa"/>
            <w:tcBorders>
              <w:top w:val="nil"/>
              <w:left w:val="nil"/>
              <w:bottom w:val="nil"/>
              <w:right w:val="nil"/>
            </w:tcBorders>
            <w:vAlign w:val="bottom"/>
          </w:tcPr>
          <w:p w14:paraId="2231D93A" w14:textId="77777777" w:rsidR="00A54AAF" w:rsidRDefault="00A54AAF">
            <w:pPr>
              <w:rPr>
                <w:sz w:val="2"/>
              </w:rPr>
            </w:pPr>
            <w:bookmarkStart w:id="7" w:name="_5072cdcf_e87e_4d65_802c_e6d701807376"/>
            <w:bookmarkStart w:id="8" w:name="_3b1c9ccb_fa7b_4bb6_ae11_f9a1371a15f6"/>
            <w:bookmarkEnd w:id="7"/>
          </w:p>
        </w:tc>
        <w:tc>
          <w:tcPr>
            <w:tcW w:w="2212" w:type="dxa"/>
            <w:tcBorders>
              <w:top w:val="nil"/>
              <w:left w:val="nil"/>
              <w:bottom w:val="nil"/>
              <w:right w:val="nil"/>
            </w:tcBorders>
            <w:vAlign w:val="bottom"/>
          </w:tcPr>
          <w:p w14:paraId="6D6759B0" w14:textId="77777777" w:rsidR="00A54AAF" w:rsidRPr="005405BA" w:rsidRDefault="00A54AAF">
            <w:pPr>
              <w:pStyle w:val="Tableheading"/>
              <w:jc w:val="right"/>
            </w:pPr>
          </w:p>
          <w:p w14:paraId="30E8AA0D" w14:textId="77777777" w:rsidR="00A54AAF" w:rsidRDefault="00A54AAF">
            <w:pPr>
              <w:rPr>
                <w:sz w:val="2"/>
              </w:rPr>
            </w:pPr>
          </w:p>
        </w:tc>
        <w:tc>
          <w:tcPr>
            <w:tcW w:w="193" w:type="dxa"/>
            <w:tcBorders>
              <w:top w:val="nil"/>
              <w:left w:val="nil"/>
              <w:bottom w:val="nil"/>
              <w:right w:val="nil"/>
            </w:tcBorders>
            <w:vAlign w:val="bottom"/>
          </w:tcPr>
          <w:p w14:paraId="68D08AF7" w14:textId="77777777" w:rsidR="00A54AAF" w:rsidRDefault="00A54AAF">
            <w:pPr>
              <w:rPr>
                <w:sz w:val="2"/>
              </w:rPr>
            </w:pPr>
          </w:p>
        </w:tc>
        <w:tc>
          <w:tcPr>
            <w:tcW w:w="2212" w:type="dxa"/>
            <w:tcBorders>
              <w:top w:val="nil"/>
              <w:left w:val="nil"/>
              <w:bottom w:val="nil"/>
              <w:right w:val="nil"/>
            </w:tcBorders>
            <w:vAlign w:val="bottom"/>
          </w:tcPr>
          <w:p w14:paraId="23700232" w14:textId="77777777" w:rsidR="00A54AAF" w:rsidRPr="009F40EF" w:rsidRDefault="00A54AAF">
            <w:pPr>
              <w:pStyle w:val="Tableheading"/>
              <w:jc w:val="right"/>
              <w:rPr>
                <w:b/>
                <w:bCs/>
              </w:rPr>
            </w:pPr>
          </w:p>
          <w:p w14:paraId="1B10F130" w14:textId="77777777" w:rsidR="00A54AAF" w:rsidRDefault="00A54AAF">
            <w:pPr>
              <w:rPr>
                <w:sz w:val="2"/>
              </w:rPr>
            </w:pPr>
          </w:p>
        </w:tc>
        <w:tc>
          <w:tcPr>
            <w:tcW w:w="193" w:type="dxa"/>
            <w:tcBorders>
              <w:top w:val="nil"/>
              <w:left w:val="nil"/>
              <w:bottom w:val="nil"/>
              <w:right w:val="nil"/>
            </w:tcBorders>
            <w:vAlign w:val="bottom"/>
          </w:tcPr>
          <w:p w14:paraId="74017AAD" w14:textId="77777777" w:rsidR="00A54AAF" w:rsidRDefault="00A54AAF">
            <w:pPr>
              <w:rPr>
                <w:sz w:val="2"/>
              </w:rPr>
            </w:pPr>
          </w:p>
        </w:tc>
        <w:tc>
          <w:tcPr>
            <w:tcW w:w="2213" w:type="dxa"/>
            <w:tcBorders>
              <w:top w:val="nil"/>
              <w:left w:val="nil"/>
              <w:bottom w:val="nil"/>
              <w:right w:val="nil"/>
            </w:tcBorders>
            <w:vAlign w:val="bottom"/>
          </w:tcPr>
          <w:p w14:paraId="77CC408C" w14:textId="77777777" w:rsidR="00A54AAF" w:rsidRPr="00F2575A" w:rsidRDefault="00A54AAF">
            <w:pPr>
              <w:pStyle w:val="Tableheading"/>
              <w:jc w:val="right"/>
              <w:rPr>
                <w:b/>
                <w:bCs/>
                <w:highlight w:val="yellow"/>
              </w:rPr>
            </w:pPr>
          </w:p>
          <w:p w14:paraId="71D524E1" w14:textId="77777777" w:rsidR="00A54AAF" w:rsidRDefault="00A54AAF">
            <w:pPr>
              <w:rPr>
                <w:sz w:val="2"/>
              </w:rPr>
            </w:pPr>
          </w:p>
        </w:tc>
      </w:tr>
      <w:tr w:rsidR="00A54AAF" w:rsidRPr="00F2575A" w14:paraId="6C2B6BDA" w14:textId="77777777" w:rsidTr="005F0E7F">
        <w:tc>
          <w:tcPr>
            <w:tcW w:w="3402" w:type="dxa"/>
            <w:tcBorders>
              <w:top w:val="nil"/>
              <w:bottom w:val="nil"/>
            </w:tcBorders>
            <w:vAlign w:val="bottom"/>
          </w:tcPr>
          <w:p w14:paraId="02632CC0" w14:textId="77777777" w:rsidR="00A54AAF" w:rsidRPr="005405BA" w:rsidRDefault="00A54AAF">
            <w:pPr>
              <w:pStyle w:val="Tableheading"/>
              <w:jc w:val="right"/>
            </w:pPr>
          </w:p>
        </w:tc>
        <w:tc>
          <w:tcPr>
            <w:tcW w:w="2212" w:type="dxa"/>
            <w:tcBorders>
              <w:top w:val="nil"/>
              <w:bottom w:val="nil"/>
            </w:tcBorders>
            <w:vAlign w:val="bottom"/>
          </w:tcPr>
          <w:p w14:paraId="31B870A8" w14:textId="77777777" w:rsidR="00A54AAF" w:rsidRDefault="00A54AAF">
            <w:pPr>
              <w:pStyle w:val="Tableheading"/>
              <w:jc w:val="right"/>
            </w:pPr>
            <w:r>
              <w:tab/>
              <w:t>30 June 2024</w:t>
            </w:r>
          </w:p>
          <w:p w14:paraId="0BC6ABA3" w14:textId="77777777" w:rsidR="00A54AAF" w:rsidRPr="005405BA" w:rsidRDefault="00A54AAF">
            <w:pPr>
              <w:pStyle w:val="Tableheading"/>
              <w:jc w:val="right"/>
            </w:pPr>
            <w:r>
              <w:t>£m</w:t>
            </w:r>
          </w:p>
        </w:tc>
        <w:tc>
          <w:tcPr>
            <w:tcW w:w="193" w:type="dxa"/>
            <w:tcBorders>
              <w:top w:val="nil"/>
              <w:bottom w:val="nil"/>
            </w:tcBorders>
            <w:vAlign w:val="bottom"/>
          </w:tcPr>
          <w:p w14:paraId="5FB34515" w14:textId="77777777" w:rsidR="00A54AAF" w:rsidRPr="00955F6B" w:rsidRDefault="00A54AAF">
            <w:pPr>
              <w:pStyle w:val="Tableheading"/>
              <w:jc w:val="right"/>
            </w:pPr>
          </w:p>
        </w:tc>
        <w:tc>
          <w:tcPr>
            <w:tcW w:w="2212" w:type="dxa"/>
            <w:tcBorders>
              <w:top w:val="nil"/>
              <w:bottom w:val="nil"/>
            </w:tcBorders>
            <w:vAlign w:val="bottom"/>
          </w:tcPr>
          <w:p w14:paraId="7B6E31A8" w14:textId="77777777" w:rsidR="00A54AAF" w:rsidRPr="00BE270D" w:rsidRDefault="00A54AAF">
            <w:pPr>
              <w:pStyle w:val="Tableheading"/>
              <w:jc w:val="right"/>
            </w:pPr>
            <w:r w:rsidRPr="00BE270D">
              <w:t xml:space="preserve">30 June </w:t>
            </w:r>
            <w:r>
              <w:t>2023</w:t>
            </w:r>
          </w:p>
          <w:p w14:paraId="4D7403F9" w14:textId="77777777" w:rsidR="00A54AAF" w:rsidRPr="009F40EF" w:rsidRDefault="00A54AAF">
            <w:pPr>
              <w:pStyle w:val="Tableheading"/>
              <w:jc w:val="right"/>
              <w:rPr>
                <w:b/>
                <w:bCs/>
              </w:rPr>
            </w:pPr>
            <w:r w:rsidRPr="00BE270D">
              <w:t>£m</w:t>
            </w:r>
          </w:p>
        </w:tc>
        <w:tc>
          <w:tcPr>
            <w:tcW w:w="193" w:type="dxa"/>
            <w:tcBorders>
              <w:top w:val="nil"/>
              <w:bottom w:val="nil"/>
            </w:tcBorders>
            <w:vAlign w:val="bottom"/>
          </w:tcPr>
          <w:p w14:paraId="76C950BA" w14:textId="77777777" w:rsidR="00A54AAF" w:rsidRPr="009F40EF" w:rsidRDefault="00A54AAF">
            <w:pPr>
              <w:pStyle w:val="Tableheading"/>
              <w:jc w:val="right"/>
              <w:rPr>
                <w:b/>
                <w:bCs/>
              </w:rPr>
            </w:pPr>
          </w:p>
        </w:tc>
        <w:tc>
          <w:tcPr>
            <w:tcW w:w="2213" w:type="dxa"/>
            <w:tcBorders>
              <w:top w:val="nil"/>
              <w:bottom w:val="nil"/>
            </w:tcBorders>
            <w:vAlign w:val="bottom"/>
          </w:tcPr>
          <w:p w14:paraId="242AF7A4" w14:textId="77777777" w:rsidR="00A54AAF" w:rsidRPr="00BE270D" w:rsidRDefault="00A54AAF">
            <w:pPr>
              <w:pStyle w:val="Tableheading"/>
              <w:jc w:val="right"/>
            </w:pPr>
            <w:r w:rsidRPr="00BE270D">
              <w:t xml:space="preserve">31 December </w:t>
            </w:r>
            <w:r>
              <w:t>2023</w:t>
            </w:r>
          </w:p>
          <w:p w14:paraId="1F6B2306" w14:textId="77777777" w:rsidR="00A54AAF" w:rsidRPr="00F2575A" w:rsidRDefault="00A54AAF">
            <w:pPr>
              <w:pStyle w:val="Tableheading"/>
              <w:jc w:val="right"/>
              <w:rPr>
                <w:b/>
                <w:bCs/>
                <w:highlight w:val="yellow"/>
              </w:rPr>
            </w:pPr>
            <w:r w:rsidRPr="00BE270D">
              <w:t>£m</w:t>
            </w:r>
          </w:p>
        </w:tc>
      </w:tr>
      <w:tr w:rsidR="00A54AAF" w:rsidRPr="00F2575A" w14:paraId="0B021942" w14:textId="77777777">
        <w:tc>
          <w:tcPr>
            <w:tcW w:w="3402" w:type="dxa"/>
            <w:tcBorders>
              <w:top w:val="nil"/>
              <w:bottom w:val="nil"/>
            </w:tcBorders>
            <w:shd w:val="clear" w:color="auto" w:fill="auto"/>
            <w:vAlign w:val="center"/>
          </w:tcPr>
          <w:p w14:paraId="58D57FC2" w14:textId="77777777" w:rsidR="00A54AAF" w:rsidRPr="00952D0B" w:rsidRDefault="00A54AAF">
            <w:pPr>
              <w:pStyle w:val="Tabletext"/>
              <w:rPr>
                <w:b/>
                <w:bCs/>
              </w:rPr>
            </w:pPr>
            <w:r w:rsidRPr="00952D0B">
              <w:rPr>
                <w:b/>
                <w:bCs/>
              </w:rPr>
              <w:t>Financial assets</w:t>
            </w:r>
          </w:p>
        </w:tc>
        <w:tc>
          <w:tcPr>
            <w:tcW w:w="2212" w:type="dxa"/>
            <w:tcBorders>
              <w:top w:val="nil"/>
              <w:bottom w:val="nil"/>
            </w:tcBorders>
            <w:shd w:val="clear" w:color="auto" w:fill="auto"/>
            <w:vAlign w:val="center"/>
          </w:tcPr>
          <w:p w14:paraId="11930F2B" w14:textId="77777777" w:rsidR="00A54AAF" w:rsidRPr="00F2575A" w:rsidRDefault="00A54AAF">
            <w:pPr>
              <w:pStyle w:val="Tabletext"/>
              <w:tabs>
                <w:tab w:val="decimal" w:pos="1890"/>
              </w:tabs>
            </w:pPr>
          </w:p>
        </w:tc>
        <w:tc>
          <w:tcPr>
            <w:tcW w:w="193" w:type="dxa"/>
            <w:tcBorders>
              <w:top w:val="nil"/>
              <w:bottom w:val="nil"/>
            </w:tcBorders>
          </w:tcPr>
          <w:p w14:paraId="51B9A85B" w14:textId="77777777" w:rsidR="00A54AAF" w:rsidRPr="00A66CA2" w:rsidRDefault="00A54AAF">
            <w:pPr>
              <w:pStyle w:val="Tabletext"/>
              <w:jc w:val="right"/>
            </w:pPr>
          </w:p>
        </w:tc>
        <w:tc>
          <w:tcPr>
            <w:tcW w:w="2212" w:type="dxa"/>
            <w:tcBorders>
              <w:top w:val="nil"/>
              <w:bottom w:val="nil"/>
            </w:tcBorders>
            <w:shd w:val="clear" w:color="auto" w:fill="auto"/>
            <w:vAlign w:val="center"/>
          </w:tcPr>
          <w:p w14:paraId="5A7C8CB0" w14:textId="77777777" w:rsidR="00A54AAF" w:rsidRPr="00632714" w:rsidRDefault="00A54AAF">
            <w:pPr>
              <w:pStyle w:val="Tabletext"/>
              <w:tabs>
                <w:tab w:val="decimal" w:pos="1912"/>
              </w:tabs>
            </w:pPr>
          </w:p>
        </w:tc>
        <w:tc>
          <w:tcPr>
            <w:tcW w:w="193" w:type="dxa"/>
            <w:tcBorders>
              <w:top w:val="nil"/>
              <w:bottom w:val="nil"/>
            </w:tcBorders>
          </w:tcPr>
          <w:p w14:paraId="772E2FC6" w14:textId="77777777" w:rsidR="00A54AAF" w:rsidRPr="00A66CA2" w:rsidRDefault="00A54AAF">
            <w:pPr>
              <w:pStyle w:val="Tabletext"/>
              <w:jc w:val="right"/>
            </w:pPr>
          </w:p>
        </w:tc>
        <w:tc>
          <w:tcPr>
            <w:tcW w:w="2213" w:type="dxa"/>
            <w:tcBorders>
              <w:top w:val="nil"/>
              <w:bottom w:val="nil"/>
            </w:tcBorders>
            <w:shd w:val="clear" w:color="auto" w:fill="auto"/>
            <w:vAlign w:val="center"/>
          </w:tcPr>
          <w:p w14:paraId="41EBB817" w14:textId="77777777" w:rsidR="00A54AAF" w:rsidRPr="00D84099" w:rsidRDefault="00A54AAF">
            <w:pPr>
              <w:pStyle w:val="Tabletext"/>
              <w:tabs>
                <w:tab w:val="decimal" w:pos="1866"/>
              </w:tabs>
              <w:rPr>
                <w:rFonts w:eastAsia="Times New Roman"/>
                <w:bCs/>
                <w:szCs w:val="18"/>
                <w:lang w:eastAsia="en-GB"/>
              </w:rPr>
            </w:pPr>
          </w:p>
        </w:tc>
      </w:tr>
      <w:tr w:rsidR="00A54AAF" w:rsidRPr="00F2575A" w14:paraId="3658003D" w14:textId="77777777" w:rsidTr="00187315">
        <w:tc>
          <w:tcPr>
            <w:tcW w:w="3402" w:type="dxa"/>
            <w:tcBorders>
              <w:top w:val="nil"/>
              <w:bottom w:val="nil"/>
            </w:tcBorders>
            <w:shd w:val="clear" w:color="auto" w:fill="auto"/>
            <w:vAlign w:val="center"/>
          </w:tcPr>
          <w:p w14:paraId="6A8FB6B7" w14:textId="68EC5C5D" w:rsidR="00A54AAF" w:rsidRPr="00952D0B" w:rsidRDefault="00A54AAF">
            <w:pPr>
              <w:pStyle w:val="Tabletext"/>
              <w:rPr>
                <w:b/>
                <w:bCs/>
              </w:rPr>
            </w:pPr>
            <w:r>
              <w:t>Investments in associates</w:t>
            </w:r>
          </w:p>
        </w:tc>
        <w:tc>
          <w:tcPr>
            <w:tcW w:w="2212" w:type="dxa"/>
            <w:tcBorders>
              <w:top w:val="nil"/>
              <w:bottom w:val="nil"/>
            </w:tcBorders>
            <w:shd w:val="clear" w:color="auto" w:fill="auto"/>
            <w:vAlign w:val="center"/>
          </w:tcPr>
          <w:p w14:paraId="26617E19" w14:textId="30F610E6" w:rsidR="00A54AAF" w:rsidRPr="00F2575A" w:rsidRDefault="00090787">
            <w:pPr>
              <w:pStyle w:val="Tabletext"/>
              <w:tabs>
                <w:tab w:val="decimal" w:pos="1890"/>
              </w:tabs>
            </w:pPr>
            <w:r>
              <w:t>1.2</w:t>
            </w:r>
          </w:p>
        </w:tc>
        <w:tc>
          <w:tcPr>
            <w:tcW w:w="193" w:type="dxa"/>
            <w:tcBorders>
              <w:top w:val="nil"/>
              <w:bottom w:val="nil"/>
            </w:tcBorders>
            <w:vAlign w:val="center"/>
          </w:tcPr>
          <w:p w14:paraId="052F42FA" w14:textId="77777777" w:rsidR="00A54AAF" w:rsidRPr="00A66CA2" w:rsidRDefault="00A54AAF" w:rsidP="00187315">
            <w:pPr>
              <w:pStyle w:val="Tabletext"/>
            </w:pPr>
          </w:p>
        </w:tc>
        <w:tc>
          <w:tcPr>
            <w:tcW w:w="2212" w:type="dxa"/>
            <w:tcBorders>
              <w:top w:val="nil"/>
              <w:bottom w:val="nil"/>
            </w:tcBorders>
            <w:shd w:val="clear" w:color="auto" w:fill="auto"/>
            <w:vAlign w:val="center"/>
          </w:tcPr>
          <w:p w14:paraId="012925A6" w14:textId="254B814C" w:rsidR="00A54AAF" w:rsidRPr="00632714" w:rsidRDefault="00A54AAF">
            <w:pPr>
              <w:pStyle w:val="Tabletext"/>
              <w:tabs>
                <w:tab w:val="decimal" w:pos="1912"/>
              </w:tabs>
            </w:pPr>
            <w:r>
              <w:t>-</w:t>
            </w:r>
          </w:p>
        </w:tc>
        <w:tc>
          <w:tcPr>
            <w:tcW w:w="193" w:type="dxa"/>
            <w:tcBorders>
              <w:top w:val="nil"/>
              <w:bottom w:val="nil"/>
            </w:tcBorders>
            <w:vAlign w:val="center"/>
          </w:tcPr>
          <w:p w14:paraId="229606F5" w14:textId="77777777" w:rsidR="00A54AAF" w:rsidRPr="00A66CA2" w:rsidRDefault="00A54AAF" w:rsidP="00187315">
            <w:pPr>
              <w:pStyle w:val="Tabletext"/>
            </w:pPr>
          </w:p>
        </w:tc>
        <w:tc>
          <w:tcPr>
            <w:tcW w:w="2213" w:type="dxa"/>
            <w:tcBorders>
              <w:top w:val="nil"/>
              <w:bottom w:val="nil"/>
            </w:tcBorders>
            <w:shd w:val="clear" w:color="auto" w:fill="auto"/>
            <w:vAlign w:val="center"/>
          </w:tcPr>
          <w:p w14:paraId="70959A93" w14:textId="6D52BF1B" w:rsidR="00A54AAF" w:rsidRPr="00D84099" w:rsidRDefault="00A54AAF">
            <w:pPr>
              <w:pStyle w:val="Tabletext"/>
              <w:tabs>
                <w:tab w:val="decimal" w:pos="1866"/>
              </w:tabs>
              <w:rPr>
                <w:rFonts w:eastAsia="Times New Roman"/>
                <w:bCs/>
                <w:szCs w:val="18"/>
                <w:lang w:eastAsia="en-GB"/>
              </w:rPr>
            </w:pPr>
            <w:r>
              <w:rPr>
                <w:rFonts w:eastAsia="Times New Roman"/>
                <w:bCs/>
                <w:szCs w:val="18"/>
                <w:lang w:eastAsia="en-GB"/>
              </w:rPr>
              <w:t>-</w:t>
            </w:r>
          </w:p>
        </w:tc>
      </w:tr>
      <w:tr w:rsidR="00A54AAF" w:rsidRPr="00F2575A" w14:paraId="062703C4" w14:textId="77777777" w:rsidTr="00187315">
        <w:tc>
          <w:tcPr>
            <w:tcW w:w="3402" w:type="dxa"/>
            <w:tcBorders>
              <w:top w:val="nil"/>
              <w:bottom w:val="nil"/>
            </w:tcBorders>
            <w:shd w:val="clear" w:color="auto" w:fill="auto"/>
            <w:vAlign w:val="center"/>
          </w:tcPr>
          <w:p w14:paraId="690DE592" w14:textId="77777777" w:rsidR="00A54AAF" w:rsidRPr="009A0E69" w:rsidRDefault="00A54AAF">
            <w:pPr>
              <w:pStyle w:val="Tabletext"/>
            </w:pPr>
            <w:r>
              <w:t>Direct seed investment at fair value</w:t>
            </w:r>
          </w:p>
        </w:tc>
        <w:tc>
          <w:tcPr>
            <w:tcW w:w="2212" w:type="dxa"/>
            <w:tcBorders>
              <w:top w:val="nil"/>
              <w:bottom w:val="nil"/>
            </w:tcBorders>
            <w:shd w:val="clear" w:color="auto" w:fill="auto"/>
            <w:vAlign w:val="center"/>
          </w:tcPr>
          <w:p w14:paraId="552D01D5" w14:textId="17ABD742" w:rsidR="00A54AAF" w:rsidRPr="004E04F0" w:rsidRDefault="00090787">
            <w:pPr>
              <w:pStyle w:val="Tabletext"/>
              <w:tabs>
                <w:tab w:val="decimal" w:pos="1890"/>
              </w:tabs>
            </w:pPr>
            <w:r>
              <w:t>145.0</w:t>
            </w:r>
          </w:p>
        </w:tc>
        <w:tc>
          <w:tcPr>
            <w:tcW w:w="193" w:type="dxa"/>
            <w:tcBorders>
              <w:top w:val="nil"/>
              <w:bottom w:val="nil"/>
            </w:tcBorders>
            <w:vAlign w:val="center"/>
          </w:tcPr>
          <w:p w14:paraId="3AAC2285" w14:textId="77777777" w:rsidR="00A54AAF" w:rsidRPr="00A66CA2" w:rsidRDefault="00A54AAF" w:rsidP="00187315">
            <w:pPr>
              <w:pStyle w:val="Tabletext"/>
            </w:pPr>
          </w:p>
        </w:tc>
        <w:tc>
          <w:tcPr>
            <w:tcW w:w="2212" w:type="dxa"/>
            <w:tcBorders>
              <w:top w:val="nil"/>
              <w:bottom w:val="nil"/>
            </w:tcBorders>
            <w:shd w:val="clear" w:color="auto" w:fill="auto"/>
            <w:vAlign w:val="center"/>
          </w:tcPr>
          <w:p w14:paraId="78B50F7F" w14:textId="77777777" w:rsidR="00A54AAF" w:rsidRPr="00A66CA2" w:rsidRDefault="00A54AAF">
            <w:pPr>
              <w:pStyle w:val="Tabletext"/>
              <w:tabs>
                <w:tab w:val="decimal" w:pos="1912"/>
              </w:tabs>
            </w:pPr>
            <w:r>
              <w:t>65.2</w:t>
            </w:r>
          </w:p>
        </w:tc>
        <w:tc>
          <w:tcPr>
            <w:tcW w:w="193" w:type="dxa"/>
            <w:tcBorders>
              <w:top w:val="nil"/>
              <w:bottom w:val="nil"/>
            </w:tcBorders>
            <w:vAlign w:val="center"/>
          </w:tcPr>
          <w:p w14:paraId="55206A67" w14:textId="77777777" w:rsidR="00A54AAF" w:rsidRPr="00A66CA2" w:rsidRDefault="00A54AAF" w:rsidP="00187315">
            <w:pPr>
              <w:pStyle w:val="Tabletext"/>
            </w:pPr>
          </w:p>
        </w:tc>
        <w:tc>
          <w:tcPr>
            <w:tcW w:w="2213" w:type="dxa"/>
            <w:tcBorders>
              <w:top w:val="nil"/>
              <w:bottom w:val="nil"/>
            </w:tcBorders>
            <w:shd w:val="clear" w:color="auto" w:fill="auto"/>
            <w:vAlign w:val="center"/>
          </w:tcPr>
          <w:p w14:paraId="579EE794" w14:textId="77777777" w:rsidR="00A54AAF" w:rsidRPr="00F2575A" w:rsidRDefault="00A54AAF">
            <w:pPr>
              <w:pStyle w:val="Tabletext"/>
              <w:tabs>
                <w:tab w:val="decimal" w:pos="1866"/>
              </w:tabs>
              <w:rPr>
                <w:highlight w:val="yellow"/>
              </w:rPr>
            </w:pPr>
            <w:r>
              <w:rPr>
                <w:rFonts w:eastAsia="Times New Roman"/>
                <w:bCs/>
                <w:szCs w:val="18"/>
                <w:lang w:eastAsia="en-GB"/>
              </w:rPr>
              <w:t>87.5</w:t>
            </w:r>
          </w:p>
        </w:tc>
      </w:tr>
      <w:tr w:rsidR="00A54AAF" w:rsidRPr="00D84099" w14:paraId="25859883" w14:textId="77777777" w:rsidTr="00187315">
        <w:tc>
          <w:tcPr>
            <w:tcW w:w="3402" w:type="dxa"/>
            <w:tcBorders>
              <w:top w:val="nil"/>
              <w:bottom w:val="nil"/>
            </w:tcBorders>
            <w:shd w:val="clear" w:color="auto" w:fill="auto"/>
            <w:vAlign w:val="center"/>
          </w:tcPr>
          <w:p w14:paraId="21C8385E" w14:textId="7C5AFFD6" w:rsidR="00A54AAF" w:rsidRDefault="006A3C35">
            <w:pPr>
              <w:pStyle w:val="Tabletext"/>
            </w:pPr>
            <w:r>
              <w:t>F</w:t>
            </w:r>
            <w:r w:rsidR="00A54AAF">
              <w:t>inancial assets due to consolidation of funds</w:t>
            </w:r>
          </w:p>
        </w:tc>
        <w:tc>
          <w:tcPr>
            <w:tcW w:w="2212" w:type="dxa"/>
            <w:tcBorders>
              <w:top w:val="nil"/>
              <w:bottom w:val="nil"/>
            </w:tcBorders>
            <w:shd w:val="clear" w:color="auto" w:fill="auto"/>
            <w:vAlign w:val="center"/>
          </w:tcPr>
          <w:p w14:paraId="1927308A" w14:textId="41129F1D" w:rsidR="00A54AAF" w:rsidRPr="005341DC" w:rsidRDefault="00090787">
            <w:pPr>
              <w:pStyle w:val="Tabletext"/>
              <w:tabs>
                <w:tab w:val="decimal" w:pos="1890"/>
              </w:tabs>
            </w:pPr>
            <w:r>
              <w:t>244.3</w:t>
            </w:r>
          </w:p>
        </w:tc>
        <w:tc>
          <w:tcPr>
            <w:tcW w:w="193" w:type="dxa"/>
            <w:tcBorders>
              <w:top w:val="nil"/>
              <w:bottom w:val="nil"/>
            </w:tcBorders>
            <w:vAlign w:val="center"/>
          </w:tcPr>
          <w:p w14:paraId="0F7DCF10" w14:textId="77777777" w:rsidR="00A54AAF" w:rsidRPr="00A66CA2" w:rsidRDefault="00A54AAF" w:rsidP="00187315">
            <w:pPr>
              <w:pStyle w:val="Tabletext"/>
            </w:pPr>
          </w:p>
        </w:tc>
        <w:tc>
          <w:tcPr>
            <w:tcW w:w="2212" w:type="dxa"/>
            <w:tcBorders>
              <w:top w:val="nil"/>
              <w:bottom w:val="nil"/>
            </w:tcBorders>
            <w:shd w:val="clear" w:color="auto" w:fill="auto"/>
            <w:vAlign w:val="center"/>
          </w:tcPr>
          <w:p w14:paraId="687D63BD" w14:textId="77777777" w:rsidR="00A54AAF" w:rsidRPr="00632714" w:rsidRDefault="00A54AAF">
            <w:pPr>
              <w:pStyle w:val="Tabletext"/>
              <w:tabs>
                <w:tab w:val="decimal" w:pos="1912"/>
              </w:tabs>
            </w:pPr>
            <w:r>
              <w:t>44.6</w:t>
            </w:r>
          </w:p>
        </w:tc>
        <w:tc>
          <w:tcPr>
            <w:tcW w:w="193" w:type="dxa"/>
            <w:tcBorders>
              <w:top w:val="nil"/>
              <w:bottom w:val="nil"/>
            </w:tcBorders>
            <w:vAlign w:val="center"/>
          </w:tcPr>
          <w:p w14:paraId="2D683C14" w14:textId="77777777" w:rsidR="00A54AAF" w:rsidRPr="00A66CA2" w:rsidRDefault="00A54AAF">
            <w:pPr>
              <w:pStyle w:val="Tabletext"/>
            </w:pPr>
          </w:p>
        </w:tc>
        <w:tc>
          <w:tcPr>
            <w:tcW w:w="2213" w:type="dxa"/>
            <w:tcBorders>
              <w:top w:val="nil"/>
              <w:bottom w:val="nil"/>
            </w:tcBorders>
            <w:shd w:val="clear" w:color="auto" w:fill="auto"/>
            <w:vAlign w:val="center"/>
          </w:tcPr>
          <w:p w14:paraId="12D58CC2" w14:textId="77777777" w:rsidR="00A54AAF" w:rsidRPr="00D84099" w:rsidRDefault="00A54AAF">
            <w:pPr>
              <w:pStyle w:val="Tabletext"/>
              <w:tabs>
                <w:tab w:val="decimal" w:pos="1866"/>
              </w:tabs>
              <w:rPr>
                <w:rFonts w:eastAsia="Times New Roman"/>
                <w:bCs/>
                <w:szCs w:val="18"/>
                <w:lang w:eastAsia="en-GB"/>
              </w:rPr>
            </w:pPr>
            <w:r>
              <w:rPr>
                <w:rFonts w:eastAsia="Times New Roman"/>
                <w:bCs/>
                <w:szCs w:val="18"/>
                <w:lang w:eastAsia="en-GB"/>
              </w:rPr>
              <w:t>76.8</w:t>
            </w:r>
          </w:p>
        </w:tc>
      </w:tr>
      <w:tr w:rsidR="00A54AAF" w:rsidRPr="00F2575A" w14:paraId="4729A61C" w14:textId="77777777" w:rsidTr="00187315">
        <w:tc>
          <w:tcPr>
            <w:tcW w:w="3402" w:type="dxa"/>
            <w:tcBorders>
              <w:top w:val="nil"/>
              <w:bottom w:val="nil"/>
            </w:tcBorders>
            <w:shd w:val="clear" w:color="auto" w:fill="auto"/>
            <w:vAlign w:val="center"/>
          </w:tcPr>
          <w:p w14:paraId="1138AF9C" w14:textId="77777777" w:rsidR="00A54AAF" w:rsidRDefault="00A54AAF">
            <w:pPr>
              <w:pStyle w:val="Tabletext"/>
            </w:pPr>
            <w:r>
              <w:t>Derivatives and fund unit hedges</w:t>
            </w:r>
          </w:p>
        </w:tc>
        <w:tc>
          <w:tcPr>
            <w:tcW w:w="2212" w:type="dxa"/>
            <w:tcBorders>
              <w:top w:val="nil"/>
              <w:bottom w:val="single" w:sz="4" w:space="0" w:color="auto"/>
            </w:tcBorders>
            <w:shd w:val="clear" w:color="auto" w:fill="auto"/>
            <w:vAlign w:val="center"/>
          </w:tcPr>
          <w:p w14:paraId="46B5BB3A" w14:textId="77117E74" w:rsidR="00A54AAF" w:rsidRPr="004E04F0" w:rsidRDefault="00090787">
            <w:pPr>
              <w:pStyle w:val="Tabletext"/>
              <w:tabs>
                <w:tab w:val="decimal" w:pos="1890"/>
              </w:tabs>
            </w:pPr>
            <w:r>
              <w:t>63.5</w:t>
            </w:r>
          </w:p>
        </w:tc>
        <w:tc>
          <w:tcPr>
            <w:tcW w:w="193" w:type="dxa"/>
            <w:tcBorders>
              <w:top w:val="nil"/>
              <w:bottom w:val="nil"/>
            </w:tcBorders>
            <w:vAlign w:val="center"/>
          </w:tcPr>
          <w:p w14:paraId="44DC8BD1" w14:textId="77777777" w:rsidR="00A54AAF" w:rsidRPr="00A66CA2" w:rsidRDefault="00A54AAF" w:rsidP="00187315">
            <w:pPr>
              <w:pStyle w:val="Tabletext"/>
            </w:pPr>
          </w:p>
        </w:tc>
        <w:tc>
          <w:tcPr>
            <w:tcW w:w="2212" w:type="dxa"/>
            <w:tcBorders>
              <w:top w:val="nil"/>
              <w:bottom w:val="single" w:sz="4" w:space="0" w:color="auto"/>
            </w:tcBorders>
            <w:shd w:val="clear" w:color="auto" w:fill="auto"/>
            <w:vAlign w:val="center"/>
          </w:tcPr>
          <w:p w14:paraId="5BECB268" w14:textId="77777777" w:rsidR="00A54AAF" w:rsidRDefault="00A54AAF">
            <w:pPr>
              <w:pStyle w:val="Tabletext"/>
              <w:tabs>
                <w:tab w:val="decimal" w:pos="1912"/>
              </w:tabs>
            </w:pPr>
            <w:r>
              <w:t>57.0</w:t>
            </w:r>
          </w:p>
        </w:tc>
        <w:tc>
          <w:tcPr>
            <w:tcW w:w="193" w:type="dxa"/>
            <w:tcBorders>
              <w:top w:val="nil"/>
              <w:bottom w:val="nil"/>
            </w:tcBorders>
            <w:vAlign w:val="center"/>
          </w:tcPr>
          <w:p w14:paraId="228525B0" w14:textId="77777777" w:rsidR="00A54AAF" w:rsidRPr="00A66CA2" w:rsidRDefault="00A54AAF" w:rsidP="00187315">
            <w:pPr>
              <w:pStyle w:val="Tabletext"/>
            </w:pPr>
          </w:p>
        </w:tc>
        <w:tc>
          <w:tcPr>
            <w:tcW w:w="2213" w:type="dxa"/>
            <w:tcBorders>
              <w:top w:val="nil"/>
              <w:bottom w:val="single" w:sz="4" w:space="0" w:color="auto"/>
            </w:tcBorders>
            <w:shd w:val="clear" w:color="auto" w:fill="auto"/>
            <w:vAlign w:val="center"/>
          </w:tcPr>
          <w:p w14:paraId="6903859C" w14:textId="77777777" w:rsidR="00A54AAF" w:rsidRPr="00F2575A" w:rsidRDefault="00A54AAF">
            <w:pPr>
              <w:pStyle w:val="Tabletext"/>
              <w:tabs>
                <w:tab w:val="decimal" w:pos="1866"/>
              </w:tabs>
              <w:rPr>
                <w:highlight w:val="yellow"/>
              </w:rPr>
            </w:pPr>
            <w:r>
              <w:rPr>
                <w:rFonts w:eastAsia="Times New Roman"/>
                <w:bCs/>
                <w:szCs w:val="18"/>
                <w:lang w:eastAsia="en-GB"/>
              </w:rPr>
              <w:t>55.1</w:t>
            </w:r>
          </w:p>
        </w:tc>
      </w:tr>
      <w:tr w:rsidR="00A54AAF" w:rsidRPr="001C5F44" w14:paraId="58EF280E" w14:textId="77777777">
        <w:tc>
          <w:tcPr>
            <w:tcW w:w="3402" w:type="dxa"/>
            <w:tcBorders>
              <w:top w:val="nil"/>
              <w:bottom w:val="nil"/>
            </w:tcBorders>
            <w:shd w:val="clear" w:color="auto" w:fill="auto"/>
            <w:vAlign w:val="center"/>
          </w:tcPr>
          <w:p w14:paraId="23D6645A" w14:textId="77777777" w:rsidR="00A54AAF" w:rsidRPr="00952D0B" w:rsidRDefault="00A54AAF">
            <w:pPr>
              <w:pStyle w:val="Tabletext"/>
              <w:rPr>
                <w:b/>
                <w:bCs/>
              </w:rPr>
            </w:pPr>
            <w:r w:rsidRPr="00952D0B">
              <w:rPr>
                <w:b/>
                <w:bCs/>
              </w:rPr>
              <w:t>Financial assets at FVTPL</w:t>
            </w:r>
          </w:p>
        </w:tc>
        <w:tc>
          <w:tcPr>
            <w:tcW w:w="2212" w:type="dxa"/>
            <w:tcBorders>
              <w:top w:val="single" w:sz="4" w:space="0" w:color="auto"/>
              <w:bottom w:val="nil"/>
            </w:tcBorders>
            <w:shd w:val="clear" w:color="auto" w:fill="auto"/>
            <w:vAlign w:val="center"/>
          </w:tcPr>
          <w:p w14:paraId="72D4A4E9" w14:textId="7DC991FC" w:rsidR="00A54AAF" w:rsidRPr="00187315" w:rsidRDefault="00090787">
            <w:pPr>
              <w:pStyle w:val="Tabletext"/>
              <w:tabs>
                <w:tab w:val="decimal" w:pos="1890"/>
              </w:tabs>
              <w:rPr>
                <w:b/>
              </w:rPr>
            </w:pPr>
            <w:r w:rsidRPr="00187315">
              <w:rPr>
                <w:b/>
              </w:rPr>
              <w:t>454.0</w:t>
            </w:r>
          </w:p>
        </w:tc>
        <w:tc>
          <w:tcPr>
            <w:tcW w:w="193" w:type="dxa"/>
            <w:tcBorders>
              <w:top w:val="nil"/>
              <w:bottom w:val="nil"/>
            </w:tcBorders>
          </w:tcPr>
          <w:p w14:paraId="62C78524" w14:textId="77777777" w:rsidR="00A54AAF" w:rsidRPr="00A66CA2" w:rsidRDefault="00A54AAF">
            <w:pPr>
              <w:pStyle w:val="Tabletext"/>
              <w:jc w:val="right"/>
            </w:pPr>
          </w:p>
        </w:tc>
        <w:tc>
          <w:tcPr>
            <w:tcW w:w="2212" w:type="dxa"/>
            <w:tcBorders>
              <w:top w:val="single" w:sz="4" w:space="0" w:color="auto"/>
              <w:bottom w:val="nil"/>
            </w:tcBorders>
            <w:shd w:val="clear" w:color="auto" w:fill="auto"/>
            <w:vAlign w:val="center"/>
          </w:tcPr>
          <w:p w14:paraId="1B4B91B8" w14:textId="77777777" w:rsidR="00A54AAF" w:rsidRPr="00952D0B" w:rsidRDefault="00A54AAF">
            <w:pPr>
              <w:pStyle w:val="Tabletext"/>
              <w:tabs>
                <w:tab w:val="decimal" w:pos="1912"/>
              </w:tabs>
              <w:rPr>
                <w:b/>
                <w:bCs/>
              </w:rPr>
            </w:pPr>
            <w:r w:rsidRPr="00952D0B">
              <w:rPr>
                <w:b/>
                <w:bCs/>
              </w:rPr>
              <w:t>166.8</w:t>
            </w:r>
          </w:p>
        </w:tc>
        <w:tc>
          <w:tcPr>
            <w:tcW w:w="193" w:type="dxa"/>
            <w:tcBorders>
              <w:top w:val="nil"/>
              <w:bottom w:val="nil"/>
            </w:tcBorders>
          </w:tcPr>
          <w:p w14:paraId="3D21F8F1" w14:textId="77777777" w:rsidR="00A54AAF" w:rsidRPr="00A66CA2" w:rsidRDefault="00A54AAF">
            <w:pPr>
              <w:pStyle w:val="Tabletext"/>
              <w:jc w:val="right"/>
            </w:pPr>
          </w:p>
        </w:tc>
        <w:tc>
          <w:tcPr>
            <w:tcW w:w="2213" w:type="dxa"/>
            <w:tcBorders>
              <w:top w:val="single" w:sz="4" w:space="0" w:color="auto"/>
              <w:bottom w:val="nil"/>
            </w:tcBorders>
            <w:shd w:val="clear" w:color="auto" w:fill="auto"/>
            <w:vAlign w:val="center"/>
          </w:tcPr>
          <w:p w14:paraId="5B57F8C3" w14:textId="77777777" w:rsidR="00A54AAF" w:rsidRPr="00952D0B" w:rsidRDefault="00A54AAF">
            <w:pPr>
              <w:pStyle w:val="Tabletext"/>
              <w:tabs>
                <w:tab w:val="decimal" w:pos="1866"/>
              </w:tabs>
              <w:rPr>
                <w:b/>
                <w:bCs/>
              </w:rPr>
            </w:pPr>
            <w:r w:rsidRPr="00952D0B">
              <w:rPr>
                <w:b/>
                <w:bCs/>
              </w:rPr>
              <w:t>219.4</w:t>
            </w:r>
          </w:p>
        </w:tc>
      </w:tr>
      <w:tr w:rsidR="00A54AAF" w:rsidRPr="001C5F44" w14:paraId="6595BB5E" w14:textId="77777777">
        <w:tc>
          <w:tcPr>
            <w:tcW w:w="3402" w:type="dxa"/>
            <w:tcBorders>
              <w:top w:val="nil"/>
              <w:bottom w:val="nil"/>
            </w:tcBorders>
            <w:shd w:val="clear" w:color="auto" w:fill="auto"/>
            <w:vAlign w:val="center"/>
          </w:tcPr>
          <w:p w14:paraId="69E08B68" w14:textId="77777777" w:rsidR="00A54AAF" w:rsidRDefault="00A54AAF">
            <w:pPr>
              <w:pStyle w:val="Tabletext"/>
            </w:pPr>
            <w:r>
              <w:t>Financial assets at amortised cost</w:t>
            </w:r>
          </w:p>
        </w:tc>
        <w:tc>
          <w:tcPr>
            <w:tcW w:w="2212" w:type="dxa"/>
            <w:tcBorders>
              <w:top w:val="nil"/>
              <w:bottom w:val="nil"/>
            </w:tcBorders>
            <w:shd w:val="clear" w:color="auto" w:fill="auto"/>
            <w:vAlign w:val="center"/>
          </w:tcPr>
          <w:p w14:paraId="66510B51" w14:textId="32947DF9" w:rsidR="00A54AAF" w:rsidRDefault="00090787">
            <w:pPr>
              <w:pStyle w:val="Tabletext"/>
              <w:tabs>
                <w:tab w:val="decimal" w:pos="1890"/>
              </w:tabs>
            </w:pPr>
            <w:r>
              <w:t>15.9</w:t>
            </w:r>
          </w:p>
        </w:tc>
        <w:tc>
          <w:tcPr>
            <w:tcW w:w="193" w:type="dxa"/>
            <w:tcBorders>
              <w:top w:val="nil"/>
              <w:bottom w:val="nil"/>
            </w:tcBorders>
          </w:tcPr>
          <w:p w14:paraId="4E2C09E7" w14:textId="77777777" w:rsidR="00A54AAF" w:rsidRPr="00A66CA2" w:rsidRDefault="00A54AAF">
            <w:pPr>
              <w:pStyle w:val="Tabletext"/>
              <w:jc w:val="right"/>
            </w:pPr>
          </w:p>
        </w:tc>
        <w:tc>
          <w:tcPr>
            <w:tcW w:w="2212" w:type="dxa"/>
            <w:tcBorders>
              <w:top w:val="nil"/>
              <w:bottom w:val="nil"/>
            </w:tcBorders>
            <w:shd w:val="clear" w:color="auto" w:fill="auto"/>
            <w:vAlign w:val="center"/>
          </w:tcPr>
          <w:p w14:paraId="0A84B6D7" w14:textId="77777777" w:rsidR="00A54AAF" w:rsidRPr="00632714" w:rsidRDefault="00A54AAF">
            <w:pPr>
              <w:pStyle w:val="Tabletext"/>
              <w:tabs>
                <w:tab w:val="decimal" w:pos="1912"/>
              </w:tabs>
            </w:pPr>
            <w:r>
              <w:t>-</w:t>
            </w:r>
          </w:p>
        </w:tc>
        <w:tc>
          <w:tcPr>
            <w:tcW w:w="193" w:type="dxa"/>
            <w:tcBorders>
              <w:top w:val="nil"/>
              <w:bottom w:val="nil"/>
            </w:tcBorders>
          </w:tcPr>
          <w:p w14:paraId="20671A5E" w14:textId="77777777" w:rsidR="00A54AAF" w:rsidRPr="00A66CA2" w:rsidRDefault="00A54AAF">
            <w:pPr>
              <w:pStyle w:val="Tabletext"/>
              <w:jc w:val="right"/>
            </w:pPr>
          </w:p>
        </w:tc>
        <w:tc>
          <w:tcPr>
            <w:tcW w:w="2213" w:type="dxa"/>
            <w:tcBorders>
              <w:top w:val="nil"/>
              <w:bottom w:val="nil"/>
            </w:tcBorders>
            <w:shd w:val="clear" w:color="auto" w:fill="auto"/>
            <w:vAlign w:val="center"/>
          </w:tcPr>
          <w:p w14:paraId="2E6B4DD5" w14:textId="77777777" w:rsidR="00A54AAF" w:rsidRPr="00F2575A" w:rsidRDefault="00A54AAF">
            <w:pPr>
              <w:pStyle w:val="Tabletext"/>
              <w:tabs>
                <w:tab w:val="decimal" w:pos="1866"/>
              </w:tabs>
            </w:pPr>
            <w:r>
              <w:t>13.4</w:t>
            </w:r>
          </w:p>
        </w:tc>
      </w:tr>
      <w:tr w:rsidR="00A54AAF" w:rsidRPr="001C5F44" w14:paraId="549864EC" w14:textId="77777777">
        <w:tc>
          <w:tcPr>
            <w:tcW w:w="3402" w:type="dxa"/>
            <w:tcBorders>
              <w:top w:val="nil"/>
              <w:bottom w:val="nil"/>
            </w:tcBorders>
            <w:shd w:val="clear" w:color="auto" w:fill="auto"/>
            <w:vAlign w:val="center"/>
          </w:tcPr>
          <w:p w14:paraId="3C4200EE" w14:textId="77777777" w:rsidR="00A54AAF" w:rsidRPr="00851326" w:rsidRDefault="00A54AAF">
            <w:pPr>
              <w:pStyle w:val="Tabletext"/>
              <w:rPr>
                <w:b/>
                <w:bCs/>
              </w:rPr>
            </w:pPr>
          </w:p>
        </w:tc>
        <w:tc>
          <w:tcPr>
            <w:tcW w:w="2212" w:type="dxa"/>
            <w:tcBorders>
              <w:top w:val="single" w:sz="4" w:space="0" w:color="auto"/>
              <w:bottom w:val="double" w:sz="4" w:space="0" w:color="auto"/>
            </w:tcBorders>
            <w:shd w:val="clear" w:color="auto" w:fill="auto"/>
            <w:vAlign w:val="center"/>
          </w:tcPr>
          <w:p w14:paraId="4B2A86FF" w14:textId="706BD1CD" w:rsidR="00A54AAF" w:rsidRPr="00225748" w:rsidRDefault="00090787">
            <w:pPr>
              <w:pStyle w:val="Tabletext"/>
              <w:tabs>
                <w:tab w:val="decimal" w:pos="1890"/>
              </w:tabs>
              <w:rPr>
                <w:b/>
                <w:bCs/>
              </w:rPr>
            </w:pPr>
            <w:r>
              <w:rPr>
                <w:b/>
                <w:bCs/>
              </w:rPr>
              <w:t>469.9</w:t>
            </w:r>
          </w:p>
        </w:tc>
        <w:tc>
          <w:tcPr>
            <w:tcW w:w="193" w:type="dxa"/>
            <w:tcBorders>
              <w:top w:val="nil"/>
              <w:bottom w:val="nil"/>
            </w:tcBorders>
          </w:tcPr>
          <w:p w14:paraId="3989CAFD" w14:textId="77777777" w:rsidR="00A54AAF" w:rsidRPr="00A66CA2" w:rsidRDefault="00A54AAF">
            <w:pPr>
              <w:pStyle w:val="Tabletext"/>
              <w:jc w:val="right"/>
            </w:pPr>
          </w:p>
        </w:tc>
        <w:tc>
          <w:tcPr>
            <w:tcW w:w="2212" w:type="dxa"/>
            <w:tcBorders>
              <w:top w:val="single" w:sz="4" w:space="0" w:color="auto"/>
              <w:bottom w:val="double" w:sz="4" w:space="0" w:color="auto"/>
            </w:tcBorders>
            <w:shd w:val="clear" w:color="auto" w:fill="auto"/>
            <w:vAlign w:val="center"/>
          </w:tcPr>
          <w:p w14:paraId="763D2A64" w14:textId="77777777" w:rsidR="00A54AAF" w:rsidRPr="00952D0B" w:rsidRDefault="00A54AAF">
            <w:pPr>
              <w:pStyle w:val="Tabletext"/>
              <w:tabs>
                <w:tab w:val="decimal" w:pos="1912"/>
              </w:tabs>
              <w:rPr>
                <w:b/>
                <w:bCs/>
              </w:rPr>
            </w:pPr>
            <w:r w:rsidRPr="00952D0B">
              <w:rPr>
                <w:b/>
                <w:bCs/>
              </w:rPr>
              <w:t>166.8</w:t>
            </w:r>
          </w:p>
        </w:tc>
        <w:tc>
          <w:tcPr>
            <w:tcW w:w="193" w:type="dxa"/>
            <w:tcBorders>
              <w:top w:val="nil"/>
              <w:bottom w:val="nil"/>
            </w:tcBorders>
          </w:tcPr>
          <w:p w14:paraId="23904068" w14:textId="77777777" w:rsidR="00A54AAF" w:rsidRPr="00A66CA2" w:rsidRDefault="00A54AAF">
            <w:pPr>
              <w:pStyle w:val="Tabletext"/>
              <w:jc w:val="right"/>
            </w:pPr>
          </w:p>
        </w:tc>
        <w:tc>
          <w:tcPr>
            <w:tcW w:w="2213" w:type="dxa"/>
            <w:tcBorders>
              <w:top w:val="single" w:sz="4" w:space="0" w:color="auto"/>
              <w:bottom w:val="double" w:sz="4" w:space="0" w:color="auto"/>
            </w:tcBorders>
            <w:shd w:val="clear" w:color="auto" w:fill="auto"/>
            <w:vAlign w:val="center"/>
          </w:tcPr>
          <w:p w14:paraId="700395D8" w14:textId="77777777" w:rsidR="00A54AAF" w:rsidRPr="001C5F44" w:rsidRDefault="00A54AAF">
            <w:pPr>
              <w:pStyle w:val="Tabletext"/>
              <w:tabs>
                <w:tab w:val="decimal" w:pos="1866"/>
              </w:tabs>
              <w:rPr>
                <w:b/>
                <w:bCs/>
              </w:rPr>
            </w:pPr>
            <w:r>
              <w:rPr>
                <w:b/>
                <w:bCs/>
              </w:rPr>
              <w:t>232.8</w:t>
            </w:r>
          </w:p>
        </w:tc>
      </w:tr>
      <w:bookmarkEnd w:id="8"/>
    </w:tbl>
    <w:p w14:paraId="75648979" w14:textId="77777777" w:rsidR="00A54AAF" w:rsidRDefault="00A54AAF"/>
    <w:p w14:paraId="2529AEC8" w14:textId="77777777" w:rsidR="00A54AAF" w:rsidRDefault="00A54AAF" w:rsidP="00096D05">
      <w:pPr>
        <w:pStyle w:val="Bodytext0"/>
        <w:rPr>
          <w:lang w:val="en-US"/>
        </w:rPr>
      </w:pP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7B576B" w:rsidRPr="00955F6B" w14:paraId="2837F47E" w14:textId="77777777">
        <w:tc>
          <w:tcPr>
            <w:tcW w:w="3402" w:type="dxa"/>
            <w:tcBorders>
              <w:bottom w:val="nil"/>
            </w:tcBorders>
            <w:vAlign w:val="bottom"/>
          </w:tcPr>
          <w:p w14:paraId="5E2F357A" w14:textId="77777777" w:rsidR="007B576B" w:rsidRPr="005405BA" w:rsidRDefault="007B576B" w:rsidP="007B576B">
            <w:pPr>
              <w:pStyle w:val="Tableheading"/>
              <w:jc w:val="right"/>
            </w:pPr>
          </w:p>
        </w:tc>
        <w:tc>
          <w:tcPr>
            <w:tcW w:w="2212" w:type="dxa"/>
            <w:tcBorders>
              <w:top w:val="nil"/>
              <w:bottom w:val="nil"/>
            </w:tcBorders>
            <w:vAlign w:val="bottom"/>
          </w:tcPr>
          <w:p w14:paraId="7CD132AE" w14:textId="77777777" w:rsidR="007B576B" w:rsidRDefault="007B576B" w:rsidP="007B576B">
            <w:pPr>
              <w:pStyle w:val="Tableheading"/>
              <w:jc w:val="right"/>
            </w:pPr>
            <w:r>
              <w:tab/>
              <w:t>30 June 2024</w:t>
            </w:r>
          </w:p>
          <w:p w14:paraId="6D7A63BC" w14:textId="0092431D" w:rsidR="007B576B" w:rsidRPr="005405BA" w:rsidRDefault="007B576B" w:rsidP="007B576B">
            <w:pPr>
              <w:pStyle w:val="Tableheading"/>
              <w:jc w:val="right"/>
            </w:pPr>
            <w:r>
              <w:t>£m</w:t>
            </w:r>
          </w:p>
        </w:tc>
        <w:tc>
          <w:tcPr>
            <w:tcW w:w="193" w:type="dxa"/>
            <w:tcBorders>
              <w:top w:val="nil"/>
              <w:bottom w:val="nil"/>
            </w:tcBorders>
            <w:vAlign w:val="bottom"/>
          </w:tcPr>
          <w:p w14:paraId="0B511CC2" w14:textId="77777777" w:rsidR="007B576B" w:rsidRPr="00955F6B" w:rsidRDefault="007B576B" w:rsidP="007B576B">
            <w:pPr>
              <w:pStyle w:val="Tableheading"/>
              <w:jc w:val="right"/>
            </w:pPr>
          </w:p>
        </w:tc>
        <w:tc>
          <w:tcPr>
            <w:tcW w:w="2212" w:type="dxa"/>
            <w:tcBorders>
              <w:top w:val="nil"/>
              <w:bottom w:val="nil"/>
            </w:tcBorders>
            <w:vAlign w:val="bottom"/>
          </w:tcPr>
          <w:p w14:paraId="3D7366AA" w14:textId="77777777" w:rsidR="007B576B" w:rsidRPr="00BE270D" w:rsidRDefault="007B576B" w:rsidP="007B576B">
            <w:pPr>
              <w:pStyle w:val="Tableheading"/>
              <w:jc w:val="right"/>
            </w:pPr>
            <w:r w:rsidRPr="00BE270D">
              <w:t xml:space="preserve">30 June </w:t>
            </w:r>
            <w:r>
              <w:t>2023</w:t>
            </w:r>
          </w:p>
          <w:p w14:paraId="57809215" w14:textId="0F3659F5" w:rsidR="007B576B" w:rsidRPr="009F40EF" w:rsidRDefault="007B576B" w:rsidP="007B576B">
            <w:pPr>
              <w:pStyle w:val="Tableheading"/>
              <w:jc w:val="right"/>
              <w:rPr>
                <w:b/>
                <w:bCs/>
              </w:rPr>
            </w:pPr>
            <w:r w:rsidRPr="00BE270D">
              <w:t>£m</w:t>
            </w:r>
          </w:p>
        </w:tc>
        <w:tc>
          <w:tcPr>
            <w:tcW w:w="193" w:type="dxa"/>
            <w:tcBorders>
              <w:top w:val="nil"/>
              <w:bottom w:val="nil"/>
            </w:tcBorders>
            <w:vAlign w:val="bottom"/>
          </w:tcPr>
          <w:p w14:paraId="7A7124BD" w14:textId="77777777" w:rsidR="007B576B" w:rsidRPr="009F40EF" w:rsidRDefault="007B576B" w:rsidP="007B576B">
            <w:pPr>
              <w:pStyle w:val="Tableheading"/>
              <w:jc w:val="right"/>
              <w:rPr>
                <w:b/>
                <w:bCs/>
              </w:rPr>
            </w:pPr>
          </w:p>
        </w:tc>
        <w:tc>
          <w:tcPr>
            <w:tcW w:w="2213" w:type="dxa"/>
            <w:tcBorders>
              <w:top w:val="nil"/>
              <w:bottom w:val="nil"/>
            </w:tcBorders>
            <w:vAlign w:val="bottom"/>
          </w:tcPr>
          <w:p w14:paraId="2088BBF9" w14:textId="77777777" w:rsidR="007B576B" w:rsidRPr="00BE270D" w:rsidRDefault="007B576B" w:rsidP="007B576B">
            <w:pPr>
              <w:pStyle w:val="Tableheading"/>
              <w:jc w:val="right"/>
            </w:pPr>
            <w:r w:rsidRPr="00BE270D">
              <w:t xml:space="preserve">31 December </w:t>
            </w:r>
            <w:r>
              <w:t>2023</w:t>
            </w:r>
          </w:p>
          <w:p w14:paraId="21392472" w14:textId="38A00345" w:rsidR="007B576B" w:rsidRPr="00F2575A" w:rsidRDefault="007B576B" w:rsidP="007B576B">
            <w:pPr>
              <w:pStyle w:val="Tableheading"/>
              <w:jc w:val="right"/>
              <w:rPr>
                <w:b/>
                <w:bCs/>
                <w:highlight w:val="yellow"/>
              </w:rPr>
            </w:pPr>
            <w:r w:rsidRPr="00BE270D">
              <w:t>£m</w:t>
            </w:r>
          </w:p>
        </w:tc>
      </w:tr>
      <w:tr w:rsidR="00096D05" w:rsidRPr="00A66CA2" w14:paraId="039A5F63" w14:textId="77777777">
        <w:tc>
          <w:tcPr>
            <w:tcW w:w="3402" w:type="dxa"/>
            <w:tcBorders>
              <w:top w:val="nil"/>
              <w:bottom w:val="nil"/>
            </w:tcBorders>
            <w:shd w:val="clear" w:color="auto" w:fill="auto"/>
            <w:vAlign w:val="center"/>
          </w:tcPr>
          <w:p w14:paraId="3D1FD222" w14:textId="2863B048" w:rsidR="00096D05" w:rsidRPr="00952D0B" w:rsidRDefault="007B576B">
            <w:pPr>
              <w:pStyle w:val="Tabletext"/>
              <w:rPr>
                <w:b/>
                <w:bCs/>
              </w:rPr>
            </w:pPr>
            <w:r w:rsidRPr="00952D0B">
              <w:rPr>
                <w:b/>
                <w:bCs/>
              </w:rPr>
              <w:t xml:space="preserve">Financial </w:t>
            </w:r>
            <w:r w:rsidR="00387E6B">
              <w:rPr>
                <w:b/>
                <w:bCs/>
              </w:rPr>
              <w:t>l</w:t>
            </w:r>
            <w:r w:rsidRPr="00952D0B">
              <w:rPr>
                <w:b/>
                <w:bCs/>
              </w:rPr>
              <w:t>iabilities</w:t>
            </w:r>
            <w:r w:rsidR="0036332C">
              <w:rPr>
                <w:b/>
                <w:bCs/>
              </w:rPr>
              <w:t xml:space="preserve"> at FVTPL</w:t>
            </w:r>
          </w:p>
        </w:tc>
        <w:tc>
          <w:tcPr>
            <w:tcW w:w="2212" w:type="dxa"/>
            <w:tcBorders>
              <w:top w:val="nil"/>
              <w:bottom w:val="nil"/>
            </w:tcBorders>
            <w:shd w:val="clear" w:color="auto" w:fill="auto"/>
            <w:vAlign w:val="center"/>
          </w:tcPr>
          <w:p w14:paraId="08CD29C3" w14:textId="7C8730C3" w:rsidR="00096D05" w:rsidRPr="005341DC" w:rsidRDefault="00096D05">
            <w:pPr>
              <w:pStyle w:val="Tabletext"/>
              <w:tabs>
                <w:tab w:val="decimal" w:pos="1890"/>
              </w:tabs>
            </w:pPr>
          </w:p>
        </w:tc>
        <w:tc>
          <w:tcPr>
            <w:tcW w:w="193" w:type="dxa"/>
            <w:tcBorders>
              <w:top w:val="nil"/>
              <w:bottom w:val="nil"/>
            </w:tcBorders>
          </w:tcPr>
          <w:p w14:paraId="41C7D549" w14:textId="77777777" w:rsidR="00096D05" w:rsidRPr="00A66CA2" w:rsidRDefault="00096D05">
            <w:pPr>
              <w:pStyle w:val="Tabletext"/>
              <w:jc w:val="right"/>
            </w:pPr>
          </w:p>
        </w:tc>
        <w:tc>
          <w:tcPr>
            <w:tcW w:w="2212" w:type="dxa"/>
            <w:tcBorders>
              <w:top w:val="nil"/>
              <w:bottom w:val="nil"/>
            </w:tcBorders>
            <w:shd w:val="clear" w:color="auto" w:fill="auto"/>
            <w:vAlign w:val="center"/>
          </w:tcPr>
          <w:p w14:paraId="2A4E3B3F" w14:textId="6973CB54" w:rsidR="00096D05" w:rsidRPr="00632714" w:rsidRDefault="00096D05">
            <w:pPr>
              <w:pStyle w:val="Tabletext"/>
              <w:tabs>
                <w:tab w:val="decimal" w:pos="1912"/>
              </w:tabs>
            </w:pPr>
          </w:p>
        </w:tc>
        <w:tc>
          <w:tcPr>
            <w:tcW w:w="193" w:type="dxa"/>
            <w:tcBorders>
              <w:top w:val="nil"/>
              <w:bottom w:val="nil"/>
            </w:tcBorders>
          </w:tcPr>
          <w:p w14:paraId="16439EAE" w14:textId="77777777" w:rsidR="00096D05" w:rsidRPr="00A66CA2" w:rsidRDefault="00096D05">
            <w:pPr>
              <w:pStyle w:val="Tabletext"/>
              <w:jc w:val="right"/>
            </w:pPr>
          </w:p>
        </w:tc>
        <w:tc>
          <w:tcPr>
            <w:tcW w:w="2213" w:type="dxa"/>
            <w:tcBorders>
              <w:top w:val="nil"/>
              <w:bottom w:val="nil"/>
            </w:tcBorders>
            <w:shd w:val="clear" w:color="auto" w:fill="auto"/>
            <w:vAlign w:val="center"/>
          </w:tcPr>
          <w:p w14:paraId="3B2B34EE" w14:textId="06579821" w:rsidR="00096D05" w:rsidRPr="00D84099" w:rsidRDefault="00096D05">
            <w:pPr>
              <w:pStyle w:val="Tabletext"/>
              <w:tabs>
                <w:tab w:val="decimal" w:pos="1866"/>
              </w:tabs>
              <w:rPr>
                <w:rFonts w:eastAsia="Times New Roman"/>
                <w:bCs/>
                <w:szCs w:val="18"/>
                <w:lang w:eastAsia="en-GB"/>
              </w:rPr>
            </w:pPr>
          </w:p>
        </w:tc>
      </w:tr>
      <w:tr w:rsidR="00096D05" w:rsidRPr="00A66CA2" w14:paraId="63011CDF" w14:textId="77777777">
        <w:tc>
          <w:tcPr>
            <w:tcW w:w="3402" w:type="dxa"/>
            <w:tcBorders>
              <w:top w:val="nil"/>
              <w:bottom w:val="nil"/>
            </w:tcBorders>
            <w:shd w:val="clear" w:color="auto" w:fill="auto"/>
            <w:vAlign w:val="center"/>
          </w:tcPr>
          <w:p w14:paraId="544A1309" w14:textId="65C164E1" w:rsidR="00096D05" w:rsidRDefault="00096D05">
            <w:pPr>
              <w:pStyle w:val="Tabletext"/>
            </w:pPr>
            <w:r>
              <w:t xml:space="preserve">Financial liabilities </w:t>
            </w:r>
            <w:r w:rsidR="006A3C35">
              <w:t>due to consolidation of funds</w:t>
            </w:r>
          </w:p>
        </w:tc>
        <w:tc>
          <w:tcPr>
            <w:tcW w:w="2212" w:type="dxa"/>
            <w:tcBorders>
              <w:top w:val="nil"/>
              <w:bottom w:val="nil"/>
            </w:tcBorders>
            <w:shd w:val="clear" w:color="auto" w:fill="auto"/>
            <w:vAlign w:val="center"/>
          </w:tcPr>
          <w:p w14:paraId="38C91158" w14:textId="16DC91CE" w:rsidR="00096D05" w:rsidRPr="004E04F0" w:rsidRDefault="00090787">
            <w:pPr>
              <w:pStyle w:val="Tabletext"/>
              <w:tabs>
                <w:tab w:val="decimal" w:pos="1890"/>
              </w:tabs>
            </w:pPr>
            <w:r>
              <w:t>(250.8)</w:t>
            </w:r>
          </w:p>
        </w:tc>
        <w:tc>
          <w:tcPr>
            <w:tcW w:w="193" w:type="dxa"/>
            <w:tcBorders>
              <w:top w:val="nil"/>
              <w:bottom w:val="nil"/>
            </w:tcBorders>
          </w:tcPr>
          <w:p w14:paraId="14AB24FA" w14:textId="77777777" w:rsidR="00096D05" w:rsidRPr="00A66CA2" w:rsidRDefault="00096D05">
            <w:pPr>
              <w:pStyle w:val="Tabletext"/>
              <w:jc w:val="right"/>
            </w:pPr>
          </w:p>
        </w:tc>
        <w:tc>
          <w:tcPr>
            <w:tcW w:w="2212" w:type="dxa"/>
            <w:tcBorders>
              <w:top w:val="nil"/>
              <w:bottom w:val="nil"/>
            </w:tcBorders>
            <w:shd w:val="clear" w:color="auto" w:fill="auto"/>
            <w:vAlign w:val="center"/>
          </w:tcPr>
          <w:p w14:paraId="04B653A8" w14:textId="560F4FFF" w:rsidR="00096D05" w:rsidRDefault="007B576B">
            <w:pPr>
              <w:pStyle w:val="Tabletext"/>
              <w:tabs>
                <w:tab w:val="decimal" w:pos="1912"/>
              </w:tabs>
            </w:pPr>
            <w:r>
              <w:t>(48.5)</w:t>
            </w:r>
          </w:p>
        </w:tc>
        <w:tc>
          <w:tcPr>
            <w:tcW w:w="193" w:type="dxa"/>
            <w:tcBorders>
              <w:top w:val="nil"/>
              <w:bottom w:val="nil"/>
            </w:tcBorders>
          </w:tcPr>
          <w:p w14:paraId="61B3F66C" w14:textId="77777777" w:rsidR="00096D05" w:rsidRPr="00A66CA2" w:rsidRDefault="00096D05">
            <w:pPr>
              <w:pStyle w:val="Tabletext"/>
              <w:jc w:val="right"/>
            </w:pPr>
          </w:p>
        </w:tc>
        <w:tc>
          <w:tcPr>
            <w:tcW w:w="2213" w:type="dxa"/>
            <w:tcBorders>
              <w:top w:val="nil"/>
              <w:bottom w:val="nil"/>
            </w:tcBorders>
            <w:shd w:val="clear" w:color="auto" w:fill="auto"/>
            <w:vAlign w:val="center"/>
          </w:tcPr>
          <w:p w14:paraId="50017562" w14:textId="1250EDE5" w:rsidR="00096D05" w:rsidRPr="00F2575A" w:rsidRDefault="00096D05">
            <w:pPr>
              <w:pStyle w:val="Tabletext"/>
              <w:tabs>
                <w:tab w:val="decimal" w:pos="1866"/>
              </w:tabs>
              <w:rPr>
                <w:highlight w:val="yellow"/>
              </w:rPr>
            </w:pPr>
            <w:r w:rsidRPr="00D84099">
              <w:rPr>
                <w:rFonts w:eastAsia="Times New Roman"/>
                <w:bCs/>
                <w:szCs w:val="18"/>
                <w:lang w:eastAsia="en-GB"/>
              </w:rPr>
              <w:t>(</w:t>
            </w:r>
            <w:r w:rsidR="007B576B">
              <w:rPr>
                <w:rFonts w:eastAsia="Times New Roman"/>
                <w:bCs/>
                <w:szCs w:val="18"/>
                <w:lang w:eastAsia="en-GB"/>
              </w:rPr>
              <w:t>80.2</w:t>
            </w:r>
            <w:r w:rsidRPr="00D84099">
              <w:rPr>
                <w:rFonts w:eastAsia="Times New Roman"/>
                <w:bCs/>
                <w:szCs w:val="18"/>
                <w:lang w:eastAsia="en-GB"/>
              </w:rPr>
              <w:t>)</w:t>
            </w:r>
          </w:p>
        </w:tc>
      </w:tr>
      <w:tr w:rsidR="00096D05" w:rsidRPr="00A66CA2" w14:paraId="3DCF12C2" w14:textId="77777777">
        <w:tc>
          <w:tcPr>
            <w:tcW w:w="3402" w:type="dxa"/>
            <w:tcBorders>
              <w:top w:val="nil"/>
              <w:bottom w:val="nil"/>
            </w:tcBorders>
            <w:shd w:val="clear" w:color="auto" w:fill="auto"/>
            <w:vAlign w:val="center"/>
          </w:tcPr>
          <w:p w14:paraId="3CBD82E9" w14:textId="136E779A" w:rsidR="00096D05" w:rsidRDefault="0036332C">
            <w:pPr>
              <w:pStyle w:val="Tabletext"/>
            </w:pPr>
            <w:r>
              <w:t>Derivatives</w:t>
            </w:r>
            <w:r w:rsidR="00096D05">
              <w:t xml:space="preserve"> </w:t>
            </w:r>
          </w:p>
        </w:tc>
        <w:tc>
          <w:tcPr>
            <w:tcW w:w="2212" w:type="dxa"/>
            <w:tcBorders>
              <w:top w:val="nil"/>
              <w:bottom w:val="nil"/>
            </w:tcBorders>
            <w:shd w:val="clear" w:color="auto" w:fill="auto"/>
            <w:vAlign w:val="center"/>
          </w:tcPr>
          <w:p w14:paraId="4D53EDB3" w14:textId="3929506A" w:rsidR="00096D05" w:rsidRPr="004E04F0" w:rsidRDefault="00090787">
            <w:pPr>
              <w:pStyle w:val="Tabletext"/>
              <w:tabs>
                <w:tab w:val="decimal" w:pos="1890"/>
              </w:tabs>
            </w:pPr>
            <w:r>
              <w:t>(0.1)</w:t>
            </w:r>
          </w:p>
        </w:tc>
        <w:tc>
          <w:tcPr>
            <w:tcW w:w="193" w:type="dxa"/>
            <w:tcBorders>
              <w:top w:val="nil"/>
              <w:bottom w:val="nil"/>
            </w:tcBorders>
          </w:tcPr>
          <w:p w14:paraId="27D2C9B1" w14:textId="77777777" w:rsidR="00096D05" w:rsidRPr="00A66CA2" w:rsidRDefault="00096D05">
            <w:pPr>
              <w:pStyle w:val="Tabletext"/>
              <w:jc w:val="right"/>
            </w:pPr>
          </w:p>
        </w:tc>
        <w:tc>
          <w:tcPr>
            <w:tcW w:w="2212" w:type="dxa"/>
            <w:tcBorders>
              <w:top w:val="nil"/>
              <w:bottom w:val="nil"/>
            </w:tcBorders>
            <w:shd w:val="clear" w:color="auto" w:fill="auto"/>
            <w:vAlign w:val="center"/>
          </w:tcPr>
          <w:p w14:paraId="5C9040B9" w14:textId="0094A323" w:rsidR="00096D05" w:rsidRDefault="007B576B">
            <w:pPr>
              <w:pStyle w:val="Tabletext"/>
              <w:tabs>
                <w:tab w:val="decimal" w:pos="1912"/>
              </w:tabs>
            </w:pPr>
            <w:r>
              <w:t>-</w:t>
            </w:r>
          </w:p>
        </w:tc>
        <w:tc>
          <w:tcPr>
            <w:tcW w:w="193" w:type="dxa"/>
            <w:tcBorders>
              <w:top w:val="nil"/>
              <w:bottom w:val="nil"/>
            </w:tcBorders>
          </w:tcPr>
          <w:p w14:paraId="250FE69B" w14:textId="77777777" w:rsidR="00096D05" w:rsidRPr="00A66CA2" w:rsidRDefault="00096D05">
            <w:pPr>
              <w:pStyle w:val="Tabletext"/>
              <w:jc w:val="right"/>
            </w:pPr>
          </w:p>
        </w:tc>
        <w:tc>
          <w:tcPr>
            <w:tcW w:w="2213" w:type="dxa"/>
            <w:tcBorders>
              <w:top w:val="nil"/>
              <w:bottom w:val="nil"/>
            </w:tcBorders>
            <w:shd w:val="clear" w:color="auto" w:fill="auto"/>
            <w:vAlign w:val="center"/>
          </w:tcPr>
          <w:p w14:paraId="6E0E8346" w14:textId="18646736" w:rsidR="00096D05" w:rsidRPr="001C5F44" w:rsidRDefault="00096D05">
            <w:pPr>
              <w:pStyle w:val="Tabletext"/>
              <w:tabs>
                <w:tab w:val="decimal" w:pos="1866"/>
              </w:tabs>
            </w:pPr>
            <w:r w:rsidRPr="00F2575A">
              <w:t>(0.</w:t>
            </w:r>
            <w:r w:rsidR="007B576B">
              <w:t>1</w:t>
            </w:r>
            <w:r w:rsidRPr="00F2575A">
              <w:t>)</w:t>
            </w:r>
          </w:p>
        </w:tc>
      </w:tr>
      <w:tr w:rsidR="00096D05" w:rsidRPr="00A66CA2" w14:paraId="37EC79ED" w14:textId="77777777">
        <w:tc>
          <w:tcPr>
            <w:tcW w:w="3402" w:type="dxa"/>
            <w:tcBorders>
              <w:top w:val="nil"/>
              <w:bottom w:val="nil"/>
            </w:tcBorders>
            <w:shd w:val="clear" w:color="auto" w:fill="auto"/>
            <w:vAlign w:val="center"/>
          </w:tcPr>
          <w:p w14:paraId="4C0F7FE8" w14:textId="77777777" w:rsidR="00096D05" w:rsidRPr="00851326" w:rsidRDefault="00096D05">
            <w:pPr>
              <w:pStyle w:val="Tabletext"/>
              <w:rPr>
                <w:b/>
                <w:bCs/>
              </w:rPr>
            </w:pPr>
          </w:p>
        </w:tc>
        <w:tc>
          <w:tcPr>
            <w:tcW w:w="2212" w:type="dxa"/>
            <w:tcBorders>
              <w:top w:val="single" w:sz="4" w:space="0" w:color="auto"/>
              <w:bottom w:val="double" w:sz="4" w:space="0" w:color="auto"/>
            </w:tcBorders>
            <w:shd w:val="clear" w:color="auto" w:fill="auto"/>
            <w:vAlign w:val="center"/>
          </w:tcPr>
          <w:p w14:paraId="09AAC28C" w14:textId="548A1C90" w:rsidR="00096D05" w:rsidRPr="00225748" w:rsidRDefault="00090787">
            <w:pPr>
              <w:pStyle w:val="Tabletext"/>
              <w:tabs>
                <w:tab w:val="decimal" w:pos="1890"/>
              </w:tabs>
              <w:rPr>
                <w:b/>
                <w:bCs/>
              </w:rPr>
            </w:pPr>
            <w:r>
              <w:rPr>
                <w:b/>
                <w:bCs/>
              </w:rPr>
              <w:t>(250.9)</w:t>
            </w:r>
          </w:p>
        </w:tc>
        <w:tc>
          <w:tcPr>
            <w:tcW w:w="193" w:type="dxa"/>
            <w:tcBorders>
              <w:top w:val="nil"/>
              <w:bottom w:val="nil"/>
            </w:tcBorders>
          </w:tcPr>
          <w:p w14:paraId="76F63179" w14:textId="77777777" w:rsidR="00096D05" w:rsidRPr="00A66CA2" w:rsidRDefault="00096D05">
            <w:pPr>
              <w:pStyle w:val="Tabletext"/>
              <w:jc w:val="right"/>
            </w:pPr>
          </w:p>
        </w:tc>
        <w:tc>
          <w:tcPr>
            <w:tcW w:w="2212" w:type="dxa"/>
            <w:tcBorders>
              <w:top w:val="single" w:sz="4" w:space="0" w:color="auto"/>
              <w:bottom w:val="double" w:sz="4" w:space="0" w:color="auto"/>
            </w:tcBorders>
            <w:shd w:val="clear" w:color="auto" w:fill="auto"/>
            <w:vAlign w:val="center"/>
          </w:tcPr>
          <w:p w14:paraId="5DD4ED23" w14:textId="768BD4EB" w:rsidR="00096D05" w:rsidRPr="00952D0B" w:rsidRDefault="007B576B">
            <w:pPr>
              <w:pStyle w:val="Tabletext"/>
              <w:tabs>
                <w:tab w:val="decimal" w:pos="1912"/>
              </w:tabs>
              <w:rPr>
                <w:b/>
                <w:bCs/>
              </w:rPr>
            </w:pPr>
            <w:r w:rsidRPr="00952D0B">
              <w:rPr>
                <w:b/>
                <w:bCs/>
              </w:rPr>
              <w:t>(48.5)</w:t>
            </w:r>
          </w:p>
        </w:tc>
        <w:tc>
          <w:tcPr>
            <w:tcW w:w="193" w:type="dxa"/>
            <w:tcBorders>
              <w:top w:val="nil"/>
              <w:bottom w:val="nil"/>
            </w:tcBorders>
          </w:tcPr>
          <w:p w14:paraId="4C9A2D0F" w14:textId="77777777" w:rsidR="00096D05" w:rsidRPr="00A66CA2" w:rsidRDefault="00096D05">
            <w:pPr>
              <w:pStyle w:val="Tabletext"/>
              <w:jc w:val="right"/>
            </w:pPr>
          </w:p>
        </w:tc>
        <w:tc>
          <w:tcPr>
            <w:tcW w:w="2213" w:type="dxa"/>
            <w:tcBorders>
              <w:top w:val="single" w:sz="4" w:space="0" w:color="auto"/>
              <w:bottom w:val="double" w:sz="4" w:space="0" w:color="auto"/>
            </w:tcBorders>
            <w:shd w:val="clear" w:color="auto" w:fill="auto"/>
            <w:vAlign w:val="center"/>
          </w:tcPr>
          <w:p w14:paraId="51BF6E04" w14:textId="4FC26AAB" w:rsidR="00096D05" w:rsidRPr="001C5F44" w:rsidRDefault="007B576B">
            <w:pPr>
              <w:pStyle w:val="Tabletext"/>
              <w:tabs>
                <w:tab w:val="decimal" w:pos="1866"/>
              </w:tabs>
              <w:rPr>
                <w:b/>
                <w:bCs/>
              </w:rPr>
            </w:pPr>
            <w:r>
              <w:rPr>
                <w:b/>
                <w:bCs/>
              </w:rPr>
              <w:t>(80.3)</w:t>
            </w:r>
          </w:p>
        </w:tc>
      </w:tr>
    </w:tbl>
    <w:p w14:paraId="7075E5BA" w14:textId="77777777" w:rsidR="00422A4D" w:rsidRDefault="00422A4D" w:rsidP="00CF007D">
      <w:pPr>
        <w:pStyle w:val="Subheading"/>
        <w:tabs>
          <w:tab w:val="left" w:pos="567"/>
        </w:tabs>
      </w:pPr>
    </w:p>
    <w:p w14:paraId="37C89B67" w14:textId="77777777" w:rsidR="00422A4D" w:rsidRDefault="00422A4D">
      <w:pPr>
        <w:rPr>
          <w:rFonts w:ascii="Source Sans Pro Semibold" w:eastAsiaTheme="minorHAnsi" w:hAnsi="Source Sans Pro Semibold"/>
          <w:color w:val="16293F" w:themeColor="text1"/>
          <w:sz w:val="24"/>
          <w:lang w:val="en-GB" w:eastAsia="en-US"/>
        </w:rPr>
      </w:pPr>
      <w:r>
        <w:br w:type="page"/>
      </w:r>
    </w:p>
    <w:p w14:paraId="62AC6756" w14:textId="75FAF652" w:rsidR="008A5742" w:rsidRPr="00850474" w:rsidRDefault="00DA64B8" w:rsidP="00CF007D">
      <w:pPr>
        <w:pStyle w:val="Subheading"/>
        <w:tabs>
          <w:tab w:val="left" w:pos="567"/>
        </w:tabs>
      </w:pPr>
      <w:r>
        <w:lastRenderedPageBreak/>
        <w:t>12.</w:t>
      </w:r>
      <w:r w:rsidR="00083A07">
        <w:tab/>
        <w:t>Cash and cash equivalents</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8A5742" w:rsidRPr="00955F6B" w14:paraId="2D05279D" w14:textId="77777777" w:rsidTr="00B17DE3">
        <w:tc>
          <w:tcPr>
            <w:tcW w:w="3402" w:type="dxa"/>
            <w:tcBorders>
              <w:bottom w:val="nil"/>
            </w:tcBorders>
            <w:vAlign w:val="bottom"/>
          </w:tcPr>
          <w:p w14:paraId="0B052FE1" w14:textId="77777777" w:rsidR="008A5742" w:rsidRPr="005405BA" w:rsidRDefault="008A5742" w:rsidP="00B17DE3">
            <w:pPr>
              <w:pStyle w:val="Tableheading"/>
              <w:jc w:val="right"/>
            </w:pPr>
          </w:p>
        </w:tc>
        <w:tc>
          <w:tcPr>
            <w:tcW w:w="2212" w:type="dxa"/>
            <w:tcBorders>
              <w:top w:val="nil"/>
              <w:bottom w:val="nil"/>
            </w:tcBorders>
            <w:vAlign w:val="bottom"/>
          </w:tcPr>
          <w:p w14:paraId="610A71D9" w14:textId="7770BEAC" w:rsidR="008A5742" w:rsidRDefault="008A5742" w:rsidP="00B17DE3">
            <w:pPr>
              <w:pStyle w:val="Tableheading"/>
              <w:jc w:val="right"/>
            </w:pPr>
            <w:r>
              <w:tab/>
              <w:t xml:space="preserve">30 June </w:t>
            </w:r>
            <w:r w:rsidR="00E85F7E">
              <w:t>2024</w:t>
            </w:r>
          </w:p>
          <w:p w14:paraId="68BE8AFD" w14:textId="77777777" w:rsidR="008A5742" w:rsidRPr="005405BA" w:rsidRDefault="008A5742" w:rsidP="00B17DE3">
            <w:pPr>
              <w:pStyle w:val="Tableheading"/>
              <w:jc w:val="right"/>
            </w:pPr>
            <w:r>
              <w:t>£m</w:t>
            </w:r>
          </w:p>
        </w:tc>
        <w:tc>
          <w:tcPr>
            <w:tcW w:w="193" w:type="dxa"/>
            <w:tcBorders>
              <w:top w:val="nil"/>
              <w:bottom w:val="nil"/>
            </w:tcBorders>
            <w:vAlign w:val="bottom"/>
          </w:tcPr>
          <w:p w14:paraId="70E70118" w14:textId="77777777" w:rsidR="008A5742" w:rsidRPr="00955F6B" w:rsidRDefault="008A5742" w:rsidP="00B17DE3">
            <w:pPr>
              <w:pStyle w:val="Tableheading"/>
              <w:jc w:val="right"/>
            </w:pPr>
          </w:p>
        </w:tc>
        <w:tc>
          <w:tcPr>
            <w:tcW w:w="2212" w:type="dxa"/>
            <w:tcBorders>
              <w:top w:val="nil"/>
              <w:bottom w:val="nil"/>
            </w:tcBorders>
            <w:vAlign w:val="bottom"/>
          </w:tcPr>
          <w:p w14:paraId="6921F937" w14:textId="673127C3" w:rsidR="008A5742" w:rsidRPr="00BE270D" w:rsidRDefault="008A5742" w:rsidP="00B17DE3">
            <w:pPr>
              <w:pStyle w:val="Tableheading"/>
              <w:jc w:val="right"/>
            </w:pPr>
            <w:r w:rsidRPr="00BE270D">
              <w:t xml:space="preserve">30 June </w:t>
            </w:r>
            <w:r w:rsidR="00E85F7E">
              <w:t>2023</w:t>
            </w:r>
          </w:p>
          <w:p w14:paraId="5762AACA" w14:textId="77777777" w:rsidR="008A5742" w:rsidRPr="00BE270D" w:rsidRDefault="008A5742" w:rsidP="00B17DE3">
            <w:pPr>
              <w:pStyle w:val="Tableheading"/>
              <w:jc w:val="right"/>
            </w:pPr>
            <w:r w:rsidRPr="00BE270D">
              <w:t>£m</w:t>
            </w:r>
          </w:p>
        </w:tc>
        <w:tc>
          <w:tcPr>
            <w:tcW w:w="193" w:type="dxa"/>
            <w:tcBorders>
              <w:top w:val="nil"/>
              <w:bottom w:val="nil"/>
            </w:tcBorders>
            <w:vAlign w:val="bottom"/>
          </w:tcPr>
          <w:p w14:paraId="7F3EF23A" w14:textId="77777777" w:rsidR="008A5742" w:rsidRPr="00BE270D" w:rsidRDefault="008A5742" w:rsidP="00B17DE3">
            <w:pPr>
              <w:pStyle w:val="Tableheading"/>
              <w:jc w:val="right"/>
            </w:pPr>
          </w:p>
        </w:tc>
        <w:tc>
          <w:tcPr>
            <w:tcW w:w="2213" w:type="dxa"/>
            <w:tcBorders>
              <w:top w:val="nil"/>
              <w:bottom w:val="nil"/>
            </w:tcBorders>
            <w:vAlign w:val="bottom"/>
          </w:tcPr>
          <w:p w14:paraId="2CDF9C06" w14:textId="2629AC93" w:rsidR="008A5742" w:rsidRPr="00BE270D" w:rsidRDefault="008A5742" w:rsidP="00B17DE3">
            <w:pPr>
              <w:pStyle w:val="Tableheading"/>
              <w:jc w:val="right"/>
            </w:pPr>
            <w:r w:rsidRPr="00BE270D">
              <w:t xml:space="preserve">31 December </w:t>
            </w:r>
            <w:r w:rsidR="00E85F7E">
              <w:t>2023</w:t>
            </w:r>
          </w:p>
          <w:p w14:paraId="19715CE3" w14:textId="77777777" w:rsidR="008A5742" w:rsidRPr="00BE270D" w:rsidRDefault="008A5742" w:rsidP="00B17DE3">
            <w:pPr>
              <w:pStyle w:val="Tableheading"/>
              <w:jc w:val="right"/>
              <w:rPr>
                <w:highlight w:val="yellow"/>
              </w:rPr>
            </w:pPr>
            <w:r w:rsidRPr="00BE270D">
              <w:t>£m</w:t>
            </w:r>
          </w:p>
        </w:tc>
      </w:tr>
      <w:tr w:rsidR="00415A80" w:rsidRPr="00A66CA2" w14:paraId="10F39869" w14:textId="77777777">
        <w:tc>
          <w:tcPr>
            <w:tcW w:w="3402" w:type="dxa"/>
            <w:tcBorders>
              <w:top w:val="nil"/>
              <w:bottom w:val="nil"/>
            </w:tcBorders>
            <w:shd w:val="clear" w:color="auto" w:fill="auto"/>
            <w:vAlign w:val="center"/>
          </w:tcPr>
          <w:p w14:paraId="39CD7FE3" w14:textId="63D66733" w:rsidR="00415A80" w:rsidRPr="009A0E69" w:rsidRDefault="00415A80" w:rsidP="00415A80">
            <w:pPr>
              <w:pStyle w:val="Tabletext"/>
            </w:pPr>
            <w:r w:rsidRPr="008A5742">
              <w:t>Cash at bank and in hand</w:t>
            </w:r>
          </w:p>
        </w:tc>
        <w:tc>
          <w:tcPr>
            <w:tcW w:w="2212" w:type="dxa"/>
            <w:tcBorders>
              <w:top w:val="nil"/>
              <w:bottom w:val="nil"/>
            </w:tcBorders>
            <w:shd w:val="clear" w:color="auto" w:fill="auto"/>
          </w:tcPr>
          <w:p w14:paraId="1BAFF6BE" w14:textId="432BEFD7" w:rsidR="00415A80" w:rsidRPr="005F0E7F" w:rsidRDefault="002E51EE" w:rsidP="00415A80">
            <w:pPr>
              <w:pStyle w:val="Tabletext"/>
              <w:jc w:val="right"/>
            </w:pPr>
            <w:r w:rsidRPr="005F0E7F">
              <w:t>100.9</w:t>
            </w:r>
          </w:p>
        </w:tc>
        <w:tc>
          <w:tcPr>
            <w:tcW w:w="193" w:type="dxa"/>
            <w:tcBorders>
              <w:top w:val="nil"/>
              <w:bottom w:val="nil"/>
            </w:tcBorders>
          </w:tcPr>
          <w:p w14:paraId="4899913E" w14:textId="77777777" w:rsidR="00415A80" w:rsidRPr="00A66CA2" w:rsidRDefault="00415A80" w:rsidP="00415A80">
            <w:pPr>
              <w:pStyle w:val="Tabletext"/>
              <w:jc w:val="right"/>
            </w:pPr>
          </w:p>
        </w:tc>
        <w:tc>
          <w:tcPr>
            <w:tcW w:w="2212" w:type="dxa"/>
            <w:tcBorders>
              <w:top w:val="nil"/>
              <w:bottom w:val="nil"/>
            </w:tcBorders>
            <w:shd w:val="clear" w:color="auto" w:fill="auto"/>
          </w:tcPr>
          <w:p w14:paraId="4665D688" w14:textId="64BED6D3" w:rsidR="00415A80" w:rsidRPr="00A66CA2" w:rsidRDefault="00415A80" w:rsidP="00415A80">
            <w:pPr>
              <w:pStyle w:val="Tabletext"/>
              <w:jc w:val="right"/>
            </w:pPr>
            <w:r>
              <w:t>281.1</w:t>
            </w:r>
          </w:p>
        </w:tc>
        <w:tc>
          <w:tcPr>
            <w:tcW w:w="193" w:type="dxa"/>
            <w:tcBorders>
              <w:top w:val="nil"/>
              <w:bottom w:val="nil"/>
            </w:tcBorders>
          </w:tcPr>
          <w:p w14:paraId="4BE40588" w14:textId="77777777" w:rsidR="00415A80" w:rsidRPr="00A66CA2" w:rsidRDefault="00415A80" w:rsidP="00415A80">
            <w:pPr>
              <w:pStyle w:val="Tabletext"/>
              <w:jc w:val="right"/>
            </w:pPr>
          </w:p>
        </w:tc>
        <w:tc>
          <w:tcPr>
            <w:tcW w:w="2213" w:type="dxa"/>
            <w:tcBorders>
              <w:top w:val="nil"/>
              <w:bottom w:val="nil"/>
            </w:tcBorders>
            <w:shd w:val="clear" w:color="auto" w:fill="auto"/>
          </w:tcPr>
          <w:p w14:paraId="05B5225A" w14:textId="430B9AFE" w:rsidR="00415A80" w:rsidRPr="001C154A" w:rsidRDefault="001C154A" w:rsidP="00415A80">
            <w:pPr>
              <w:pStyle w:val="Tabletext"/>
              <w:jc w:val="right"/>
            </w:pPr>
            <w:r w:rsidRPr="001C154A">
              <w:rPr>
                <w:rFonts w:eastAsia="Times New Roman"/>
                <w:szCs w:val="18"/>
                <w:lang w:eastAsia="en-GB"/>
              </w:rPr>
              <w:t>137.5</w:t>
            </w:r>
          </w:p>
        </w:tc>
      </w:tr>
      <w:tr w:rsidR="001C154A" w:rsidRPr="00A66CA2" w14:paraId="41DDC38C" w14:textId="77777777" w:rsidTr="00F2575A">
        <w:tc>
          <w:tcPr>
            <w:tcW w:w="3402" w:type="dxa"/>
            <w:tcBorders>
              <w:top w:val="nil"/>
              <w:bottom w:val="nil"/>
            </w:tcBorders>
            <w:shd w:val="clear" w:color="auto" w:fill="auto"/>
            <w:vAlign w:val="center"/>
          </w:tcPr>
          <w:p w14:paraId="050F73AA" w14:textId="42B340F5" w:rsidR="001C154A" w:rsidRPr="008A5742" w:rsidRDefault="001C154A" w:rsidP="00415A80">
            <w:pPr>
              <w:pStyle w:val="Tabletext"/>
            </w:pPr>
            <w:r>
              <w:t>Cash equivalent</w:t>
            </w:r>
            <w:r w:rsidR="006F22B9">
              <w:t>s</w:t>
            </w:r>
          </w:p>
        </w:tc>
        <w:tc>
          <w:tcPr>
            <w:tcW w:w="2212" w:type="dxa"/>
            <w:tcBorders>
              <w:top w:val="nil"/>
              <w:bottom w:val="nil"/>
            </w:tcBorders>
            <w:shd w:val="clear" w:color="auto" w:fill="auto"/>
          </w:tcPr>
          <w:p w14:paraId="3CD4F1D6" w14:textId="50E03041" w:rsidR="001C154A" w:rsidRPr="005F0E7F" w:rsidRDefault="002E51EE" w:rsidP="00415A80">
            <w:pPr>
              <w:pStyle w:val="Tabletext"/>
              <w:jc w:val="right"/>
            </w:pPr>
            <w:r w:rsidRPr="005F0E7F">
              <w:t>102.2</w:t>
            </w:r>
          </w:p>
        </w:tc>
        <w:tc>
          <w:tcPr>
            <w:tcW w:w="193" w:type="dxa"/>
            <w:tcBorders>
              <w:top w:val="nil"/>
              <w:bottom w:val="nil"/>
            </w:tcBorders>
          </w:tcPr>
          <w:p w14:paraId="504E779B" w14:textId="77777777" w:rsidR="001C154A" w:rsidRPr="00A66CA2" w:rsidRDefault="001C154A" w:rsidP="00415A80">
            <w:pPr>
              <w:pStyle w:val="Tabletext"/>
              <w:jc w:val="right"/>
            </w:pPr>
          </w:p>
        </w:tc>
        <w:tc>
          <w:tcPr>
            <w:tcW w:w="2212" w:type="dxa"/>
            <w:tcBorders>
              <w:top w:val="nil"/>
              <w:bottom w:val="nil"/>
            </w:tcBorders>
            <w:shd w:val="clear" w:color="auto" w:fill="auto"/>
          </w:tcPr>
          <w:p w14:paraId="6D4F5F7B" w14:textId="40D62003" w:rsidR="001C154A" w:rsidRDefault="001C154A" w:rsidP="00415A80">
            <w:pPr>
              <w:pStyle w:val="Tabletext"/>
              <w:jc w:val="right"/>
            </w:pPr>
            <w:r>
              <w:t>-</w:t>
            </w:r>
          </w:p>
        </w:tc>
        <w:tc>
          <w:tcPr>
            <w:tcW w:w="193" w:type="dxa"/>
            <w:tcBorders>
              <w:top w:val="nil"/>
              <w:bottom w:val="nil"/>
            </w:tcBorders>
          </w:tcPr>
          <w:p w14:paraId="190EDA49" w14:textId="77777777" w:rsidR="001C154A" w:rsidRPr="00A66CA2" w:rsidRDefault="001C154A" w:rsidP="00415A80">
            <w:pPr>
              <w:pStyle w:val="Tabletext"/>
              <w:jc w:val="right"/>
            </w:pPr>
          </w:p>
        </w:tc>
        <w:tc>
          <w:tcPr>
            <w:tcW w:w="2213" w:type="dxa"/>
            <w:tcBorders>
              <w:top w:val="nil"/>
              <w:bottom w:val="nil"/>
            </w:tcBorders>
            <w:shd w:val="clear" w:color="auto" w:fill="auto"/>
          </w:tcPr>
          <w:p w14:paraId="69D8EBDF" w14:textId="03188480" w:rsidR="001C154A" w:rsidRPr="001C154A" w:rsidRDefault="001C154A" w:rsidP="00415A80">
            <w:pPr>
              <w:pStyle w:val="Tabletext"/>
              <w:jc w:val="right"/>
            </w:pPr>
            <w:r w:rsidRPr="001C154A">
              <w:t>128.4</w:t>
            </w:r>
          </w:p>
        </w:tc>
      </w:tr>
      <w:tr w:rsidR="00415A80" w:rsidRPr="00A66CA2" w14:paraId="43D145C6" w14:textId="77777777" w:rsidTr="00F2575A">
        <w:tc>
          <w:tcPr>
            <w:tcW w:w="3402" w:type="dxa"/>
            <w:tcBorders>
              <w:top w:val="nil"/>
              <w:bottom w:val="nil"/>
            </w:tcBorders>
            <w:shd w:val="clear" w:color="auto" w:fill="auto"/>
            <w:vAlign w:val="center"/>
          </w:tcPr>
          <w:p w14:paraId="6C2AB315" w14:textId="5292A939" w:rsidR="00415A80" w:rsidRDefault="00415A80" w:rsidP="00415A80">
            <w:pPr>
              <w:pStyle w:val="Tabletext"/>
            </w:pPr>
            <w:r w:rsidRPr="008A5742">
              <w:t>Cash held by the EBT and seed investment subsidiaries</w:t>
            </w:r>
          </w:p>
        </w:tc>
        <w:tc>
          <w:tcPr>
            <w:tcW w:w="2212" w:type="dxa"/>
            <w:tcBorders>
              <w:top w:val="nil"/>
              <w:bottom w:val="nil"/>
            </w:tcBorders>
            <w:shd w:val="clear" w:color="auto" w:fill="auto"/>
          </w:tcPr>
          <w:p w14:paraId="3D251CA6" w14:textId="19B9BCC5" w:rsidR="00415A80" w:rsidRPr="005F0E7F" w:rsidRDefault="002E51EE" w:rsidP="00415A80">
            <w:pPr>
              <w:pStyle w:val="Tabletext"/>
              <w:jc w:val="right"/>
            </w:pPr>
            <w:r w:rsidRPr="005F0E7F">
              <w:t>3.8</w:t>
            </w:r>
          </w:p>
        </w:tc>
        <w:tc>
          <w:tcPr>
            <w:tcW w:w="193" w:type="dxa"/>
            <w:tcBorders>
              <w:top w:val="nil"/>
              <w:bottom w:val="nil"/>
            </w:tcBorders>
          </w:tcPr>
          <w:p w14:paraId="53C8D50F" w14:textId="77777777" w:rsidR="00415A80" w:rsidRPr="00A66CA2" w:rsidRDefault="00415A80" w:rsidP="00415A80">
            <w:pPr>
              <w:pStyle w:val="Tabletext"/>
              <w:jc w:val="right"/>
            </w:pPr>
          </w:p>
        </w:tc>
        <w:tc>
          <w:tcPr>
            <w:tcW w:w="2212" w:type="dxa"/>
            <w:tcBorders>
              <w:top w:val="nil"/>
              <w:bottom w:val="nil"/>
            </w:tcBorders>
            <w:shd w:val="clear" w:color="auto" w:fill="auto"/>
          </w:tcPr>
          <w:p w14:paraId="5AA28899" w14:textId="3D38C272" w:rsidR="00415A80" w:rsidRDefault="00415A80" w:rsidP="00415A80">
            <w:pPr>
              <w:pStyle w:val="Tabletext"/>
              <w:jc w:val="right"/>
            </w:pPr>
            <w:r>
              <w:t>2.9</w:t>
            </w:r>
          </w:p>
        </w:tc>
        <w:tc>
          <w:tcPr>
            <w:tcW w:w="193" w:type="dxa"/>
            <w:tcBorders>
              <w:top w:val="nil"/>
              <w:bottom w:val="nil"/>
            </w:tcBorders>
          </w:tcPr>
          <w:p w14:paraId="285F41DB" w14:textId="77777777" w:rsidR="00415A80" w:rsidRPr="00A66CA2" w:rsidRDefault="00415A80" w:rsidP="00415A80">
            <w:pPr>
              <w:pStyle w:val="Tabletext"/>
              <w:jc w:val="right"/>
            </w:pPr>
          </w:p>
        </w:tc>
        <w:tc>
          <w:tcPr>
            <w:tcW w:w="2213" w:type="dxa"/>
            <w:tcBorders>
              <w:top w:val="nil"/>
              <w:bottom w:val="nil"/>
            </w:tcBorders>
            <w:shd w:val="clear" w:color="auto" w:fill="auto"/>
          </w:tcPr>
          <w:p w14:paraId="696E3417" w14:textId="40BA7B7F" w:rsidR="00415A80" w:rsidRPr="001C154A" w:rsidRDefault="001C154A" w:rsidP="00415A80">
            <w:pPr>
              <w:pStyle w:val="Tabletext"/>
              <w:jc w:val="right"/>
            </w:pPr>
            <w:r w:rsidRPr="001C154A">
              <w:t>2.3</w:t>
            </w:r>
          </w:p>
        </w:tc>
      </w:tr>
      <w:tr w:rsidR="00415A80" w:rsidRPr="00A66CA2" w14:paraId="14A3DE2E" w14:textId="77777777">
        <w:tc>
          <w:tcPr>
            <w:tcW w:w="3402" w:type="dxa"/>
            <w:tcBorders>
              <w:top w:val="nil"/>
              <w:bottom w:val="nil"/>
            </w:tcBorders>
            <w:shd w:val="clear" w:color="auto" w:fill="auto"/>
            <w:vAlign w:val="center"/>
          </w:tcPr>
          <w:p w14:paraId="69904703" w14:textId="226E0944" w:rsidR="00415A80" w:rsidRPr="00851326" w:rsidRDefault="00415A80" w:rsidP="00415A80">
            <w:pPr>
              <w:pStyle w:val="Tabletext"/>
              <w:rPr>
                <w:b/>
                <w:bCs/>
              </w:rPr>
            </w:pPr>
            <w:r>
              <w:rPr>
                <w:b/>
                <w:bCs/>
              </w:rPr>
              <w:t xml:space="preserve">Total cash and cash equivalents </w:t>
            </w:r>
          </w:p>
        </w:tc>
        <w:tc>
          <w:tcPr>
            <w:tcW w:w="2212" w:type="dxa"/>
            <w:tcBorders>
              <w:top w:val="single" w:sz="4" w:space="0" w:color="auto"/>
              <w:bottom w:val="double" w:sz="4" w:space="0" w:color="auto"/>
            </w:tcBorders>
            <w:shd w:val="clear" w:color="auto" w:fill="auto"/>
          </w:tcPr>
          <w:p w14:paraId="5F0121AB" w14:textId="3607BDEE" w:rsidR="00415A80" w:rsidRPr="005F0E7F" w:rsidRDefault="002E51EE" w:rsidP="00415A80">
            <w:pPr>
              <w:pStyle w:val="Tabletext"/>
              <w:jc w:val="right"/>
              <w:rPr>
                <w:b/>
              </w:rPr>
            </w:pPr>
            <w:r w:rsidRPr="005F0E7F">
              <w:rPr>
                <w:b/>
                <w:bCs/>
              </w:rPr>
              <w:t>206.9</w:t>
            </w:r>
          </w:p>
        </w:tc>
        <w:tc>
          <w:tcPr>
            <w:tcW w:w="193" w:type="dxa"/>
            <w:tcBorders>
              <w:top w:val="nil"/>
              <w:bottom w:val="nil"/>
            </w:tcBorders>
          </w:tcPr>
          <w:p w14:paraId="49758652" w14:textId="77777777" w:rsidR="00415A80" w:rsidRPr="00A66CA2" w:rsidRDefault="00415A80" w:rsidP="00415A80">
            <w:pPr>
              <w:pStyle w:val="Tabletext"/>
              <w:jc w:val="right"/>
            </w:pPr>
          </w:p>
        </w:tc>
        <w:tc>
          <w:tcPr>
            <w:tcW w:w="2212" w:type="dxa"/>
            <w:tcBorders>
              <w:top w:val="single" w:sz="4" w:space="0" w:color="auto"/>
              <w:bottom w:val="double" w:sz="4" w:space="0" w:color="auto"/>
            </w:tcBorders>
            <w:shd w:val="clear" w:color="auto" w:fill="auto"/>
          </w:tcPr>
          <w:p w14:paraId="3CAED287" w14:textId="1A831396" w:rsidR="00415A80" w:rsidRPr="00A66CA2" w:rsidRDefault="00415A80" w:rsidP="00415A80">
            <w:pPr>
              <w:pStyle w:val="Tabletext"/>
              <w:jc w:val="right"/>
            </w:pPr>
            <w:r w:rsidRPr="00F2718C">
              <w:rPr>
                <w:b/>
                <w:bCs/>
              </w:rPr>
              <w:t>284.0</w:t>
            </w:r>
          </w:p>
        </w:tc>
        <w:tc>
          <w:tcPr>
            <w:tcW w:w="193" w:type="dxa"/>
            <w:tcBorders>
              <w:top w:val="nil"/>
              <w:bottom w:val="nil"/>
            </w:tcBorders>
          </w:tcPr>
          <w:p w14:paraId="19CF5D9C" w14:textId="77777777" w:rsidR="00415A80" w:rsidRPr="00A66CA2" w:rsidRDefault="00415A80" w:rsidP="00415A80">
            <w:pPr>
              <w:pStyle w:val="Tabletext"/>
              <w:jc w:val="right"/>
            </w:pPr>
          </w:p>
        </w:tc>
        <w:tc>
          <w:tcPr>
            <w:tcW w:w="2213" w:type="dxa"/>
            <w:tcBorders>
              <w:top w:val="single" w:sz="4" w:space="0" w:color="auto"/>
              <w:bottom w:val="double" w:sz="4" w:space="0" w:color="auto"/>
            </w:tcBorders>
            <w:shd w:val="clear" w:color="auto" w:fill="auto"/>
          </w:tcPr>
          <w:p w14:paraId="4346F7F9" w14:textId="3AE9464B" w:rsidR="00415A80" w:rsidRPr="001C154A" w:rsidRDefault="001C154A" w:rsidP="00415A80">
            <w:pPr>
              <w:pStyle w:val="Tabletext"/>
              <w:jc w:val="right"/>
              <w:rPr>
                <w:b/>
                <w:bCs/>
              </w:rPr>
            </w:pPr>
            <w:r w:rsidRPr="001C154A">
              <w:rPr>
                <w:rFonts w:eastAsia="Times New Roman"/>
                <w:b/>
                <w:bCs/>
                <w:szCs w:val="18"/>
                <w:lang w:eastAsia="en-GB"/>
              </w:rPr>
              <w:t>268.2</w:t>
            </w:r>
          </w:p>
        </w:tc>
      </w:tr>
    </w:tbl>
    <w:p w14:paraId="0E44E3F0" w14:textId="41DB4AF6" w:rsidR="001C154A" w:rsidRDefault="001C154A" w:rsidP="001C154A">
      <w:pPr>
        <w:pStyle w:val="Bodytext0"/>
        <w:spacing w:line="254" w:lineRule="exact"/>
      </w:pPr>
      <w:r w:rsidRPr="00363580">
        <w:t>Cash and cash equivalents have an original maturity of three months or less.</w:t>
      </w:r>
      <w:r>
        <w:t xml:space="preserve"> </w:t>
      </w:r>
      <w:r w:rsidRPr="00363580">
        <w:t>Cash at bank earns interest at the current prevailing daily bank rates</w:t>
      </w:r>
      <w:r w:rsidRPr="002A4CFA">
        <w:t xml:space="preserve">. </w:t>
      </w:r>
      <w:r>
        <w:t xml:space="preserve">Cash equivalents comprise units in short-term money market funds that can readily be converted into known amounts of cash </w:t>
      </w:r>
      <w:r w:rsidRPr="00E020F3">
        <w:t>and which are subject to an insignificant risk of changes in value</w:t>
      </w:r>
      <w:r>
        <w:t>.</w:t>
      </w:r>
    </w:p>
    <w:p w14:paraId="41A87FB7" w14:textId="3305F2B5" w:rsidR="00B6249B" w:rsidRDefault="003F250C" w:rsidP="001C154A">
      <w:pPr>
        <w:pStyle w:val="Bodytext0"/>
        <w:spacing w:line="254" w:lineRule="exact"/>
      </w:pPr>
      <w:r w:rsidRPr="00F2718C">
        <w:t>Cash held by the EBT and seed investment subsidiaries is not available for use by the Group</w:t>
      </w:r>
      <w:r>
        <w:t>.</w:t>
      </w:r>
    </w:p>
    <w:p w14:paraId="3D4934D0" w14:textId="754ABD46" w:rsidR="00A61AAA" w:rsidRDefault="00DA64B8" w:rsidP="00CF007D">
      <w:pPr>
        <w:pStyle w:val="Subheading"/>
        <w:tabs>
          <w:tab w:val="left" w:pos="567"/>
        </w:tabs>
      </w:pPr>
      <w:r>
        <w:t>13.</w:t>
      </w:r>
      <w:r w:rsidR="00083A07">
        <w:tab/>
        <w:t>Loans and borrowings</w:t>
      </w:r>
    </w:p>
    <w:p w14:paraId="1D1DB1DC" w14:textId="379FFA80" w:rsidR="009B1911" w:rsidRPr="00A61AAA" w:rsidRDefault="001C154A" w:rsidP="00A61AAA">
      <w:pPr>
        <w:pStyle w:val="Bodytext0"/>
      </w:pPr>
      <w:r w:rsidRPr="00001E9F">
        <w:t xml:space="preserve">On 27 April 2020 the Group issued £50.0m of Tier 2 subordinated debt notes at a discount of £0.5m. Issue costs were £0.5m and the net proceeds were therefore £49.0m. These notes will mature on 27 July 2030 and bear interest at a rate of 8.875% per annum to 27 July 2025, and at a reset rate thereafter. The Group has the option to redeem all of the notes from 27 April 2025 onwards. </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A61AAA" w:rsidRPr="00955F6B" w14:paraId="281DAA18" w14:textId="77777777" w:rsidTr="00B17DE3">
        <w:tc>
          <w:tcPr>
            <w:tcW w:w="3402" w:type="dxa"/>
            <w:tcBorders>
              <w:bottom w:val="nil"/>
            </w:tcBorders>
            <w:vAlign w:val="bottom"/>
          </w:tcPr>
          <w:p w14:paraId="3C7BDA44" w14:textId="77777777" w:rsidR="00A61AAA" w:rsidRPr="005405BA" w:rsidRDefault="00A61AAA" w:rsidP="00B17DE3">
            <w:pPr>
              <w:pStyle w:val="Tableheading"/>
              <w:jc w:val="right"/>
            </w:pPr>
          </w:p>
        </w:tc>
        <w:tc>
          <w:tcPr>
            <w:tcW w:w="2212" w:type="dxa"/>
            <w:tcBorders>
              <w:top w:val="nil"/>
              <w:bottom w:val="nil"/>
            </w:tcBorders>
            <w:vAlign w:val="bottom"/>
          </w:tcPr>
          <w:p w14:paraId="76714036" w14:textId="4C8A0133" w:rsidR="00A61AAA" w:rsidRDefault="00A61AAA" w:rsidP="00B17DE3">
            <w:pPr>
              <w:pStyle w:val="Tableheading"/>
              <w:jc w:val="right"/>
            </w:pPr>
            <w:r>
              <w:tab/>
              <w:t xml:space="preserve">30 June </w:t>
            </w:r>
            <w:r w:rsidR="00E85F7E">
              <w:t>2024</w:t>
            </w:r>
          </w:p>
          <w:p w14:paraId="71B94BD4" w14:textId="77777777" w:rsidR="00A61AAA" w:rsidRPr="005405BA" w:rsidRDefault="00A61AAA" w:rsidP="00B17DE3">
            <w:pPr>
              <w:pStyle w:val="Tableheading"/>
              <w:jc w:val="right"/>
            </w:pPr>
            <w:r>
              <w:t>£m</w:t>
            </w:r>
          </w:p>
        </w:tc>
        <w:tc>
          <w:tcPr>
            <w:tcW w:w="193" w:type="dxa"/>
            <w:tcBorders>
              <w:top w:val="nil"/>
              <w:bottom w:val="nil"/>
            </w:tcBorders>
            <w:vAlign w:val="bottom"/>
          </w:tcPr>
          <w:p w14:paraId="6C9EF9BA" w14:textId="77777777" w:rsidR="00A61AAA" w:rsidRPr="00955F6B" w:rsidRDefault="00A61AAA" w:rsidP="00B17DE3">
            <w:pPr>
              <w:pStyle w:val="Tableheading"/>
              <w:jc w:val="right"/>
            </w:pPr>
          </w:p>
        </w:tc>
        <w:tc>
          <w:tcPr>
            <w:tcW w:w="2212" w:type="dxa"/>
            <w:tcBorders>
              <w:top w:val="nil"/>
              <w:bottom w:val="nil"/>
            </w:tcBorders>
            <w:vAlign w:val="bottom"/>
          </w:tcPr>
          <w:p w14:paraId="29DF3C33" w14:textId="315D9666" w:rsidR="00A61AAA" w:rsidRPr="00BE270D" w:rsidRDefault="00A61AAA" w:rsidP="00B17DE3">
            <w:pPr>
              <w:pStyle w:val="Tableheading"/>
              <w:jc w:val="right"/>
            </w:pPr>
            <w:r w:rsidRPr="00BE270D">
              <w:t xml:space="preserve">30 June </w:t>
            </w:r>
            <w:r w:rsidR="00E85F7E">
              <w:t>2023</w:t>
            </w:r>
          </w:p>
          <w:p w14:paraId="74152C18" w14:textId="77777777" w:rsidR="00A61AAA" w:rsidRPr="00BE270D" w:rsidRDefault="00A61AAA" w:rsidP="00B17DE3">
            <w:pPr>
              <w:pStyle w:val="Tableheading"/>
              <w:jc w:val="right"/>
            </w:pPr>
            <w:r w:rsidRPr="00BE270D">
              <w:t>£m</w:t>
            </w:r>
          </w:p>
        </w:tc>
        <w:tc>
          <w:tcPr>
            <w:tcW w:w="193" w:type="dxa"/>
            <w:tcBorders>
              <w:top w:val="nil"/>
              <w:bottom w:val="nil"/>
            </w:tcBorders>
            <w:vAlign w:val="bottom"/>
          </w:tcPr>
          <w:p w14:paraId="6B497E11" w14:textId="77777777" w:rsidR="00A61AAA" w:rsidRPr="00BE270D" w:rsidRDefault="00A61AAA" w:rsidP="00B17DE3">
            <w:pPr>
              <w:pStyle w:val="Tableheading"/>
              <w:jc w:val="right"/>
            </w:pPr>
          </w:p>
        </w:tc>
        <w:tc>
          <w:tcPr>
            <w:tcW w:w="2213" w:type="dxa"/>
            <w:tcBorders>
              <w:top w:val="nil"/>
              <w:bottom w:val="nil"/>
            </w:tcBorders>
            <w:vAlign w:val="bottom"/>
          </w:tcPr>
          <w:p w14:paraId="7D763AFF" w14:textId="6181D2D7" w:rsidR="00A61AAA" w:rsidRPr="00BE270D" w:rsidRDefault="00A61AAA" w:rsidP="00B17DE3">
            <w:pPr>
              <w:pStyle w:val="Tableheading"/>
              <w:jc w:val="right"/>
            </w:pPr>
            <w:r w:rsidRPr="00BE270D">
              <w:t xml:space="preserve">31 December </w:t>
            </w:r>
            <w:r w:rsidR="00E85F7E">
              <w:t>2023</w:t>
            </w:r>
          </w:p>
          <w:p w14:paraId="3BC24D56" w14:textId="77777777" w:rsidR="00A61AAA" w:rsidRPr="00BE270D" w:rsidRDefault="00A61AAA" w:rsidP="00B17DE3">
            <w:pPr>
              <w:pStyle w:val="Tableheading"/>
              <w:jc w:val="right"/>
            </w:pPr>
            <w:r w:rsidRPr="00BE270D">
              <w:t>£m</w:t>
            </w:r>
          </w:p>
        </w:tc>
      </w:tr>
      <w:tr w:rsidR="00415A80" w:rsidRPr="00A66CA2" w14:paraId="4D4A442C" w14:textId="77777777" w:rsidTr="00DD289E">
        <w:tc>
          <w:tcPr>
            <w:tcW w:w="3402" w:type="dxa"/>
            <w:tcBorders>
              <w:top w:val="nil"/>
              <w:bottom w:val="nil"/>
            </w:tcBorders>
            <w:shd w:val="clear" w:color="auto" w:fill="auto"/>
            <w:vAlign w:val="center"/>
          </w:tcPr>
          <w:p w14:paraId="151329FF" w14:textId="4695AA88" w:rsidR="00415A80" w:rsidRPr="009A0E69" w:rsidRDefault="00E31725" w:rsidP="00415A80">
            <w:pPr>
              <w:pStyle w:val="Tabletext"/>
            </w:pPr>
            <w:r>
              <w:t>S</w:t>
            </w:r>
            <w:r w:rsidR="00415A80">
              <w:t xml:space="preserve">ubordinated debt in issue </w:t>
            </w:r>
          </w:p>
        </w:tc>
        <w:tc>
          <w:tcPr>
            <w:tcW w:w="2212" w:type="dxa"/>
            <w:tcBorders>
              <w:top w:val="nil"/>
              <w:bottom w:val="nil"/>
            </w:tcBorders>
            <w:shd w:val="clear" w:color="auto" w:fill="auto"/>
          </w:tcPr>
          <w:p w14:paraId="1B3ED5DC" w14:textId="53BB490C" w:rsidR="00415A80" w:rsidRPr="00632714" w:rsidRDefault="00090787" w:rsidP="00415A80">
            <w:pPr>
              <w:pStyle w:val="Tabletext"/>
              <w:jc w:val="right"/>
            </w:pPr>
            <w:r>
              <w:t>49.8</w:t>
            </w:r>
          </w:p>
        </w:tc>
        <w:tc>
          <w:tcPr>
            <w:tcW w:w="193" w:type="dxa"/>
            <w:tcBorders>
              <w:top w:val="nil"/>
              <w:bottom w:val="nil"/>
            </w:tcBorders>
          </w:tcPr>
          <w:p w14:paraId="549F1191"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7571CDCD" w14:textId="00390B82" w:rsidR="00415A80" w:rsidRPr="00A66CA2" w:rsidRDefault="00415A80" w:rsidP="00DD289E">
            <w:pPr>
              <w:pStyle w:val="Tabletext"/>
              <w:jc w:val="right"/>
            </w:pPr>
            <w:r>
              <w:t>49.6</w:t>
            </w:r>
          </w:p>
        </w:tc>
        <w:tc>
          <w:tcPr>
            <w:tcW w:w="193" w:type="dxa"/>
            <w:tcBorders>
              <w:top w:val="nil"/>
              <w:bottom w:val="nil"/>
            </w:tcBorders>
            <w:vAlign w:val="center"/>
          </w:tcPr>
          <w:p w14:paraId="29F1216B" w14:textId="77777777" w:rsidR="00415A80" w:rsidRPr="00A66CA2" w:rsidRDefault="00415A80" w:rsidP="00DD289E">
            <w:pPr>
              <w:pStyle w:val="Tabletext"/>
              <w:jc w:val="right"/>
            </w:pPr>
          </w:p>
        </w:tc>
        <w:tc>
          <w:tcPr>
            <w:tcW w:w="2213" w:type="dxa"/>
            <w:tcBorders>
              <w:top w:val="nil"/>
              <w:bottom w:val="nil"/>
            </w:tcBorders>
            <w:shd w:val="clear" w:color="auto" w:fill="auto"/>
            <w:vAlign w:val="center"/>
          </w:tcPr>
          <w:p w14:paraId="229BC7BC" w14:textId="06E9A407" w:rsidR="00415A80" w:rsidRPr="001C154A" w:rsidRDefault="00415A80" w:rsidP="00DD289E">
            <w:pPr>
              <w:pStyle w:val="Tabletext"/>
              <w:jc w:val="right"/>
            </w:pPr>
            <w:r w:rsidRPr="001C154A">
              <w:t>49.</w:t>
            </w:r>
            <w:r w:rsidR="001C154A" w:rsidRPr="001C154A">
              <w:t>7</w:t>
            </w:r>
          </w:p>
        </w:tc>
      </w:tr>
      <w:tr w:rsidR="00415A80" w:rsidRPr="00B3199E" w14:paraId="5D596B95" w14:textId="77777777" w:rsidTr="00DD289E">
        <w:tc>
          <w:tcPr>
            <w:tcW w:w="3402" w:type="dxa"/>
            <w:tcBorders>
              <w:top w:val="nil"/>
              <w:bottom w:val="nil"/>
            </w:tcBorders>
            <w:shd w:val="clear" w:color="auto" w:fill="auto"/>
            <w:vAlign w:val="center"/>
          </w:tcPr>
          <w:p w14:paraId="39A1087D" w14:textId="74808BF8" w:rsidR="00415A80" w:rsidRPr="00851326" w:rsidRDefault="00415A80" w:rsidP="00415A80">
            <w:pPr>
              <w:pStyle w:val="Tabletext"/>
              <w:rPr>
                <w:b/>
                <w:bCs/>
              </w:rPr>
            </w:pPr>
          </w:p>
        </w:tc>
        <w:tc>
          <w:tcPr>
            <w:tcW w:w="2212" w:type="dxa"/>
            <w:tcBorders>
              <w:top w:val="single" w:sz="4" w:space="0" w:color="auto"/>
              <w:bottom w:val="double" w:sz="4" w:space="0" w:color="auto"/>
            </w:tcBorders>
            <w:shd w:val="clear" w:color="auto" w:fill="auto"/>
          </w:tcPr>
          <w:p w14:paraId="71CF6C63" w14:textId="13737CFE" w:rsidR="00415A80" w:rsidRPr="003855CB" w:rsidRDefault="00090787" w:rsidP="00415A80">
            <w:pPr>
              <w:pStyle w:val="Tabletext"/>
              <w:jc w:val="right"/>
              <w:rPr>
                <w:b/>
                <w:bCs/>
              </w:rPr>
            </w:pPr>
            <w:r>
              <w:rPr>
                <w:b/>
                <w:bCs/>
              </w:rPr>
              <w:t>49.8</w:t>
            </w:r>
          </w:p>
        </w:tc>
        <w:tc>
          <w:tcPr>
            <w:tcW w:w="193" w:type="dxa"/>
            <w:tcBorders>
              <w:top w:val="nil"/>
              <w:bottom w:val="nil"/>
            </w:tcBorders>
          </w:tcPr>
          <w:p w14:paraId="3D7E0F05" w14:textId="77777777" w:rsidR="00415A80" w:rsidRPr="00E72607" w:rsidRDefault="00415A80" w:rsidP="00415A80">
            <w:pPr>
              <w:pStyle w:val="Tabletext"/>
              <w:jc w:val="right"/>
            </w:pPr>
          </w:p>
        </w:tc>
        <w:tc>
          <w:tcPr>
            <w:tcW w:w="2212" w:type="dxa"/>
            <w:tcBorders>
              <w:top w:val="single" w:sz="4" w:space="0" w:color="auto"/>
              <w:bottom w:val="double" w:sz="4" w:space="0" w:color="auto"/>
            </w:tcBorders>
            <w:shd w:val="clear" w:color="auto" w:fill="auto"/>
            <w:vAlign w:val="center"/>
          </w:tcPr>
          <w:p w14:paraId="281312CD" w14:textId="3B58C6C8" w:rsidR="00415A80" w:rsidRPr="00A66CA2" w:rsidRDefault="00415A80" w:rsidP="00DD289E">
            <w:pPr>
              <w:pStyle w:val="Tabletext"/>
              <w:jc w:val="right"/>
            </w:pPr>
            <w:r w:rsidRPr="00F2718C">
              <w:rPr>
                <w:b/>
                <w:bCs/>
              </w:rPr>
              <w:t>49.6</w:t>
            </w:r>
          </w:p>
        </w:tc>
        <w:tc>
          <w:tcPr>
            <w:tcW w:w="193" w:type="dxa"/>
            <w:tcBorders>
              <w:top w:val="nil"/>
              <w:bottom w:val="nil"/>
            </w:tcBorders>
            <w:vAlign w:val="center"/>
          </w:tcPr>
          <w:p w14:paraId="7EC51018" w14:textId="77777777" w:rsidR="00415A80" w:rsidRPr="00A66CA2" w:rsidRDefault="00415A80" w:rsidP="00DD289E">
            <w:pPr>
              <w:pStyle w:val="Tabletext"/>
              <w:jc w:val="right"/>
            </w:pPr>
          </w:p>
        </w:tc>
        <w:tc>
          <w:tcPr>
            <w:tcW w:w="2213" w:type="dxa"/>
            <w:tcBorders>
              <w:top w:val="single" w:sz="4" w:space="0" w:color="auto"/>
              <w:bottom w:val="double" w:sz="4" w:space="0" w:color="auto"/>
            </w:tcBorders>
            <w:shd w:val="clear" w:color="auto" w:fill="auto"/>
            <w:vAlign w:val="center"/>
          </w:tcPr>
          <w:p w14:paraId="69076FD0" w14:textId="404E9E48" w:rsidR="00415A80" w:rsidRPr="001C154A" w:rsidRDefault="00415A80" w:rsidP="00DD289E">
            <w:pPr>
              <w:pStyle w:val="Tabletext"/>
              <w:jc w:val="right"/>
            </w:pPr>
            <w:r w:rsidRPr="001C154A">
              <w:rPr>
                <w:b/>
              </w:rPr>
              <w:t>49.</w:t>
            </w:r>
            <w:r w:rsidR="001C154A" w:rsidRPr="001C154A">
              <w:rPr>
                <w:b/>
              </w:rPr>
              <w:t>7</w:t>
            </w:r>
          </w:p>
        </w:tc>
      </w:tr>
    </w:tbl>
    <w:p w14:paraId="36017B26" w14:textId="669616DC" w:rsidR="0027306B" w:rsidRDefault="00DA64B8" w:rsidP="00CF007D">
      <w:pPr>
        <w:pStyle w:val="Subheading"/>
        <w:tabs>
          <w:tab w:val="left" w:pos="567"/>
        </w:tabs>
      </w:pPr>
      <w:r>
        <w:t>14.</w:t>
      </w:r>
      <w:r w:rsidR="00D52E9B">
        <w:tab/>
        <w:t>Share capital</w:t>
      </w:r>
    </w:p>
    <w:p w14:paraId="61A63458" w14:textId="1FAA75DE" w:rsidR="00840826" w:rsidRPr="001C5F44" w:rsidRDefault="009D402E" w:rsidP="00F2575A">
      <w:pPr>
        <w:pStyle w:val="Bodytext0"/>
      </w:pPr>
      <w:r>
        <w:t xml:space="preserve">In early </w:t>
      </w:r>
      <w:r w:rsidR="00E85F7E">
        <w:t>202</w:t>
      </w:r>
      <w:r w:rsidR="001C154A">
        <w:t>3</w:t>
      </w:r>
      <w:r>
        <w:t>, the Group purchas</w:t>
      </w:r>
      <w:r w:rsidR="00E31725">
        <w:t>ed</w:t>
      </w:r>
      <w:r>
        <w:t xml:space="preserve"> and cancell</w:t>
      </w:r>
      <w:r w:rsidR="00E31725">
        <w:t>ed</w:t>
      </w:r>
      <w:r>
        <w:t xml:space="preserve"> 1.4m shares</w:t>
      </w:r>
      <w:r w:rsidR="00840826">
        <w:t xml:space="preserve"> at a cost of £2.0m</w:t>
      </w:r>
      <w:r>
        <w:t>. On cancellation of the shares, an amount equal to their nominal value was transferred to a capital redemption reserve which forms part of</w:t>
      </w:r>
      <w:r w:rsidR="004F3212">
        <w:t xml:space="preserve"> ‘</w:t>
      </w:r>
      <w:r>
        <w:t xml:space="preserve">Other reserves’, as detailed in Note 15. </w:t>
      </w: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02"/>
        <w:gridCol w:w="2212"/>
        <w:gridCol w:w="193"/>
        <w:gridCol w:w="2212"/>
        <w:gridCol w:w="193"/>
        <w:gridCol w:w="2213"/>
      </w:tblGrid>
      <w:tr w:rsidR="00EC7B46" w:rsidRPr="00955F6B" w14:paraId="30562ED3" w14:textId="77777777">
        <w:tc>
          <w:tcPr>
            <w:tcW w:w="3402" w:type="dxa"/>
            <w:tcBorders>
              <w:top w:val="nil"/>
              <w:bottom w:val="nil"/>
            </w:tcBorders>
            <w:vAlign w:val="bottom"/>
          </w:tcPr>
          <w:p w14:paraId="2F815FE2" w14:textId="77777777" w:rsidR="00EC7B46" w:rsidRPr="005405BA" w:rsidRDefault="00EC7B46" w:rsidP="00C87079">
            <w:pPr>
              <w:pStyle w:val="Tableheading"/>
              <w:jc w:val="center"/>
            </w:pPr>
          </w:p>
        </w:tc>
        <w:tc>
          <w:tcPr>
            <w:tcW w:w="7023" w:type="dxa"/>
            <w:gridSpan w:val="5"/>
            <w:tcBorders>
              <w:top w:val="nil"/>
              <w:bottom w:val="nil"/>
            </w:tcBorders>
          </w:tcPr>
          <w:p w14:paraId="4B705ABF" w14:textId="61CDEF1F" w:rsidR="00EC7B46" w:rsidRPr="00BE270D" w:rsidRDefault="00EC7B46" w:rsidP="00C87079">
            <w:pPr>
              <w:pStyle w:val="Tableheading"/>
              <w:jc w:val="center"/>
            </w:pPr>
            <w:r w:rsidRPr="00BE270D">
              <w:t>Number of ordinary shares</w:t>
            </w:r>
          </w:p>
        </w:tc>
      </w:tr>
      <w:tr w:rsidR="00BC72FE" w:rsidRPr="00955F6B" w14:paraId="184F621F" w14:textId="77777777" w:rsidTr="00B17DE3">
        <w:tc>
          <w:tcPr>
            <w:tcW w:w="3402" w:type="dxa"/>
            <w:tcBorders>
              <w:top w:val="nil"/>
              <w:bottom w:val="nil"/>
            </w:tcBorders>
            <w:vAlign w:val="bottom"/>
          </w:tcPr>
          <w:p w14:paraId="01AF56C1" w14:textId="77777777" w:rsidR="00BC72FE" w:rsidRPr="005405BA" w:rsidRDefault="00BC72FE" w:rsidP="00B17DE3">
            <w:pPr>
              <w:pStyle w:val="Tableheading"/>
              <w:jc w:val="right"/>
            </w:pPr>
          </w:p>
        </w:tc>
        <w:tc>
          <w:tcPr>
            <w:tcW w:w="2212" w:type="dxa"/>
            <w:tcBorders>
              <w:top w:val="nil"/>
              <w:bottom w:val="nil"/>
            </w:tcBorders>
            <w:vAlign w:val="bottom"/>
          </w:tcPr>
          <w:p w14:paraId="3E9FE648" w14:textId="706F34E2" w:rsidR="00BC72FE" w:rsidRDefault="00BC72FE" w:rsidP="00B17DE3">
            <w:pPr>
              <w:pStyle w:val="Tableheading"/>
              <w:jc w:val="right"/>
            </w:pPr>
            <w:r>
              <w:tab/>
              <w:t xml:space="preserve">30 June </w:t>
            </w:r>
            <w:r w:rsidR="00E85F7E">
              <w:t>2024</w:t>
            </w:r>
          </w:p>
          <w:p w14:paraId="17522C88" w14:textId="7D6D3635" w:rsidR="00BC72FE" w:rsidRPr="005405BA" w:rsidRDefault="00BC72FE" w:rsidP="00B17DE3">
            <w:pPr>
              <w:pStyle w:val="Tableheading"/>
              <w:jc w:val="right"/>
            </w:pPr>
            <w:r>
              <w:t>m</w:t>
            </w:r>
            <w:r w:rsidR="00A44EE8">
              <w:t>illion</w:t>
            </w:r>
          </w:p>
        </w:tc>
        <w:tc>
          <w:tcPr>
            <w:tcW w:w="193" w:type="dxa"/>
            <w:tcBorders>
              <w:top w:val="nil"/>
              <w:bottom w:val="nil"/>
            </w:tcBorders>
            <w:vAlign w:val="bottom"/>
          </w:tcPr>
          <w:p w14:paraId="468315C1" w14:textId="77777777" w:rsidR="00BC72FE" w:rsidRPr="00955F6B" w:rsidRDefault="00BC72FE" w:rsidP="00B17DE3">
            <w:pPr>
              <w:pStyle w:val="Tableheading"/>
              <w:jc w:val="right"/>
            </w:pPr>
          </w:p>
        </w:tc>
        <w:tc>
          <w:tcPr>
            <w:tcW w:w="2212" w:type="dxa"/>
            <w:tcBorders>
              <w:top w:val="nil"/>
              <w:bottom w:val="nil"/>
            </w:tcBorders>
            <w:vAlign w:val="bottom"/>
          </w:tcPr>
          <w:p w14:paraId="2DE6575E" w14:textId="4075350A" w:rsidR="00BC72FE" w:rsidRPr="00BE270D" w:rsidRDefault="00BC72FE" w:rsidP="00B17DE3">
            <w:pPr>
              <w:pStyle w:val="Tableheading"/>
              <w:jc w:val="right"/>
            </w:pPr>
            <w:r w:rsidRPr="00BE270D">
              <w:t xml:space="preserve">30 June </w:t>
            </w:r>
            <w:r w:rsidR="00E85F7E">
              <w:t>2023</w:t>
            </w:r>
          </w:p>
          <w:p w14:paraId="78B28B36" w14:textId="61A7B0AC" w:rsidR="00BC72FE" w:rsidRPr="00BE270D" w:rsidRDefault="00BC72FE" w:rsidP="00B17DE3">
            <w:pPr>
              <w:pStyle w:val="Tableheading"/>
              <w:jc w:val="right"/>
            </w:pPr>
            <w:r w:rsidRPr="00BE270D">
              <w:t>m</w:t>
            </w:r>
            <w:r w:rsidR="00A44EE8">
              <w:t>illion</w:t>
            </w:r>
          </w:p>
        </w:tc>
        <w:tc>
          <w:tcPr>
            <w:tcW w:w="193" w:type="dxa"/>
            <w:tcBorders>
              <w:top w:val="nil"/>
              <w:bottom w:val="nil"/>
            </w:tcBorders>
            <w:vAlign w:val="bottom"/>
          </w:tcPr>
          <w:p w14:paraId="74937D31" w14:textId="77777777" w:rsidR="00BC72FE" w:rsidRPr="00BE270D" w:rsidRDefault="00BC72FE" w:rsidP="00B17DE3">
            <w:pPr>
              <w:pStyle w:val="Tableheading"/>
              <w:jc w:val="right"/>
            </w:pPr>
          </w:p>
        </w:tc>
        <w:tc>
          <w:tcPr>
            <w:tcW w:w="2213" w:type="dxa"/>
            <w:tcBorders>
              <w:top w:val="nil"/>
              <w:bottom w:val="nil"/>
            </w:tcBorders>
            <w:vAlign w:val="bottom"/>
          </w:tcPr>
          <w:p w14:paraId="5936B444" w14:textId="3E2BF738" w:rsidR="00BC72FE" w:rsidRPr="00BE270D" w:rsidRDefault="00BC72FE" w:rsidP="00B17DE3">
            <w:pPr>
              <w:pStyle w:val="Tableheading"/>
              <w:jc w:val="right"/>
            </w:pPr>
            <w:r w:rsidRPr="00BE270D">
              <w:t xml:space="preserve">31 December </w:t>
            </w:r>
            <w:r w:rsidR="00E85F7E">
              <w:t>2023</w:t>
            </w:r>
          </w:p>
          <w:p w14:paraId="22AE6B19" w14:textId="5B1DE616" w:rsidR="00BC72FE" w:rsidRPr="00BE270D" w:rsidRDefault="00BC72FE" w:rsidP="00B17DE3">
            <w:pPr>
              <w:pStyle w:val="Tableheading"/>
              <w:jc w:val="right"/>
            </w:pPr>
            <w:r w:rsidRPr="00BE270D">
              <w:t>m</w:t>
            </w:r>
            <w:r w:rsidR="00A44EE8">
              <w:t>illion</w:t>
            </w:r>
          </w:p>
        </w:tc>
      </w:tr>
      <w:tr w:rsidR="00415A80" w:rsidRPr="00A66CA2" w14:paraId="4DA82703" w14:textId="77777777" w:rsidTr="00F2575A">
        <w:tc>
          <w:tcPr>
            <w:tcW w:w="3402" w:type="dxa"/>
            <w:tcBorders>
              <w:top w:val="nil"/>
              <w:bottom w:val="nil"/>
            </w:tcBorders>
            <w:shd w:val="clear" w:color="auto" w:fill="auto"/>
            <w:vAlign w:val="center"/>
          </w:tcPr>
          <w:p w14:paraId="3873F00A" w14:textId="045BA109" w:rsidR="00415A80" w:rsidRPr="009A0E69" w:rsidRDefault="00415A80" w:rsidP="00415A80">
            <w:pPr>
              <w:pStyle w:val="Tabletext"/>
            </w:pPr>
            <w:r>
              <w:t>Ordinary shares of 2p each</w:t>
            </w:r>
          </w:p>
        </w:tc>
        <w:tc>
          <w:tcPr>
            <w:tcW w:w="2212" w:type="dxa"/>
            <w:tcBorders>
              <w:top w:val="nil"/>
              <w:bottom w:val="nil"/>
            </w:tcBorders>
            <w:shd w:val="clear" w:color="auto" w:fill="auto"/>
            <w:vAlign w:val="center"/>
          </w:tcPr>
          <w:p w14:paraId="52CC92FD" w14:textId="5391018E" w:rsidR="00415A80" w:rsidRPr="00632714" w:rsidRDefault="008A176C" w:rsidP="00415A80">
            <w:pPr>
              <w:pStyle w:val="Tabletext"/>
              <w:jc w:val="right"/>
            </w:pPr>
            <w:r>
              <w:t>545.0</w:t>
            </w:r>
          </w:p>
        </w:tc>
        <w:tc>
          <w:tcPr>
            <w:tcW w:w="193" w:type="dxa"/>
            <w:tcBorders>
              <w:top w:val="nil"/>
              <w:bottom w:val="nil"/>
            </w:tcBorders>
          </w:tcPr>
          <w:p w14:paraId="0D2FC835" w14:textId="02617ECE" w:rsidR="00415A80" w:rsidRPr="00A66CA2" w:rsidRDefault="00415A80" w:rsidP="00415A80">
            <w:pPr>
              <w:pStyle w:val="Tabletext"/>
              <w:jc w:val="right"/>
            </w:pPr>
          </w:p>
        </w:tc>
        <w:tc>
          <w:tcPr>
            <w:tcW w:w="2212" w:type="dxa"/>
            <w:tcBorders>
              <w:top w:val="nil"/>
              <w:bottom w:val="nil"/>
            </w:tcBorders>
            <w:shd w:val="clear" w:color="auto" w:fill="auto"/>
            <w:vAlign w:val="center"/>
          </w:tcPr>
          <w:p w14:paraId="7D2059FD" w14:textId="450B057D" w:rsidR="00415A80" w:rsidRPr="00A66CA2" w:rsidRDefault="00415A80" w:rsidP="00415A80">
            <w:pPr>
              <w:pStyle w:val="Tabletext"/>
              <w:jc w:val="right"/>
            </w:pPr>
            <w:r>
              <w:t>545.0</w:t>
            </w:r>
          </w:p>
        </w:tc>
        <w:tc>
          <w:tcPr>
            <w:tcW w:w="193" w:type="dxa"/>
            <w:tcBorders>
              <w:top w:val="nil"/>
              <w:bottom w:val="nil"/>
            </w:tcBorders>
          </w:tcPr>
          <w:p w14:paraId="5D293CB7" w14:textId="77777777" w:rsidR="00415A80" w:rsidRPr="00A66CA2" w:rsidRDefault="00415A80" w:rsidP="00415A80">
            <w:pPr>
              <w:pStyle w:val="Tabletext"/>
              <w:jc w:val="right"/>
            </w:pPr>
          </w:p>
        </w:tc>
        <w:tc>
          <w:tcPr>
            <w:tcW w:w="2213" w:type="dxa"/>
            <w:tcBorders>
              <w:top w:val="nil"/>
              <w:bottom w:val="nil"/>
            </w:tcBorders>
            <w:shd w:val="clear" w:color="auto" w:fill="auto"/>
            <w:vAlign w:val="center"/>
          </w:tcPr>
          <w:p w14:paraId="120B116C" w14:textId="34E929C8" w:rsidR="00415A80" w:rsidRPr="006C13A4" w:rsidRDefault="006C13A4" w:rsidP="00415A80">
            <w:pPr>
              <w:pStyle w:val="Tabletext"/>
              <w:jc w:val="right"/>
            </w:pPr>
            <w:r w:rsidRPr="006C13A4">
              <w:t>545.0</w:t>
            </w:r>
          </w:p>
        </w:tc>
      </w:tr>
      <w:tr w:rsidR="00415A80" w:rsidRPr="00B3199E" w14:paraId="469DB46C" w14:textId="77777777" w:rsidTr="00F2575A">
        <w:tc>
          <w:tcPr>
            <w:tcW w:w="3402" w:type="dxa"/>
            <w:tcBorders>
              <w:top w:val="nil"/>
              <w:bottom w:val="nil"/>
            </w:tcBorders>
            <w:shd w:val="clear" w:color="auto" w:fill="auto"/>
            <w:vAlign w:val="center"/>
          </w:tcPr>
          <w:p w14:paraId="46ED8292" w14:textId="77777777" w:rsidR="00415A80" w:rsidRPr="00851326" w:rsidRDefault="00415A80" w:rsidP="00415A80">
            <w:pPr>
              <w:pStyle w:val="Tabletext"/>
              <w:rPr>
                <w:b/>
                <w:bCs/>
              </w:rPr>
            </w:pPr>
          </w:p>
        </w:tc>
        <w:tc>
          <w:tcPr>
            <w:tcW w:w="2212" w:type="dxa"/>
            <w:tcBorders>
              <w:top w:val="single" w:sz="4" w:space="0" w:color="auto"/>
              <w:bottom w:val="double" w:sz="4" w:space="0" w:color="auto"/>
            </w:tcBorders>
            <w:shd w:val="clear" w:color="auto" w:fill="auto"/>
            <w:vAlign w:val="center"/>
          </w:tcPr>
          <w:p w14:paraId="20B6E4C5" w14:textId="37C5DD47" w:rsidR="00415A80" w:rsidRPr="00632714" w:rsidRDefault="008A176C" w:rsidP="00415A80">
            <w:pPr>
              <w:pStyle w:val="Tabletext"/>
              <w:jc w:val="right"/>
              <w:rPr>
                <w:b/>
              </w:rPr>
            </w:pPr>
            <w:r>
              <w:rPr>
                <w:b/>
              </w:rPr>
              <w:t>545.0</w:t>
            </w:r>
          </w:p>
        </w:tc>
        <w:tc>
          <w:tcPr>
            <w:tcW w:w="193" w:type="dxa"/>
            <w:tcBorders>
              <w:top w:val="nil"/>
              <w:bottom w:val="nil"/>
            </w:tcBorders>
          </w:tcPr>
          <w:p w14:paraId="23732938" w14:textId="77777777" w:rsidR="00415A80" w:rsidRPr="00E72607" w:rsidRDefault="00415A80" w:rsidP="00415A80">
            <w:pPr>
              <w:pStyle w:val="Tabletext"/>
              <w:jc w:val="right"/>
            </w:pPr>
          </w:p>
        </w:tc>
        <w:tc>
          <w:tcPr>
            <w:tcW w:w="2212" w:type="dxa"/>
            <w:tcBorders>
              <w:top w:val="single" w:sz="4" w:space="0" w:color="auto"/>
              <w:bottom w:val="double" w:sz="4" w:space="0" w:color="auto"/>
            </w:tcBorders>
            <w:shd w:val="clear" w:color="auto" w:fill="auto"/>
            <w:vAlign w:val="center"/>
          </w:tcPr>
          <w:p w14:paraId="1401000B" w14:textId="3910F668" w:rsidR="00415A80" w:rsidRPr="00A66CA2" w:rsidRDefault="00415A80" w:rsidP="00415A80">
            <w:pPr>
              <w:pStyle w:val="Tabletext"/>
              <w:jc w:val="right"/>
            </w:pPr>
            <w:r>
              <w:rPr>
                <w:b/>
              </w:rPr>
              <w:t>545.0</w:t>
            </w:r>
          </w:p>
        </w:tc>
        <w:tc>
          <w:tcPr>
            <w:tcW w:w="193" w:type="dxa"/>
            <w:tcBorders>
              <w:top w:val="nil"/>
              <w:bottom w:val="nil"/>
            </w:tcBorders>
          </w:tcPr>
          <w:p w14:paraId="056B7067" w14:textId="77777777" w:rsidR="00415A80" w:rsidRPr="00A66CA2" w:rsidRDefault="00415A80" w:rsidP="00415A80">
            <w:pPr>
              <w:pStyle w:val="Tabletext"/>
              <w:jc w:val="right"/>
            </w:pPr>
          </w:p>
        </w:tc>
        <w:tc>
          <w:tcPr>
            <w:tcW w:w="2213" w:type="dxa"/>
            <w:tcBorders>
              <w:top w:val="single" w:sz="4" w:space="0" w:color="auto"/>
              <w:bottom w:val="double" w:sz="4" w:space="0" w:color="auto"/>
            </w:tcBorders>
            <w:shd w:val="clear" w:color="auto" w:fill="auto"/>
            <w:vAlign w:val="center"/>
          </w:tcPr>
          <w:p w14:paraId="05C3E10F" w14:textId="304136FF" w:rsidR="00415A80" w:rsidRPr="006C13A4" w:rsidRDefault="006C13A4" w:rsidP="00415A80">
            <w:pPr>
              <w:pStyle w:val="Tabletext"/>
              <w:jc w:val="right"/>
            </w:pPr>
            <w:r w:rsidRPr="006C13A4">
              <w:rPr>
                <w:b/>
              </w:rPr>
              <w:t>545.0</w:t>
            </w:r>
          </w:p>
        </w:tc>
      </w:tr>
    </w:tbl>
    <w:p w14:paraId="2062A680" w14:textId="7CD324BC" w:rsidR="00096D05" w:rsidRDefault="00096D05">
      <w:pPr>
        <w:rPr>
          <w:rFonts w:eastAsiaTheme="minorHAnsi"/>
          <w:sz w:val="20"/>
          <w:lang w:val="en-GB" w:eastAsia="en-US"/>
        </w:rPr>
      </w:pPr>
    </w:p>
    <w:tbl>
      <w:tblPr>
        <w:tblW w:w="10490" w:type="dxa"/>
        <w:tblLayout w:type="fixed"/>
        <w:tblLook w:val="01E0" w:firstRow="1" w:lastRow="1" w:firstColumn="1" w:lastColumn="1" w:noHBand="0" w:noVBand="0"/>
      </w:tblPr>
      <w:tblGrid>
        <w:gridCol w:w="3828"/>
        <w:gridCol w:w="1134"/>
        <w:gridCol w:w="992"/>
        <w:gridCol w:w="1246"/>
        <w:gridCol w:w="1022"/>
        <w:gridCol w:w="992"/>
        <w:gridCol w:w="1276"/>
      </w:tblGrid>
      <w:tr w:rsidR="00D4312D" w:rsidRPr="00B17DE3" w14:paraId="1DEAE427" w14:textId="77777777">
        <w:trPr>
          <w:trHeight w:val="230"/>
        </w:trPr>
        <w:tc>
          <w:tcPr>
            <w:tcW w:w="3828" w:type="dxa"/>
            <w:vAlign w:val="bottom"/>
          </w:tcPr>
          <w:p w14:paraId="0CE2EA76" w14:textId="77777777" w:rsidR="00D4312D" w:rsidRPr="00B17DE3" w:rsidRDefault="00D4312D" w:rsidP="00B17DE3">
            <w:pPr>
              <w:pStyle w:val="Tableheading"/>
            </w:pPr>
          </w:p>
        </w:tc>
        <w:tc>
          <w:tcPr>
            <w:tcW w:w="3372" w:type="dxa"/>
            <w:gridSpan w:val="3"/>
          </w:tcPr>
          <w:p w14:paraId="3C0146D5" w14:textId="0DFB5DB6" w:rsidR="00D4312D" w:rsidRPr="00B17DE3" w:rsidRDefault="00D4312D" w:rsidP="00B17DE3">
            <w:pPr>
              <w:pStyle w:val="Tableheading"/>
              <w:jc w:val="center"/>
            </w:pPr>
            <w:r w:rsidRPr="00B17DE3">
              <w:t xml:space="preserve">Number of </w:t>
            </w:r>
            <w:r w:rsidR="00AB430E">
              <w:t xml:space="preserve">ordinary </w:t>
            </w:r>
            <w:r w:rsidRPr="00B17DE3">
              <w:t>shares</w:t>
            </w:r>
          </w:p>
        </w:tc>
        <w:tc>
          <w:tcPr>
            <w:tcW w:w="3290" w:type="dxa"/>
            <w:gridSpan w:val="3"/>
          </w:tcPr>
          <w:p w14:paraId="329875C5" w14:textId="311FC0AD" w:rsidR="00D4312D" w:rsidRPr="00B17DE3" w:rsidRDefault="00D4312D" w:rsidP="00B17DE3">
            <w:pPr>
              <w:pStyle w:val="Tableheading"/>
              <w:jc w:val="center"/>
            </w:pPr>
            <w:r w:rsidRPr="00B17DE3">
              <w:t>Par value</w:t>
            </w:r>
          </w:p>
        </w:tc>
      </w:tr>
      <w:tr w:rsidR="00840826" w:rsidRPr="00B17DE3" w14:paraId="2F504395" w14:textId="77777777" w:rsidTr="00B17DE3">
        <w:trPr>
          <w:trHeight w:val="479"/>
        </w:trPr>
        <w:tc>
          <w:tcPr>
            <w:tcW w:w="3828" w:type="dxa"/>
            <w:vAlign w:val="bottom"/>
          </w:tcPr>
          <w:p w14:paraId="573F80FC" w14:textId="77777777" w:rsidR="00840826" w:rsidRPr="00B17DE3" w:rsidRDefault="00840826" w:rsidP="00B17DE3">
            <w:pPr>
              <w:pStyle w:val="Tableheading"/>
              <w:jc w:val="right"/>
            </w:pPr>
          </w:p>
        </w:tc>
        <w:tc>
          <w:tcPr>
            <w:tcW w:w="1134" w:type="dxa"/>
            <w:vAlign w:val="bottom"/>
          </w:tcPr>
          <w:p w14:paraId="29BAC409" w14:textId="1BD2A727" w:rsidR="00840826" w:rsidRPr="00B17DE3" w:rsidRDefault="00840826" w:rsidP="00B17DE3">
            <w:pPr>
              <w:pStyle w:val="Tableheading"/>
              <w:jc w:val="right"/>
            </w:pPr>
            <w:r w:rsidRPr="00B17DE3">
              <w:t xml:space="preserve">30 June </w:t>
            </w:r>
            <w:r w:rsidR="00E85F7E">
              <w:t>2024</w:t>
            </w:r>
          </w:p>
          <w:p w14:paraId="65B487C5" w14:textId="31042664" w:rsidR="00840826" w:rsidRPr="00B17DE3" w:rsidRDefault="00840826" w:rsidP="00B17DE3">
            <w:pPr>
              <w:pStyle w:val="Tableheading"/>
              <w:jc w:val="right"/>
            </w:pPr>
            <w:r w:rsidRPr="00B17DE3">
              <w:t>m</w:t>
            </w:r>
          </w:p>
        </w:tc>
        <w:tc>
          <w:tcPr>
            <w:tcW w:w="992" w:type="dxa"/>
            <w:vAlign w:val="bottom"/>
          </w:tcPr>
          <w:p w14:paraId="7D326C8E" w14:textId="2594EC21" w:rsidR="00840826" w:rsidRPr="00B17DE3" w:rsidRDefault="00840826" w:rsidP="00B17DE3">
            <w:pPr>
              <w:pStyle w:val="Tableheading"/>
              <w:jc w:val="right"/>
            </w:pPr>
            <w:r w:rsidRPr="00B17DE3">
              <w:t xml:space="preserve">30 June </w:t>
            </w:r>
            <w:r w:rsidR="00E85F7E">
              <w:t>2023</w:t>
            </w:r>
          </w:p>
          <w:p w14:paraId="1F43269C" w14:textId="127B8690" w:rsidR="00840826" w:rsidRPr="00B17DE3" w:rsidRDefault="00840826" w:rsidP="00B17DE3">
            <w:pPr>
              <w:pStyle w:val="Tableheading"/>
              <w:jc w:val="right"/>
            </w:pPr>
            <w:r w:rsidRPr="00B17DE3">
              <w:t>m</w:t>
            </w:r>
          </w:p>
        </w:tc>
        <w:tc>
          <w:tcPr>
            <w:tcW w:w="1246" w:type="dxa"/>
            <w:vAlign w:val="bottom"/>
          </w:tcPr>
          <w:p w14:paraId="5AFAC350" w14:textId="1C5EE828" w:rsidR="00840826" w:rsidRPr="00B17DE3" w:rsidRDefault="00840826" w:rsidP="00B17DE3">
            <w:pPr>
              <w:pStyle w:val="Tableheading"/>
              <w:jc w:val="right"/>
            </w:pPr>
            <w:r w:rsidRPr="00B17DE3">
              <w:t xml:space="preserve">31 December </w:t>
            </w:r>
            <w:r w:rsidR="00E85F7E">
              <w:t>2023</w:t>
            </w:r>
          </w:p>
          <w:p w14:paraId="639027B1" w14:textId="474806EC" w:rsidR="00840826" w:rsidRPr="00B17DE3" w:rsidRDefault="00840826" w:rsidP="00B17DE3">
            <w:pPr>
              <w:pStyle w:val="Tableheading"/>
              <w:jc w:val="right"/>
            </w:pPr>
            <w:r w:rsidRPr="00B17DE3">
              <w:t>m</w:t>
            </w:r>
          </w:p>
        </w:tc>
        <w:tc>
          <w:tcPr>
            <w:tcW w:w="1022" w:type="dxa"/>
            <w:vAlign w:val="bottom"/>
          </w:tcPr>
          <w:p w14:paraId="6E2CFA1F" w14:textId="2AFD098B" w:rsidR="00840826" w:rsidRPr="00B17DE3" w:rsidRDefault="00840826" w:rsidP="00B17DE3">
            <w:pPr>
              <w:pStyle w:val="Tableheading"/>
              <w:jc w:val="right"/>
            </w:pPr>
            <w:r w:rsidRPr="00B17DE3">
              <w:t xml:space="preserve">30 June </w:t>
            </w:r>
            <w:r w:rsidR="00E85F7E">
              <w:t>2024</w:t>
            </w:r>
          </w:p>
          <w:p w14:paraId="4E847417" w14:textId="77777777" w:rsidR="00840826" w:rsidRPr="00B17DE3" w:rsidRDefault="00840826" w:rsidP="00B17DE3">
            <w:pPr>
              <w:pStyle w:val="Tableheading"/>
              <w:jc w:val="right"/>
            </w:pPr>
            <w:r w:rsidRPr="00B17DE3">
              <w:t>£m</w:t>
            </w:r>
          </w:p>
        </w:tc>
        <w:tc>
          <w:tcPr>
            <w:tcW w:w="992" w:type="dxa"/>
            <w:vAlign w:val="bottom"/>
          </w:tcPr>
          <w:p w14:paraId="3EFE766E" w14:textId="2920D89B" w:rsidR="00840826" w:rsidRPr="00B17DE3" w:rsidRDefault="00840826" w:rsidP="00B17DE3">
            <w:pPr>
              <w:pStyle w:val="Tableheading"/>
              <w:jc w:val="right"/>
            </w:pPr>
            <w:r w:rsidRPr="00B17DE3">
              <w:t xml:space="preserve">30 June </w:t>
            </w:r>
            <w:r w:rsidR="00E85F7E">
              <w:t>2023</w:t>
            </w:r>
          </w:p>
          <w:p w14:paraId="69EC56C3" w14:textId="2CB04D44" w:rsidR="00840826" w:rsidRPr="00B17DE3" w:rsidRDefault="00840826" w:rsidP="00B17DE3">
            <w:pPr>
              <w:pStyle w:val="Tableheading"/>
              <w:jc w:val="right"/>
            </w:pPr>
            <w:r w:rsidRPr="00B17DE3">
              <w:t>£m</w:t>
            </w:r>
          </w:p>
        </w:tc>
        <w:tc>
          <w:tcPr>
            <w:tcW w:w="1276" w:type="dxa"/>
            <w:vAlign w:val="bottom"/>
          </w:tcPr>
          <w:p w14:paraId="4A6687DF" w14:textId="7FF512B0" w:rsidR="00840826" w:rsidRPr="00B17DE3" w:rsidRDefault="00840826" w:rsidP="00B17DE3">
            <w:pPr>
              <w:pStyle w:val="Tableheading"/>
              <w:jc w:val="right"/>
            </w:pPr>
            <w:r w:rsidRPr="00B17DE3">
              <w:t xml:space="preserve">31 December </w:t>
            </w:r>
            <w:r w:rsidR="00E85F7E">
              <w:t>2023</w:t>
            </w:r>
          </w:p>
          <w:p w14:paraId="5A7756F8" w14:textId="77777777" w:rsidR="00840826" w:rsidRPr="00B17DE3" w:rsidRDefault="00840826" w:rsidP="00B17DE3">
            <w:pPr>
              <w:pStyle w:val="Tableheading"/>
              <w:jc w:val="right"/>
            </w:pPr>
            <w:r w:rsidRPr="00B17DE3">
              <w:t>£m</w:t>
            </w:r>
          </w:p>
        </w:tc>
      </w:tr>
      <w:tr w:rsidR="00840826" w:rsidRPr="0032488D" w14:paraId="492F2BFC" w14:textId="77777777" w:rsidTr="00B17DE3">
        <w:trPr>
          <w:trHeight w:val="210"/>
        </w:trPr>
        <w:tc>
          <w:tcPr>
            <w:tcW w:w="3828" w:type="dxa"/>
          </w:tcPr>
          <w:p w14:paraId="353D7CA7" w14:textId="77777777" w:rsidR="00840826" w:rsidRPr="0032488D" w:rsidRDefault="00840826" w:rsidP="00840826">
            <w:pPr>
              <w:spacing w:after="0"/>
              <w:rPr>
                <w:rFonts w:eastAsia="Times New Roman"/>
                <w:b/>
                <w:bCs/>
                <w:szCs w:val="18"/>
                <w:lang w:eastAsia="en-GB"/>
              </w:rPr>
            </w:pPr>
            <w:r w:rsidRPr="0032488D">
              <w:rPr>
                <w:rFonts w:eastAsia="Times New Roman"/>
                <w:b/>
                <w:bCs/>
                <w:szCs w:val="18"/>
                <w:lang w:eastAsia="en-GB"/>
              </w:rPr>
              <w:t>Movement in ordinary shares</w:t>
            </w:r>
          </w:p>
        </w:tc>
        <w:tc>
          <w:tcPr>
            <w:tcW w:w="1134" w:type="dxa"/>
          </w:tcPr>
          <w:p w14:paraId="12E3DE20" w14:textId="77777777" w:rsidR="00840826" w:rsidRPr="0032488D" w:rsidRDefault="00840826" w:rsidP="00840826">
            <w:pPr>
              <w:spacing w:after="0"/>
              <w:rPr>
                <w:rFonts w:eastAsia="Times New Roman"/>
                <w:szCs w:val="18"/>
                <w:lang w:eastAsia="en-GB"/>
              </w:rPr>
            </w:pPr>
          </w:p>
        </w:tc>
        <w:tc>
          <w:tcPr>
            <w:tcW w:w="992" w:type="dxa"/>
          </w:tcPr>
          <w:p w14:paraId="4ACD21BB" w14:textId="77777777" w:rsidR="00840826" w:rsidRPr="0032488D" w:rsidRDefault="00840826" w:rsidP="00840826">
            <w:pPr>
              <w:spacing w:after="0"/>
              <w:rPr>
                <w:rFonts w:eastAsia="Times New Roman"/>
                <w:szCs w:val="18"/>
                <w:lang w:eastAsia="en-GB"/>
              </w:rPr>
            </w:pPr>
          </w:p>
        </w:tc>
        <w:tc>
          <w:tcPr>
            <w:tcW w:w="1246" w:type="dxa"/>
          </w:tcPr>
          <w:p w14:paraId="051D98C9" w14:textId="77777777" w:rsidR="00840826" w:rsidRPr="0032488D" w:rsidRDefault="00840826" w:rsidP="00840826">
            <w:pPr>
              <w:spacing w:after="0"/>
              <w:jc w:val="right"/>
              <w:rPr>
                <w:rFonts w:eastAsia="Times New Roman"/>
                <w:szCs w:val="18"/>
                <w:lang w:eastAsia="en-GB"/>
              </w:rPr>
            </w:pPr>
          </w:p>
        </w:tc>
        <w:tc>
          <w:tcPr>
            <w:tcW w:w="1022" w:type="dxa"/>
            <w:shd w:val="clear" w:color="auto" w:fill="auto"/>
            <w:vAlign w:val="bottom"/>
          </w:tcPr>
          <w:p w14:paraId="3A93CDF0" w14:textId="2C4F9BED" w:rsidR="00840826" w:rsidRPr="0032488D" w:rsidRDefault="00840826" w:rsidP="00840826">
            <w:pPr>
              <w:spacing w:after="0"/>
              <w:jc w:val="right"/>
              <w:rPr>
                <w:rFonts w:eastAsia="Times New Roman"/>
                <w:szCs w:val="18"/>
                <w:lang w:eastAsia="en-GB"/>
              </w:rPr>
            </w:pPr>
          </w:p>
        </w:tc>
        <w:tc>
          <w:tcPr>
            <w:tcW w:w="992" w:type="dxa"/>
          </w:tcPr>
          <w:p w14:paraId="0BB54C05" w14:textId="77777777" w:rsidR="00840826" w:rsidRPr="0032488D" w:rsidRDefault="00840826" w:rsidP="00840826">
            <w:pPr>
              <w:spacing w:after="0"/>
              <w:jc w:val="right"/>
              <w:rPr>
                <w:rFonts w:eastAsia="Times New Roman"/>
                <w:szCs w:val="18"/>
                <w:lang w:eastAsia="en-GB"/>
              </w:rPr>
            </w:pPr>
          </w:p>
        </w:tc>
        <w:tc>
          <w:tcPr>
            <w:tcW w:w="1276" w:type="dxa"/>
            <w:vAlign w:val="bottom"/>
          </w:tcPr>
          <w:p w14:paraId="53504335" w14:textId="2AC9685C" w:rsidR="00840826" w:rsidRPr="0032488D" w:rsidRDefault="00840826" w:rsidP="00840826">
            <w:pPr>
              <w:spacing w:after="0"/>
              <w:jc w:val="right"/>
              <w:rPr>
                <w:rFonts w:eastAsia="Times New Roman"/>
                <w:szCs w:val="18"/>
                <w:lang w:eastAsia="en-GB"/>
              </w:rPr>
            </w:pPr>
          </w:p>
        </w:tc>
      </w:tr>
      <w:tr w:rsidR="006C13A4" w:rsidRPr="0032488D" w14:paraId="6A4BF0FA" w14:textId="77777777">
        <w:trPr>
          <w:trHeight w:val="224"/>
        </w:trPr>
        <w:tc>
          <w:tcPr>
            <w:tcW w:w="3828" w:type="dxa"/>
          </w:tcPr>
          <w:p w14:paraId="31B73352" w14:textId="77777777" w:rsidR="006C13A4" w:rsidRPr="0032488D" w:rsidRDefault="006C13A4" w:rsidP="006C13A4">
            <w:pPr>
              <w:spacing w:after="0"/>
              <w:rPr>
                <w:rFonts w:eastAsia="Times New Roman"/>
                <w:szCs w:val="18"/>
                <w:lang w:eastAsia="en-GB"/>
              </w:rPr>
            </w:pPr>
            <w:r w:rsidRPr="0032488D">
              <w:rPr>
                <w:rFonts w:eastAsia="Times New Roman"/>
                <w:szCs w:val="18"/>
                <w:lang w:eastAsia="en-GB"/>
              </w:rPr>
              <w:t>At 1 January</w:t>
            </w:r>
          </w:p>
        </w:tc>
        <w:tc>
          <w:tcPr>
            <w:tcW w:w="1134" w:type="dxa"/>
          </w:tcPr>
          <w:p w14:paraId="5C38A349" w14:textId="3FF30E63" w:rsidR="006C13A4" w:rsidRPr="00D84099" w:rsidRDefault="008A176C" w:rsidP="00577845">
            <w:pPr>
              <w:tabs>
                <w:tab w:val="decimal" w:pos="748"/>
              </w:tabs>
              <w:spacing w:after="0"/>
              <w:jc w:val="both"/>
              <w:rPr>
                <w:rFonts w:eastAsia="Times New Roman"/>
                <w:szCs w:val="18"/>
                <w:lang w:eastAsia="en-GB"/>
              </w:rPr>
            </w:pPr>
            <w:r>
              <w:rPr>
                <w:rFonts w:eastAsia="Times New Roman"/>
                <w:szCs w:val="18"/>
                <w:lang w:eastAsia="en-GB"/>
              </w:rPr>
              <w:t>545.0</w:t>
            </w:r>
          </w:p>
        </w:tc>
        <w:tc>
          <w:tcPr>
            <w:tcW w:w="992" w:type="dxa"/>
          </w:tcPr>
          <w:p w14:paraId="03DD00D7" w14:textId="461BF2B5" w:rsidR="006C13A4" w:rsidRPr="0032488D" w:rsidRDefault="006C13A4" w:rsidP="00577845">
            <w:pPr>
              <w:tabs>
                <w:tab w:val="decimal" w:pos="598"/>
              </w:tabs>
              <w:spacing w:after="0"/>
              <w:rPr>
                <w:rFonts w:eastAsia="Times New Roman"/>
                <w:szCs w:val="18"/>
                <w:lang w:eastAsia="en-GB"/>
              </w:rPr>
            </w:pPr>
            <w:r w:rsidRPr="00D84099">
              <w:rPr>
                <w:rFonts w:eastAsia="Times New Roman"/>
                <w:szCs w:val="18"/>
                <w:lang w:eastAsia="en-GB"/>
              </w:rPr>
              <w:t>5</w:t>
            </w:r>
            <w:r>
              <w:rPr>
                <w:rFonts w:eastAsia="Times New Roman"/>
                <w:szCs w:val="18"/>
                <w:lang w:eastAsia="en-GB"/>
              </w:rPr>
              <w:t>46.4</w:t>
            </w:r>
          </w:p>
        </w:tc>
        <w:tc>
          <w:tcPr>
            <w:tcW w:w="1246" w:type="dxa"/>
          </w:tcPr>
          <w:p w14:paraId="19E140BA" w14:textId="68F2F03E" w:rsidR="006C13A4" w:rsidRPr="00415A80" w:rsidRDefault="006C13A4" w:rsidP="006C13A4">
            <w:pPr>
              <w:tabs>
                <w:tab w:val="decimal" w:pos="777"/>
              </w:tabs>
              <w:spacing w:after="0"/>
              <w:rPr>
                <w:rFonts w:eastAsia="Times New Roman"/>
                <w:szCs w:val="18"/>
                <w:highlight w:val="yellow"/>
                <w:lang w:eastAsia="en-GB"/>
              </w:rPr>
            </w:pPr>
            <w:r w:rsidRPr="00D84099">
              <w:rPr>
                <w:rFonts w:eastAsia="Times New Roman"/>
                <w:szCs w:val="18"/>
                <w:lang w:eastAsia="en-GB"/>
              </w:rPr>
              <w:t>5</w:t>
            </w:r>
            <w:r>
              <w:rPr>
                <w:rFonts w:eastAsia="Times New Roman"/>
                <w:szCs w:val="18"/>
                <w:lang w:eastAsia="en-GB"/>
              </w:rPr>
              <w:t>46.4</w:t>
            </w:r>
          </w:p>
        </w:tc>
        <w:tc>
          <w:tcPr>
            <w:tcW w:w="1022" w:type="dxa"/>
            <w:shd w:val="clear" w:color="auto" w:fill="auto"/>
            <w:vAlign w:val="bottom"/>
          </w:tcPr>
          <w:p w14:paraId="5075D900" w14:textId="6A89437F" w:rsidR="006C13A4" w:rsidRPr="00D84099" w:rsidRDefault="008A176C" w:rsidP="006C13A4">
            <w:pPr>
              <w:tabs>
                <w:tab w:val="decimal" w:pos="777"/>
              </w:tabs>
              <w:spacing w:after="0"/>
              <w:rPr>
                <w:rFonts w:eastAsia="Times New Roman"/>
                <w:szCs w:val="18"/>
                <w:lang w:eastAsia="en-GB"/>
              </w:rPr>
            </w:pPr>
            <w:r>
              <w:rPr>
                <w:rFonts w:eastAsia="Times New Roman"/>
                <w:szCs w:val="18"/>
                <w:lang w:eastAsia="en-GB"/>
              </w:rPr>
              <w:t>10.9</w:t>
            </w:r>
          </w:p>
        </w:tc>
        <w:tc>
          <w:tcPr>
            <w:tcW w:w="992" w:type="dxa"/>
            <w:vAlign w:val="bottom"/>
          </w:tcPr>
          <w:p w14:paraId="2CC0BF13" w14:textId="4C6AD9FD" w:rsidR="006C13A4" w:rsidRPr="0032488D" w:rsidRDefault="006C13A4" w:rsidP="006C13A4">
            <w:pPr>
              <w:tabs>
                <w:tab w:val="decimal" w:pos="844"/>
              </w:tabs>
              <w:spacing w:after="0"/>
              <w:rPr>
                <w:rFonts w:eastAsia="Times New Roman"/>
                <w:szCs w:val="18"/>
                <w:lang w:eastAsia="en-GB"/>
              </w:rPr>
            </w:pPr>
            <w:r w:rsidRPr="00D84099">
              <w:rPr>
                <w:rFonts w:eastAsia="Times New Roman"/>
                <w:szCs w:val="18"/>
                <w:lang w:eastAsia="en-GB"/>
              </w:rPr>
              <w:t>1</w:t>
            </w:r>
            <w:r>
              <w:rPr>
                <w:rFonts w:eastAsia="Times New Roman"/>
                <w:szCs w:val="18"/>
                <w:lang w:eastAsia="en-GB"/>
              </w:rPr>
              <w:t>0.9</w:t>
            </w:r>
          </w:p>
        </w:tc>
        <w:tc>
          <w:tcPr>
            <w:tcW w:w="1276" w:type="dxa"/>
            <w:vAlign w:val="bottom"/>
          </w:tcPr>
          <w:p w14:paraId="5412A4DF" w14:textId="4CCE81E4" w:rsidR="006C13A4" w:rsidRPr="00415A80" w:rsidRDefault="006C13A4" w:rsidP="006C13A4">
            <w:pPr>
              <w:tabs>
                <w:tab w:val="decimal" w:pos="844"/>
              </w:tabs>
              <w:spacing w:after="0"/>
              <w:rPr>
                <w:rFonts w:eastAsia="Times New Roman"/>
                <w:szCs w:val="18"/>
                <w:highlight w:val="yellow"/>
                <w:lang w:eastAsia="en-GB"/>
              </w:rPr>
            </w:pPr>
            <w:r w:rsidRPr="00D84099">
              <w:rPr>
                <w:rFonts w:eastAsia="Times New Roman"/>
                <w:szCs w:val="18"/>
                <w:lang w:eastAsia="en-GB"/>
              </w:rPr>
              <w:t>1</w:t>
            </w:r>
            <w:r>
              <w:rPr>
                <w:rFonts w:eastAsia="Times New Roman"/>
                <w:szCs w:val="18"/>
                <w:lang w:eastAsia="en-GB"/>
              </w:rPr>
              <w:t>0.9</w:t>
            </w:r>
          </w:p>
        </w:tc>
      </w:tr>
      <w:tr w:rsidR="006C13A4" w:rsidRPr="0032488D" w14:paraId="62145779" w14:textId="77777777">
        <w:trPr>
          <w:trHeight w:val="224"/>
        </w:trPr>
        <w:tc>
          <w:tcPr>
            <w:tcW w:w="3828" w:type="dxa"/>
          </w:tcPr>
          <w:p w14:paraId="7E688B39" w14:textId="77777777" w:rsidR="006C13A4" w:rsidRPr="0032488D" w:rsidRDefault="006C13A4" w:rsidP="006C13A4">
            <w:pPr>
              <w:spacing w:after="0"/>
              <w:rPr>
                <w:rFonts w:eastAsia="Times New Roman"/>
                <w:szCs w:val="18"/>
                <w:lang w:eastAsia="en-GB"/>
              </w:rPr>
            </w:pPr>
            <w:r w:rsidRPr="0032488D">
              <w:rPr>
                <w:rFonts w:eastAsia="Times New Roman"/>
                <w:szCs w:val="18"/>
                <w:lang w:eastAsia="en-GB"/>
              </w:rPr>
              <w:t xml:space="preserve">Shares cancelled  </w:t>
            </w:r>
          </w:p>
        </w:tc>
        <w:tc>
          <w:tcPr>
            <w:tcW w:w="1134" w:type="dxa"/>
          </w:tcPr>
          <w:p w14:paraId="0BB1F2D6" w14:textId="7B2B0857" w:rsidR="006C13A4" w:rsidRPr="00D84099" w:rsidRDefault="008A176C" w:rsidP="00577845">
            <w:pPr>
              <w:tabs>
                <w:tab w:val="decimal" w:pos="748"/>
              </w:tabs>
              <w:spacing w:after="0"/>
              <w:jc w:val="both"/>
              <w:rPr>
                <w:rFonts w:eastAsia="Times New Roman"/>
                <w:szCs w:val="18"/>
                <w:lang w:eastAsia="en-GB"/>
              </w:rPr>
            </w:pPr>
            <w:r>
              <w:rPr>
                <w:rFonts w:eastAsia="Times New Roman"/>
                <w:szCs w:val="18"/>
                <w:lang w:eastAsia="en-GB"/>
              </w:rPr>
              <w:t>-</w:t>
            </w:r>
          </w:p>
        </w:tc>
        <w:tc>
          <w:tcPr>
            <w:tcW w:w="992" w:type="dxa"/>
          </w:tcPr>
          <w:p w14:paraId="44BDA939" w14:textId="24902081" w:rsidR="006C13A4" w:rsidRPr="0032488D" w:rsidRDefault="006C13A4" w:rsidP="00577845">
            <w:pPr>
              <w:tabs>
                <w:tab w:val="decimal" w:pos="598"/>
              </w:tabs>
              <w:spacing w:after="0"/>
              <w:rPr>
                <w:rFonts w:eastAsia="Times New Roman"/>
                <w:szCs w:val="18"/>
                <w:lang w:eastAsia="en-GB"/>
              </w:rPr>
            </w:pPr>
            <w:r w:rsidRPr="00D84099">
              <w:rPr>
                <w:rFonts w:eastAsia="Times New Roman"/>
                <w:szCs w:val="18"/>
                <w:lang w:eastAsia="en-GB"/>
              </w:rPr>
              <w:t>(</w:t>
            </w:r>
            <w:r>
              <w:rPr>
                <w:rFonts w:eastAsia="Times New Roman"/>
                <w:szCs w:val="18"/>
                <w:lang w:eastAsia="en-GB"/>
              </w:rPr>
              <w:t>1.4</w:t>
            </w:r>
            <w:r w:rsidRPr="00D84099">
              <w:rPr>
                <w:rFonts w:eastAsia="Times New Roman"/>
                <w:szCs w:val="18"/>
                <w:lang w:eastAsia="en-GB"/>
              </w:rPr>
              <w:t>)</w:t>
            </w:r>
          </w:p>
        </w:tc>
        <w:tc>
          <w:tcPr>
            <w:tcW w:w="1246" w:type="dxa"/>
          </w:tcPr>
          <w:p w14:paraId="5D20C060" w14:textId="0E40FBE4" w:rsidR="006C13A4" w:rsidRPr="00415A80" w:rsidRDefault="006C13A4" w:rsidP="006C13A4">
            <w:pPr>
              <w:tabs>
                <w:tab w:val="decimal" w:pos="777"/>
              </w:tabs>
              <w:spacing w:after="0"/>
              <w:rPr>
                <w:rFonts w:eastAsia="Times New Roman"/>
                <w:szCs w:val="18"/>
                <w:highlight w:val="yellow"/>
                <w:lang w:eastAsia="en-GB"/>
              </w:rPr>
            </w:pPr>
            <w:r w:rsidRPr="00D84099">
              <w:rPr>
                <w:rFonts w:eastAsia="Times New Roman"/>
                <w:szCs w:val="18"/>
                <w:lang w:eastAsia="en-GB"/>
              </w:rPr>
              <w:t>(</w:t>
            </w:r>
            <w:r>
              <w:rPr>
                <w:rFonts w:eastAsia="Times New Roman"/>
                <w:szCs w:val="18"/>
                <w:lang w:eastAsia="en-GB"/>
              </w:rPr>
              <w:t>1.4</w:t>
            </w:r>
            <w:r w:rsidRPr="00D84099">
              <w:rPr>
                <w:rFonts w:eastAsia="Times New Roman"/>
                <w:szCs w:val="18"/>
                <w:lang w:eastAsia="en-GB"/>
              </w:rPr>
              <w:t>)</w:t>
            </w:r>
          </w:p>
        </w:tc>
        <w:tc>
          <w:tcPr>
            <w:tcW w:w="1022" w:type="dxa"/>
            <w:shd w:val="clear" w:color="auto" w:fill="auto"/>
            <w:vAlign w:val="bottom"/>
          </w:tcPr>
          <w:p w14:paraId="3B11D35D" w14:textId="437940CC" w:rsidR="006C13A4" w:rsidRPr="00D84099" w:rsidRDefault="008A176C" w:rsidP="006C13A4">
            <w:pPr>
              <w:tabs>
                <w:tab w:val="decimal" w:pos="777"/>
              </w:tabs>
              <w:spacing w:after="0"/>
              <w:rPr>
                <w:rFonts w:eastAsia="Times New Roman"/>
                <w:szCs w:val="18"/>
                <w:lang w:eastAsia="en-GB"/>
              </w:rPr>
            </w:pPr>
            <w:r>
              <w:rPr>
                <w:rFonts w:eastAsia="Times New Roman"/>
                <w:szCs w:val="18"/>
                <w:lang w:eastAsia="en-GB"/>
              </w:rPr>
              <w:t>-</w:t>
            </w:r>
          </w:p>
        </w:tc>
        <w:tc>
          <w:tcPr>
            <w:tcW w:w="992" w:type="dxa"/>
            <w:vAlign w:val="bottom"/>
          </w:tcPr>
          <w:p w14:paraId="337A0487" w14:textId="517A2ED5" w:rsidR="006C13A4" w:rsidRPr="0032488D" w:rsidRDefault="006C13A4" w:rsidP="006C13A4">
            <w:pPr>
              <w:tabs>
                <w:tab w:val="decimal" w:pos="844"/>
              </w:tabs>
              <w:spacing w:after="0"/>
              <w:rPr>
                <w:rFonts w:eastAsia="Times New Roman"/>
                <w:szCs w:val="18"/>
                <w:lang w:eastAsia="en-GB"/>
              </w:rPr>
            </w:pPr>
            <w:r>
              <w:rPr>
                <w:rFonts w:eastAsia="Times New Roman"/>
                <w:szCs w:val="18"/>
                <w:lang w:eastAsia="en-GB"/>
              </w:rPr>
              <w:t>-</w:t>
            </w:r>
          </w:p>
        </w:tc>
        <w:tc>
          <w:tcPr>
            <w:tcW w:w="1276" w:type="dxa"/>
            <w:shd w:val="clear" w:color="auto" w:fill="auto"/>
            <w:vAlign w:val="bottom"/>
          </w:tcPr>
          <w:p w14:paraId="35E66097" w14:textId="77A934FF" w:rsidR="006C13A4" w:rsidRPr="00415A80" w:rsidRDefault="006C13A4" w:rsidP="006C13A4">
            <w:pPr>
              <w:tabs>
                <w:tab w:val="decimal" w:pos="844"/>
              </w:tabs>
              <w:spacing w:after="0"/>
              <w:rPr>
                <w:rFonts w:eastAsia="Times New Roman"/>
                <w:szCs w:val="18"/>
                <w:highlight w:val="yellow"/>
                <w:lang w:eastAsia="en-GB"/>
              </w:rPr>
            </w:pPr>
            <w:r>
              <w:rPr>
                <w:rFonts w:eastAsia="Times New Roman"/>
                <w:szCs w:val="18"/>
                <w:lang w:eastAsia="en-GB"/>
              </w:rPr>
              <w:t>-</w:t>
            </w:r>
          </w:p>
        </w:tc>
      </w:tr>
      <w:tr w:rsidR="006C13A4" w:rsidRPr="000949AC" w14:paraId="01C4A6E2" w14:textId="77777777">
        <w:trPr>
          <w:trHeight w:val="224"/>
        </w:trPr>
        <w:tc>
          <w:tcPr>
            <w:tcW w:w="3828" w:type="dxa"/>
          </w:tcPr>
          <w:p w14:paraId="416C95E6" w14:textId="69788BEE" w:rsidR="006C13A4" w:rsidRPr="0032488D" w:rsidRDefault="006C13A4" w:rsidP="006C13A4">
            <w:pPr>
              <w:spacing w:after="0"/>
              <w:rPr>
                <w:rFonts w:eastAsia="Times New Roman"/>
                <w:b/>
                <w:bCs/>
                <w:szCs w:val="18"/>
                <w:lang w:eastAsia="en-GB"/>
              </w:rPr>
            </w:pPr>
            <w:r w:rsidRPr="0032488D">
              <w:rPr>
                <w:rFonts w:eastAsia="Times New Roman"/>
                <w:b/>
                <w:bCs/>
                <w:szCs w:val="18"/>
                <w:lang w:eastAsia="en-GB"/>
              </w:rPr>
              <w:t xml:space="preserve">At </w:t>
            </w:r>
            <w:r w:rsidR="00E31725">
              <w:rPr>
                <w:rFonts w:eastAsia="Times New Roman"/>
                <w:b/>
                <w:bCs/>
                <w:szCs w:val="18"/>
                <w:lang w:eastAsia="en-GB"/>
              </w:rPr>
              <w:t xml:space="preserve">the end of the </w:t>
            </w:r>
            <w:r>
              <w:rPr>
                <w:rFonts w:eastAsia="Times New Roman"/>
                <w:b/>
                <w:bCs/>
                <w:szCs w:val="18"/>
                <w:lang w:eastAsia="en-GB"/>
              </w:rPr>
              <w:t>period</w:t>
            </w:r>
          </w:p>
        </w:tc>
        <w:tc>
          <w:tcPr>
            <w:tcW w:w="1134" w:type="dxa"/>
            <w:tcBorders>
              <w:top w:val="single" w:sz="4" w:space="0" w:color="auto"/>
              <w:bottom w:val="double" w:sz="4" w:space="0" w:color="auto"/>
            </w:tcBorders>
            <w:shd w:val="clear" w:color="auto" w:fill="auto"/>
            <w:vAlign w:val="bottom"/>
          </w:tcPr>
          <w:p w14:paraId="7DBF6354" w14:textId="3802EB88" w:rsidR="006C13A4" w:rsidRPr="00D84099" w:rsidRDefault="008A176C" w:rsidP="00577845">
            <w:pPr>
              <w:tabs>
                <w:tab w:val="decimal" w:pos="748"/>
              </w:tabs>
              <w:spacing w:after="0"/>
              <w:jc w:val="both"/>
              <w:rPr>
                <w:rFonts w:eastAsia="Times New Roman"/>
                <w:b/>
                <w:bCs/>
                <w:szCs w:val="18"/>
                <w:lang w:eastAsia="en-GB"/>
              </w:rPr>
            </w:pPr>
            <w:r>
              <w:rPr>
                <w:rFonts w:eastAsia="Times New Roman"/>
                <w:b/>
                <w:bCs/>
                <w:szCs w:val="18"/>
                <w:lang w:eastAsia="en-GB"/>
              </w:rPr>
              <w:t>545.0</w:t>
            </w:r>
          </w:p>
        </w:tc>
        <w:tc>
          <w:tcPr>
            <w:tcW w:w="992" w:type="dxa"/>
            <w:tcBorders>
              <w:top w:val="single" w:sz="4" w:space="0" w:color="auto"/>
              <w:bottom w:val="double" w:sz="4" w:space="0" w:color="auto"/>
            </w:tcBorders>
            <w:vAlign w:val="bottom"/>
          </w:tcPr>
          <w:p w14:paraId="3252985C" w14:textId="34E3B5B3" w:rsidR="006C13A4" w:rsidRPr="0032488D" w:rsidRDefault="006C13A4" w:rsidP="00577845">
            <w:pPr>
              <w:tabs>
                <w:tab w:val="decimal" w:pos="598"/>
              </w:tabs>
              <w:spacing w:after="0"/>
              <w:rPr>
                <w:rFonts w:eastAsia="Times New Roman"/>
                <w:b/>
                <w:bCs/>
                <w:szCs w:val="18"/>
                <w:lang w:eastAsia="en-GB"/>
              </w:rPr>
            </w:pPr>
            <w:r w:rsidRPr="00D84099">
              <w:rPr>
                <w:rFonts w:eastAsia="Times New Roman"/>
                <w:b/>
                <w:bCs/>
                <w:szCs w:val="18"/>
                <w:lang w:eastAsia="en-GB"/>
              </w:rPr>
              <w:t>54</w:t>
            </w:r>
            <w:r>
              <w:rPr>
                <w:rFonts w:eastAsia="Times New Roman"/>
                <w:b/>
                <w:bCs/>
                <w:szCs w:val="18"/>
                <w:lang w:eastAsia="en-GB"/>
              </w:rPr>
              <w:t>5.0</w:t>
            </w:r>
          </w:p>
        </w:tc>
        <w:tc>
          <w:tcPr>
            <w:tcW w:w="1246" w:type="dxa"/>
            <w:tcBorders>
              <w:top w:val="single" w:sz="4" w:space="0" w:color="auto"/>
              <w:bottom w:val="double" w:sz="4" w:space="0" w:color="auto"/>
            </w:tcBorders>
            <w:vAlign w:val="bottom"/>
          </w:tcPr>
          <w:p w14:paraId="0C23C1E1" w14:textId="5FA0B86B" w:rsidR="006C13A4" w:rsidRPr="00415A80" w:rsidRDefault="006C13A4" w:rsidP="006C13A4">
            <w:pPr>
              <w:tabs>
                <w:tab w:val="decimal" w:pos="777"/>
              </w:tabs>
              <w:spacing w:after="0"/>
              <w:rPr>
                <w:rFonts w:eastAsia="Times New Roman"/>
                <w:b/>
                <w:bCs/>
                <w:szCs w:val="18"/>
                <w:highlight w:val="yellow"/>
                <w:lang w:eastAsia="en-GB"/>
              </w:rPr>
            </w:pPr>
            <w:r w:rsidRPr="00D84099">
              <w:rPr>
                <w:rFonts w:eastAsia="Times New Roman"/>
                <w:b/>
                <w:bCs/>
                <w:szCs w:val="18"/>
                <w:lang w:eastAsia="en-GB"/>
              </w:rPr>
              <w:t>54</w:t>
            </w:r>
            <w:r>
              <w:rPr>
                <w:rFonts w:eastAsia="Times New Roman"/>
                <w:b/>
                <w:bCs/>
                <w:szCs w:val="18"/>
                <w:lang w:eastAsia="en-GB"/>
              </w:rPr>
              <w:t>5.0</w:t>
            </w:r>
          </w:p>
        </w:tc>
        <w:tc>
          <w:tcPr>
            <w:tcW w:w="1022" w:type="dxa"/>
            <w:tcBorders>
              <w:top w:val="single" w:sz="4" w:space="0" w:color="auto"/>
              <w:bottom w:val="double" w:sz="4" w:space="0" w:color="auto"/>
            </w:tcBorders>
            <w:shd w:val="clear" w:color="auto" w:fill="auto"/>
            <w:vAlign w:val="bottom"/>
          </w:tcPr>
          <w:p w14:paraId="25ABCB3A" w14:textId="43F1572A" w:rsidR="006C13A4" w:rsidRPr="00D84099" w:rsidRDefault="008A176C" w:rsidP="006C13A4">
            <w:pPr>
              <w:tabs>
                <w:tab w:val="decimal" w:pos="777"/>
              </w:tabs>
              <w:spacing w:after="0"/>
              <w:rPr>
                <w:rFonts w:eastAsia="Times New Roman"/>
                <w:b/>
                <w:bCs/>
                <w:szCs w:val="18"/>
                <w:lang w:eastAsia="en-GB"/>
              </w:rPr>
            </w:pPr>
            <w:r>
              <w:rPr>
                <w:rFonts w:eastAsia="Times New Roman"/>
                <w:b/>
                <w:bCs/>
                <w:szCs w:val="18"/>
                <w:lang w:eastAsia="en-GB"/>
              </w:rPr>
              <w:t>10.9</w:t>
            </w:r>
          </w:p>
        </w:tc>
        <w:tc>
          <w:tcPr>
            <w:tcW w:w="992" w:type="dxa"/>
            <w:tcBorders>
              <w:top w:val="single" w:sz="4" w:space="0" w:color="auto"/>
              <w:bottom w:val="double" w:sz="4" w:space="0" w:color="auto"/>
            </w:tcBorders>
            <w:vAlign w:val="bottom"/>
          </w:tcPr>
          <w:p w14:paraId="58B8B11F" w14:textId="1E022A73" w:rsidR="006C13A4" w:rsidRPr="0032488D" w:rsidRDefault="006C13A4" w:rsidP="006C13A4">
            <w:pPr>
              <w:tabs>
                <w:tab w:val="decimal" w:pos="844"/>
              </w:tabs>
              <w:spacing w:after="0"/>
              <w:rPr>
                <w:rFonts w:eastAsia="Times New Roman"/>
                <w:b/>
                <w:bCs/>
                <w:szCs w:val="18"/>
                <w:lang w:eastAsia="en-GB"/>
              </w:rPr>
            </w:pPr>
            <w:r w:rsidRPr="00D84099">
              <w:rPr>
                <w:rFonts w:eastAsia="Times New Roman"/>
                <w:b/>
                <w:bCs/>
                <w:szCs w:val="18"/>
                <w:lang w:eastAsia="en-GB"/>
              </w:rPr>
              <w:t>10.9</w:t>
            </w:r>
          </w:p>
        </w:tc>
        <w:tc>
          <w:tcPr>
            <w:tcW w:w="1276" w:type="dxa"/>
            <w:tcBorders>
              <w:top w:val="single" w:sz="4" w:space="0" w:color="auto"/>
              <w:bottom w:val="double" w:sz="4" w:space="0" w:color="auto"/>
            </w:tcBorders>
            <w:shd w:val="clear" w:color="auto" w:fill="auto"/>
            <w:vAlign w:val="bottom"/>
          </w:tcPr>
          <w:p w14:paraId="4AA046B0" w14:textId="42DE3248" w:rsidR="006C13A4" w:rsidRPr="00415A80" w:rsidRDefault="006C13A4" w:rsidP="006C13A4">
            <w:pPr>
              <w:tabs>
                <w:tab w:val="decimal" w:pos="844"/>
              </w:tabs>
              <w:spacing w:after="0"/>
              <w:rPr>
                <w:rFonts w:eastAsia="Times New Roman"/>
                <w:b/>
                <w:bCs/>
                <w:szCs w:val="18"/>
                <w:highlight w:val="yellow"/>
                <w:lang w:eastAsia="en-GB"/>
              </w:rPr>
            </w:pPr>
            <w:r w:rsidRPr="00D84099">
              <w:rPr>
                <w:rFonts w:eastAsia="Times New Roman"/>
                <w:b/>
                <w:bCs/>
                <w:szCs w:val="18"/>
                <w:lang w:eastAsia="en-GB"/>
              </w:rPr>
              <w:t>10.9</w:t>
            </w:r>
          </w:p>
        </w:tc>
      </w:tr>
    </w:tbl>
    <w:p w14:paraId="2BF56DF2" w14:textId="77777777" w:rsidR="00422A4D" w:rsidRDefault="00422A4D" w:rsidP="00C87079">
      <w:pPr>
        <w:pStyle w:val="Subheading"/>
      </w:pPr>
    </w:p>
    <w:p w14:paraId="4E809B87" w14:textId="77777777" w:rsidR="00422A4D" w:rsidRDefault="00422A4D">
      <w:pPr>
        <w:rPr>
          <w:rFonts w:ascii="Source Sans Pro Semibold" w:eastAsiaTheme="minorHAnsi" w:hAnsi="Source Sans Pro Semibold"/>
          <w:color w:val="16293F" w:themeColor="text1"/>
          <w:sz w:val="24"/>
          <w:lang w:val="en-GB" w:eastAsia="en-US"/>
        </w:rPr>
      </w:pPr>
      <w:r>
        <w:br w:type="page"/>
      </w:r>
    </w:p>
    <w:p w14:paraId="54D6D57F" w14:textId="0187B6E8" w:rsidR="009F49AD" w:rsidRDefault="00DA64B8" w:rsidP="00C87079">
      <w:pPr>
        <w:pStyle w:val="Subheading"/>
      </w:pPr>
      <w:r>
        <w:lastRenderedPageBreak/>
        <w:t>15.</w:t>
      </w:r>
      <w:r w:rsidR="003950AC">
        <w:tab/>
      </w:r>
      <w:r w:rsidR="0064163E">
        <w:t>Reserves</w:t>
      </w:r>
    </w:p>
    <w:p w14:paraId="6501116D" w14:textId="6ABE9FB8" w:rsidR="009C6FFE" w:rsidRPr="0060274A" w:rsidRDefault="009C6FFE" w:rsidP="00CF007D">
      <w:pPr>
        <w:pStyle w:val="Subheading2"/>
        <w:tabs>
          <w:tab w:val="left" w:pos="567"/>
        </w:tabs>
      </w:pPr>
      <w:r w:rsidRPr="0060274A">
        <w:t>(</w:t>
      </w:r>
      <w:proofErr w:type="spellStart"/>
      <w:r w:rsidRPr="0060274A">
        <w:t>i</w:t>
      </w:r>
      <w:proofErr w:type="spellEnd"/>
      <w:r w:rsidRPr="0060274A">
        <w:t>)</w:t>
      </w:r>
      <w:r w:rsidR="001C5BB2" w:rsidRPr="0060274A">
        <w:tab/>
      </w:r>
      <w:r w:rsidRPr="0060274A">
        <w:t xml:space="preserve">Own </w:t>
      </w:r>
      <w:r w:rsidRPr="0060274A">
        <w:rPr>
          <w:szCs w:val="18"/>
        </w:rPr>
        <w:t>share</w:t>
      </w:r>
      <w:r w:rsidRPr="0060274A">
        <w:t xml:space="preserve"> reserve </w:t>
      </w:r>
    </w:p>
    <w:p w14:paraId="75065D42" w14:textId="62751569" w:rsidR="009C6FFE" w:rsidRPr="0060274A" w:rsidRDefault="009C6FFE" w:rsidP="009C6FFE">
      <w:pPr>
        <w:pStyle w:val="Bodytext0"/>
      </w:pPr>
      <w:r w:rsidRPr="0060274A">
        <w:t xml:space="preserve">The Group operates an EBT for the purpose of satisfying certain retention awards to employees. The holdings of this trust, which is funded by the Group, include shares </w:t>
      </w:r>
      <w:r w:rsidR="00047872" w:rsidRPr="0060274A">
        <w:t xml:space="preserve">in Jupiter Fund Management plc </w:t>
      </w:r>
      <w:r w:rsidRPr="0060274A">
        <w:t>that have not vested unconditionally to employees of the Group. These shares are recorded at cost and are classified as own shares</w:t>
      </w:r>
      <w:r w:rsidR="00047872" w:rsidRPr="0060274A">
        <w:t xml:space="preserve"> and</w:t>
      </w:r>
      <w:r w:rsidRPr="0060274A">
        <w:t xml:space="preserve"> are used to settle obligations that arise from the </w:t>
      </w:r>
      <w:r w:rsidR="003038E8" w:rsidRPr="0060274A">
        <w:t>vest</w:t>
      </w:r>
      <w:r w:rsidRPr="0060274A">
        <w:t xml:space="preserve">ing of share-based awards. </w:t>
      </w:r>
    </w:p>
    <w:p w14:paraId="53C7601A" w14:textId="4EA0FC97" w:rsidR="00451138" w:rsidRPr="00415A80" w:rsidRDefault="00047872" w:rsidP="00F2575A">
      <w:pPr>
        <w:pStyle w:val="Bodytext0"/>
        <w:rPr>
          <w:rFonts w:ascii="Source Sans Pro Semibold" w:hAnsi="Source Sans Pro Semibold"/>
          <w:color w:val="3E5772"/>
          <w:highlight w:val="yellow"/>
        </w:rPr>
      </w:pPr>
      <w:r w:rsidRPr="0060274A">
        <w:t xml:space="preserve">During the period, the Group purchased </w:t>
      </w:r>
      <w:r w:rsidR="000E1323" w:rsidRPr="005F0E7F">
        <w:t>1.2</w:t>
      </w:r>
      <w:r w:rsidRPr="005F0E7F">
        <w:t>m</w:t>
      </w:r>
      <w:r w:rsidRPr="0060274A">
        <w:t xml:space="preserve"> (</w:t>
      </w:r>
      <w:r w:rsidR="00E85F7E" w:rsidRPr="0060274A">
        <w:t>2023</w:t>
      </w:r>
      <w:r w:rsidRPr="0060274A">
        <w:t xml:space="preserve"> H1: </w:t>
      </w:r>
      <w:r w:rsidR="002A037A" w:rsidRPr="0060274A">
        <w:t>1</w:t>
      </w:r>
      <w:r w:rsidR="0060274A" w:rsidRPr="0060274A">
        <w:t>8</w:t>
      </w:r>
      <w:r w:rsidR="002A037A" w:rsidRPr="0060274A">
        <w:t>.4</w:t>
      </w:r>
      <w:r w:rsidRPr="0060274A">
        <w:t xml:space="preserve">m, </w:t>
      </w:r>
      <w:r w:rsidR="00E85F7E" w:rsidRPr="0060274A">
        <w:t>2023</w:t>
      </w:r>
      <w:r w:rsidRPr="0060274A">
        <w:t xml:space="preserve"> FY: 1</w:t>
      </w:r>
      <w:r w:rsidR="0060274A" w:rsidRPr="0060274A">
        <w:t>8</w:t>
      </w:r>
      <w:r w:rsidRPr="0060274A">
        <w:t>.</w:t>
      </w:r>
      <w:r w:rsidR="0060274A" w:rsidRPr="0060274A">
        <w:t>7</w:t>
      </w:r>
      <w:r w:rsidRPr="0060274A">
        <w:t xml:space="preserve">m) ordinary shares with a par value of </w:t>
      </w:r>
      <w:r w:rsidR="000E1323" w:rsidRPr="005F0E7F">
        <w:t>£0.1</w:t>
      </w:r>
      <w:r w:rsidRPr="005F0E7F">
        <w:t>m</w:t>
      </w:r>
      <w:r w:rsidRPr="00415A80">
        <w:rPr>
          <w:highlight w:val="yellow"/>
        </w:rPr>
        <w:t xml:space="preserve"> </w:t>
      </w:r>
      <w:r w:rsidRPr="0060274A">
        <w:t>(</w:t>
      </w:r>
      <w:r w:rsidR="00E85F7E" w:rsidRPr="0060274A">
        <w:t>2023</w:t>
      </w:r>
      <w:r w:rsidRPr="0060274A">
        <w:t xml:space="preserve"> H1: </w:t>
      </w:r>
      <w:r w:rsidR="009808BD" w:rsidRPr="0060274A">
        <w:t>£</w:t>
      </w:r>
      <w:r w:rsidR="00CA7880" w:rsidRPr="0060274A">
        <w:t>0.</w:t>
      </w:r>
      <w:r w:rsidR="0060274A" w:rsidRPr="0060274A">
        <w:t>4</w:t>
      </w:r>
      <w:r w:rsidRPr="0060274A">
        <w:t xml:space="preserve">m, </w:t>
      </w:r>
      <w:r w:rsidR="00E85F7E" w:rsidRPr="0060274A">
        <w:t>2023</w:t>
      </w:r>
      <w:r w:rsidRPr="0060274A">
        <w:t xml:space="preserve"> FY: £0.</w:t>
      </w:r>
      <w:r w:rsidR="0060274A" w:rsidRPr="0060274A">
        <w:t>4</w:t>
      </w:r>
      <w:r w:rsidRPr="0060274A">
        <w:t xml:space="preserve">m) for the purpose of satisfying share option obligations to employees. The full cost of the purchases was </w:t>
      </w:r>
      <w:r w:rsidR="00CA4F28" w:rsidRPr="005F0E7F">
        <w:t>£0.9</w:t>
      </w:r>
      <w:r w:rsidRPr="005F0E7F">
        <w:t xml:space="preserve">m </w:t>
      </w:r>
      <w:r w:rsidRPr="0060274A">
        <w:t>(</w:t>
      </w:r>
      <w:r w:rsidR="00E85F7E" w:rsidRPr="0060274A">
        <w:t>2023</w:t>
      </w:r>
      <w:r w:rsidRPr="0060274A">
        <w:t xml:space="preserve"> H1: </w:t>
      </w:r>
      <w:r w:rsidR="002F092C" w:rsidRPr="0060274A">
        <w:t>£2</w:t>
      </w:r>
      <w:r w:rsidR="0060274A" w:rsidRPr="0060274A">
        <w:t>4</w:t>
      </w:r>
      <w:r w:rsidR="002F092C" w:rsidRPr="0060274A">
        <w:t>.4</w:t>
      </w:r>
      <w:r w:rsidRPr="0060274A">
        <w:t xml:space="preserve">m, </w:t>
      </w:r>
      <w:r w:rsidR="00E85F7E" w:rsidRPr="0060274A">
        <w:t>2023</w:t>
      </w:r>
      <w:r w:rsidRPr="0060274A">
        <w:t xml:space="preserve"> FY: £2</w:t>
      </w:r>
      <w:r w:rsidR="0060274A" w:rsidRPr="0060274A">
        <w:t>4</w:t>
      </w:r>
      <w:r w:rsidRPr="0060274A">
        <w:t>.</w:t>
      </w:r>
      <w:r w:rsidR="0060274A" w:rsidRPr="0060274A">
        <w:t>5</w:t>
      </w:r>
      <w:r w:rsidRPr="0060274A">
        <w:t>m</w:t>
      </w:r>
      <w:r w:rsidRPr="008B0FB5">
        <w:t xml:space="preserve">). The Group disposed of </w:t>
      </w:r>
      <w:r w:rsidR="0030496B" w:rsidRPr="005F0E7F">
        <w:t>4.4</w:t>
      </w:r>
      <w:r w:rsidRPr="005F0E7F">
        <w:t xml:space="preserve">m </w:t>
      </w:r>
      <w:r w:rsidRPr="0030496B">
        <w:t>(</w:t>
      </w:r>
      <w:r w:rsidR="00E85F7E" w:rsidRPr="008B0FB5">
        <w:t>2023</w:t>
      </w:r>
      <w:r w:rsidRPr="008B0FB5">
        <w:t xml:space="preserve"> H1: </w:t>
      </w:r>
      <w:r w:rsidR="008B0FB5" w:rsidRPr="008B0FB5">
        <w:t>3</w:t>
      </w:r>
      <w:r w:rsidR="00B9165A" w:rsidRPr="008B0FB5">
        <w:t>.</w:t>
      </w:r>
      <w:r w:rsidR="008B0FB5" w:rsidRPr="008B0FB5">
        <w:t>4</w:t>
      </w:r>
      <w:r w:rsidRPr="008B0FB5">
        <w:t xml:space="preserve">m, </w:t>
      </w:r>
      <w:r w:rsidR="00E85F7E" w:rsidRPr="008B0FB5">
        <w:t>2023</w:t>
      </w:r>
      <w:r w:rsidRPr="008B0FB5">
        <w:t xml:space="preserve"> FY: 7.</w:t>
      </w:r>
      <w:r w:rsidR="008B0FB5" w:rsidRPr="008B0FB5">
        <w:t>7</w:t>
      </w:r>
      <w:r w:rsidRPr="008B0FB5">
        <w:t xml:space="preserve">m) own shares to employees in satisfaction of share-based awards with a nominal value of </w:t>
      </w:r>
      <w:r w:rsidR="0030496B" w:rsidRPr="005F0E7F">
        <w:t>£0.1</w:t>
      </w:r>
      <w:r w:rsidRPr="005F0E7F">
        <w:t xml:space="preserve">m </w:t>
      </w:r>
      <w:r w:rsidRPr="0030496B">
        <w:t>(</w:t>
      </w:r>
      <w:r w:rsidR="00E85F7E" w:rsidRPr="0030496B">
        <w:t>20</w:t>
      </w:r>
      <w:r w:rsidR="00E85F7E" w:rsidRPr="008B0FB5">
        <w:t>23</w:t>
      </w:r>
      <w:r w:rsidRPr="008B0FB5">
        <w:t xml:space="preserve"> H1: </w:t>
      </w:r>
      <w:r w:rsidR="002C5B33" w:rsidRPr="008B0FB5">
        <w:t>£0.1</w:t>
      </w:r>
      <w:r w:rsidRPr="008B0FB5">
        <w:t xml:space="preserve">m, </w:t>
      </w:r>
      <w:r w:rsidR="00E85F7E" w:rsidRPr="008B0FB5">
        <w:t>2023</w:t>
      </w:r>
      <w:r w:rsidRPr="008B0FB5">
        <w:t xml:space="preserve"> FY: £0.</w:t>
      </w:r>
      <w:r w:rsidR="008B0FB5" w:rsidRPr="008B0FB5">
        <w:t>2</w:t>
      </w:r>
      <w:r w:rsidRPr="008B0FB5">
        <w:t>m). At 3</w:t>
      </w:r>
      <w:r w:rsidR="00AC2380">
        <w:t>0</w:t>
      </w:r>
      <w:r w:rsidRPr="008B0FB5">
        <w:t xml:space="preserve"> June </w:t>
      </w:r>
      <w:r w:rsidR="00E85F7E" w:rsidRPr="008B0FB5">
        <w:t>2024</w:t>
      </w:r>
      <w:r w:rsidRPr="008B0FB5">
        <w:t xml:space="preserve">, </w:t>
      </w:r>
      <w:r w:rsidR="0030496B" w:rsidRPr="005F0E7F">
        <w:t>30.7</w:t>
      </w:r>
      <w:r w:rsidRPr="005F0E7F">
        <w:t>m (</w:t>
      </w:r>
      <w:r w:rsidR="00E85F7E" w:rsidRPr="0030496B">
        <w:t>2</w:t>
      </w:r>
      <w:r w:rsidR="00E85F7E" w:rsidRPr="008B0FB5">
        <w:t>023</w:t>
      </w:r>
      <w:r w:rsidRPr="008B0FB5">
        <w:t xml:space="preserve"> H1: </w:t>
      </w:r>
      <w:r w:rsidR="008B0FB5" w:rsidRPr="008B0FB5">
        <w:t>37</w:t>
      </w:r>
      <w:r w:rsidR="00EF021C" w:rsidRPr="008B0FB5">
        <w:t>.</w:t>
      </w:r>
      <w:r w:rsidR="008B0FB5" w:rsidRPr="008B0FB5">
        <w:t>9</w:t>
      </w:r>
      <w:r w:rsidRPr="008B0FB5">
        <w:t xml:space="preserve">m, </w:t>
      </w:r>
      <w:r w:rsidR="00E85F7E" w:rsidRPr="008B0FB5">
        <w:t>2023</w:t>
      </w:r>
      <w:r w:rsidRPr="008B0FB5">
        <w:t xml:space="preserve"> FY: </w:t>
      </w:r>
      <w:r w:rsidR="008B0FB5" w:rsidRPr="008B0FB5">
        <w:t>33</w:t>
      </w:r>
      <w:r w:rsidRPr="008B0FB5">
        <w:t xml:space="preserve">.9m) ordinary shares, with a par value </w:t>
      </w:r>
      <w:r w:rsidRPr="000940F0">
        <w:t xml:space="preserve">of </w:t>
      </w:r>
      <w:r w:rsidR="000940F0" w:rsidRPr="005F0E7F">
        <w:t>£0.6</w:t>
      </w:r>
      <w:r w:rsidRPr="005F0E7F">
        <w:t>m</w:t>
      </w:r>
      <w:r w:rsidRPr="008B0FB5">
        <w:t xml:space="preserve"> (</w:t>
      </w:r>
      <w:r w:rsidR="00E85F7E" w:rsidRPr="008B0FB5">
        <w:t>2023</w:t>
      </w:r>
      <w:r w:rsidRPr="008B0FB5">
        <w:t xml:space="preserve"> H1: </w:t>
      </w:r>
      <w:r w:rsidR="002F092C" w:rsidRPr="008B0FB5">
        <w:t>£0.</w:t>
      </w:r>
      <w:r w:rsidR="008B0FB5" w:rsidRPr="008B0FB5">
        <w:t>8</w:t>
      </w:r>
      <w:r w:rsidRPr="008B0FB5">
        <w:t xml:space="preserve">m, </w:t>
      </w:r>
      <w:r w:rsidR="00E85F7E" w:rsidRPr="008B0FB5">
        <w:t>2023</w:t>
      </w:r>
      <w:r w:rsidRPr="008B0FB5">
        <w:t xml:space="preserve"> FY: £0.</w:t>
      </w:r>
      <w:r w:rsidR="008B0FB5" w:rsidRPr="008B0FB5">
        <w:t>7</w:t>
      </w:r>
      <w:r w:rsidRPr="008B0FB5">
        <w:t>m), were held as own shares within the Group’s EBT.</w:t>
      </w:r>
      <w:r w:rsidR="009C6FFE" w:rsidRPr="008B0FB5">
        <w:t xml:space="preserve"> </w:t>
      </w:r>
    </w:p>
    <w:p w14:paraId="4EA85DAF" w14:textId="412C18FC" w:rsidR="009C6FFE" w:rsidRPr="009C5D87" w:rsidRDefault="009C6FFE" w:rsidP="00CF007D">
      <w:pPr>
        <w:pStyle w:val="Subheading2"/>
        <w:tabs>
          <w:tab w:val="left" w:pos="567"/>
        </w:tabs>
      </w:pPr>
      <w:r w:rsidRPr="009C5D87">
        <w:t>(ii)</w:t>
      </w:r>
      <w:r w:rsidR="005E18D3" w:rsidRPr="009C5D87">
        <w:tab/>
      </w:r>
      <w:r w:rsidRPr="009C5D87">
        <w:t>Other reserve</w:t>
      </w:r>
      <w:r w:rsidR="005974C8" w:rsidRPr="009C5D87">
        <w:t>s</w:t>
      </w:r>
      <w:r w:rsidRPr="009C5D87">
        <w:t xml:space="preserve"> </w:t>
      </w:r>
    </w:p>
    <w:p w14:paraId="2C1EDBE4" w14:textId="367B55BE" w:rsidR="009C6FFE" w:rsidRPr="009C5D87" w:rsidRDefault="00047872" w:rsidP="001C5F44">
      <w:pPr>
        <w:pStyle w:val="Bodytext0"/>
      </w:pPr>
      <w:r w:rsidRPr="009C5D87">
        <w:t>O</w:t>
      </w:r>
      <w:r w:rsidR="009C6FFE" w:rsidRPr="009C5D87">
        <w:t>ther reserve</w:t>
      </w:r>
      <w:r w:rsidR="005974C8" w:rsidRPr="009C5D87">
        <w:t>s</w:t>
      </w:r>
      <w:r w:rsidR="009C6FFE" w:rsidRPr="009C5D87">
        <w:t xml:space="preserve"> </w:t>
      </w:r>
      <w:r w:rsidR="005974C8" w:rsidRPr="009C5D87">
        <w:t>comprise the merger relief reserve of £</w:t>
      </w:r>
      <w:r w:rsidRPr="009C5D87">
        <w:t>242.1</w:t>
      </w:r>
      <w:r w:rsidR="005974C8" w:rsidRPr="009C5D87">
        <w:t>m (</w:t>
      </w:r>
      <w:r w:rsidR="00E85F7E" w:rsidRPr="009C5D87">
        <w:t>2023</w:t>
      </w:r>
      <w:r w:rsidR="005974C8" w:rsidRPr="009C5D87">
        <w:t xml:space="preserve"> H1 </w:t>
      </w:r>
      <w:r w:rsidRPr="009C5D87">
        <w:t>and</w:t>
      </w:r>
      <w:r w:rsidR="005974C8" w:rsidRPr="009C5D87">
        <w:t xml:space="preserve"> </w:t>
      </w:r>
      <w:r w:rsidR="00E85F7E" w:rsidRPr="009C5D87">
        <w:t>2023</w:t>
      </w:r>
      <w:r w:rsidR="005974C8" w:rsidRPr="009C5D87">
        <w:t xml:space="preserve"> FY: £242.1m) </w:t>
      </w:r>
      <w:r w:rsidR="00093C2A" w:rsidRPr="009C5D87">
        <w:t>formed on the acquisition of Merian in 2020, £</w:t>
      </w:r>
      <w:r w:rsidR="00AB4E63" w:rsidRPr="009C5D87">
        <w:t>8.0</w:t>
      </w:r>
      <w:r w:rsidR="00093C2A" w:rsidRPr="009C5D87">
        <w:t>m (</w:t>
      </w:r>
      <w:r w:rsidR="00E85F7E" w:rsidRPr="009C5D87">
        <w:t>2023</w:t>
      </w:r>
      <w:r w:rsidR="00093C2A" w:rsidRPr="009C5D87">
        <w:t xml:space="preserve"> H1</w:t>
      </w:r>
      <w:r w:rsidR="00AB4E63" w:rsidRPr="009C5D87">
        <w:t xml:space="preserve"> and</w:t>
      </w:r>
      <w:r w:rsidR="00093C2A" w:rsidRPr="009C5D87">
        <w:t xml:space="preserve"> </w:t>
      </w:r>
      <w:r w:rsidR="00E85F7E" w:rsidRPr="009C5D87">
        <w:t>2023</w:t>
      </w:r>
      <w:r w:rsidR="00093C2A" w:rsidRPr="009C5D87">
        <w:t xml:space="preserve"> FY: £8.0m) that </w:t>
      </w:r>
      <w:r w:rsidR="009C6FFE" w:rsidRPr="009C5D87">
        <w:t>relates to the conversion of Tier 2 preference shares in 2010</w:t>
      </w:r>
      <w:r w:rsidR="00AB4E63" w:rsidRPr="009C5D87">
        <w:t>, and £</w:t>
      </w:r>
      <w:r w:rsidR="00D55ECE" w:rsidRPr="009C5D87">
        <w:t>0.2</w:t>
      </w:r>
      <w:r w:rsidR="00866B15" w:rsidRPr="009C5D87">
        <w:t>m</w:t>
      </w:r>
      <w:r w:rsidR="00AB4E63" w:rsidRPr="009C5D87">
        <w:t xml:space="preserve"> (</w:t>
      </w:r>
      <w:r w:rsidR="00E85F7E" w:rsidRPr="009C5D87">
        <w:t>2023</w:t>
      </w:r>
      <w:r w:rsidR="00AB4E63" w:rsidRPr="009C5D87">
        <w:t xml:space="preserve"> H1: £</w:t>
      </w:r>
      <w:r w:rsidR="009C5D87" w:rsidRPr="009C5D87">
        <w:t>0.2m</w:t>
      </w:r>
      <w:r w:rsidR="00AB4E63" w:rsidRPr="009C5D87">
        <w:t xml:space="preserve">, </w:t>
      </w:r>
      <w:r w:rsidR="00E85F7E" w:rsidRPr="009C5D87">
        <w:t>2023</w:t>
      </w:r>
      <w:r w:rsidR="00AB4E63" w:rsidRPr="009C5D87">
        <w:t xml:space="preserve"> FY: £0.2m) of capital redemption reserve that was transferred from share capital on the cancellation of shares repurchased in </w:t>
      </w:r>
      <w:r w:rsidR="00E85F7E" w:rsidRPr="009C5D87">
        <w:t>202</w:t>
      </w:r>
      <w:r w:rsidR="00E31725">
        <w:t>2</w:t>
      </w:r>
      <w:r w:rsidR="00AB4E63" w:rsidRPr="009C5D87">
        <w:t xml:space="preserve"> and </w:t>
      </w:r>
      <w:r w:rsidR="00E85F7E" w:rsidRPr="009C5D87">
        <w:t>202</w:t>
      </w:r>
      <w:r w:rsidR="00E31725">
        <w:t>3</w:t>
      </w:r>
      <w:r w:rsidR="00AB4E63" w:rsidRPr="009C5D87">
        <w:t xml:space="preserve"> (see Note 14).</w:t>
      </w:r>
      <w:r w:rsidR="009C6FFE" w:rsidRPr="009C5D87">
        <w:t xml:space="preserve"> </w:t>
      </w:r>
    </w:p>
    <w:p w14:paraId="36E68116" w14:textId="0BE478A6" w:rsidR="009C6FFE" w:rsidRPr="009C5D87" w:rsidRDefault="001D25D2" w:rsidP="00CF007D">
      <w:pPr>
        <w:pStyle w:val="Subheading2"/>
        <w:tabs>
          <w:tab w:val="left" w:pos="567"/>
        </w:tabs>
      </w:pPr>
      <w:r w:rsidRPr="009C5D87">
        <w:t>(i</w:t>
      </w:r>
      <w:r w:rsidR="0042014F" w:rsidRPr="009C5D87">
        <w:t>ii</w:t>
      </w:r>
      <w:r w:rsidRPr="009C5D87">
        <w:t>)</w:t>
      </w:r>
      <w:r w:rsidRPr="009C5D87">
        <w:tab/>
      </w:r>
      <w:r w:rsidR="009C6FFE" w:rsidRPr="009C5D87">
        <w:t xml:space="preserve">Foreign currency translation reserve </w:t>
      </w:r>
    </w:p>
    <w:p w14:paraId="43F2F8DE" w14:textId="58280ED9" w:rsidR="009C6FFE" w:rsidRPr="00415A80" w:rsidRDefault="009C6FFE" w:rsidP="009C6FFE">
      <w:pPr>
        <w:pStyle w:val="Bodytext0"/>
        <w:rPr>
          <w:highlight w:val="yellow"/>
        </w:rPr>
      </w:pPr>
      <w:r w:rsidRPr="009C5D87">
        <w:t xml:space="preserve">The foreign currency translation reserve of </w:t>
      </w:r>
      <w:r w:rsidR="00A369F7" w:rsidRPr="005F0E7F">
        <w:t>£1.2</w:t>
      </w:r>
      <w:r w:rsidRPr="005F0E7F">
        <w:t>m</w:t>
      </w:r>
      <w:r w:rsidRPr="009C5D87">
        <w:t xml:space="preserve"> (</w:t>
      </w:r>
      <w:r w:rsidR="00E85F7E" w:rsidRPr="009C5D87">
        <w:t>2023</w:t>
      </w:r>
      <w:r w:rsidR="00CA10A1" w:rsidRPr="009C5D87">
        <w:t xml:space="preserve"> H1: £</w:t>
      </w:r>
      <w:r w:rsidR="009C5D87" w:rsidRPr="009C5D87">
        <w:t>1.6</w:t>
      </w:r>
      <w:r w:rsidR="00CA10A1" w:rsidRPr="009C5D87">
        <w:t xml:space="preserve">m, </w:t>
      </w:r>
      <w:r w:rsidR="00E85F7E" w:rsidRPr="009C5D87">
        <w:t>2023</w:t>
      </w:r>
      <w:r w:rsidR="002524F1" w:rsidRPr="009C5D87">
        <w:t xml:space="preserve"> FY</w:t>
      </w:r>
      <w:r w:rsidR="00CA10A1" w:rsidRPr="009C5D87">
        <w:t>: £</w:t>
      </w:r>
      <w:r w:rsidR="009C5D87" w:rsidRPr="009C5D87">
        <w:t>2</w:t>
      </w:r>
      <w:r w:rsidR="00223F79" w:rsidRPr="009C5D87">
        <w:t>.</w:t>
      </w:r>
      <w:r w:rsidR="009C5D87" w:rsidRPr="009C5D87">
        <w:t>0</w:t>
      </w:r>
      <w:r w:rsidR="00CA10A1" w:rsidRPr="009C5D87">
        <w:t>m</w:t>
      </w:r>
      <w:r w:rsidRPr="009C5D87">
        <w:t xml:space="preserve">) is used to record exchange differences arising from the translation of the financial statements of foreign subsidiaries. </w:t>
      </w:r>
    </w:p>
    <w:p w14:paraId="5B422840" w14:textId="2D5B2F5F" w:rsidR="009C6FFE" w:rsidRPr="009C5D87" w:rsidRDefault="009C6FFE" w:rsidP="00CF007D">
      <w:pPr>
        <w:pStyle w:val="Subheading2"/>
        <w:tabs>
          <w:tab w:val="left" w:pos="567"/>
        </w:tabs>
      </w:pPr>
      <w:r w:rsidRPr="009C5D87">
        <w:t>(</w:t>
      </w:r>
      <w:r w:rsidR="0042014F" w:rsidRPr="009C5D87">
        <w:t>i</w:t>
      </w:r>
      <w:r w:rsidRPr="009C5D87">
        <w:t>v)</w:t>
      </w:r>
      <w:r w:rsidR="005E18D3" w:rsidRPr="009C5D87">
        <w:tab/>
      </w:r>
      <w:r w:rsidRPr="009C5D87">
        <w:t xml:space="preserve">Retained earnings </w:t>
      </w:r>
    </w:p>
    <w:p w14:paraId="246C7EC6" w14:textId="0DD1145E" w:rsidR="001C5246" w:rsidRDefault="009C6FFE" w:rsidP="005F0E7F">
      <w:pPr>
        <w:pStyle w:val="Bodytext0"/>
      </w:pPr>
      <w:r w:rsidRPr="009C5D87">
        <w:t xml:space="preserve">Retained earnings of </w:t>
      </w:r>
      <w:r w:rsidR="002D76A7" w:rsidRPr="005F0E7F">
        <w:t>£543.</w:t>
      </w:r>
      <w:r w:rsidR="001371F8">
        <w:t>8</w:t>
      </w:r>
      <w:r w:rsidRPr="005F0E7F">
        <w:t>m</w:t>
      </w:r>
      <w:r w:rsidRPr="009C5D87">
        <w:t xml:space="preserve"> (</w:t>
      </w:r>
      <w:r w:rsidR="00E85F7E" w:rsidRPr="009C5D87">
        <w:t>2023</w:t>
      </w:r>
      <w:r w:rsidR="00CA10A1" w:rsidRPr="009C5D87">
        <w:t xml:space="preserve"> H1: £</w:t>
      </w:r>
      <w:r w:rsidR="00223F79" w:rsidRPr="009C5D87">
        <w:t>5</w:t>
      </w:r>
      <w:r w:rsidR="009C5D87" w:rsidRPr="009C5D87">
        <w:t>86</w:t>
      </w:r>
      <w:r w:rsidR="00223F79" w:rsidRPr="009C5D87">
        <w:t>.</w:t>
      </w:r>
      <w:r w:rsidR="009C5D87" w:rsidRPr="009C5D87">
        <w:t>7</w:t>
      </w:r>
      <w:r w:rsidR="00CA10A1" w:rsidRPr="009C5D87">
        <w:t xml:space="preserve">m, </w:t>
      </w:r>
      <w:r w:rsidR="00E85F7E" w:rsidRPr="009C5D87">
        <w:t>2023</w:t>
      </w:r>
      <w:r w:rsidR="00F64AA0" w:rsidRPr="009C5D87">
        <w:t xml:space="preserve"> FY</w:t>
      </w:r>
      <w:r w:rsidRPr="009C5D87">
        <w:t>: £</w:t>
      </w:r>
      <w:r w:rsidR="00223F79" w:rsidRPr="009C5D87">
        <w:t>5</w:t>
      </w:r>
      <w:r w:rsidR="009C5D87" w:rsidRPr="009C5D87">
        <w:t>27</w:t>
      </w:r>
      <w:r w:rsidR="00223F79" w:rsidRPr="009C5D87">
        <w:t>.</w:t>
      </w:r>
      <w:r w:rsidR="009C5D87" w:rsidRPr="009C5D87">
        <w:t>0</w:t>
      </w:r>
      <w:r w:rsidRPr="009C5D87">
        <w:t>m) are the amount of earnings that are retained within the Group after dividend payments and other transactions with owners</w:t>
      </w:r>
      <w:r w:rsidR="009C5D87" w:rsidRPr="009C5D87">
        <w:t>.</w:t>
      </w:r>
    </w:p>
    <w:p w14:paraId="4CED0298" w14:textId="74358AE2" w:rsidR="00354A3F" w:rsidRPr="00672ECF" w:rsidRDefault="00DA64B8" w:rsidP="00CF007D">
      <w:pPr>
        <w:pStyle w:val="Subheading"/>
        <w:tabs>
          <w:tab w:val="left" w:pos="567"/>
        </w:tabs>
      </w:pPr>
      <w:r w:rsidRPr="00672ECF">
        <w:t>16.</w:t>
      </w:r>
      <w:r w:rsidR="005E18D3" w:rsidRPr="00672ECF">
        <w:tab/>
        <w:t>Dividends</w:t>
      </w:r>
    </w:p>
    <w:p w14:paraId="57B171D5" w14:textId="59838782" w:rsidR="00354A3F" w:rsidRPr="004C6FBC" w:rsidRDefault="00354A3F" w:rsidP="00354A3F">
      <w:pPr>
        <w:pStyle w:val="Bodytext0"/>
      </w:pPr>
      <w:r w:rsidRPr="00672ECF">
        <w:t>On</w:t>
      </w:r>
      <w:r w:rsidR="0018375B" w:rsidRPr="00672ECF">
        <w:t xml:space="preserve"> </w:t>
      </w:r>
      <w:r w:rsidR="009C5D87" w:rsidRPr="00672ECF">
        <w:t>20</w:t>
      </w:r>
      <w:r w:rsidR="00F202C2" w:rsidRPr="00672ECF">
        <w:t xml:space="preserve"> </w:t>
      </w:r>
      <w:r w:rsidRPr="00672ECF">
        <w:t xml:space="preserve">May </w:t>
      </w:r>
      <w:r w:rsidR="00E85F7E" w:rsidRPr="004C6FBC">
        <w:t>2024</w:t>
      </w:r>
      <w:r w:rsidRPr="004C6FBC">
        <w:t xml:space="preserve"> the Group paid a f</w:t>
      </w:r>
      <w:r w:rsidR="00AF41DE" w:rsidRPr="004C6FBC">
        <w:t>inal</w:t>
      </w:r>
      <w:r w:rsidRPr="004C6FBC">
        <w:t xml:space="preserve"> dividend for </w:t>
      </w:r>
      <w:r w:rsidR="00E85F7E" w:rsidRPr="004C6FBC">
        <w:t>2023</w:t>
      </w:r>
      <w:r w:rsidRPr="004C6FBC">
        <w:t xml:space="preserve"> of </w:t>
      </w:r>
      <w:r w:rsidR="009C5D87" w:rsidRPr="004C6FBC">
        <w:t>3</w:t>
      </w:r>
      <w:r w:rsidR="000A0DDE" w:rsidRPr="004C6FBC">
        <w:t>.</w:t>
      </w:r>
      <w:r w:rsidR="009C5D87" w:rsidRPr="004C6FBC">
        <w:t>4</w:t>
      </w:r>
      <w:r w:rsidRPr="004C6FBC">
        <w:t xml:space="preserve">p per ordinary share. This amounted to a total payment of </w:t>
      </w:r>
      <w:r w:rsidRPr="00952D0B">
        <w:t>£</w:t>
      </w:r>
      <w:r w:rsidR="004C6FBC" w:rsidRPr="00952D0B">
        <w:t>17.6</w:t>
      </w:r>
      <w:r w:rsidRPr="00952D0B">
        <w:t>m</w:t>
      </w:r>
      <w:r w:rsidRPr="004C6FBC">
        <w:t xml:space="preserve"> after taking into account the </w:t>
      </w:r>
      <w:r w:rsidRPr="00952D0B">
        <w:t>£</w:t>
      </w:r>
      <w:r w:rsidR="004C6FBC" w:rsidRPr="00952D0B">
        <w:t>0.9</w:t>
      </w:r>
      <w:r w:rsidR="00765BEE" w:rsidRPr="00952D0B">
        <w:t>m</w:t>
      </w:r>
      <w:r w:rsidRPr="004C6FBC">
        <w:t xml:space="preserve"> dividends waived on shares held in the EBT.</w:t>
      </w:r>
    </w:p>
    <w:p w14:paraId="0113D0B5" w14:textId="1FDE7C64" w:rsidR="00354A3F" w:rsidRDefault="00354A3F" w:rsidP="00354A3F">
      <w:pPr>
        <w:pStyle w:val="Bodytext0"/>
      </w:pPr>
      <w:r w:rsidRPr="004C6FBC">
        <w:t>The Board has declared an interim dividend</w:t>
      </w:r>
      <w:r w:rsidRPr="00AF6B35">
        <w:t xml:space="preserve"> for the </w:t>
      </w:r>
      <w:r w:rsidRPr="009E1BC5">
        <w:t xml:space="preserve">period of </w:t>
      </w:r>
      <w:r w:rsidR="00E621D5" w:rsidRPr="00577845">
        <w:t>3.2</w:t>
      </w:r>
      <w:r w:rsidRPr="009E1BC5">
        <w:t>p per ordinary share. Th</w:t>
      </w:r>
      <w:r w:rsidR="00E31725" w:rsidRPr="009E1BC5">
        <w:t>i</w:t>
      </w:r>
      <w:r w:rsidR="0042260C" w:rsidRPr="009E1BC5">
        <w:t>s</w:t>
      </w:r>
      <w:r w:rsidRPr="009E1BC5">
        <w:t xml:space="preserve"> dividend will be paid on </w:t>
      </w:r>
      <w:r w:rsidR="00DB376E" w:rsidRPr="009E1BC5">
        <w:t>4 September</w:t>
      </w:r>
      <w:r w:rsidR="003E6D9E" w:rsidRPr="009E1BC5">
        <w:t xml:space="preserve"> </w:t>
      </w:r>
      <w:r w:rsidR="00E85F7E" w:rsidRPr="009E1BC5">
        <w:t>2024</w:t>
      </w:r>
      <w:r w:rsidRPr="009E1BC5">
        <w:t xml:space="preserve"> to ordinary shareholders on the register at close of business on</w:t>
      </w:r>
      <w:r w:rsidR="004C6FBC" w:rsidRPr="009E1BC5">
        <w:t xml:space="preserve"> 9</w:t>
      </w:r>
      <w:r w:rsidRPr="009E1BC5">
        <w:t xml:space="preserve"> August </w:t>
      </w:r>
      <w:r w:rsidR="00E85F7E" w:rsidRPr="009E1BC5">
        <w:t>2024</w:t>
      </w:r>
      <w:r w:rsidR="00E31725" w:rsidRPr="009E1BC5">
        <w:t xml:space="preserve"> and</w:t>
      </w:r>
      <w:r w:rsidRPr="009E1BC5">
        <w:t xml:space="preserve"> amount</w:t>
      </w:r>
      <w:r w:rsidR="00E31725" w:rsidRPr="009E1BC5">
        <w:t>s</w:t>
      </w:r>
      <w:r w:rsidRPr="009E1BC5">
        <w:t xml:space="preserve"> to £</w:t>
      </w:r>
      <w:r w:rsidR="00490041" w:rsidRPr="00577845">
        <w:t>17.</w:t>
      </w:r>
      <w:r w:rsidR="009E1BC5" w:rsidRPr="00577845">
        <w:t>4</w:t>
      </w:r>
      <w:r w:rsidRPr="009E1BC5">
        <w:t>m</w:t>
      </w:r>
      <w:r w:rsidRPr="00AF6B35">
        <w:t xml:space="preserve"> before adjusting for any dividends waived on shares in the EBT.</w:t>
      </w:r>
    </w:p>
    <w:p w14:paraId="19066B65" w14:textId="77777777" w:rsidR="00422A4D" w:rsidRDefault="00422A4D">
      <w:pPr>
        <w:rPr>
          <w:rFonts w:ascii="Source Sans Pro Semibold" w:eastAsiaTheme="minorHAnsi" w:hAnsi="Source Sans Pro Semibold"/>
          <w:color w:val="16293F" w:themeColor="text1"/>
          <w:sz w:val="24"/>
          <w:lang w:val="en-GB" w:eastAsia="en-US"/>
        </w:rPr>
      </w:pPr>
      <w:r>
        <w:br w:type="page"/>
      </w:r>
    </w:p>
    <w:p w14:paraId="146C0D21" w14:textId="3BAA8D95" w:rsidR="00DA64B8" w:rsidRPr="00282FDF" w:rsidRDefault="00DA64B8" w:rsidP="00016E44">
      <w:pPr>
        <w:pStyle w:val="Subheading"/>
      </w:pPr>
      <w:r>
        <w:lastRenderedPageBreak/>
        <w:t>17.</w:t>
      </w:r>
      <w:r>
        <w:tab/>
        <w:t>Cash flows generated from operating activities</w:t>
      </w:r>
    </w:p>
    <w:p w14:paraId="66BD2E84" w14:textId="77777777" w:rsidR="009E78AB" w:rsidRDefault="009E78AB" w:rsidP="009E78AB">
      <w:pPr>
        <w:pStyle w:val="Bodytext0"/>
      </w:pPr>
    </w:p>
    <w:tbl>
      <w:tblPr>
        <w:tblStyle w:val="TableGrid"/>
        <w:tblW w:w="10425"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686"/>
        <w:gridCol w:w="1924"/>
        <w:gridCol w:w="344"/>
        <w:gridCol w:w="2066"/>
        <w:gridCol w:w="193"/>
        <w:gridCol w:w="2212"/>
      </w:tblGrid>
      <w:tr w:rsidR="00CA7CB3" w:rsidRPr="009F40EF" w14:paraId="36D86EF3" w14:textId="77777777" w:rsidTr="00957B0D">
        <w:tc>
          <w:tcPr>
            <w:tcW w:w="3686" w:type="dxa"/>
            <w:tcBorders>
              <w:bottom w:val="nil"/>
            </w:tcBorders>
            <w:vAlign w:val="bottom"/>
          </w:tcPr>
          <w:p w14:paraId="420F67C0" w14:textId="77777777" w:rsidR="00CA7CB3" w:rsidRPr="005405BA" w:rsidRDefault="00CA7CB3" w:rsidP="00957B0D">
            <w:pPr>
              <w:pStyle w:val="Tableheading"/>
              <w:jc w:val="right"/>
            </w:pPr>
          </w:p>
        </w:tc>
        <w:tc>
          <w:tcPr>
            <w:tcW w:w="1924" w:type="dxa"/>
            <w:tcBorders>
              <w:top w:val="nil"/>
              <w:bottom w:val="nil"/>
            </w:tcBorders>
            <w:vAlign w:val="bottom"/>
          </w:tcPr>
          <w:p w14:paraId="640C0CAF" w14:textId="77777777" w:rsidR="00CA7CB3" w:rsidRDefault="00CA7CB3" w:rsidP="00957B0D">
            <w:pPr>
              <w:pStyle w:val="Tableheading"/>
              <w:jc w:val="right"/>
            </w:pPr>
            <w:r>
              <w:t xml:space="preserve">Six months ended </w:t>
            </w:r>
          </w:p>
          <w:p w14:paraId="3D4F90E8" w14:textId="39071143" w:rsidR="00CA7CB3" w:rsidRDefault="00CA7CB3" w:rsidP="00957B0D">
            <w:pPr>
              <w:pStyle w:val="Tableheading"/>
              <w:jc w:val="right"/>
            </w:pPr>
            <w:r>
              <w:t xml:space="preserve">30 June </w:t>
            </w:r>
            <w:r w:rsidR="00E85F7E">
              <w:t>2024</w:t>
            </w:r>
          </w:p>
          <w:p w14:paraId="3076ED5F" w14:textId="77777777" w:rsidR="00CA7CB3" w:rsidRPr="005405BA" w:rsidRDefault="00CA7CB3" w:rsidP="00957B0D">
            <w:pPr>
              <w:pStyle w:val="Tableheading"/>
              <w:jc w:val="right"/>
            </w:pPr>
            <w:r>
              <w:t>£m</w:t>
            </w:r>
          </w:p>
        </w:tc>
        <w:tc>
          <w:tcPr>
            <w:tcW w:w="344" w:type="dxa"/>
            <w:tcBorders>
              <w:top w:val="nil"/>
              <w:bottom w:val="nil"/>
            </w:tcBorders>
            <w:vAlign w:val="bottom"/>
          </w:tcPr>
          <w:p w14:paraId="5D7D2E3A" w14:textId="77777777" w:rsidR="00CA7CB3" w:rsidRPr="00955F6B" w:rsidRDefault="00CA7CB3" w:rsidP="00957B0D">
            <w:pPr>
              <w:pStyle w:val="Tableheading"/>
              <w:jc w:val="right"/>
            </w:pPr>
          </w:p>
        </w:tc>
        <w:tc>
          <w:tcPr>
            <w:tcW w:w="2066" w:type="dxa"/>
            <w:tcBorders>
              <w:top w:val="nil"/>
              <w:bottom w:val="nil"/>
            </w:tcBorders>
            <w:vAlign w:val="bottom"/>
          </w:tcPr>
          <w:p w14:paraId="2663434F" w14:textId="77777777" w:rsidR="00CA7CB3" w:rsidRPr="00372A0E" w:rsidRDefault="00CA7CB3" w:rsidP="00957B0D">
            <w:pPr>
              <w:pStyle w:val="Tableheading"/>
              <w:jc w:val="right"/>
            </w:pPr>
            <w:r w:rsidRPr="00372A0E">
              <w:t xml:space="preserve">Six months ended </w:t>
            </w:r>
          </w:p>
          <w:p w14:paraId="4919F82D" w14:textId="72571044" w:rsidR="00CA7CB3" w:rsidRPr="00372A0E" w:rsidRDefault="00CA7CB3" w:rsidP="00957B0D">
            <w:pPr>
              <w:pStyle w:val="Tableheading"/>
              <w:jc w:val="right"/>
            </w:pPr>
            <w:r w:rsidRPr="00372A0E">
              <w:tab/>
              <w:t xml:space="preserve">30 June </w:t>
            </w:r>
            <w:r w:rsidR="00E85F7E">
              <w:t>2023</w:t>
            </w:r>
          </w:p>
          <w:p w14:paraId="0452C552" w14:textId="77777777" w:rsidR="00CA7CB3" w:rsidRPr="00372A0E" w:rsidRDefault="00CA7CB3" w:rsidP="00957B0D">
            <w:pPr>
              <w:pStyle w:val="Tableheading"/>
              <w:jc w:val="right"/>
            </w:pPr>
            <w:r w:rsidRPr="00372A0E">
              <w:t>£m</w:t>
            </w:r>
          </w:p>
        </w:tc>
        <w:tc>
          <w:tcPr>
            <w:tcW w:w="193" w:type="dxa"/>
            <w:tcBorders>
              <w:top w:val="nil"/>
              <w:bottom w:val="nil"/>
            </w:tcBorders>
            <w:vAlign w:val="bottom"/>
          </w:tcPr>
          <w:p w14:paraId="76688EA3" w14:textId="77777777" w:rsidR="00CA7CB3" w:rsidRPr="00372A0E" w:rsidRDefault="00CA7CB3" w:rsidP="00957B0D">
            <w:pPr>
              <w:pStyle w:val="Tableheading"/>
              <w:jc w:val="right"/>
            </w:pPr>
          </w:p>
        </w:tc>
        <w:tc>
          <w:tcPr>
            <w:tcW w:w="2212" w:type="dxa"/>
            <w:tcBorders>
              <w:top w:val="nil"/>
              <w:bottom w:val="nil"/>
            </w:tcBorders>
            <w:vAlign w:val="bottom"/>
          </w:tcPr>
          <w:p w14:paraId="2434F7BB" w14:textId="77777777" w:rsidR="00CA7CB3" w:rsidRPr="00372A0E" w:rsidRDefault="00CA7CB3" w:rsidP="00957B0D">
            <w:pPr>
              <w:pStyle w:val="Tableheading"/>
              <w:jc w:val="right"/>
            </w:pPr>
            <w:r w:rsidRPr="00372A0E">
              <w:t xml:space="preserve">Year ended </w:t>
            </w:r>
          </w:p>
          <w:p w14:paraId="1F1085CC" w14:textId="5F46C8DB" w:rsidR="00CA7CB3" w:rsidRPr="00372A0E" w:rsidRDefault="00CA7CB3" w:rsidP="00957B0D">
            <w:pPr>
              <w:pStyle w:val="Tableheading"/>
              <w:jc w:val="right"/>
            </w:pPr>
            <w:r w:rsidRPr="00372A0E">
              <w:t xml:space="preserve">31 December </w:t>
            </w:r>
            <w:r w:rsidR="00E85F7E">
              <w:t>2023</w:t>
            </w:r>
          </w:p>
          <w:p w14:paraId="57E993D0" w14:textId="77777777" w:rsidR="00CA7CB3" w:rsidRPr="00372A0E" w:rsidRDefault="00CA7CB3" w:rsidP="00957B0D">
            <w:pPr>
              <w:pStyle w:val="Tableheading"/>
              <w:jc w:val="right"/>
            </w:pPr>
            <w:r w:rsidRPr="00372A0E">
              <w:t>£m</w:t>
            </w:r>
          </w:p>
        </w:tc>
      </w:tr>
      <w:tr w:rsidR="00415A80" w:rsidRPr="009F40EF" w14:paraId="4DB9D23D" w14:textId="77777777" w:rsidTr="0007448F">
        <w:tc>
          <w:tcPr>
            <w:tcW w:w="3686" w:type="dxa"/>
            <w:tcBorders>
              <w:top w:val="nil"/>
              <w:bottom w:val="nil"/>
            </w:tcBorders>
            <w:shd w:val="clear" w:color="auto" w:fill="auto"/>
            <w:vAlign w:val="center"/>
          </w:tcPr>
          <w:p w14:paraId="282538B2" w14:textId="77777777" w:rsidR="00415A80" w:rsidRPr="006374C6" w:rsidRDefault="00415A80" w:rsidP="00415A80">
            <w:pPr>
              <w:pStyle w:val="Tabletext"/>
              <w:rPr>
                <w:b/>
                <w:bCs/>
              </w:rPr>
            </w:pPr>
            <w:r>
              <w:rPr>
                <w:b/>
                <w:bCs/>
              </w:rPr>
              <w:t>Operating profit</w:t>
            </w:r>
          </w:p>
        </w:tc>
        <w:tc>
          <w:tcPr>
            <w:tcW w:w="1924" w:type="dxa"/>
            <w:tcBorders>
              <w:top w:val="nil"/>
              <w:bottom w:val="nil"/>
            </w:tcBorders>
            <w:shd w:val="clear" w:color="auto" w:fill="auto"/>
            <w:vAlign w:val="center"/>
          </w:tcPr>
          <w:p w14:paraId="36FCC507" w14:textId="5FDF2B06" w:rsidR="00415A80" w:rsidRPr="00507993" w:rsidRDefault="003A3C5C" w:rsidP="00415A80">
            <w:pPr>
              <w:pStyle w:val="Tabletext"/>
              <w:tabs>
                <w:tab w:val="decimal" w:pos="1560"/>
              </w:tabs>
              <w:rPr>
                <w:b/>
                <w:bCs/>
                <w:highlight w:val="yellow"/>
              </w:rPr>
            </w:pPr>
            <w:r w:rsidRPr="005F0E7F">
              <w:rPr>
                <w:b/>
                <w:bCs/>
              </w:rPr>
              <w:t>37.7</w:t>
            </w:r>
          </w:p>
        </w:tc>
        <w:tc>
          <w:tcPr>
            <w:tcW w:w="344" w:type="dxa"/>
            <w:tcBorders>
              <w:top w:val="nil"/>
              <w:bottom w:val="nil"/>
            </w:tcBorders>
          </w:tcPr>
          <w:p w14:paraId="1A1F7882" w14:textId="77777777" w:rsidR="00415A80" w:rsidRPr="00CF007D" w:rsidRDefault="00415A80" w:rsidP="00415A80">
            <w:pPr>
              <w:pStyle w:val="Tabletext"/>
              <w:jc w:val="right"/>
              <w:rPr>
                <w:b/>
                <w:bCs/>
              </w:rPr>
            </w:pPr>
          </w:p>
        </w:tc>
        <w:tc>
          <w:tcPr>
            <w:tcW w:w="2066" w:type="dxa"/>
            <w:tcBorders>
              <w:top w:val="nil"/>
              <w:bottom w:val="nil"/>
            </w:tcBorders>
            <w:shd w:val="clear" w:color="auto" w:fill="auto"/>
            <w:vAlign w:val="center"/>
          </w:tcPr>
          <w:p w14:paraId="445EDA55" w14:textId="1A58C2F0" w:rsidR="00415A80" w:rsidRPr="00A66CA2" w:rsidRDefault="00415A80" w:rsidP="00415A80">
            <w:pPr>
              <w:pStyle w:val="Tabletext"/>
              <w:tabs>
                <w:tab w:val="decimal" w:pos="1635"/>
              </w:tabs>
            </w:pPr>
            <w:r>
              <w:rPr>
                <w:b/>
              </w:rPr>
              <w:t>36.6</w:t>
            </w:r>
          </w:p>
        </w:tc>
        <w:tc>
          <w:tcPr>
            <w:tcW w:w="193" w:type="dxa"/>
            <w:tcBorders>
              <w:top w:val="nil"/>
              <w:bottom w:val="nil"/>
            </w:tcBorders>
          </w:tcPr>
          <w:p w14:paraId="05EAD72F"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1D4DD38F" w14:textId="3BC50E40" w:rsidR="00415A80" w:rsidRPr="00993961" w:rsidRDefault="00993961" w:rsidP="00415A80">
            <w:pPr>
              <w:pStyle w:val="Tabletext"/>
              <w:tabs>
                <w:tab w:val="decimal" w:pos="1889"/>
              </w:tabs>
              <w:rPr>
                <w:b/>
                <w:bCs/>
              </w:rPr>
            </w:pPr>
            <w:r w:rsidRPr="00993961">
              <w:rPr>
                <w:b/>
                <w:bCs/>
              </w:rPr>
              <w:t>86.0</w:t>
            </w:r>
          </w:p>
        </w:tc>
      </w:tr>
      <w:tr w:rsidR="00415A80" w:rsidRPr="00A66CA2" w14:paraId="0019920F" w14:textId="77777777" w:rsidTr="0007448F">
        <w:tc>
          <w:tcPr>
            <w:tcW w:w="3686" w:type="dxa"/>
            <w:tcBorders>
              <w:top w:val="nil"/>
              <w:bottom w:val="nil"/>
            </w:tcBorders>
            <w:shd w:val="clear" w:color="auto" w:fill="auto"/>
            <w:vAlign w:val="center"/>
          </w:tcPr>
          <w:p w14:paraId="6CC35E53" w14:textId="77777777" w:rsidR="00415A80" w:rsidRDefault="00415A80" w:rsidP="00415A80">
            <w:pPr>
              <w:pStyle w:val="Tabletext"/>
              <w:rPr>
                <w:b/>
                <w:bCs/>
              </w:rPr>
            </w:pPr>
            <w:r>
              <w:rPr>
                <w:b/>
                <w:bCs/>
              </w:rPr>
              <w:t>Adjustments for:</w:t>
            </w:r>
          </w:p>
        </w:tc>
        <w:tc>
          <w:tcPr>
            <w:tcW w:w="1924" w:type="dxa"/>
            <w:tcBorders>
              <w:top w:val="nil"/>
              <w:bottom w:val="nil"/>
            </w:tcBorders>
            <w:shd w:val="clear" w:color="auto" w:fill="auto"/>
            <w:vAlign w:val="center"/>
          </w:tcPr>
          <w:p w14:paraId="1E069323" w14:textId="77777777" w:rsidR="00415A80" w:rsidRPr="00507993" w:rsidRDefault="00415A80" w:rsidP="00415A80">
            <w:pPr>
              <w:pStyle w:val="Tabletext"/>
              <w:tabs>
                <w:tab w:val="decimal" w:pos="1560"/>
              </w:tabs>
              <w:rPr>
                <w:highlight w:val="yellow"/>
              </w:rPr>
            </w:pPr>
          </w:p>
        </w:tc>
        <w:tc>
          <w:tcPr>
            <w:tcW w:w="344" w:type="dxa"/>
            <w:tcBorders>
              <w:top w:val="nil"/>
              <w:bottom w:val="nil"/>
            </w:tcBorders>
          </w:tcPr>
          <w:p w14:paraId="7D47584A"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35130007" w14:textId="77777777" w:rsidR="00415A80" w:rsidRPr="00A66CA2" w:rsidRDefault="00415A80" w:rsidP="00415A80">
            <w:pPr>
              <w:pStyle w:val="Tabletext"/>
              <w:tabs>
                <w:tab w:val="decimal" w:pos="1635"/>
              </w:tabs>
            </w:pPr>
          </w:p>
        </w:tc>
        <w:tc>
          <w:tcPr>
            <w:tcW w:w="193" w:type="dxa"/>
            <w:tcBorders>
              <w:top w:val="nil"/>
              <w:bottom w:val="nil"/>
            </w:tcBorders>
          </w:tcPr>
          <w:p w14:paraId="34F4CACF"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2E153EDE" w14:textId="77777777" w:rsidR="00415A80" w:rsidRPr="00993961" w:rsidRDefault="00415A80" w:rsidP="00415A80">
            <w:pPr>
              <w:pStyle w:val="Tabletext"/>
              <w:tabs>
                <w:tab w:val="decimal" w:pos="1889"/>
              </w:tabs>
            </w:pPr>
          </w:p>
        </w:tc>
      </w:tr>
      <w:tr w:rsidR="00415A80" w:rsidRPr="00A66CA2" w14:paraId="2537081B" w14:textId="77777777" w:rsidTr="0007448F">
        <w:tc>
          <w:tcPr>
            <w:tcW w:w="3686" w:type="dxa"/>
            <w:tcBorders>
              <w:top w:val="nil"/>
              <w:bottom w:val="nil"/>
            </w:tcBorders>
            <w:shd w:val="clear" w:color="auto" w:fill="auto"/>
            <w:vAlign w:val="center"/>
          </w:tcPr>
          <w:p w14:paraId="700500E5" w14:textId="77777777" w:rsidR="00415A80" w:rsidRPr="009A0E69" w:rsidRDefault="00415A80" w:rsidP="00415A80">
            <w:pPr>
              <w:pStyle w:val="Tabletext"/>
              <w:ind w:left="720" w:hanging="526"/>
            </w:pPr>
            <w:r>
              <w:t>Amortisation of intangible assets</w:t>
            </w:r>
          </w:p>
        </w:tc>
        <w:tc>
          <w:tcPr>
            <w:tcW w:w="1924" w:type="dxa"/>
            <w:tcBorders>
              <w:top w:val="nil"/>
              <w:bottom w:val="nil"/>
            </w:tcBorders>
            <w:shd w:val="clear" w:color="auto" w:fill="auto"/>
            <w:vAlign w:val="center"/>
          </w:tcPr>
          <w:p w14:paraId="0B003AEC" w14:textId="34EB9081" w:rsidR="00415A80" w:rsidRPr="005F0E7F" w:rsidRDefault="003A3C5C" w:rsidP="00415A80">
            <w:pPr>
              <w:pStyle w:val="Tabletext"/>
              <w:tabs>
                <w:tab w:val="decimal" w:pos="1560"/>
              </w:tabs>
            </w:pPr>
            <w:r w:rsidRPr="005F0E7F">
              <w:t>10.4</w:t>
            </w:r>
          </w:p>
        </w:tc>
        <w:tc>
          <w:tcPr>
            <w:tcW w:w="344" w:type="dxa"/>
            <w:tcBorders>
              <w:top w:val="nil"/>
              <w:bottom w:val="nil"/>
            </w:tcBorders>
          </w:tcPr>
          <w:p w14:paraId="22E115E0"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3010F74F" w14:textId="295686CE" w:rsidR="00415A80" w:rsidRPr="00A66CA2" w:rsidRDefault="00415A80" w:rsidP="00415A80">
            <w:pPr>
              <w:pStyle w:val="Tabletext"/>
              <w:tabs>
                <w:tab w:val="decimal" w:pos="1635"/>
              </w:tabs>
            </w:pPr>
            <w:r w:rsidRPr="00632714">
              <w:t>10.4</w:t>
            </w:r>
          </w:p>
        </w:tc>
        <w:tc>
          <w:tcPr>
            <w:tcW w:w="193" w:type="dxa"/>
            <w:tcBorders>
              <w:top w:val="nil"/>
              <w:bottom w:val="nil"/>
            </w:tcBorders>
          </w:tcPr>
          <w:p w14:paraId="15EC6FBD"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2A875790" w14:textId="0143D442" w:rsidR="00415A80" w:rsidRPr="00993961" w:rsidRDefault="00993961" w:rsidP="00415A80">
            <w:pPr>
              <w:pStyle w:val="Tabletext"/>
              <w:tabs>
                <w:tab w:val="decimal" w:pos="1889"/>
              </w:tabs>
            </w:pPr>
            <w:r w:rsidRPr="00993961">
              <w:t>20.6</w:t>
            </w:r>
          </w:p>
        </w:tc>
      </w:tr>
      <w:tr w:rsidR="00415A80" w:rsidRPr="00A66CA2" w14:paraId="1AEB81AF" w14:textId="77777777" w:rsidTr="0007448F">
        <w:tc>
          <w:tcPr>
            <w:tcW w:w="3686" w:type="dxa"/>
            <w:tcBorders>
              <w:top w:val="nil"/>
              <w:bottom w:val="nil"/>
            </w:tcBorders>
            <w:shd w:val="clear" w:color="auto" w:fill="auto"/>
            <w:vAlign w:val="center"/>
          </w:tcPr>
          <w:p w14:paraId="4B3EB0A6" w14:textId="77777777" w:rsidR="00415A80" w:rsidRDefault="00415A80" w:rsidP="00415A80">
            <w:pPr>
              <w:pStyle w:val="Tabletext"/>
              <w:ind w:left="200" w:hanging="6"/>
            </w:pPr>
            <w:r>
              <w:t xml:space="preserve">Depreciation of property, plant and equipment  </w:t>
            </w:r>
          </w:p>
        </w:tc>
        <w:tc>
          <w:tcPr>
            <w:tcW w:w="1924" w:type="dxa"/>
            <w:tcBorders>
              <w:top w:val="nil"/>
              <w:bottom w:val="nil"/>
            </w:tcBorders>
            <w:shd w:val="clear" w:color="auto" w:fill="auto"/>
            <w:vAlign w:val="center"/>
          </w:tcPr>
          <w:p w14:paraId="3F0BBD07" w14:textId="0AEFF07B" w:rsidR="00415A80" w:rsidRPr="005F0E7F" w:rsidRDefault="003A3C5C" w:rsidP="00415A80">
            <w:pPr>
              <w:pStyle w:val="Tabletext"/>
              <w:tabs>
                <w:tab w:val="decimal" w:pos="1560"/>
              </w:tabs>
            </w:pPr>
            <w:r w:rsidRPr="005F0E7F">
              <w:t>2.8</w:t>
            </w:r>
          </w:p>
        </w:tc>
        <w:tc>
          <w:tcPr>
            <w:tcW w:w="344" w:type="dxa"/>
            <w:tcBorders>
              <w:top w:val="nil"/>
              <w:bottom w:val="nil"/>
            </w:tcBorders>
          </w:tcPr>
          <w:p w14:paraId="405F7E86"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2A85B160" w14:textId="4219E75D" w:rsidR="00415A80" w:rsidRPr="00A66CA2" w:rsidRDefault="00415A80" w:rsidP="00415A80">
            <w:pPr>
              <w:pStyle w:val="Tabletext"/>
              <w:tabs>
                <w:tab w:val="decimal" w:pos="1635"/>
              </w:tabs>
            </w:pPr>
            <w:r w:rsidRPr="00632714">
              <w:t>2.</w:t>
            </w:r>
            <w:r>
              <w:t>6</w:t>
            </w:r>
          </w:p>
        </w:tc>
        <w:tc>
          <w:tcPr>
            <w:tcW w:w="193" w:type="dxa"/>
            <w:tcBorders>
              <w:top w:val="nil"/>
              <w:bottom w:val="nil"/>
            </w:tcBorders>
          </w:tcPr>
          <w:p w14:paraId="65F2696B"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1FC31AE5" w14:textId="0857BBC7" w:rsidR="00415A80" w:rsidRPr="00993961" w:rsidRDefault="00415A80" w:rsidP="00415A80">
            <w:pPr>
              <w:pStyle w:val="Tabletext"/>
              <w:tabs>
                <w:tab w:val="decimal" w:pos="1889"/>
              </w:tabs>
            </w:pPr>
            <w:r w:rsidRPr="00993961">
              <w:t>5.</w:t>
            </w:r>
            <w:r w:rsidR="00993961" w:rsidRPr="00993961">
              <w:t>2</w:t>
            </w:r>
          </w:p>
        </w:tc>
      </w:tr>
      <w:tr w:rsidR="00415A80" w14:paraId="3C071560" w14:textId="77777777" w:rsidTr="0007448F">
        <w:tc>
          <w:tcPr>
            <w:tcW w:w="3686" w:type="dxa"/>
            <w:tcBorders>
              <w:top w:val="nil"/>
              <w:bottom w:val="nil"/>
            </w:tcBorders>
            <w:shd w:val="clear" w:color="auto" w:fill="auto"/>
            <w:vAlign w:val="center"/>
          </w:tcPr>
          <w:p w14:paraId="57DADCC8" w14:textId="28829E77" w:rsidR="00415A80" w:rsidRPr="00F2575A" w:rsidRDefault="00415A80" w:rsidP="00415A80">
            <w:pPr>
              <w:pStyle w:val="Tabletext"/>
              <w:ind w:left="200" w:hanging="6"/>
              <w:rPr>
                <w:vertAlign w:val="superscript"/>
              </w:rPr>
            </w:pPr>
            <w:r>
              <w:t xml:space="preserve">Other </w:t>
            </w:r>
            <w:r w:rsidR="0087019C">
              <w:t xml:space="preserve">net </w:t>
            </w:r>
            <w:r w:rsidR="00C05874">
              <w:t>(</w:t>
            </w:r>
            <w:r w:rsidR="00993961">
              <w:t>gains</w:t>
            </w:r>
            <w:r w:rsidR="00C05874">
              <w:t>)/losses</w:t>
            </w:r>
            <w:r>
              <w:rPr>
                <w:vertAlign w:val="superscript"/>
              </w:rPr>
              <w:t>1</w:t>
            </w:r>
          </w:p>
        </w:tc>
        <w:tc>
          <w:tcPr>
            <w:tcW w:w="1924" w:type="dxa"/>
            <w:tcBorders>
              <w:top w:val="nil"/>
              <w:bottom w:val="nil"/>
            </w:tcBorders>
            <w:shd w:val="clear" w:color="auto" w:fill="auto"/>
            <w:vAlign w:val="center"/>
          </w:tcPr>
          <w:p w14:paraId="0254C611" w14:textId="0FEF0054" w:rsidR="00415A80" w:rsidRPr="005F0E7F" w:rsidRDefault="003A3C5C" w:rsidP="00415A80">
            <w:pPr>
              <w:pStyle w:val="Tabletext"/>
              <w:tabs>
                <w:tab w:val="decimal" w:pos="1560"/>
              </w:tabs>
            </w:pPr>
            <w:r w:rsidRPr="005F0E7F">
              <w:t>(</w:t>
            </w:r>
            <w:r w:rsidR="00843B92">
              <w:t>7.8</w:t>
            </w:r>
            <w:r w:rsidRPr="005F0E7F">
              <w:t>)</w:t>
            </w:r>
          </w:p>
        </w:tc>
        <w:tc>
          <w:tcPr>
            <w:tcW w:w="344" w:type="dxa"/>
            <w:tcBorders>
              <w:top w:val="nil"/>
              <w:bottom w:val="nil"/>
            </w:tcBorders>
          </w:tcPr>
          <w:p w14:paraId="093F32C0"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588AA88C" w14:textId="4BD3B897" w:rsidR="00415A80" w:rsidRDefault="00415A80" w:rsidP="00415A80">
            <w:pPr>
              <w:pStyle w:val="Tabletext"/>
              <w:tabs>
                <w:tab w:val="decimal" w:pos="1635"/>
              </w:tabs>
            </w:pPr>
            <w:r>
              <w:t>0.3</w:t>
            </w:r>
          </w:p>
        </w:tc>
        <w:tc>
          <w:tcPr>
            <w:tcW w:w="193" w:type="dxa"/>
            <w:tcBorders>
              <w:top w:val="nil"/>
              <w:bottom w:val="nil"/>
            </w:tcBorders>
          </w:tcPr>
          <w:p w14:paraId="5A70E78D"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387001F0" w14:textId="668F79F0" w:rsidR="00415A80" w:rsidRPr="00993961" w:rsidRDefault="00993961" w:rsidP="00415A80">
            <w:pPr>
              <w:pStyle w:val="Tabletext"/>
              <w:tabs>
                <w:tab w:val="decimal" w:pos="1889"/>
              </w:tabs>
            </w:pPr>
            <w:r w:rsidRPr="00993961">
              <w:t>(5.0)</w:t>
            </w:r>
          </w:p>
        </w:tc>
      </w:tr>
      <w:tr w:rsidR="00415A80" w14:paraId="2918C127" w14:textId="77777777" w:rsidTr="0007448F">
        <w:tc>
          <w:tcPr>
            <w:tcW w:w="3686" w:type="dxa"/>
            <w:tcBorders>
              <w:top w:val="nil"/>
              <w:bottom w:val="nil"/>
            </w:tcBorders>
            <w:shd w:val="clear" w:color="auto" w:fill="auto"/>
            <w:vAlign w:val="center"/>
          </w:tcPr>
          <w:p w14:paraId="76CBDEC3" w14:textId="72844EC5" w:rsidR="00415A80" w:rsidRPr="00F2575A" w:rsidRDefault="00993961" w:rsidP="00415A80">
            <w:pPr>
              <w:pStyle w:val="Tabletext"/>
              <w:ind w:left="200" w:hanging="6"/>
              <w:rPr>
                <w:vertAlign w:val="superscript"/>
              </w:rPr>
            </w:pPr>
            <w:r>
              <w:t>(Gains)/l</w:t>
            </w:r>
            <w:r w:rsidR="00415A80">
              <w:t>osses on fund unit hedges</w:t>
            </w:r>
            <w:r w:rsidR="00415A80">
              <w:rPr>
                <w:vertAlign w:val="superscript"/>
              </w:rPr>
              <w:t>2</w:t>
            </w:r>
          </w:p>
        </w:tc>
        <w:tc>
          <w:tcPr>
            <w:tcW w:w="1924" w:type="dxa"/>
            <w:tcBorders>
              <w:top w:val="nil"/>
              <w:bottom w:val="nil"/>
            </w:tcBorders>
            <w:shd w:val="clear" w:color="auto" w:fill="auto"/>
            <w:vAlign w:val="center"/>
          </w:tcPr>
          <w:p w14:paraId="062DC558" w14:textId="1AD211DF" w:rsidR="00415A80" w:rsidRPr="005F0E7F" w:rsidRDefault="003A3C5C" w:rsidP="00415A80">
            <w:pPr>
              <w:pStyle w:val="Tabletext"/>
              <w:tabs>
                <w:tab w:val="decimal" w:pos="1560"/>
              </w:tabs>
            </w:pPr>
            <w:r w:rsidRPr="005F0E7F">
              <w:t>(1.4)</w:t>
            </w:r>
          </w:p>
        </w:tc>
        <w:tc>
          <w:tcPr>
            <w:tcW w:w="344" w:type="dxa"/>
            <w:tcBorders>
              <w:top w:val="nil"/>
              <w:bottom w:val="nil"/>
            </w:tcBorders>
          </w:tcPr>
          <w:p w14:paraId="24F88707"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6D60EB03" w14:textId="5CEF34AD" w:rsidR="00415A80" w:rsidRDefault="00415A80" w:rsidP="00415A80">
            <w:pPr>
              <w:pStyle w:val="Tabletext"/>
              <w:tabs>
                <w:tab w:val="decimal" w:pos="1635"/>
              </w:tabs>
            </w:pPr>
            <w:r>
              <w:t>1.3</w:t>
            </w:r>
          </w:p>
        </w:tc>
        <w:tc>
          <w:tcPr>
            <w:tcW w:w="193" w:type="dxa"/>
            <w:tcBorders>
              <w:top w:val="nil"/>
              <w:bottom w:val="nil"/>
            </w:tcBorders>
          </w:tcPr>
          <w:p w14:paraId="3A24B944"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2DE44430" w14:textId="240768C7" w:rsidR="00415A80" w:rsidRPr="00993961" w:rsidRDefault="00993961" w:rsidP="00415A80">
            <w:pPr>
              <w:pStyle w:val="Tabletext"/>
              <w:tabs>
                <w:tab w:val="decimal" w:pos="1889"/>
              </w:tabs>
            </w:pPr>
            <w:r w:rsidRPr="00993961">
              <w:t>(1.5)</w:t>
            </w:r>
          </w:p>
        </w:tc>
      </w:tr>
      <w:tr w:rsidR="00415A80" w14:paraId="33098A2E" w14:textId="77777777" w:rsidTr="0007448F">
        <w:tc>
          <w:tcPr>
            <w:tcW w:w="3686" w:type="dxa"/>
            <w:tcBorders>
              <w:top w:val="nil"/>
              <w:bottom w:val="nil"/>
            </w:tcBorders>
            <w:shd w:val="clear" w:color="auto" w:fill="auto"/>
            <w:vAlign w:val="center"/>
          </w:tcPr>
          <w:p w14:paraId="35B6B53C" w14:textId="77777777" w:rsidR="00415A80" w:rsidRDefault="00415A80" w:rsidP="00415A80">
            <w:pPr>
              <w:pStyle w:val="Tabletext"/>
              <w:ind w:left="200" w:hanging="6"/>
            </w:pPr>
            <w:r>
              <w:t>Share-based payments</w:t>
            </w:r>
          </w:p>
        </w:tc>
        <w:tc>
          <w:tcPr>
            <w:tcW w:w="1924" w:type="dxa"/>
            <w:tcBorders>
              <w:top w:val="nil"/>
              <w:bottom w:val="nil"/>
            </w:tcBorders>
            <w:shd w:val="clear" w:color="auto" w:fill="auto"/>
            <w:vAlign w:val="center"/>
          </w:tcPr>
          <w:p w14:paraId="3D537DE3" w14:textId="5EEC3E87" w:rsidR="00415A80" w:rsidRPr="005F0E7F" w:rsidRDefault="00B574AB" w:rsidP="00415A80">
            <w:pPr>
              <w:pStyle w:val="Tabletext"/>
              <w:tabs>
                <w:tab w:val="decimal" w:pos="1560"/>
              </w:tabs>
            </w:pPr>
            <w:r w:rsidRPr="005F0E7F">
              <w:t>7.</w:t>
            </w:r>
            <w:r w:rsidR="0063652D">
              <w:t>2</w:t>
            </w:r>
          </w:p>
        </w:tc>
        <w:tc>
          <w:tcPr>
            <w:tcW w:w="344" w:type="dxa"/>
            <w:tcBorders>
              <w:top w:val="nil"/>
              <w:bottom w:val="nil"/>
            </w:tcBorders>
          </w:tcPr>
          <w:p w14:paraId="4711450E"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7C9310E2" w14:textId="1AA087E6" w:rsidR="00415A80" w:rsidRDefault="00415A80" w:rsidP="00415A80">
            <w:pPr>
              <w:pStyle w:val="Tabletext"/>
              <w:tabs>
                <w:tab w:val="decimal" w:pos="1635"/>
              </w:tabs>
            </w:pPr>
            <w:r>
              <w:t>10.2</w:t>
            </w:r>
          </w:p>
        </w:tc>
        <w:tc>
          <w:tcPr>
            <w:tcW w:w="193" w:type="dxa"/>
            <w:tcBorders>
              <w:top w:val="nil"/>
              <w:bottom w:val="nil"/>
            </w:tcBorders>
          </w:tcPr>
          <w:p w14:paraId="30FBB666"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43912A1E" w14:textId="6398E7A3" w:rsidR="00415A80" w:rsidRPr="00993961" w:rsidRDefault="00993961" w:rsidP="00415A80">
            <w:pPr>
              <w:pStyle w:val="Tabletext"/>
              <w:tabs>
                <w:tab w:val="decimal" w:pos="1889"/>
              </w:tabs>
            </w:pPr>
            <w:r w:rsidRPr="00993961">
              <w:t>18.5</w:t>
            </w:r>
          </w:p>
        </w:tc>
      </w:tr>
      <w:tr w:rsidR="00415A80" w14:paraId="625AEC05" w14:textId="77777777" w:rsidTr="0007448F">
        <w:tc>
          <w:tcPr>
            <w:tcW w:w="3686" w:type="dxa"/>
            <w:tcBorders>
              <w:top w:val="nil"/>
              <w:bottom w:val="nil"/>
            </w:tcBorders>
            <w:shd w:val="clear" w:color="auto" w:fill="auto"/>
            <w:vAlign w:val="center"/>
          </w:tcPr>
          <w:p w14:paraId="2FC39053" w14:textId="1267E209" w:rsidR="00415A80" w:rsidRPr="00F2575A" w:rsidRDefault="00415A80" w:rsidP="00415A80">
            <w:pPr>
              <w:pStyle w:val="Tabletext"/>
              <w:ind w:left="194"/>
              <w:rPr>
                <w:vertAlign w:val="superscript"/>
              </w:rPr>
            </w:pPr>
            <w:r>
              <w:t>Increase in trade and other receivables</w:t>
            </w:r>
            <w:r>
              <w:rPr>
                <w:vertAlign w:val="superscript"/>
              </w:rPr>
              <w:t>3</w:t>
            </w:r>
          </w:p>
        </w:tc>
        <w:tc>
          <w:tcPr>
            <w:tcW w:w="1924" w:type="dxa"/>
            <w:tcBorders>
              <w:top w:val="nil"/>
              <w:bottom w:val="nil"/>
            </w:tcBorders>
            <w:shd w:val="clear" w:color="auto" w:fill="auto"/>
            <w:vAlign w:val="center"/>
          </w:tcPr>
          <w:p w14:paraId="7C8498B7" w14:textId="49A1319C" w:rsidR="00415A80" w:rsidRPr="005F0E7F" w:rsidRDefault="00B574AB" w:rsidP="00415A80">
            <w:pPr>
              <w:pStyle w:val="Tabletext"/>
              <w:tabs>
                <w:tab w:val="decimal" w:pos="1560"/>
              </w:tabs>
            </w:pPr>
            <w:r w:rsidRPr="005F0E7F">
              <w:t>(14.</w:t>
            </w:r>
            <w:r w:rsidR="00404A48">
              <w:t>8</w:t>
            </w:r>
            <w:r w:rsidRPr="005F0E7F">
              <w:t>)</w:t>
            </w:r>
          </w:p>
        </w:tc>
        <w:tc>
          <w:tcPr>
            <w:tcW w:w="344" w:type="dxa"/>
            <w:tcBorders>
              <w:top w:val="nil"/>
              <w:bottom w:val="nil"/>
            </w:tcBorders>
          </w:tcPr>
          <w:p w14:paraId="05E39926" w14:textId="77777777" w:rsidR="00415A80" w:rsidRPr="00A66CA2" w:rsidRDefault="00415A80" w:rsidP="00415A80">
            <w:pPr>
              <w:pStyle w:val="Tabletext"/>
              <w:jc w:val="right"/>
            </w:pPr>
          </w:p>
        </w:tc>
        <w:tc>
          <w:tcPr>
            <w:tcW w:w="2066" w:type="dxa"/>
            <w:tcBorders>
              <w:top w:val="nil"/>
              <w:bottom w:val="nil"/>
            </w:tcBorders>
            <w:shd w:val="clear" w:color="auto" w:fill="auto"/>
            <w:vAlign w:val="center"/>
          </w:tcPr>
          <w:p w14:paraId="0776F33E" w14:textId="242FF593" w:rsidR="00415A80" w:rsidRDefault="00415A80" w:rsidP="00415A80">
            <w:pPr>
              <w:pStyle w:val="Tabletext"/>
              <w:tabs>
                <w:tab w:val="decimal" w:pos="1635"/>
              </w:tabs>
            </w:pPr>
            <w:r>
              <w:t>(80.9)</w:t>
            </w:r>
          </w:p>
        </w:tc>
        <w:tc>
          <w:tcPr>
            <w:tcW w:w="193" w:type="dxa"/>
            <w:tcBorders>
              <w:top w:val="nil"/>
              <w:bottom w:val="nil"/>
            </w:tcBorders>
          </w:tcPr>
          <w:p w14:paraId="795E39FB" w14:textId="77777777" w:rsidR="00415A80" w:rsidRPr="00A66CA2" w:rsidRDefault="00415A80" w:rsidP="00415A80">
            <w:pPr>
              <w:pStyle w:val="Tabletext"/>
              <w:jc w:val="right"/>
            </w:pPr>
          </w:p>
        </w:tc>
        <w:tc>
          <w:tcPr>
            <w:tcW w:w="2212" w:type="dxa"/>
            <w:tcBorders>
              <w:top w:val="nil"/>
              <w:bottom w:val="nil"/>
            </w:tcBorders>
            <w:shd w:val="clear" w:color="auto" w:fill="auto"/>
            <w:vAlign w:val="center"/>
          </w:tcPr>
          <w:p w14:paraId="2EE355AF" w14:textId="3F134A76" w:rsidR="00415A80" w:rsidRPr="00993961" w:rsidRDefault="00993961" w:rsidP="00415A80">
            <w:pPr>
              <w:pStyle w:val="Tabletext"/>
              <w:tabs>
                <w:tab w:val="decimal" w:pos="1889"/>
              </w:tabs>
            </w:pPr>
            <w:r w:rsidRPr="00993961">
              <w:t>(14.4)</w:t>
            </w:r>
          </w:p>
        </w:tc>
      </w:tr>
      <w:tr w:rsidR="00415A80" w14:paraId="54F748B6" w14:textId="77777777" w:rsidTr="0007448F">
        <w:tc>
          <w:tcPr>
            <w:tcW w:w="3686" w:type="dxa"/>
            <w:tcBorders>
              <w:top w:val="nil"/>
              <w:bottom w:val="nil"/>
            </w:tcBorders>
            <w:shd w:val="clear" w:color="auto" w:fill="auto"/>
            <w:vAlign w:val="center"/>
          </w:tcPr>
          <w:p w14:paraId="551D66AA" w14:textId="0BD11797" w:rsidR="00415A80" w:rsidRDefault="00415A80" w:rsidP="00415A80">
            <w:pPr>
              <w:pStyle w:val="Tabletext"/>
              <w:ind w:left="200" w:hanging="6"/>
            </w:pPr>
            <w:r>
              <w:t>Increase/(decrease) in trade and other payables</w:t>
            </w:r>
            <w:r>
              <w:rPr>
                <w:vertAlign w:val="superscript"/>
              </w:rPr>
              <w:t>3</w:t>
            </w:r>
            <w:r>
              <w:t xml:space="preserve"> </w:t>
            </w:r>
          </w:p>
        </w:tc>
        <w:tc>
          <w:tcPr>
            <w:tcW w:w="1924" w:type="dxa"/>
            <w:tcBorders>
              <w:top w:val="nil"/>
              <w:bottom w:val="single" w:sz="4" w:space="0" w:color="auto"/>
            </w:tcBorders>
            <w:shd w:val="clear" w:color="auto" w:fill="auto"/>
            <w:vAlign w:val="center"/>
          </w:tcPr>
          <w:p w14:paraId="63F86258" w14:textId="3693CA6B" w:rsidR="00415A80" w:rsidRPr="005F0E7F" w:rsidRDefault="00B574AB" w:rsidP="00415A80">
            <w:pPr>
              <w:pStyle w:val="Tabletext"/>
              <w:tabs>
                <w:tab w:val="decimal" w:pos="1560"/>
              </w:tabs>
            </w:pPr>
            <w:r w:rsidRPr="005F0E7F">
              <w:t>1</w:t>
            </w:r>
            <w:r w:rsidR="00FB7D63">
              <w:t>9.0</w:t>
            </w:r>
          </w:p>
        </w:tc>
        <w:tc>
          <w:tcPr>
            <w:tcW w:w="344" w:type="dxa"/>
            <w:tcBorders>
              <w:top w:val="nil"/>
              <w:bottom w:val="nil"/>
            </w:tcBorders>
          </w:tcPr>
          <w:p w14:paraId="4AE1BAF6" w14:textId="77777777" w:rsidR="00415A80" w:rsidRPr="00A66CA2" w:rsidRDefault="00415A80" w:rsidP="00415A80">
            <w:pPr>
              <w:pStyle w:val="Tabletext"/>
              <w:jc w:val="right"/>
            </w:pPr>
          </w:p>
        </w:tc>
        <w:tc>
          <w:tcPr>
            <w:tcW w:w="2066" w:type="dxa"/>
            <w:tcBorders>
              <w:top w:val="nil"/>
              <w:bottom w:val="single" w:sz="4" w:space="0" w:color="auto"/>
            </w:tcBorders>
            <w:shd w:val="clear" w:color="auto" w:fill="auto"/>
            <w:vAlign w:val="center"/>
          </w:tcPr>
          <w:p w14:paraId="50CE45E9" w14:textId="3E6B9052" w:rsidR="00415A80" w:rsidRDefault="00415A80" w:rsidP="00415A80">
            <w:pPr>
              <w:pStyle w:val="Tabletext"/>
              <w:tabs>
                <w:tab w:val="decimal" w:pos="1635"/>
              </w:tabs>
            </w:pPr>
            <w:r>
              <w:t>75.3</w:t>
            </w:r>
          </w:p>
        </w:tc>
        <w:tc>
          <w:tcPr>
            <w:tcW w:w="193" w:type="dxa"/>
            <w:tcBorders>
              <w:top w:val="nil"/>
              <w:bottom w:val="nil"/>
            </w:tcBorders>
          </w:tcPr>
          <w:p w14:paraId="145CCD9E" w14:textId="77777777" w:rsidR="00415A80" w:rsidRPr="00A66CA2" w:rsidRDefault="00415A80" w:rsidP="00415A80">
            <w:pPr>
              <w:pStyle w:val="Tabletext"/>
              <w:jc w:val="right"/>
            </w:pPr>
          </w:p>
        </w:tc>
        <w:tc>
          <w:tcPr>
            <w:tcW w:w="2212" w:type="dxa"/>
            <w:tcBorders>
              <w:top w:val="nil"/>
              <w:bottom w:val="single" w:sz="4" w:space="0" w:color="auto"/>
            </w:tcBorders>
            <w:shd w:val="clear" w:color="auto" w:fill="auto"/>
            <w:vAlign w:val="center"/>
          </w:tcPr>
          <w:p w14:paraId="4748F54C" w14:textId="1A4BDCED" w:rsidR="00415A80" w:rsidRPr="00993961" w:rsidRDefault="00993961" w:rsidP="00415A80">
            <w:pPr>
              <w:pStyle w:val="Tabletext"/>
              <w:tabs>
                <w:tab w:val="decimal" w:pos="1889"/>
              </w:tabs>
            </w:pPr>
            <w:r w:rsidRPr="00993961">
              <w:t>(0.3)</w:t>
            </w:r>
          </w:p>
        </w:tc>
      </w:tr>
      <w:tr w:rsidR="00415A80" w:rsidRPr="009F40EF" w14:paraId="71ADA494" w14:textId="77777777" w:rsidTr="0007448F">
        <w:tc>
          <w:tcPr>
            <w:tcW w:w="3686" w:type="dxa"/>
            <w:tcBorders>
              <w:top w:val="nil"/>
              <w:bottom w:val="nil"/>
            </w:tcBorders>
            <w:shd w:val="clear" w:color="auto" w:fill="auto"/>
            <w:vAlign w:val="center"/>
          </w:tcPr>
          <w:p w14:paraId="2DAD61BC" w14:textId="77777777" w:rsidR="00415A80" w:rsidRPr="00851326" w:rsidRDefault="00415A80" w:rsidP="00415A80">
            <w:pPr>
              <w:pStyle w:val="Tabletext"/>
              <w:rPr>
                <w:b/>
                <w:bCs/>
              </w:rPr>
            </w:pPr>
            <w:r>
              <w:rPr>
                <w:b/>
                <w:bCs/>
              </w:rPr>
              <w:t xml:space="preserve">Cash generated from operations </w:t>
            </w:r>
          </w:p>
        </w:tc>
        <w:tc>
          <w:tcPr>
            <w:tcW w:w="1924" w:type="dxa"/>
            <w:tcBorders>
              <w:top w:val="single" w:sz="4" w:space="0" w:color="auto"/>
              <w:bottom w:val="double" w:sz="4" w:space="0" w:color="auto"/>
            </w:tcBorders>
            <w:shd w:val="clear" w:color="auto" w:fill="auto"/>
            <w:vAlign w:val="center"/>
          </w:tcPr>
          <w:p w14:paraId="6F8B272F" w14:textId="6ADC4619" w:rsidR="00415A80" w:rsidRPr="005F0E7F" w:rsidRDefault="00B574AB" w:rsidP="00415A80">
            <w:pPr>
              <w:pStyle w:val="Tabletext"/>
              <w:tabs>
                <w:tab w:val="decimal" w:pos="1560"/>
              </w:tabs>
              <w:rPr>
                <w:b/>
                <w:bCs/>
              </w:rPr>
            </w:pPr>
            <w:r w:rsidRPr="005F0E7F">
              <w:rPr>
                <w:b/>
                <w:bCs/>
              </w:rPr>
              <w:t>5</w:t>
            </w:r>
            <w:r w:rsidR="00FB7D63">
              <w:rPr>
                <w:b/>
                <w:bCs/>
              </w:rPr>
              <w:t>3.1</w:t>
            </w:r>
          </w:p>
        </w:tc>
        <w:tc>
          <w:tcPr>
            <w:tcW w:w="344" w:type="dxa"/>
            <w:tcBorders>
              <w:top w:val="nil"/>
              <w:bottom w:val="nil"/>
            </w:tcBorders>
          </w:tcPr>
          <w:p w14:paraId="486B37A0" w14:textId="77777777" w:rsidR="00415A80" w:rsidRPr="00A66CA2" w:rsidRDefault="00415A80" w:rsidP="00415A80">
            <w:pPr>
              <w:pStyle w:val="Tabletext"/>
              <w:jc w:val="right"/>
            </w:pPr>
          </w:p>
        </w:tc>
        <w:tc>
          <w:tcPr>
            <w:tcW w:w="2066" w:type="dxa"/>
            <w:tcBorders>
              <w:top w:val="single" w:sz="4" w:space="0" w:color="auto"/>
              <w:bottom w:val="double" w:sz="4" w:space="0" w:color="auto"/>
            </w:tcBorders>
            <w:shd w:val="clear" w:color="auto" w:fill="auto"/>
            <w:vAlign w:val="center"/>
          </w:tcPr>
          <w:p w14:paraId="5441D136" w14:textId="0870CDDB" w:rsidR="00415A80" w:rsidRPr="00A66CA2" w:rsidRDefault="00415A80" w:rsidP="00415A80">
            <w:pPr>
              <w:pStyle w:val="Tabletext"/>
              <w:tabs>
                <w:tab w:val="decimal" w:pos="1635"/>
              </w:tabs>
            </w:pPr>
            <w:r>
              <w:rPr>
                <w:b/>
                <w:bCs/>
              </w:rPr>
              <w:t>55.8</w:t>
            </w:r>
          </w:p>
        </w:tc>
        <w:tc>
          <w:tcPr>
            <w:tcW w:w="193" w:type="dxa"/>
            <w:tcBorders>
              <w:top w:val="nil"/>
              <w:bottom w:val="nil"/>
            </w:tcBorders>
          </w:tcPr>
          <w:p w14:paraId="7C03E785" w14:textId="77777777" w:rsidR="00415A80" w:rsidRPr="00A66CA2" w:rsidRDefault="00415A80" w:rsidP="00415A80">
            <w:pPr>
              <w:pStyle w:val="Tabletext"/>
              <w:jc w:val="right"/>
            </w:pPr>
          </w:p>
        </w:tc>
        <w:tc>
          <w:tcPr>
            <w:tcW w:w="2212" w:type="dxa"/>
            <w:tcBorders>
              <w:top w:val="single" w:sz="4" w:space="0" w:color="auto"/>
              <w:bottom w:val="double" w:sz="4" w:space="0" w:color="auto"/>
            </w:tcBorders>
            <w:shd w:val="clear" w:color="auto" w:fill="auto"/>
            <w:vAlign w:val="center"/>
          </w:tcPr>
          <w:p w14:paraId="3CD5D087" w14:textId="395AADE6" w:rsidR="00415A80" w:rsidRPr="00993961" w:rsidRDefault="00993961" w:rsidP="00415A80">
            <w:pPr>
              <w:pStyle w:val="Tabletext"/>
              <w:tabs>
                <w:tab w:val="decimal" w:pos="1889"/>
              </w:tabs>
              <w:rPr>
                <w:b/>
                <w:bCs/>
              </w:rPr>
            </w:pPr>
            <w:r w:rsidRPr="00993961">
              <w:rPr>
                <w:b/>
                <w:bCs/>
              </w:rPr>
              <w:t>109.1</w:t>
            </w:r>
          </w:p>
        </w:tc>
      </w:tr>
      <w:tr w:rsidR="00D0463D" w14:paraId="5136E48C" w14:textId="77777777" w:rsidTr="0007448F">
        <w:tc>
          <w:tcPr>
            <w:tcW w:w="3686" w:type="dxa"/>
            <w:tcBorders>
              <w:top w:val="nil"/>
              <w:bottom w:val="nil"/>
            </w:tcBorders>
            <w:shd w:val="clear" w:color="auto" w:fill="auto"/>
            <w:vAlign w:val="center"/>
          </w:tcPr>
          <w:p w14:paraId="2D8FC44B" w14:textId="77777777" w:rsidR="00CA7CB3" w:rsidRDefault="00CA7CB3">
            <w:pPr>
              <w:pStyle w:val="Tabletext"/>
              <w:rPr>
                <w:b/>
                <w:bCs/>
              </w:rPr>
            </w:pPr>
          </w:p>
        </w:tc>
        <w:tc>
          <w:tcPr>
            <w:tcW w:w="1924" w:type="dxa"/>
            <w:tcBorders>
              <w:top w:val="double" w:sz="4" w:space="0" w:color="auto"/>
              <w:bottom w:val="nil"/>
            </w:tcBorders>
            <w:shd w:val="clear" w:color="auto" w:fill="auto"/>
            <w:vAlign w:val="center"/>
          </w:tcPr>
          <w:p w14:paraId="7F6A34E7" w14:textId="77777777" w:rsidR="00CA7CB3" w:rsidRPr="00A66CA2" w:rsidRDefault="00CA7CB3">
            <w:pPr>
              <w:pStyle w:val="Tabletext"/>
              <w:jc w:val="right"/>
              <w:rPr>
                <w:highlight w:val="yellow"/>
              </w:rPr>
            </w:pPr>
          </w:p>
        </w:tc>
        <w:tc>
          <w:tcPr>
            <w:tcW w:w="344" w:type="dxa"/>
            <w:tcBorders>
              <w:top w:val="nil"/>
              <w:bottom w:val="nil"/>
            </w:tcBorders>
          </w:tcPr>
          <w:p w14:paraId="287C82F2" w14:textId="77777777" w:rsidR="00CA7CB3" w:rsidRPr="00A66CA2" w:rsidRDefault="00CA7CB3">
            <w:pPr>
              <w:pStyle w:val="Tabletext"/>
              <w:jc w:val="right"/>
            </w:pPr>
          </w:p>
        </w:tc>
        <w:tc>
          <w:tcPr>
            <w:tcW w:w="2066" w:type="dxa"/>
            <w:tcBorders>
              <w:top w:val="double" w:sz="4" w:space="0" w:color="auto"/>
              <w:bottom w:val="nil"/>
            </w:tcBorders>
            <w:shd w:val="clear" w:color="auto" w:fill="auto"/>
            <w:vAlign w:val="center"/>
          </w:tcPr>
          <w:p w14:paraId="4BB84FA9" w14:textId="77777777" w:rsidR="00CA7CB3" w:rsidRDefault="00CA7CB3" w:rsidP="00957B0D">
            <w:pPr>
              <w:pStyle w:val="Tabletext"/>
              <w:tabs>
                <w:tab w:val="decimal" w:pos="1635"/>
              </w:tabs>
            </w:pPr>
          </w:p>
        </w:tc>
        <w:tc>
          <w:tcPr>
            <w:tcW w:w="193" w:type="dxa"/>
            <w:tcBorders>
              <w:top w:val="nil"/>
              <w:bottom w:val="nil"/>
            </w:tcBorders>
          </w:tcPr>
          <w:p w14:paraId="78D4E6C0" w14:textId="77777777" w:rsidR="00CA7CB3" w:rsidRPr="00A66CA2" w:rsidRDefault="00CA7CB3">
            <w:pPr>
              <w:pStyle w:val="Tabletext"/>
              <w:jc w:val="right"/>
            </w:pPr>
          </w:p>
        </w:tc>
        <w:tc>
          <w:tcPr>
            <w:tcW w:w="2212" w:type="dxa"/>
            <w:tcBorders>
              <w:top w:val="double" w:sz="4" w:space="0" w:color="auto"/>
              <w:bottom w:val="nil"/>
            </w:tcBorders>
            <w:shd w:val="clear" w:color="auto" w:fill="auto"/>
            <w:vAlign w:val="center"/>
          </w:tcPr>
          <w:p w14:paraId="1AA54438" w14:textId="77777777" w:rsidR="00CA7CB3" w:rsidRDefault="00CA7CB3" w:rsidP="00957B0D">
            <w:pPr>
              <w:pStyle w:val="Tabletext"/>
            </w:pPr>
          </w:p>
        </w:tc>
      </w:tr>
    </w:tbl>
    <w:p w14:paraId="0EA2273B" w14:textId="359FD891" w:rsidR="000A0DDE" w:rsidRPr="00993961" w:rsidRDefault="002D4453" w:rsidP="00957B0D">
      <w:pPr>
        <w:pStyle w:val="Footnote"/>
      </w:pPr>
      <w:r w:rsidRPr="00993961">
        <w:rPr>
          <w:vertAlign w:val="superscript"/>
        </w:rPr>
        <w:t>1</w:t>
      </w:r>
      <w:r w:rsidR="000A0DDE" w:rsidRPr="00993961">
        <w:t xml:space="preserve">Comprises the reversal of items included in 'Other gains' in the income statement that relate either to unrealised gains or losses, or to cash flows relating to the disposal of financial assets other than derivative contracts. Cash flows relating to disposals are included in the Cash flow statement within 'Proceeds from disposals of financial assets at </w:t>
      </w:r>
      <w:r w:rsidR="0093735A" w:rsidRPr="00993961">
        <w:t>FVTPL</w:t>
      </w:r>
      <w:r w:rsidR="000A0DDE" w:rsidRPr="00993961">
        <w:t xml:space="preserve">'. </w:t>
      </w:r>
    </w:p>
    <w:p w14:paraId="729601FF" w14:textId="3E4688A2" w:rsidR="000A0DDE" w:rsidRPr="00993961" w:rsidRDefault="000A0DDE" w:rsidP="00957B0D">
      <w:pPr>
        <w:pStyle w:val="Footnote"/>
      </w:pPr>
      <w:r w:rsidRPr="00993961">
        <w:rPr>
          <w:vertAlign w:val="superscript"/>
        </w:rPr>
        <w:t>2</w:t>
      </w:r>
      <w:r w:rsidRPr="00993961">
        <w:t xml:space="preserve">Comprises the reversal of net losses on instruments held to provide an economic hedge for funds awards that are recognised within Administrative expenses (Note 3). Cash flows arising from the disposals of such instruments are included in the Cash flow statement, in line with footnote 1 above. </w:t>
      </w:r>
    </w:p>
    <w:p w14:paraId="6E26B0FE" w14:textId="09E5E684" w:rsidR="0007448F" w:rsidRDefault="000A0DDE" w:rsidP="00957B0D">
      <w:pPr>
        <w:pStyle w:val="Footnote"/>
      </w:pPr>
      <w:r w:rsidRPr="00993961">
        <w:rPr>
          <w:vertAlign w:val="superscript"/>
        </w:rPr>
        <w:t>3</w:t>
      </w:r>
      <w:r w:rsidRPr="00993961">
        <w:t xml:space="preserve">Amounts reported in these lines can differ from the movement in the balance sheet where cash flows that form part of that movement are separately reported in a different line of the Cash flow statement or its notes. In </w:t>
      </w:r>
      <w:r w:rsidR="00E85F7E" w:rsidRPr="00993961">
        <w:t>2023</w:t>
      </w:r>
      <w:r w:rsidRPr="00993961">
        <w:t xml:space="preserve"> and </w:t>
      </w:r>
      <w:r w:rsidR="00E85F7E" w:rsidRPr="00993961">
        <w:t>2024</w:t>
      </w:r>
      <w:r w:rsidRPr="00993961">
        <w:t>, these differences are principally in respect of cash flow movements relating to consolidated funds. For trade and other payables, additionally, cash flows arising from movements in lease liabilities are presented on the face of the Cash flow statement</w:t>
      </w:r>
      <w:r w:rsidR="00C22706" w:rsidRPr="00993961">
        <w:t>.</w:t>
      </w:r>
    </w:p>
    <w:p w14:paraId="036D3153" w14:textId="4644B446" w:rsidR="00957B0D" w:rsidRDefault="00957B0D">
      <w:pPr>
        <w:rPr>
          <w:rFonts w:eastAsiaTheme="minorHAnsi"/>
          <w:sz w:val="20"/>
          <w:lang w:val="en-GB" w:eastAsia="en-US"/>
        </w:rPr>
      </w:pPr>
      <w:r>
        <w:br w:type="page"/>
      </w:r>
    </w:p>
    <w:p w14:paraId="661C9E27" w14:textId="63F19141" w:rsidR="00432B5B" w:rsidRPr="00F52A16" w:rsidRDefault="00EC3751" w:rsidP="00F2718C">
      <w:pPr>
        <w:pStyle w:val="Subheading"/>
      </w:pPr>
      <w:r w:rsidRPr="0004738F">
        <w:lastRenderedPageBreak/>
        <w:t>18.</w:t>
      </w:r>
      <w:r w:rsidR="00DA64B8" w:rsidRPr="0004738F">
        <w:tab/>
        <w:t>Changes in liabilities arising from financing activities</w:t>
      </w:r>
    </w:p>
    <w:tbl>
      <w:tblPr>
        <w:tblW w:w="5000" w:type="pct"/>
        <w:tblLayout w:type="fixed"/>
        <w:tblLook w:val="01E0" w:firstRow="1" w:lastRow="1" w:firstColumn="1" w:lastColumn="1" w:noHBand="0" w:noVBand="0"/>
      </w:tblPr>
      <w:tblGrid>
        <w:gridCol w:w="4962"/>
        <w:gridCol w:w="1559"/>
        <w:gridCol w:w="1278"/>
        <w:gridCol w:w="992"/>
        <w:gridCol w:w="1069"/>
        <w:gridCol w:w="345"/>
      </w:tblGrid>
      <w:tr w:rsidR="004D34BC" w:rsidRPr="00EB1002" w14:paraId="3A556832" w14:textId="77777777" w:rsidTr="00692B9C">
        <w:trPr>
          <w:trHeight w:val="20"/>
        </w:trPr>
        <w:tc>
          <w:tcPr>
            <w:tcW w:w="2431" w:type="pct"/>
            <w:shd w:val="clear" w:color="auto" w:fill="auto"/>
          </w:tcPr>
          <w:p w14:paraId="55D34210" w14:textId="77777777" w:rsidR="004D34BC" w:rsidRPr="00F2718C" w:rsidRDefault="004D34BC">
            <w:pPr>
              <w:spacing w:after="0"/>
              <w:rPr>
                <w:rFonts w:eastAsia="Times New Roman"/>
                <w:b/>
                <w:color w:val="003D7F" w:themeColor="accent2" w:themeShade="BF"/>
                <w:sz w:val="12"/>
                <w:szCs w:val="12"/>
                <w:lang w:eastAsia="en-GB"/>
              </w:rPr>
            </w:pPr>
            <w:bookmarkStart w:id="9" w:name="_da2b15e7_8af9_4250_a6b6_6cf80a8b1684"/>
            <w:bookmarkStart w:id="10" w:name="_5638ff7b_179e_4e3a_946e_2ca305daea5a"/>
            <w:bookmarkEnd w:id="9"/>
          </w:p>
        </w:tc>
        <w:tc>
          <w:tcPr>
            <w:tcW w:w="2400" w:type="pct"/>
            <w:gridSpan w:val="4"/>
            <w:shd w:val="clear" w:color="auto" w:fill="auto"/>
          </w:tcPr>
          <w:p w14:paraId="249A52E8" w14:textId="41070A9C" w:rsidR="004D34BC" w:rsidRPr="00F2718C" w:rsidRDefault="004D34BC" w:rsidP="00F2718C">
            <w:pPr>
              <w:tabs>
                <w:tab w:val="decimal" w:pos="587"/>
              </w:tabs>
              <w:spacing w:after="0"/>
              <w:rPr>
                <w:rFonts w:eastAsia="Times New Roman"/>
                <w:b/>
                <w:color w:val="003D7F" w:themeColor="accent2" w:themeShade="BF"/>
                <w:sz w:val="12"/>
                <w:szCs w:val="12"/>
                <w:lang w:eastAsia="en-GB"/>
              </w:rPr>
            </w:pPr>
          </w:p>
        </w:tc>
        <w:tc>
          <w:tcPr>
            <w:tcW w:w="169" w:type="pct"/>
          </w:tcPr>
          <w:p w14:paraId="4F6B41C2" w14:textId="77777777" w:rsidR="004D34BC" w:rsidRPr="00F2718C" w:rsidRDefault="004D34BC">
            <w:pPr>
              <w:tabs>
                <w:tab w:val="decimal" w:pos="759"/>
              </w:tabs>
              <w:spacing w:after="0"/>
              <w:jc w:val="right"/>
              <w:rPr>
                <w:rFonts w:eastAsia="Times New Roman"/>
                <w:b/>
                <w:color w:val="003D7F" w:themeColor="accent2" w:themeShade="BF"/>
                <w:sz w:val="12"/>
                <w:szCs w:val="12"/>
                <w:lang w:eastAsia="en-GB"/>
              </w:rPr>
            </w:pPr>
          </w:p>
        </w:tc>
      </w:tr>
      <w:tr w:rsidR="00C61E10" w:rsidRPr="00EB1002" w14:paraId="5D64D863" w14:textId="77777777" w:rsidTr="00692B9C">
        <w:trPr>
          <w:trHeight w:val="412"/>
        </w:trPr>
        <w:tc>
          <w:tcPr>
            <w:tcW w:w="2431" w:type="pct"/>
            <w:shd w:val="clear" w:color="auto" w:fill="auto"/>
            <w:vAlign w:val="bottom"/>
          </w:tcPr>
          <w:p w14:paraId="798B1463" w14:textId="77777777" w:rsidR="004D34BC" w:rsidRPr="00EB1002" w:rsidRDefault="004D34BC" w:rsidP="00957B0D">
            <w:pPr>
              <w:pStyle w:val="Tableheading"/>
              <w:jc w:val="right"/>
            </w:pPr>
          </w:p>
        </w:tc>
        <w:tc>
          <w:tcPr>
            <w:tcW w:w="764" w:type="pct"/>
            <w:shd w:val="clear" w:color="auto" w:fill="auto"/>
            <w:vAlign w:val="bottom"/>
          </w:tcPr>
          <w:p w14:paraId="679A0C14" w14:textId="77777777" w:rsidR="004D34BC" w:rsidRPr="00EB1002" w:rsidRDefault="004D34BC" w:rsidP="00957B0D">
            <w:pPr>
              <w:pStyle w:val="Tableheading"/>
              <w:jc w:val="right"/>
            </w:pPr>
            <w:r w:rsidRPr="00EB1002">
              <w:t>Financial liabilities at FVTPL</w:t>
            </w:r>
          </w:p>
        </w:tc>
        <w:tc>
          <w:tcPr>
            <w:tcW w:w="626" w:type="pct"/>
            <w:shd w:val="clear" w:color="auto" w:fill="auto"/>
            <w:vAlign w:val="bottom"/>
          </w:tcPr>
          <w:p w14:paraId="1BCE4DAF" w14:textId="77777777" w:rsidR="004D34BC" w:rsidRPr="00EB1002" w:rsidRDefault="004D34BC" w:rsidP="00957B0D">
            <w:pPr>
              <w:pStyle w:val="Tableheading"/>
              <w:jc w:val="right"/>
            </w:pPr>
            <w:r w:rsidRPr="00EB1002">
              <w:t>Loans and borrowings</w:t>
            </w:r>
            <w:r w:rsidRPr="0039032A">
              <w:rPr>
                <w:vertAlign w:val="superscript"/>
              </w:rPr>
              <w:t>1</w:t>
            </w:r>
          </w:p>
        </w:tc>
        <w:tc>
          <w:tcPr>
            <w:tcW w:w="486" w:type="pct"/>
            <w:shd w:val="clear" w:color="auto" w:fill="auto"/>
            <w:vAlign w:val="bottom"/>
          </w:tcPr>
          <w:p w14:paraId="5486F410" w14:textId="77777777" w:rsidR="004D34BC" w:rsidRPr="00EB1002" w:rsidRDefault="004D34BC" w:rsidP="00957B0D">
            <w:pPr>
              <w:pStyle w:val="Tableheading"/>
              <w:jc w:val="right"/>
            </w:pPr>
            <w:r w:rsidRPr="00EB1002">
              <w:t>Leases</w:t>
            </w:r>
          </w:p>
        </w:tc>
        <w:tc>
          <w:tcPr>
            <w:tcW w:w="524" w:type="pct"/>
            <w:shd w:val="clear" w:color="auto" w:fill="auto"/>
            <w:vAlign w:val="bottom"/>
          </w:tcPr>
          <w:p w14:paraId="584DDA36" w14:textId="77777777" w:rsidR="004D34BC" w:rsidRPr="00EB1002" w:rsidRDefault="004D34BC" w:rsidP="00957B0D">
            <w:pPr>
              <w:pStyle w:val="Tableheading"/>
              <w:jc w:val="right"/>
            </w:pPr>
            <w:r w:rsidRPr="00EB1002">
              <w:t>Total</w:t>
            </w:r>
          </w:p>
        </w:tc>
        <w:tc>
          <w:tcPr>
            <w:tcW w:w="169" w:type="pct"/>
            <w:vAlign w:val="bottom"/>
          </w:tcPr>
          <w:p w14:paraId="3DB91FA3" w14:textId="77777777" w:rsidR="004D34BC" w:rsidRPr="00EB1002" w:rsidRDefault="004D34BC" w:rsidP="00957B0D">
            <w:pPr>
              <w:pStyle w:val="Tableheading"/>
              <w:jc w:val="right"/>
            </w:pPr>
          </w:p>
        </w:tc>
      </w:tr>
      <w:tr w:rsidR="00B91744" w:rsidRPr="00EB1002" w14:paraId="42942F43" w14:textId="77777777" w:rsidTr="00692B9C">
        <w:trPr>
          <w:trHeight w:val="233"/>
        </w:trPr>
        <w:tc>
          <w:tcPr>
            <w:tcW w:w="2431" w:type="pct"/>
            <w:shd w:val="clear" w:color="auto" w:fill="auto"/>
            <w:vAlign w:val="bottom"/>
          </w:tcPr>
          <w:p w14:paraId="00CE433B" w14:textId="77777777" w:rsidR="004D34BC" w:rsidRPr="00EB1002" w:rsidRDefault="004D34BC" w:rsidP="00957B0D">
            <w:pPr>
              <w:pStyle w:val="Tableheading"/>
              <w:jc w:val="right"/>
            </w:pPr>
          </w:p>
        </w:tc>
        <w:tc>
          <w:tcPr>
            <w:tcW w:w="764" w:type="pct"/>
            <w:shd w:val="clear" w:color="auto" w:fill="auto"/>
            <w:vAlign w:val="bottom"/>
          </w:tcPr>
          <w:p w14:paraId="03F5EC2E" w14:textId="77777777" w:rsidR="004D34BC" w:rsidRPr="00EB1002" w:rsidRDefault="004D34BC" w:rsidP="00957B0D">
            <w:pPr>
              <w:pStyle w:val="Tableheading"/>
              <w:jc w:val="right"/>
              <w:rPr>
                <w:szCs w:val="18"/>
              </w:rPr>
            </w:pPr>
            <w:r w:rsidRPr="00EB1002">
              <w:rPr>
                <w:rFonts w:eastAsia="Arial"/>
                <w:szCs w:val="18"/>
              </w:rPr>
              <w:t>£m</w:t>
            </w:r>
          </w:p>
        </w:tc>
        <w:tc>
          <w:tcPr>
            <w:tcW w:w="626" w:type="pct"/>
            <w:shd w:val="clear" w:color="auto" w:fill="auto"/>
            <w:vAlign w:val="bottom"/>
          </w:tcPr>
          <w:p w14:paraId="0C72479A" w14:textId="77777777" w:rsidR="004D34BC" w:rsidRPr="00EB1002" w:rsidRDefault="004D34BC" w:rsidP="00957B0D">
            <w:pPr>
              <w:pStyle w:val="Tableheading"/>
              <w:jc w:val="right"/>
              <w:rPr>
                <w:szCs w:val="18"/>
              </w:rPr>
            </w:pPr>
            <w:r w:rsidRPr="00EB1002">
              <w:rPr>
                <w:rFonts w:eastAsia="Arial"/>
                <w:szCs w:val="18"/>
              </w:rPr>
              <w:t>£m</w:t>
            </w:r>
          </w:p>
        </w:tc>
        <w:tc>
          <w:tcPr>
            <w:tcW w:w="486" w:type="pct"/>
            <w:shd w:val="clear" w:color="auto" w:fill="auto"/>
            <w:vAlign w:val="bottom"/>
          </w:tcPr>
          <w:p w14:paraId="1731A856" w14:textId="77777777" w:rsidR="004D34BC" w:rsidRPr="00EB1002" w:rsidRDefault="004D34BC" w:rsidP="00957B0D">
            <w:pPr>
              <w:pStyle w:val="Tableheading"/>
              <w:jc w:val="right"/>
              <w:rPr>
                <w:szCs w:val="18"/>
              </w:rPr>
            </w:pPr>
            <w:r w:rsidRPr="00EB1002">
              <w:rPr>
                <w:rFonts w:eastAsia="Arial"/>
                <w:szCs w:val="18"/>
              </w:rPr>
              <w:t>£m</w:t>
            </w:r>
          </w:p>
        </w:tc>
        <w:tc>
          <w:tcPr>
            <w:tcW w:w="524" w:type="pct"/>
            <w:shd w:val="clear" w:color="auto" w:fill="auto"/>
            <w:vAlign w:val="bottom"/>
          </w:tcPr>
          <w:p w14:paraId="6713A717" w14:textId="77777777" w:rsidR="004D34BC" w:rsidRPr="00EB1002" w:rsidRDefault="004D34BC" w:rsidP="00957B0D">
            <w:pPr>
              <w:pStyle w:val="Tableheading"/>
              <w:jc w:val="right"/>
              <w:rPr>
                <w:szCs w:val="18"/>
              </w:rPr>
            </w:pPr>
            <w:r w:rsidRPr="00EB1002">
              <w:rPr>
                <w:rFonts w:eastAsia="Arial"/>
                <w:szCs w:val="18"/>
              </w:rPr>
              <w:t>£m</w:t>
            </w:r>
          </w:p>
        </w:tc>
        <w:tc>
          <w:tcPr>
            <w:tcW w:w="169" w:type="pct"/>
            <w:vAlign w:val="bottom"/>
          </w:tcPr>
          <w:p w14:paraId="77FE040F" w14:textId="77777777" w:rsidR="004D34BC" w:rsidRPr="00EB1002" w:rsidRDefault="004D34BC" w:rsidP="00957B0D">
            <w:pPr>
              <w:pStyle w:val="Tableheading"/>
              <w:jc w:val="right"/>
              <w:rPr>
                <w:rFonts w:eastAsia="Arial"/>
                <w:szCs w:val="18"/>
              </w:rPr>
            </w:pPr>
          </w:p>
        </w:tc>
      </w:tr>
      <w:tr w:rsidR="00B91744" w:rsidRPr="004B5232" w14:paraId="79039C1A" w14:textId="77777777" w:rsidTr="00692B9C">
        <w:trPr>
          <w:trHeight w:val="154"/>
        </w:trPr>
        <w:tc>
          <w:tcPr>
            <w:tcW w:w="2431" w:type="pct"/>
            <w:shd w:val="clear" w:color="auto" w:fill="auto"/>
          </w:tcPr>
          <w:p w14:paraId="49E5F288" w14:textId="77777777" w:rsidR="004D34BC" w:rsidRPr="004B5232" w:rsidRDefault="004D34BC">
            <w:pPr>
              <w:spacing w:after="0"/>
              <w:rPr>
                <w:rFonts w:eastAsia="Times New Roman"/>
                <w:sz w:val="12"/>
                <w:szCs w:val="12"/>
                <w:lang w:eastAsia="en-GB"/>
              </w:rPr>
            </w:pPr>
          </w:p>
        </w:tc>
        <w:tc>
          <w:tcPr>
            <w:tcW w:w="764" w:type="pct"/>
            <w:shd w:val="clear" w:color="auto" w:fill="auto"/>
          </w:tcPr>
          <w:p w14:paraId="15963967" w14:textId="77777777" w:rsidR="004D34BC" w:rsidRPr="004B5232" w:rsidRDefault="004D34BC">
            <w:pPr>
              <w:tabs>
                <w:tab w:val="decimal" w:pos="740"/>
              </w:tabs>
              <w:spacing w:after="0"/>
              <w:rPr>
                <w:rFonts w:eastAsia="Arial"/>
                <w:color w:val="000000"/>
                <w:sz w:val="12"/>
                <w:szCs w:val="12"/>
                <w:lang w:eastAsia="en-GB"/>
              </w:rPr>
            </w:pPr>
          </w:p>
        </w:tc>
        <w:tc>
          <w:tcPr>
            <w:tcW w:w="626" w:type="pct"/>
            <w:shd w:val="clear" w:color="auto" w:fill="auto"/>
          </w:tcPr>
          <w:p w14:paraId="3F24F0C5" w14:textId="77777777" w:rsidR="004D34BC" w:rsidRPr="004B5232" w:rsidRDefault="004D34BC">
            <w:pPr>
              <w:tabs>
                <w:tab w:val="decimal" w:pos="725"/>
              </w:tabs>
              <w:spacing w:after="0"/>
              <w:rPr>
                <w:rFonts w:eastAsia="Arial"/>
                <w:color w:val="000000"/>
                <w:sz w:val="12"/>
                <w:szCs w:val="12"/>
                <w:lang w:eastAsia="en-GB"/>
              </w:rPr>
            </w:pPr>
          </w:p>
        </w:tc>
        <w:tc>
          <w:tcPr>
            <w:tcW w:w="486" w:type="pct"/>
            <w:shd w:val="clear" w:color="auto" w:fill="auto"/>
          </w:tcPr>
          <w:p w14:paraId="073592EE" w14:textId="77777777" w:rsidR="004D34BC" w:rsidRPr="004B5232" w:rsidRDefault="004D34BC">
            <w:pPr>
              <w:tabs>
                <w:tab w:val="decimal" w:pos="643"/>
              </w:tabs>
              <w:spacing w:after="0"/>
              <w:rPr>
                <w:rFonts w:eastAsia="Arial"/>
                <w:color w:val="000000"/>
                <w:sz w:val="12"/>
                <w:szCs w:val="12"/>
                <w:lang w:eastAsia="en-GB"/>
              </w:rPr>
            </w:pPr>
          </w:p>
        </w:tc>
        <w:tc>
          <w:tcPr>
            <w:tcW w:w="524" w:type="pct"/>
            <w:shd w:val="clear" w:color="auto" w:fill="auto"/>
          </w:tcPr>
          <w:p w14:paraId="2D527460" w14:textId="77777777" w:rsidR="004D34BC" w:rsidRPr="004B5232" w:rsidRDefault="004D34BC">
            <w:pPr>
              <w:tabs>
                <w:tab w:val="decimal" w:pos="587"/>
              </w:tabs>
              <w:spacing w:after="0"/>
              <w:rPr>
                <w:rFonts w:eastAsia="Arial"/>
                <w:color w:val="000000"/>
                <w:sz w:val="12"/>
                <w:szCs w:val="12"/>
                <w:lang w:eastAsia="en-GB"/>
              </w:rPr>
            </w:pPr>
          </w:p>
        </w:tc>
        <w:tc>
          <w:tcPr>
            <w:tcW w:w="169" w:type="pct"/>
          </w:tcPr>
          <w:p w14:paraId="4F475E64" w14:textId="77777777" w:rsidR="004D34BC" w:rsidRPr="004B5232" w:rsidRDefault="004D34BC">
            <w:pPr>
              <w:tabs>
                <w:tab w:val="decimal" w:pos="759"/>
              </w:tabs>
              <w:spacing w:after="0"/>
              <w:rPr>
                <w:rFonts w:eastAsia="Arial"/>
                <w:color w:val="000000"/>
                <w:sz w:val="12"/>
                <w:szCs w:val="12"/>
                <w:lang w:eastAsia="en-GB"/>
              </w:rPr>
            </w:pPr>
          </w:p>
        </w:tc>
      </w:tr>
      <w:tr w:rsidR="00761CB1" w:rsidRPr="00363580" w14:paraId="4678A13C" w14:textId="77777777">
        <w:trPr>
          <w:trHeight w:val="233"/>
        </w:trPr>
        <w:tc>
          <w:tcPr>
            <w:tcW w:w="2431" w:type="pct"/>
            <w:shd w:val="clear" w:color="auto" w:fill="auto"/>
          </w:tcPr>
          <w:p w14:paraId="1A8885BD" w14:textId="6244F517" w:rsidR="00761CB1" w:rsidRPr="00577845" w:rsidRDefault="00761CB1" w:rsidP="00761CB1">
            <w:pPr>
              <w:spacing w:after="0"/>
              <w:rPr>
                <w:rFonts w:eastAsia="Times New Roman"/>
                <w:b/>
                <w:szCs w:val="18"/>
                <w:lang w:eastAsia="en-GB"/>
              </w:rPr>
            </w:pPr>
            <w:r w:rsidRPr="00577845">
              <w:rPr>
                <w:rFonts w:eastAsia="Times New Roman"/>
                <w:b/>
                <w:szCs w:val="18"/>
                <w:lang w:eastAsia="en-GB"/>
              </w:rPr>
              <w:t>Brought forward at 1 January 2023</w:t>
            </w:r>
          </w:p>
        </w:tc>
        <w:tc>
          <w:tcPr>
            <w:tcW w:w="764" w:type="pct"/>
            <w:shd w:val="clear" w:color="auto" w:fill="auto"/>
          </w:tcPr>
          <w:p w14:paraId="027F538B" w14:textId="0725F41B" w:rsidR="00761CB1" w:rsidRPr="001F4923" w:rsidRDefault="00761CB1" w:rsidP="00761CB1">
            <w:pPr>
              <w:tabs>
                <w:tab w:val="decimal" w:pos="1125"/>
              </w:tabs>
              <w:spacing w:after="0"/>
              <w:rPr>
                <w:rFonts w:eastAsia="Times New Roman"/>
                <w:b/>
                <w:szCs w:val="18"/>
                <w:highlight w:val="yellow"/>
                <w:lang w:eastAsia="en-GB"/>
              </w:rPr>
            </w:pPr>
            <w:r w:rsidRPr="006E6CE7">
              <w:rPr>
                <w:rFonts w:eastAsia="Times New Roman"/>
                <w:b/>
                <w:bCs/>
                <w:szCs w:val="18"/>
                <w:lang w:eastAsia="en-GB"/>
              </w:rPr>
              <w:t>48.</w:t>
            </w:r>
            <w:r>
              <w:rPr>
                <w:rFonts w:eastAsia="Times New Roman"/>
                <w:b/>
                <w:bCs/>
                <w:szCs w:val="18"/>
                <w:lang w:eastAsia="en-GB"/>
              </w:rPr>
              <w:t>6</w:t>
            </w:r>
          </w:p>
        </w:tc>
        <w:tc>
          <w:tcPr>
            <w:tcW w:w="626" w:type="pct"/>
            <w:shd w:val="clear" w:color="auto" w:fill="auto"/>
          </w:tcPr>
          <w:p w14:paraId="69B4B198" w14:textId="1CF01CBE" w:rsidR="00761CB1" w:rsidRPr="001F4923" w:rsidRDefault="00761CB1" w:rsidP="00577845">
            <w:pPr>
              <w:tabs>
                <w:tab w:val="decimal" w:pos="936"/>
              </w:tabs>
              <w:spacing w:after="0"/>
              <w:rPr>
                <w:rFonts w:eastAsia="Times New Roman"/>
                <w:b/>
                <w:szCs w:val="18"/>
                <w:highlight w:val="yellow"/>
                <w:lang w:eastAsia="en-GB"/>
              </w:rPr>
            </w:pPr>
            <w:r w:rsidRPr="00DE756E">
              <w:rPr>
                <w:rFonts w:eastAsia="Times New Roman"/>
                <w:b/>
                <w:bCs/>
                <w:szCs w:val="18"/>
                <w:lang w:eastAsia="en-GB"/>
              </w:rPr>
              <w:t>49.</w:t>
            </w:r>
            <w:r>
              <w:rPr>
                <w:rFonts w:eastAsia="Times New Roman"/>
                <w:b/>
                <w:bCs/>
                <w:szCs w:val="18"/>
                <w:lang w:eastAsia="en-GB"/>
              </w:rPr>
              <w:t>5</w:t>
            </w:r>
          </w:p>
        </w:tc>
        <w:tc>
          <w:tcPr>
            <w:tcW w:w="486" w:type="pct"/>
            <w:shd w:val="clear" w:color="auto" w:fill="auto"/>
          </w:tcPr>
          <w:p w14:paraId="540DF39B" w14:textId="78DA20A2" w:rsidR="00761CB1" w:rsidRPr="001F4923" w:rsidRDefault="00761CB1" w:rsidP="00577845">
            <w:pPr>
              <w:tabs>
                <w:tab w:val="decimal" w:pos="559"/>
              </w:tabs>
              <w:spacing w:after="0"/>
              <w:rPr>
                <w:rFonts w:eastAsia="Times New Roman"/>
                <w:b/>
                <w:szCs w:val="18"/>
                <w:highlight w:val="yellow"/>
                <w:lang w:eastAsia="en-GB"/>
              </w:rPr>
            </w:pPr>
            <w:r>
              <w:rPr>
                <w:rFonts w:eastAsia="Times New Roman"/>
                <w:b/>
                <w:bCs/>
                <w:szCs w:val="18"/>
                <w:lang w:eastAsia="en-GB"/>
              </w:rPr>
              <w:t>46.3</w:t>
            </w:r>
          </w:p>
        </w:tc>
        <w:tc>
          <w:tcPr>
            <w:tcW w:w="524" w:type="pct"/>
            <w:shd w:val="clear" w:color="auto" w:fill="auto"/>
          </w:tcPr>
          <w:p w14:paraId="3647548E" w14:textId="49CAFB14" w:rsidR="00761CB1" w:rsidRPr="001F4923" w:rsidRDefault="00761CB1" w:rsidP="00577845">
            <w:pPr>
              <w:tabs>
                <w:tab w:val="decimal" w:pos="637"/>
              </w:tabs>
              <w:spacing w:after="0"/>
              <w:rPr>
                <w:rFonts w:eastAsia="Times New Roman"/>
                <w:b/>
                <w:szCs w:val="18"/>
                <w:highlight w:val="yellow"/>
                <w:lang w:eastAsia="en-GB"/>
              </w:rPr>
            </w:pPr>
            <w:r w:rsidRPr="0076636F">
              <w:rPr>
                <w:rFonts w:eastAsia="Times New Roman"/>
                <w:b/>
                <w:bCs/>
                <w:szCs w:val="18"/>
                <w:lang w:eastAsia="en-GB"/>
              </w:rPr>
              <w:t>14</w:t>
            </w:r>
            <w:r>
              <w:rPr>
                <w:rFonts w:eastAsia="Times New Roman"/>
                <w:b/>
                <w:bCs/>
                <w:szCs w:val="18"/>
                <w:lang w:eastAsia="en-GB"/>
              </w:rPr>
              <w:t>4.4</w:t>
            </w:r>
          </w:p>
        </w:tc>
        <w:tc>
          <w:tcPr>
            <w:tcW w:w="169" w:type="pct"/>
          </w:tcPr>
          <w:p w14:paraId="69839DDB" w14:textId="77777777" w:rsidR="00761CB1" w:rsidRDefault="00761CB1" w:rsidP="00761CB1">
            <w:pPr>
              <w:tabs>
                <w:tab w:val="decimal" w:pos="505"/>
              </w:tabs>
              <w:spacing w:after="0"/>
              <w:rPr>
                <w:rFonts w:eastAsia="Times New Roman"/>
                <w:szCs w:val="18"/>
                <w:lang w:eastAsia="en-GB"/>
              </w:rPr>
            </w:pPr>
          </w:p>
        </w:tc>
      </w:tr>
      <w:tr w:rsidR="00761CB1" w:rsidRPr="00363580" w14:paraId="4F13821F" w14:textId="77777777" w:rsidTr="00692B9C">
        <w:trPr>
          <w:trHeight w:val="233"/>
        </w:trPr>
        <w:tc>
          <w:tcPr>
            <w:tcW w:w="2431" w:type="pct"/>
            <w:shd w:val="clear" w:color="auto" w:fill="auto"/>
          </w:tcPr>
          <w:p w14:paraId="1CCE5A2F"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New leases</w:t>
            </w:r>
          </w:p>
        </w:tc>
        <w:tc>
          <w:tcPr>
            <w:tcW w:w="764" w:type="pct"/>
            <w:shd w:val="clear" w:color="auto" w:fill="auto"/>
            <w:vAlign w:val="bottom"/>
          </w:tcPr>
          <w:p w14:paraId="33667951" w14:textId="75E2B77F" w:rsidR="00761CB1" w:rsidRPr="001F4923" w:rsidRDefault="00761CB1" w:rsidP="00761CB1">
            <w:pPr>
              <w:tabs>
                <w:tab w:val="decimal" w:pos="1125"/>
              </w:tabs>
              <w:spacing w:after="0"/>
              <w:rPr>
                <w:rFonts w:eastAsia="Times New Roman"/>
                <w:szCs w:val="18"/>
                <w:highlight w:val="yellow"/>
                <w:lang w:eastAsia="en-GB"/>
              </w:rPr>
            </w:pPr>
            <w:r w:rsidRPr="008D7DC4">
              <w:rPr>
                <w:rFonts w:eastAsia="Times New Roman"/>
                <w:szCs w:val="18"/>
                <w:lang w:eastAsia="en-GB"/>
              </w:rPr>
              <w:t>-</w:t>
            </w:r>
          </w:p>
        </w:tc>
        <w:tc>
          <w:tcPr>
            <w:tcW w:w="626" w:type="pct"/>
            <w:shd w:val="clear" w:color="auto" w:fill="auto"/>
            <w:vAlign w:val="bottom"/>
          </w:tcPr>
          <w:p w14:paraId="7D48F3C3" w14:textId="2F17FD38"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w:t>
            </w:r>
          </w:p>
        </w:tc>
        <w:tc>
          <w:tcPr>
            <w:tcW w:w="486" w:type="pct"/>
            <w:shd w:val="clear" w:color="auto" w:fill="auto"/>
            <w:vAlign w:val="bottom"/>
          </w:tcPr>
          <w:p w14:paraId="72BC69C9" w14:textId="06FADD29" w:rsidR="00761CB1" w:rsidRPr="001F4923" w:rsidRDefault="00761CB1" w:rsidP="00577845">
            <w:pPr>
              <w:tabs>
                <w:tab w:val="decimal" w:pos="559"/>
              </w:tabs>
              <w:spacing w:after="0"/>
              <w:rPr>
                <w:rFonts w:eastAsia="Times New Roman"/>
                <w:szCs w:val="18"/>
                <w:highlight w:val="yellow"/>
                <w:lang w:eastAsia="en-GB"/>
              </w:rPr>
            </w:pPr>
            <w:r w:rsidRPr="00F2620E">
              <w:rPr>
                <w:rFonts w:eastAsia="Times New Roman"/>
                <w:szCs w:val="18"/>
                <w:lang w:eastAsia="en-GB"/>
              </w:rPr>
              <w:t>0.3</w:t>
            </w:r>
          </w:p>
        </w:tc>
        <w:tc>
          <w:tcPr>
            <w:tcW w:w="524" w:type="pct"/>
            <w:shd w:val="clear" w:color="auto" w:fill="auto"/>
            <w:vAlign w:val="bottom"/>
          </w:tcPr>
          <w:p w14:paraId="41333E3A" w14:textId="522C53C6" w:rsidR="00761CB1" w:rsidRPr="001F4923" w:rsidRDefault="00761CB1" w:rsidP="00577845">
            <w:pPr>
              <w:tabs>
                <w:tab w:val="decimal" w:pos="637"/>
              </w:tabs>
              <w:spacing w:after="0"/>
              <w:rPr>
                <w:rFonts w:eastAsia="Times New Roman"/>
                <w:szCs w:val="18"/>
                <w:highlight w:val="yellow"/>
                <w:lang w:eastAsia="en-GB"/>
              </w:rPr>
            </w:pPr>
            <w:r w:rsidRPr="00F2620E">
              <w:rPr>
                <w:rFonts w:eastAsia="Times New Roman"/>
                <w:szCs w:val="18"/>
                <w:lang w:eastAsia="en-GB"/>
              </w:rPr>
              <w:t>0.3</w:t>
            </w:r>
          </w:p>
        </w:tc>
        <w:tc>
          <w:tcPr>
            <w:tcW w:w="169" w:type="pct"/>
          </w:tcPr>
          <w:p w14:paraId="65E71ACC" w14:textId="77777777" w:rsidR="00761CB1" w:rsidRPr="00363580" w:rsidRDefault="00761CB1" w:rsidP="00761CB1">
            <w:pPr>
              <w:tabs>
                <w:tab w:val="decimal" w:pos="505"/>
              </w:tabs>
              <w:spacing w:after="0"/>
              <w:rPr>
                <w:rFonts w:eastAsia="Times New Roman"/>
                <w:szCs w:val="18"/>
                <w:lang w:eastAsia="en-GB"/>
              </w:rPr>
            </w:pPr>
          </w:p>
        </w:tc>
      </w:tr>
      <w:tr w:rsidR="00761CB1" w:rsidRPr="00363580" w14:paraId="52CC762C" w14:textId="77777777" w:rsidTr="00692B9C">
        <w:trPr>
          <w:trHeight w:val="233"/>
        </w:trPr>
        <w:tc>
          <w:tcPr>
            <w:tcW w:w="2431" w:type="pct"/>
            <w:shd w:val="clear" w:color="auto" w:fill="auto"/>
          </w:tcPr>
          <w:p w14:paraId="3A73CD7B"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Changes from financing cash flows</w:t>
            </w:r>
          </w:p>
        </w:tc>
        <w:tc>
          <w:tcPr>
            <w:tcW w:w="764" w:type="pct"/>
            <w:shd w:val="clear" w:color="auto" w:fill="auto"/>
            <w:vAlign w:val="bottom"/>
          </w:tcPr>
          <w:p w14:paraId="079EC8F2" w14:textId="7790CF27" w:rsidR="00761CB1" w:rsidRPr="001F4923" w:rsidRDefault="00761CB1" w:rsidP="00761CB1">
            <w:pPr>
              <w:tabs>
                <w:tab w:val="decimal" w:pos="1125"/>
              </w:tabs>
              <w:spacing w:after="0"/>
              <w:ind w:right="-251"/>
              <w:rPr>
                <w:rFonts w:eastAsia="Times New Roman"/>
                <w:szCs w:val="18"/>
                <w:highlight w:val="yellow"/>
                <w:lang w:eastAsia="en-GB"/>
              </w:rPr>
            </w:pPr>
            <w:r>
              <w:rPr>
                <w:rFonts w:eastAsia="Times New Roman"/>
                <w:szCs w:val="18"/>
                <w:lang w:eastAsia="en-GB"/>
              </w:rPr>
              <w:t xml:space="preserve">    </w:t>
            </w:r>
            <w:r w:rsidRPr="00F2620E">
              <w:rPr>
                <w:rFonts w:eastAsia="Times New Roman"/>
                <w:szCs w:val="18"/>
                <w:lang w:eastAsia="en-GB"/>
              </w:rPr>
              <w:t>(0.1)</w:t>
            </w:r>
            <w:r w:rsidRPr="00F2620E">
              <w:rPr>
                <w:rFonts w:eastAsia="Times New Roman"/>
                <w:szCs w:val="18"/>
                <w:vertAlign w:val="superscript"/>
                <w:lang w:eastAsia="en-GB"/>
              </w:rPr>
              <w:t>2</w:t>
            </w:r>
          </w:p>
        </w:tc>
        <w:tc>
          <w:tcPr>
            <w:tcW w:w="626" w:type="pct"/>
            <w:shd w:val="clear" w:color="auto" w:fill="auto"/>
            <w:vAlign w:val="bottom"/>
          </w:tcPr>
          <w:p w14:paraId="718F968C" w14:textId="77A2EC04"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w:t>
            </w:r>
          </w:p>
        </w:tc>
        <w:tc>
          <w:tcPr>
            <w:tcW w:w="486" w:type="pct"/>
            <w:shd w:val="clear" w:color="auto" w:fill="auto"/>
            <w:vAlign w:val="bottom"/>
          </w:tcPr>
          <w:p w14:paraId="2C8F6043" w14:textId="3F137E6E" w:rsidR="00761CB1" w:rsidRPr="001F4923" w:rsidRDefault="00761CB1" w:rsidP="00577845">
            <w:pPr>
              <w:tabs>
                <w:tab w:val="decimal" w:pos="559"/>
              </w:tabs>
              <w:spacing w:after="0"/>
              <w:ind w:right="-47"/>
              <w:rPr>
                <w:rFonts w:eastAsia="Times New Roman"/>
                <w:szCs w:val="18"/>
                <w:highlight w:val="yellow"/>
                <w:lang w:eastAsia="en-GB"/>
              </w:rPr>
            </w:pPr>
            <w:r w:rsidRPr="00F2620E">
              <w:rPr>
                <w:rFonts w:eastAsia="Times New Roman"/>
                <w:szCs w:val="18"/>
                <w:lang w:eastAsia="en-GB"/>
              </w:rPr>
              <w:t>(3.0)</w:t>
            </w:r>
          </w:p>
        </w:tc>
        <w:tc>
          <w:tcPr>
            <w:tcW w:w="524" w:type="pct"/>
            <w:shd w:val="clear" w:color="auto" w:fill="auto"/>
            <w:vAlign w:val="bottom"/>
          </w:tcPr>
          <w:p w14:paraId="136CB74B" w14:textId="3556B86F" w:rsidR="00761CB1" w:rsidRPr="009329C1" w:rsidRDefault="00761CB1" w:rsidP="00577845">
            <w:pPr>
              <w:tabs>
                <w:tab w:val="decimal" w:pos="637"/>
              </w:tabs>
              <w:spacing w:after="0"/>
              <w:ind w:right="-47"/>
              <w:rPr>
                <w:rFonts w:eastAsia="Times New Roman"/>
                <w:lang w:eastAsia="en-GB"/>
              </w:rPr>
            </w:pPr>
            <w:r w:rsidRPr="75017F63">
              <w:rPr>
                <w:rFonts w:eastAsia="Times New Roman"/>
                <w:lang w:eastAsia="en-GB"/>
              </w:rPr>
              <w:t>(3.1)</w:t>
            </w:r>
          </w:p>
        </w:tc>
        <w:tc>
          <w:tcPr>
            <w:tcW w:w="169" w:type="pct"/>
          </w:tcPr>
          <w:p w14:paraId="4CC080A0" w14:textId="77777777" w:rsidR="00761CB1" w:rsidRDefault="00761CB1" w:rsidP="00761CB1">
            <w:pPr>
              <w:tabs>
                <w:tab w:val="decimal" w:pos="505"/>
              </w:tabs>
              <w:spacing w:after="0"/>
              <w:rPr>
                <w:rFonts w:eastAsia="Times New Roman"/>
                <w:szCs w:val="18"/>
                <w:lang w:eastAsia="en-GB"/>
              </w:rPr>
            </w:pPr>
          </w:p>
        </w:tc>
      </w:tr>
      <w:tr w:rsidR="00761CB1" w:rsidRPr="00363580" w14:paraId="1218A5EE" w14:textId="77777777" w:rsidTr="00197B0D">
        <w:trPr>
          <w:trHeight w:val="226"/>
        </w:trPr>
        <w:tc>
          <w:tcPr>
            <w:tcW w:w="2431" w:type="pct"/>
            <w:shd w:val="clear" w:color="auto" w:fill="auto"/>
          </w:tcPr>
          <w:p w14:paraId="08DE4869"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Changes arising from obtaining or losing control of consolidated funds</w:t>
            </w:r>
          </w:p>
        </w:tc>
        <w:tc>
          <w:tcPr>
            <w:tcW w:w="764" w:type="pct"/>
            <w:shd w:val="clear" w:color="auto" w:fill="auto"/>
          </w:tcPr>
          <w:p w14:paraId="528C9020" w14:textId="524A303E" w:rsidR="00761CB1" w:rsidRPr="001F4923" w:rsidRDefault="00761CB1" w:rsidP="00761CB1">
            <w:pPr>
              <w:tabs>
                <w:tab w:val="decimal" w:pos="1125"/>
              </w:tabs>
              <w:spacing w:after="0"/>
              <w:rPr>
                <w:rFonts w:eastAsia="Times New Roman"/>
                <w:szCs w:val="18"/>
                <w:highlight w:val="yellow"/>
                <w:lang w:eastAsia="en-GB"/>
              </w:rPr>
            </w:pPr>
            <w:r w:rsidRPr="00F2620E">
              <w:rPr>
                <w:rFonts w:eastAsia="Times New Roman"/>
                <w:szCs w:val="18"/>
                <w:lang w:eastAsia="en-GB"/>
              </w:rPr>
              <w:t>(0.4)</w:t>
            </w:r>
          </w:p>
        </w:tc>
        <w:tc>
          <w:tcPr>
            <w:tcW w:w="626" w:type="pct"/>
            <w:shd w:val="clear" w:color="auto" w:fill="auto"/>
          </w:tcPr>
          <w:p w14:paraId="75820D5D" w14:textId="70E4FAA6"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w:t>
            </w:r>
          </w:p>
        </w:tc>
        <w:tc>
          <w:tcPr>
            <w:tcW w:w="486" w:type="pct"/>
            <w:shd w:val="clear" w:color="auto" w:fill="auto"/>
          </w:tcPr>
          <w:p w14:paraId="19479EA6" w14:textId="4A38939C" w:rsidR="00761CB1" w:rsidRPr="001F4923" w:rsidRDefault="00761CB1" w:rsidP="00577845">
            <w:pPr>
              <w:tabs>
                <w:tab w:val="decimal" w:pos="559"/>
              </w:tabs>
              <w:spacing w:after="0"/>
              <w:rPr>
                <w:rFonts w:eastAsia="Times New Roman"/>
                <w:szCs w:val="18"/>
                <w:highlight w:val="yellow"/>
                <w:lang w:eastAsia="en-GB"/>
              </w:rPr>
            </w:pPr>
            <w:r w:rsidRPr="00891467">
              <w:rPr>
                <w:rFonts w:eastAsia="Times New Roman"/>
                <w:szCs w:val="18"/>
                <w:lang w:eastAsia="en-GB"/>
              </w:rPr>
              <w:t>-</w:t>
            </w:r>
          </w:p>
        </w:tc>
        <w:tc>
          <w:tcPr>
            <w:tcW w:w="524" w:type="pct"/>
            <w:shd w:val="clear" w:color="auto" w:fill="auto"/>
            <w:vAlign w:val="bottom"/>
          </w:tcPr>
          <w:p w14:paraId="6B9E1580" w14:textId="10F48376" w:rsidR="00761CB1" w:rsidRPr="009329C1" w:rsidRDefault="00761CB1" w:rsidP="00577845">
            <w:pPr>
              <w:tabs>
                <w:tab w:val="decimal" w:pos="637"/>
              </w:tabs>
              <w:spacing w:after="0"/>
              <w:ind w:right="-47"/>
              <w:rPr>
                <w:rFonts w:eastAsia="Times New Roman"/>
                <w:szCs w:val="18"/>
                <w:lang w:eastAsia="en-GB"/>
              </w:rPr>
            </w:pPr>
            <w:r w:rsidRPr="00F2620E">
              <w:rPr>
                <w:rFonts w:eastAsia="Times New Roman"/>
                <w:szCs w:val="18"/>
                <w:lang w:eastAsia="en-GB"/>
              </w:rPr>
              <w:t>(0.4)</w:t>
            </w:r>
          </w:p>
        </w:tc>
        <w:tc>
          <w:tcPr>
            <w:tcW w:w="169" w:type="pct"/>
          </w:tcPr>
          <w:p w14:paraId="2AABCF7B" w14:textId="77777777" w:rsidR="00761CB1" w:rsidRDefault="00761CB1" w:rsidP="00761CB1">
            <w:pPr>
              <w:tabs>
                <w:tab w:val="decimal" w:pos="505"/>
              </w:tabs>
              <w:spacing w:after="0"/>
              <w:rPr>
                <w:rFonts w:eastAsia="Times New Roman"/>
                <w:szCs w:val="18"/>
                <w:lang w:eastAsia="en-GB"/>
              </w:rPr>
            </w:pPr>
          </w:p>
        </w:tc>
      </w:tr>
      <w:tr w:rsidR="00761CB1" w:rsidRPr="00363580" w14:paraId="55C98548" w14:textId="77777777" w:rsidTr="00692B9C">
        <w:trPr>
          <w:trHeight w:val="233"/>
        </w:trPr>
        <w:tc>
          <w:tcPr>
            <w:tcW w:w="2431" w:type="pct"/>
            <w:shd w:val="clear" w:color="auto" w:fill="auto"/>
          </w:tcPr>
          <w:p w14:paraId="56A2505C"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Changes in fair value</w:t>
            </w:r>
          </w:p>
        </w:tc>
        <w:tc>
          <w:tcPr>
            <w:tcW w:w="764" w:type="pct"/>
            <w:shd w:val="clear" w:color="auto" w:fill="auto"/>
            <w:vAlign w:val="bottom"/>
          </w:tcPr>
          <w:p w14:paraId="2BF1BC67" w14:textId="0B6C9F1B" w:rsidR="00761CB1" w:rsidRPr="001F4923" w:rsidRDefault="00761CB1" w:rsidP="00761CB1">
            <w:pPr>
              <w:tabs>
                <w:tab w:val="decimal" w:pos="1125"/>
              </w:tabs>
              <w:spacing w:after="0"/>
              <w:rPr>
                <w:rFonts w:eastAsia="Times New Roman"/>
                <w:szCs w:val="18"/>
                <w:highlight w:val="yellow"/>
                <w:lang w:eastAsia="en-GB"/>
              </w:rPr>
            </w:pPr>
            <w:r w:rsidRPr="00F2620E">
              <w:rPr>
                <w:rFonts w:eastAsia="Times New Roman"/>
                <w:szCs w:val="18"/>
                <w:lang w:eastAsia="en-GB"/>
              </w:rPr>
              <w:t>0.4</w:t>
            </w:r>
          </w:p>
        </w:tc>
        <w:tc>
          <w:tcPr>
            <w:tcW w:w="626" w:type="pct"/>
            <w:shd w:val="clear" w:color="auto" w:fill="auto"/>
            <w:vAlign w:val="bottom"/>
          </w:tcPr>
          <w:p w14:paraId="73D5933B" w14:textId="39B6DF39"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w:t>
            </w:r>
          </w:p>
        </w:tc>
        <w:tc>
          <w:tcPr>
            <w:tcW w:w="486" w:type="pct"/>
            <w:shd w:val="clear" w:color="auto" w:fill="auto"/>
            <w:vAlign w:val="bottom"/>
          </w:tcPr>
          <w:p w14:paraId="637E3A23" w14:textId="5289FC72" w:rsidR="00761CB1" w:rsidRPr="001F4923" w:rsidRDefault="00761CB1" w:rsidP="00577845">
            <w:pPr>
              <w:tabs>
                <w:tab w:val="decimal" w:pos="559"/>
              </w:tabs>
              <w:spacing w:after="0"/>
              <w:rPr>
                <w:rFonts w:eastAsia="Times New Roman"/>
                <w:szCs w:val="18"/>
                <w:highlight w:val="yellow"/>
                <w:lang w:eastAsia="en-GB"/>
              </w:rPr>
            </w:pPr>
            <w:r w:rsidRPr="00891467">
              <w:rPr>
                <w:rFonts w:eastAsia="Times New Roman"/>
                <w:szCs w:val="18"/>
                <w:lang w:eastAsia="en-GB"/>
              </w:rPr>
              <w:t>-</w:t>
            </w:r>
          </w:p>
        </w:tc>
        <w:tc>
          <w:tcPr>
            <w:tcW w:w="524" w:type="pct"/>
            <w:shd w:val="clear" w:color="auto" w:fill="auto"/>
            <w:vAlign w:val="bottom"/>
          </w:tcPr>
          <w:p w14:paraId="7C894CB8" w14:textId="183AB9A2" w:rsidR="00761CB1" w:rsidRPr="009329C1" w:rsidRDefault="00761CB1" w:rsidP="00577845">
            <w:pPr>
              <w:tabs>
                <w:tab w:val="decimal" w:pos="637"/>
              </w:tabs>
              <w:spacing w:after="0"/>
              <w:rPr>
                <w:rFonts w:eastAsia="Times New Roman"/>
                <w:szCs w:val="18"/>
                <w:lang w:eastAsia="en-GB"/>
              </w:rPr>
            </w:pPr>
            <w:r w:rsidRPr="00F2620E">
              <w:rPr>
                <w:rFonts w:eastAsia="Times New Roman"/>
                <w:szCs w:val="18"/>
                <w:lang w:eastAsia="en-GB"/>
              </w:rPr>
              <w:t>0.4</w:t>
            </w:r>
          </w:p>
        </w:tc>
        <w:tc>
          <w:tcPr>
            <w:tcW w:w="169" w:type="pct"/>
          </w:tcPr>
          <w:p w14:paraId="3A512049" w14:textId="77777777" w:rsidR="00761CB1" w:rsidRDefault="00761CB1" w:rsidP="00761CB1">
            <w:pPr>
              <w:tabs>
                <w:tab w:val="decimal" w:pos="505"/>
              </w:tabs>
              <w:spacing w:after="0"/>
              <w:rPr>
                <w:rFonts w:eastAsia="Times New Roman"/>
                <w:szCs w:val="18"/>
                <w:lang w:eastAsia="en-GB"/>
              </w:rPr>
            </w:pPr>
          </w:p>
        </w:tc>
      </w:tr>
      <w:tr w:rsidR="00761CB1" w:rsidRPr="00363580" w14:paraId="55DD7626" w14:textId="77777777" w:rsidTr="00692B9C">
        <w:trPr>
          <w:trHeight w:val="233"/>
        </w:trPr>
        <w:tc>
          <w:tcPr>
            <w:tcW w:w="2431" w:type="pct"/>
            <w:shd w:val="clear" w:color="auto" w:fill="auto"/>
          </w:tcPr>
          <w:p w14:paraId="2F0B07CE"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Interest expense</w:t>
            </w:r>
          </w:p>
        </w:tc>
        <w:tc>
          <w:tcPr>
            <w:tcW w:w="764" w:type="pct"/>
            <w:shd w:val="clear" w:color="auto" w:fill="auto"/>
            <w:vAlign w:val="bottom"/>
          </w:tcPr>
          <w:p w14:paraId="55372BD9" w14:textId="5D06B32B" w:rsidR="00761CB1" w:rsidRPr="001F4923" w:rsidRDefault="00761CB1" w:rsidP="00761CB1">
            <w:pPr>
              <w:tabs>
                <w:tab w:val="decimal" w:pos="1125"/>
              </w:tabs>
              <w:spacing w:after="0"/>
              <w:rPr>
                <w:rFonts w:eastAsia="Times New Roman"/>
                <w:szCs w:val="18"/>
                <w:highlight w:val="yellow"/>
                <w:lang w:eastAsia="en-GB"/>
              </w:rPr>
            </w:pPr>
            <w:r w:rsidRPr="008D7DC4">
              <w:rPr>
                <w:rFonts w:eastAsia="Times New Roman"/>
                <w:szCs w:val="18"/>
                <w:lang w:eastAsia="en-GB"/>
              </w:rPr>
              <w:t>-</w:t>
            </w:r>
          </w:p>
        </w:tc>
        <w:tc>
          <w:tcPr>
            <w:tcW w:w="626" w:type="pct"/>
            <w:shd w:val="clear" w:color="auto" w:fill="auto"/>
            <w:vAlign w:val="bottom"/>
          </w:tcPr>
          <w:p w14:paraId="4099FEA5" w14:textId="598F34D0"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0.1</w:t>
            </w:r>
          </w:p>
        </w:tc>
        <w:tc>
          <w:tcPr>
            <w:tcW w:w="486" w:type="pct"/>
            <w:shd w:val="clear" w:color="auto" w:fill="auto"/>
            <w:vAlign w:val="bottom"/>
          </w:tcPr>
          <w:p w14:paraId="6ECADF79" w14:textId="5955A9F8" w:rsidR="00761CB1" w:rsidRPr="001F4923" w:rsidRDefault="00761CB1" w:rsidP="00577845">
            <w:pPr>
              <w:tabs>
                <w:tab w:val="decimal" w:pos="559"/>
              </w:tabs>
              <w:spacing w:after="0"/>
              <w:rPr>
                <w:rFonts w:eastAsia="Times New Roman"/>
                <w:szCs w:val="18"/>
                <w:highlight w:val="yellow"/>
                <w:lang w:eastAsia="en-GB"/>
              </w:rPr>
            </w:pPr>
            <w:r w:rsidRPr="00891467">
              <w:rPr>
                <w:rFonts w:eastAsia="Times New Roman"/>
                <w:szCs w:val="18"/>
                <w:lang w:eastAsia="en-GB"/>
              </w:rPr>
              <w:t>0.7</w:t>
            </w:r>
          </w:p>
        </w:tc>
        <w:tc>
          <w:tcPr>
            <w:tcW w:w="524" w:type="pct"/>
            <w:shd w:val="clear" w:color="auto" w:fill="auto"/>
            <w:vAlign w:val="bottom"/>
          </w:tcPr>
          <w:p w14:paraId="77EC157F" w14:textId="630ADC87" w:rsidR="00761CB1" w:rsidRPr="009329C1" w:rsidRDefault="00761CB1" w:rsidP="00577845">
            <w:pPr>
              <w:tabs>
                <w:tab w:val="decimal" w:pos="637"/>
              </w:tabs>
              <w:spacing w:after="0"/>
              <w:rPr>
                <w:rFonts w:eastAsia="Times New Roman"/>
                <w:szCs w:val="18"/>
                <w:lang w:eastAsia="en-GB"/>
              </w:rPr>
            </w:pPr>
            <w:r w:rsidRPr="005E3AE9">
              <w:rPr>
                <w:rFonts w:eastAsia="Times New Roman"/>
                <w:szCs w:val="18"/>
                <w:lang w:eastAsia="en-GB"/>
              </w:rPr>
              <w:t>0.8</w:t>
            </w:r>
          </w:p>
        </w:tc>
        <w:tc>
          <w:tcPr>
            <w:tcW w:w="169" w:type="pct"/>
          </w:tcPr>
          <w:p w14:paraId="3701A2BF" w14:textId="77777777" w:rsidR="00761CB1" w:rsidRDefault="00761CB1" w:rsidP="00761CB1">
            <w:pPr>
              <w:tabs>
                <w:tab w:val="decimal" w:pos="505"/>
              </w:tabs>
              <w:spacing w:after="0"/>
              <w:rPr>
                <w:rFonts w:eastAsia="Times New Roman"/>
                <w:szCs w:val="18"/>
                <w:lang w:eastAsia="en-GB"/>
              </w:rPr>
            </w:pPr>
          </w:p>
        </w:tc>
      </w:tr>
      <w:tr w:rsidR="00761CB1" w:rsidRPr="00363580" w14:paraId="5B49EDE4" w14:textId="77777777" w:rsidTr="00692B9C">
        <w:trPr>
          <w:trHeight w:val="233"/>
        </w:trPr>
        <w:tc>
          <w:tcPr>
            <w:tcW w:w="2431" w:type="pct"/>
            <w:shd w:val="clear" w:color="auto" w:fill="auto"/>
          </w:tcPr>
          <w:p w14:paraId="2C0A7722" w14:textId="77777777" w:rsidR="00761CB1" w:rsidRPr="00577845" w:rsidRDefault="00761CB1" w:rsidP="00761CB1">
            <w:pPr>
              <w:spacing w:after="0"/>
              <w:rPr>
                <w:rFonts w:eastAsia="Times New Roman"/>
                <w:szCs w:val="18"/>
                <w:lang w:eastAsia="en-GB"/>
              </w:rPr>
            </w:pPr>
            <w:r w:rsidRPr="00577845">
              <w:rPr>
                <w:rFonts w:eastAsia="Times New Roman"/>
                <w:szCs w:val="18"/>
                <w:lang w:eastAsia="en-GB"/>
              </w:rPr>
              <w:t>Lease reassignment and modifications</w:t>
            </w:r>
          </w:p>
        </w:tc>
        <w:tc>
          <w:tcPr>
            <w:tcW w:w="764" w:type="pct"/>
            <w:tcBorders>
              <w:bottom w:val="single" w:sz="4" w:space="0" w:color="auto"/>
            </w:tcBorders>
            <w:shd w:val="clear" w:color="auto" w:fill="auto"/>
            <w:vAlign w:val="bottom"/>
          </w:tcPr>
          <w:p w14:paraId="28891956" w14:textId="4D56D62B" w:rsidR="00761CB1" w:rsidRPr="001F4923" w:rsidRDefault="00761CB1" w:rsidP="00761CB1">
            <w:pPr>
              <w:tabs>
                <w:tab w:val="decimal" w:pos="1125"/>
              </w:tabs>
              <w:spacing w:after="0"/>
              <w:rPr>
                <w:rFonts w:eastAsia="Times New Roman"/>
                <w:szCs w:val="18"/>
                <w:highlight w:val="yellow"/>
                <w:lang w:eastAsia="en-GB"/>
              </w:rPr>
            </w:pPr>
            <w:r w:rsidRPr="008D7DC4">
              <w:rPr>
                <w:rFonts w:eastAsia="Times New Roman"/>
                <w:szCs w:val="18"/>
                <w:lang w:eastAsia="en-GB"/>
              </w:rPr>
              <w:t>-</w:t>
            </w:r>
          </w:p>
        </w:tc>
        <w:tc>
          <w:tcPr>
            <w:tcW w:w="626" w:type="pct"/>
            <w:tcBorders>
              <w:bottom w:val="single" w:sz="4" w:space="0" w:color="auto"/>
            </w:tcBorders>
            <w:shd w:val="clear" w:color="auto" w:fill="auto"/>
            <w:vAlign w:val="bottom"/>
          </w:tcPr>
          <w:p w14:paraId="2E9DC4BF" w14:textId="4BD0D829" w:rsidR="00761CB1" w:rsidRPr="001F4923" w:rsidRDefault="00761CB1" w:rsidP="00577845">
            <w:pPr>
              <w:tabs>
                <w:tab w:val="decimal" w:pos="936"/>
              </w:tabs>
              <w:spacing w:after="0"/>
              <w:rPr>
                <w:rFonts w:eastAsia="Times New Roman"/>
                <w:szCs w:val="18"/>
                <w:highlight w:val="yellow"/>
                <w:lang w:eastAsia="en-GB"/>
              </w:rPr>
            </w:pPr>
            <w:r w:rsidRPr="00DE756E">
              <w:rPr>
                <w:rFonts w:eastAsia="Times New Roman"/>
                <w:szCs w:val="18"/>
                <w:lang w:eastAsia="en-GB"/>
              </w:rPr>
              <w:t>-</w:t>
            </w:r>
          </w:p>
        </w:tc>
        <w:tc>
          <w:tcPr>
            <w:tcW w:w="486" w:type="pct"/>
            <w:tcBorders>
              <w:bottom w:val="single" w:sz="4" w:space="0" w:color="auto"/>
            </w:tcBorders>
            <w:shd w:val="clear" w:color="auto" w:fill="auto"/>
            <w:vAlign w:val="bottom"/>
          </w:tcPr>
          <w:p w14:paraId="75919851" w14:textId="23D57DB5" w:rsidR="00761CB1" w:rsidRPr="009329C1" w:rsidRDefault="00761CB1" w:rsidP="00577845">
            <w:pPr>
              <w:tabs>
                <w:tab w:val="decimal" w:pos="559"/>
              </w:tabs>
              <w:spacing w:after="0"/>
              <w:rPr>
                <w:rFonts w:eastAsia="Times New Roman"/>
                <w:szCs w:val="18"/>
                <w:lang w:eastAsia="en-GB"/>
              </w:rPr>
            </w:pPr>
            <w:r w:rsidRPr="00F2620E">
              <w:rPr>
                <w:rFonts w:eastAsia="Times New Roman"/>
                <w:szCs w:val="18"/>
                <w:lang w:eastAsia="en-GB"/>
              </w:rPr>
              <w:t>0.6</w:t>
            </w:r>
          </w:p>
        </w:tc>
        <w:tc>
          <w:tcPr>
            <w:tcW w:w="524" w:type="pct"/>
            <w:tcBorders>
              <w:bottom w:val="single" w:sz="4" w:space="0" w:color="auto"/>
            </w:tcBorders>
            <w:shd w:val="clear" w:color="auto" w:fill="auto"/>
            <w:vAlign w:val="bottom"/>
          </w:tcPr>
          <w:p w14:paraId="6D8D5FD2" w14:textId="69ACBCB8" w:rsidR="00761CB1" w:rsidRPr="009329C1" w:rsidRDefault="00761CB1" w:rsidP="00577845">
            <w:pPr>
              <w:tabs>
                <w:tab w:val="decimal" w:pos="637"/>
              </w:tabs>
              <w:spacing w:after="0"/>
              <w:rPr>
                <w:rFonts w:eastAsia="Times New Roman"/>
                <w:szCs w:val="18"/>
                <w:lang w:eastAsia="en-GB"/>
              </w:rPr>
            </w:pPr>
            <w:r w:rsidRPr="00F2620E">
              <w:rPr>
                <w:rFonts w:eastAsia="Times New Roman"/>
                <w:szCs w:val="18"/>
                <w:lang w:eastAsia="en-GB"/>
              </w:rPr>
              <w:t>0.6</w:t>
            </w:r>
          </w:p>
        </w:tc>
        <w:tc>
          <w:tcPr>
            <w:tcW w:w="169" w:type="pct"/>
          </w:tcPr>
          <w:p w14:paraId="63A1F9FE" w14:textId="77777777" w:rsidR="00761CB1" w:rsidRDefault="00761CB1" w:rsidP="00761CB1">
            <w:pPr>
              <w:tabs>
                <w:tab w:val="decimal" w:pos="505"/>
              </w:tabs>
              <w:spacing w:after="0"/>
              <w:rPr>
                <w:rFonts w:eastAsia="Times New Roman"/>
                <w:szCs w:val="18"/>
                <w:lang w:eastAsia="en-GB"/>
              </w:rPr>
            </w:pPr>
          </w:p>
        </w:tc>
      </w:tr>
      <w:tr w:rsidR="00761CB1" w:rsidRPr="0039032A" w14:paraId="0CC5DF74" w14:textId="77777777" w:rsidTr="0087019C">
        <w:trPr>
          <w:trHeight w:val="410"/>
        </w:trPr>
        <w:tc>
          <w:tcPr>
            <w:tcW w:w="2431" w:type="pct"/>
            <w:shd w:val="clear" w:color="auto" w:fill="auto"/>
          </w:tcPr>
          <w:p w14:paraId="3E38375E" w14:textId="377866E6" w:rsidR="00761CB1" w:rsidRPr="00577845" w:rsidRDefault="00761CB1" w:rsidP="00761CB1">
            <w:pPr>
              <w:spacing w:after="0"/>
              <w:rPr>
                <w:rFonts w:eastAsia="Times New Roman"/>
                <w:b/>
                <w:bCs/>
                <w:szCs w:val="18"/>
                <w:lang w:eastAsia="en-GB"/>
              </w:rPr>
            </w:pPr>
            <w:r w:rsidRPr="00577845">
              <w:rPr>
                <w:rFonts w:eastAsia="Times New Roman"/>
                <w:b/>
                <w:bCs/>
                <w:szCs w:val="18"/>
                <w:lang w:eastAsia="en-GB"/>
              </w:rPr>
              <w:t xml:space="preserve">Liabilities arising from financing activities carried forward at 30 June 2023 </w:t>
            </w:r>
          </w:p>
        </w:tc>
        <w:tc>
          <w:tcPr>
            <w:tcW w:w="764" w:type="pct"/>
            <w:tcBorders>
              <w:top w:val="single" w:sz="4" w:space="0" w:color="auto"/>
              <w:bottom w:val="double" w:sz="4" w:space="0" w:color="auto"/>
            </w:tcBorders>
            <w:shd w:val="clear" w:color="auto" w:fill="auto"/>
            <w:vAlign w:val="bottom"/>
          </w:tcPr>
          <w:p w14:paraId="0DB0EE70" w14:textId="3D2A1929" w:rsidR="00761CB1" w:rsidRPr="001F4923" w:rsidRDefault="00761CB1" w:rsidP="0087019C">
            <w:pPr>
              <w:tabs>
                <w:tab w:val="decimal" w:pos="1125"/>
              </w:tabs>
              <w:spacing w:after="0"/>
              <w:jc w:val="right"/>
              <w:rPr>
                <w:rFonts w:eastAsia="Times New Roman"/>
                <w:b/>
                <w:bCs/>
                <w:szCs w:val="18"/>
                <w:highlight w:val="yellow"/>
                <w:lang w:eastAsia="en-GB"/>
              </w:rPr>
            </w:pPr>
            <w:r w:rsidRPr="006E6CE7">
              <w:rPr>
                <w:rFonts w:eastAsia="Times New Roman"/>
                <w:b/>
                <w:bCs/>
                <w:szCs w:val="18"/>
                <w:lang w:eastAsia="en-GB"/>
              </w:rPr>
              <w:t>48.5</w:t>
            </w:r>
          </w:p>
        </w:tc>
        <w:tc>
          <w:tcPr>
            <w:tcW w:w="626" w:type="pct"/>
            <w:tcBorders>
              <w:top w:val="single" w:sz="4" w:space="0" w:color="auto"/>
              <w:bottom w:val="double" w:sz="4" w:space="0" w:color="auto"/>
            </w:tcBorders>
            <w:shd w:val="clear" w:color="auto" w:fill="auto"/>
            <w:vAlign w:val="bottom"/>
          </w:tcPr>
          <w:p w14:paraId="57B7F7A2" w14:textId="0206FED7" w:rsidR="00761CB1" w:rsidRPr="001F4923" w:rsidRDefault="00761CB1" w:rsidP="00577845">
            <w:pPr>
              <w:tabs>
                <w:tab w:val="decimal" w:pos="936"/>
              </w:tabs>
              <w:spacing w:after="0"/>
              <w:rPr>
                <w:rFonts w:eastAsia="Times New Roman"/>
                <w:b/>
                <w:bCs/>
                <w:szCs w:val="18"/>
                <w:highlight w:val="yellow"/>
                <w:lang w:eastAsia="en-GB"/>
              </w:rPr>
            </w:pPr>
            <w:r w:rsidRPr="00DE756E">
              <w:rPr>
                <w:rFonts w:eastAsia="Times New Roman"/>
                <w:b/>
                <w:bCs/>
                <w:szCs w:val="18"/>
                <w:lang w:eastAsia="en-GB"/>
              </w:rPr>
              <w:t>49.6</w:t>
            </w:r>
          </w:p>
        </w:tc>
        <w:tc>
          <w:tcPr>
            <w:tcW w:w="486" w:type="pct"/>
            <w:tcBorders>
              <w:top w:val="single" w:sz="4" w:space="0" w:color="auto"/>
              <w:bottom w:val="double" w:sz="4" w:space="0" w:color="auto"/>
            </w:tcBorders>
            <w:shd w:val="clear" w:color="auto" w:fill="auto"/>
            <w:vAlign w:val="bottom"/>
          </w:tcPr>
          <w:p w14:paraId="47A3DD7D" w14:textId="6551D5B8" w:rsidR="00761CB1" w:rsidRPr="001F4923" w:rsidRDefault="00761CB1" w:rsidP="00577845">
            <w:pPr>
              <w:tabs>
                <w:tab w:val="decimal" w:pos="559"/>
              </w:tabs>
              <w:spacing w:after="0"/>
              <w:rPr>
                <w:rFonts w:eastAsia="Times New Roman"/>
                <w:b/>
                <w:bCs/>
                <w:szCs w:val="18"/>
                <w:highlight w:val="yellow"/>
                <w:lang w:eastAsia="en-GB"/>
              </w:rPr>
            </w:pPr>
            <w:r w:rsidRPr="00891467">
              <w:rPr>
                <w:rFonts w:eastAsia="Times New Roman"/>
                <w:b/>
                <w:bCs/>
                <w:szCs w:val="18"/>
                <w:lang w:eastAsia="en-GB"/>
              </w:rPr>
              <w:t>44.9</w:t>
            </w:r>
          </w:p>
        </w:tc>
        <w:tc>
          <w:tcPr>
            <w:tcW w:w="524" w:type="pct"/>
            <w:tcBorders>
              <w:top w:val="single" w:sz="4" w:space="0" w:color="auto"/>
              <w:bottom w:val="double" w:sz="4" w:space="0" w:color="auto"/>
            </w:tcBorders>
            <w:shd w:val="clear" w:color="auto" w:fill="auto"/>
            <w:vAlign w:val="bottom"/>
          </w:tcPr>
          <w:p w14:paraId="7474E3DE" w14:textId="5EC67D0F" w:rsidR="00761CB1" w:rsidRPr="001F4923" w:rsidRDefault="00761CB1" w:rsidP="00577845">
            <w:pPr>
              <w:tabs>
                <w:tab w:val="decimal" w:pos="637"/>
              </w:tabs>
              <w:spacing w:after="0"/>
              <w:rPr>
                <w:rFonts w:eastAsia="Times New Roman"/>
                <w:b/>
                <w:bCs/>
                <w:szCs w:val="18"/>
                <w:highlight w:val="yellow"/>
                <w:lang w:eastAsia="en-GB"/>
              </w:rPr>
            </w:pPr>
            <w:r w:rsidRPr="0076636F">
              <w:rPr>
                <w:rFonts w:eastAsia="Times New Roman"/>
                <w:b/>
                <w:bCs/>
                <w:szCs w:val="18"/>
                <w:lang w:eastAsia="en-GB"/>
              </w:rPr>
              <w:t>143.0</w:t>
            </w:r>
          </w:p>
        </w:tc>
        <w:tc>
          <w:tcPr>
            <w:tcW w:w="169" w:type="pct"/>
          </w:tcPr>
          <w:p w14:paraId="4356A539" w14:textId="77777777" w:rsidR="00761CB1" w:rsidRPr="00A54F99" w:rsidRDefault="00761CB1" w:rsidP="00761CB1">
            <w:pPr>
              <w:tabs>
                <w:tab w:val="decimal" w:pos="505"/>
              </w:tabs>
              <w:spacing w:after="0"/>
              <w:rPr>
                <w:rFonts w:eastAsia="Times New Roman"/>
                <w:b/>
                <w:bCs/>
                <w:szCs w:val="18"/>
                <w:lang w:eastAsia="en-GB"/>
              </w:rPr>
            </w:pPr>
          </w:p>
        </w:tc>
      </w:tr>
      <w:tr w:rsidR="0065690A" w:rsidRPr="00363580" w14:paraId="28B4F7B7" w14:textId="77777777" w:rsidTr="00692B9C">
        <w:trPr>
          <w:trHeight w:val="33"/>
        </w:trPr>
        <w:tc>
          <w:tcPr>
            <w:tcW w:w="2431" w:type="pct"/>
            <w:shd w:val="clear" w:color="auto" w:fill="auto"/>
          </w:tcPr>
          <w:p w14:paraId="1E1A204D" w14:textId="77777777" w:rsidR="004D34BC" w:rsidRPr="00577845" w:rsidRDefault="004D34BC">
            <w:pPr>
              <w:spacing w:after="0"/>
              <w:rPr>
                <w:rFonts w:eastAsia="Times New Roman"/>
                <w:szCs w:val="18"/>
                <w:highlight w:val="yellow"/>
                <w:lang w:eastAsia="en-GB"/>
              </w:rPr>
            </w:pPr>
          </w:p>
        </w:tc>
        <w:tc>
          <w:tcPr>
            <w:tcW w:w="764" w:type="pct"/>
            <w:tcBorders>
              <w:top w:val="double" w:sz="4" w:space="0" w:color="auto"/>
            </w:tcBorders>
            <w:shd w:val="clear" w:color="auto" w:fill="auto"/>
          </w:tcPr>
          <w:p w14:paraId="6B55D9D0" w14:textId="77777777" w:rsidR="004D34BC" w:rsidRPr="001F4923" w:rsidRDefault="004D34BC" w:rsidP="00957B0D">
            <w:pPr>
              <w:tabs>
                <w:tab w:val="decimal" w:pos="451"/>
                <w:tab w:val="decimal" w:pos="1125"/>
              </w:tabs>
              <w:spacing w:after="0"/>
              <w:rPr>
                <w:rFonts w:eastAsia="Times New Roman"/>
                <w:sz w:val="12"/>
                <w:szCs w:val="12"/>
                <w:highlight w:val="yellow"/>
                <w:lang w:eastAsia="en-GB"/>
              </w:rPr>
            </w:pPr>
          </w:p>
        </w:tc>
        <w:tc>
          <w:tcPr>
            <w:tcW w:w="626" w:type="pct"/>
            <w:tcBorders>
              <w:top w:val="double" w:sz="4" w:space="0" w:color="auto"/>
            </w:tcBorders>
            <w:shd w:val="clear" w:color="auto" w:fill="auto"/>
          </w:tcPr>
          <w:p w14:paraId="5791ECB8" w14:textId="77777777" w:rsidR="004D34BC" w:rsidRPr="001F4923" w:rsidRDefault="004D34BC" w:rsidP="00577845">
            <w:pPr>
              <w:tabs>
                <w:tab w:val="decimal" w:pos="936"/>
              </w:tabs>
              <w:spacing w:after="0"/>
              <w:rPr>
                <w:rFonts w:eastAsia="Times New Roman"/>
                <w:sz w:val="12"/>
                <w:szCs w:val="12"/>
                <w:highlight w:val="yellow"/>
                <w:lang w:eastAsia="en-GB"/>
              </w:rPr>
            </w:pPr>
          </w:p>
        </w:tc>
        <w:tc>
          <w:tcPr>
            <w:tcW w:w="486" w:type="pct"/>
            <w:tcBorders>
              <w:top w:val="double" w:sz="4" w:space="0" w:color="auto"/>
            </w:tcBorders>
            <w:shd w:val="clear" w:color="auto" w:fill="auto"/>
            <w:vAlign w:val="bottom"/>
          </w:tcPr>
          <w:p w14:paraId="14334383" w14:textId="77777777" w:rsidR="004D34BC" w:rsidRPr="001F4923" w:rsidRDefault="004D34BC" w:rsidP="00577845">
            <w:pPr>
              <w:tabs>
                <w:tab w:val="decimal" w:pos="559"/>
              </w:tabs>
              <w:spacing w:after="0"/>
              <w:rPr>
                <w:rFonts w:eastAsia="Times New Roman"/>
                <w:sz w:val="12"/>
                <w:szCs w:val="12"/>
                <w:highlight w:val="yellow"/>
                <w:lang w:eastAsia="en-GB"/>
              </w:rPr>
            </w:pPr>
          </w:p>
        </w:tc>
        <w:tc>
          <w:tcPr>
            <w:tcW w:w="524" w:type="pct"/>
            <w:tcBorders>
              <w:top w:val="double" w:sz="4" w:space="0" w:color="auto"/>
            </w:tcBorders>
            <w:shd w:val="clear" w:color="auto" w:fill="auto"/>
            <w:vAlign w:val="bottom"/>
          </w:tcPr>
          <w:p w14:paraId="0DB1A4F3" w14:textId="77777777" w:rsidR="004D34BC" w:rsidRPr="001F4923" w:rsidRDefault="004D34BC" w:rsidP="00577845">
            <w:pPr>
              <w:tabs>
                <w:tab w:val="decimal" w:pos="637"/>
              </w:tabs>
              <w:spacing w:after="0"/>
              <w:rPr>
                <w:rFonts w:eastAsia="Times New Roman"/>
                <w:sz w:val="12"/>
                <w:szCs w:val="12"/>
                <w:highlight w:val="yellow"/>
                <w:lang w:eastAsia="en-GB"/>
              </w:rPr>
            </w:pPr>
          </w:p>
        </w:tc>
        <w:tc>
          <w:tcPr>
            <w:tcW w:w="169" w:type="pct"/>
          </w:tcPr>
          <w:p w14:paraId="7311C621" w14:textId="77777777" w:rsidR="004D34BC" w:rsidRPr="00F2718C" w:rsidRDefault="004D34BC">
            <w:pPr>
              <w:tabs>
                <w:tab w:val="decimal" w:pos="505"/>
              </w:tabs>
              <w:spacing w:after="0"/>
              <w:rPr>
                <w:rFonts w:eastAsia="Times New Roman"/>
                <w:sz w:val="12"/>
                <w:szCs w:val="12"/>
                <w:lang w:eastAsia="en-GB"/>
              </w:rPr>
            </w:pPr>
          </w:p>
        </w:tc>
      </w:tr>
      <w:tr w:rsidR="00550422" w:rsidRPr="00363580" w14:paraId="2DEC5912" w14:textId="77777777" w:rsidTr="00692B9C">
        <w:trPr>
          <w:trHeight w:val="100"/>
        </w:trPr>
        <w:tc>
          <w:tcPr>
            <w:tcW w:w="2431" w:type="pct"/>
            <w:shd w:val="clear" w:color="auto" w:fill="auto"/>
          </w:tcPr>
          <w:p w14:paraId="3CE1F463" w14:textId="7E05F8EF" w:rsidR="00550422" w:rsidRPr="00577845" w:rsidRDefault="00550422" w:rsidP="00550422">
            <w:pPr>
              <w:spacing w:after="0"/>
              <w:rPr>
                <w:rFonts w:eastAsia="Times New Roman"/>
                <w:szCs w:val="18"/>
                <w:lang w:eastAsia="en-GB"/>
              </w:rPr>
            </w:pPr>
            <w:r w:rsidRPr="00577845">
              <w:rPr>
                <w:rFonts w:eastAsia="Times New Roman"/>
                <w:szCs w:val="18"/>
                <w:lang w:eastAsia="en-GB"/>
              </w:rPr>
              <w:t>New leases</w:t>
            </w:r>
          </w:p>
        </w:tc>
        <w:tc>
          <w:tcPr>
            <w:tcW w:w="764" w:type="pct"/>
            <w:shd w:val="clear" w:color="auto" w:fill="auto"/>
            <w:vAlign w:val="bottom"/>
          </w:tcPr>
          <w:p w14:paraId="436946C4" w14:textId="462BEE45" w:rsidR="00550422" w:rsidRPr="00892632" w:rsidRDefault="00550422" w:rsidP="00957B0D">
            <w:pPr>
              <w:tabs>
                <w:tab w:val="decimal" w:pos="1125"/>
              </w:tabs>
              <w:spacing w:after="0"/>
              <w:rPr>
                <w:rFonts w:eastAsia="Times New Roman"/>
                <w:szCs w:val="18"/>
                <w:lang w:eastAsia="en-GB"/>
              </w:rPr>
            </w:pPr>
            <w:r w:rsidRPr="00892632">
              <w:rPr>
                <w:rFonts w:eastAsia="Times New Roman"/>
                <w:szCs w:val="18"/>
                <w:lang w:eastAsia="en-GB"/>
              </w:rPr>
              <w:t>-</w:t>
            </w:r>
          </w:p>
        </w:tc>
        <w:tc>
          <w:tcPr>
            <w:tcW w:w="626" w:type="pct"/>
            <w:shd w:val="clear" w:color="auto" w:fill="auto"/>
            <w:vAlign w:val="bottom"/>
          </w:tcPr>
          <w:p w14:paraId="38CCAE03" w14:textId="1E60BA3D" w:rsidR="00550422" w:rsidRPr="00892632" w:rsidRDefault="00550422" w:rsidP="00577845">
            <w:pPr>
              <w:tabs>
                <w:tab w:val="decimal" w:pos="936"/>
              </w:tabs>
              <w:spacing w:after="0"/>
              <w:rPr>
                <w:rFonts w:eastAsia="Times New Roman"/>
                <w:szCs w:val="18"/>
                <w:lang w:eastAsia="en-GB"/>
              </w:rPr>
            </w:pPr>
            <w:r w:rsidRPr="00892632">
              <w:rPr>
                <w:rFonts w:eastAsia="Times New Roman"/>
                <w:szCs w:val="18"/>
                <w:lang w:eastAsia="en-GB"/>
              </w:rPr>
              <w:t>-</w:t>
            </w:r>
          </w:p>
        </w:tc>
        <w:tc>
          <w:tcPr>
            <w:tcW w:w="486" w:type="pct"/>
            <w:shd w:val="clear" w:color="auto" w:fill="auto"/>
            <w:vAlign w:val="bottom"/>
          </w:tcPr>
          <w:p w14:paraId="1F3C76A5" w14:textId="3782082F" w:rsidR="00550422" w:rsidRPr="00892632" w:rsidRDefault="00892632" w:rsidP="00577845">
            <w:pPr>
              <w:tabs>
                <w:tab w:val="decimal" w:pos="559"/>
              </w:tabs>
              <w:spacing w:after="0"/>
              <w:rPr>
                <w:rFonts w:eastAsia="Times New Roman"/>
                <w:szCs w:val="18"/>
                <w:lang w:eastAsia="en-GB"/>
              </w:rPr>
            </w:pPr>
            <w:r w:rsidRPr="00892632">
              <w:rPr>
                <w:rFonts w:eastAsia="Times New Roman"/>
                <w:szCs w:val="18"/>
                <w:lang w:eastAsia="en-GB"/>
              </w:rPr>
              <w:t>0.3</w:t>
            </w:r>
          </w:p>
        </w:tc>
        <w:tc>
          <w:tcPr>
            <w:tcW w:w="524" w:type="pct"/>
            <w:shd w:val="clear" w:color="auto" w:fill="auto"/>
            <w:vAlign w:val="bottom"/>
          </w:tcPr>
          <w:p w14:paraId="6DA04B57" w14:textId="7C4CB17A" w:rsidR="00550422" w:rsidRPr="00892632" w:rsidRDefault="00892632" w:rsidP="00577845">
            <w:pPr>
              <w:tabs>
                <w:tab w:val="decimal" w:pos="637"/>
              </w:tabs>
              <w:spacing w:after="0"/>
              <w:rPr>
                <w:rFonts w:eastAsia="Times New Roman"/>
                <w:szCs w:val="18"/>
                <w:lang w:eastAsia="en-GB"/>
              </w:rPr>
            </w:pPr>
            <w:r w:rsidRPr="00892632">
              <w:rPr>
                <w:rFonts w:eastAsia="Times New Roman"/>
                <w:szCs w:val="18"/>
                <w:lang w:eastAsia="en-GB"/>
              </w:rPr>
              <w:t>0.3</w:t>
            </w:r>
          </w:p>
        </w:tc>
        <w:tc>
          <w:tcPr>
            <w:tcW w:w="169" w:type="pct"/>
          </w:tcPr>
          <w:p w14:paraId="397739AC" w14:textId="77777777" w:rsidR="00550422" w:rsidRPr="004F6EE6" w:rsidRDefault="00550422" w:rsidP="00550422">
            <w:pPr>
              <w:tabs>
                <w:tab w:val="decimal" w:pos="505"/>
              </w:tabs>
              <w:spacing w:after="0"/>
              <w:rPr>
                <w:rFonts w:eastAsia="Times New Roman"/>
                <w:szCs w:val="18"/>
                <w:lang w:eastAsia="en-GB"/>
              </w:rPr>
            </w:pPr>
          </w:p>
        </w:tc>
      </w:tr>
      <w:tr w:rsidR="00550422" w:rsidRPr="00363580" w14:paraId="57EB086C" w14:textId="77777777" w:rsidTr="00692B9C">
        <w:trPr>
          <w:trHeight w:val="100"/>
        </w:trPr>
        <w:tc>
          <w:tcPr>
            <w:tcW w:w="2431" w:type="pct"/>
            <w:shd w:val="clear" w:color="auto" w:fill="auto"/>
          </w:tcPr>
          <w:p w14:paraId="54E8CE20" w14:textId="34969285" w:rsidR="00550422" w:rsidRPr="00577845" w:rsidRDefault="00550422" w:rsidP="00550422">
            <w:pPr>
              <w:spacing w:after="0"/>
              <w:rPr>
                <w:rFonts w:eastAsia="Times New Roman"/>
                <w:szCs w:val="18"/>
                <w:lang w:eastAsia="en-GB"/>
              </w:rPr>
            </w:pPr>
            <w:r w:rsidRPr="00577845">
              <w:rPr>
                <w:rFonts w:eastAsia="Times New Roman"/>
                <w:szCs w:val="18"/>
                <w:lang w:eastAsia="en-GB"/>
              </w:rPr>
              <w:t>Changes from financing cash flows</w:t>
            </w:r>
          </w:p>
        </w:tc>
        <w:tc>
          <w:tcPr>
            <w:tcW w:w="764" w:type="pct"/>
            <w:shd w:val="clear" w:color="auto" w:fill="auto"/>
            <w:vAlign w:val="bottom"/>
          </w:tcPr>
          <w:p w14:paraId="02387433" w14:textId="09CAD92F" w:rsidR="00550422" w:rsidRPr="00892632" w:rsidRDefault="00892632" w:rsidP="00957B0D">
            <w:pPr>
              <w:tabs>
                <w:tab w:val="decimal" w:pos="1125"/>
              </w:tabs>
              <w:spacing w:after="0"/>
              <w:rPr>
                <w:rFonts w:eastAsia="Times New Roman"/>
                <w:szCs w:val="18"/>
                <w:lang w:eastAsia="en-GB"/>
              </w:rPr>
            </w:pPr>
            <w:r w:rsidRPr="00892632">
              <w:rPr>
                <w:rFonts w:eastAsia="Times New Roman"/>
                <w:szCs w:val="18"/>
                <w:lang w:eastAsia="en-GB"/>
              </w:rPr>
              <w:t>29.0</w:t>
            </w:r>
            <w:r w:rsidR="00550422" w:rsidRPr="00892632">
              <w:rPr>
                <w:rFonts w:eastAsia="Times New Roman"/>
                <w:szCs w:val="18"/>
                <w:vertAlign w:val="superscript"/>
                <w:lang w:eastAsia="en-GB"/>
              </w:rPr>
              <w:t>2</w:t>
            </w:r>
          </w:p>
        </w:tc>
        <w:tc>
          <w:tcPr>
            <w:tcW w:w="626" w:type="pct"/>
            <w:shd w:val="clear" w:color="auto" w:fill="auto"/>
            <w:vAlign w:val="bottom"/>
          </w:tcPr>
          <w:p w14:paraId="4ACE8272" w14:textId="366EB18A" w:rsidR="00550422" w:rsidRPr="00892632" w:rsidRDefault="00550422" w:rsidP="00577845">
            <w:pPr>
              <w:tabs>
                <w:tab w:val="decimal" w:pos="936"/>
              </w:tabs>
              <w:spacing w:after="0"/>
              <w:rPr>
                <w:rFonts w:eastAsia="Times New Roman"/>
                <w:szCs w:val="18"/>
                <w:lang w:eastAsia="en-GB"/>
              </w:rPr>
            </w:pPr>
            <w:r w:rsidRPr="00892632">
              <w:rPr>
                <w:rFonts w:eastAsia="Times New Roman"/>
                <w:szCs w:val="18"/>
                <w:lang w:eastAsia="en-GB"/>
              </w:rPr>
              <w:t>-</w:t>
            </w:r>
          </w:p>
        </w:tc>
        <w:tc>
          <w:tcPr>
            <w:tcW w:w="486" w:type="pct"/>
            <w:shd w:val="clear" w:color="auto" w:fill="auto"/>
            <w:vAlign w:val="bottom"/>
          </w:tcPr>
          <w:p w14:paraId="6F6F38EA" w14:textId="67360317" w:rsidR="00550422" w:rsidRPr="00892632" w:rsidRDefault="00550422" w:rsidP="00577845">
            <w:pPr>
              <w:tabs>
                <w:tab w:val="decimal" w:pos="559"/>
              </w:tabs>
              <w:spacing w:after="0"/>
              <w:ind w:right="-61"/>
              <w:rPr>
                <w:rFonts w:eastAsia="Times New Roman"/>
                <w:szCs w:val="18"/>
                <w:lang w:eastAsia="en-GB"/>
              </w:rPr>
            </w:pPr>
            <w:r w:rsidRPr="00892632">
              <w:rPr>
                <w:rFonts w:eastAsia="Times New Roman"/>
                <w:szCs w:val="18"/>
                <w:lang w:eastAsia="en-GB"/>
              </w:rPr>
              <w:t>(</w:t>
            </w:r>
            <w:r w:rsidR="00892632" w:rsidRPr="00892632">
              <w:rPr>
                <w:rFonts w:eastAsia="Times New Roman"/>
                <w:szCs w:val="18"/>
                <w:lang w:eastAsia="en-GB"/>
              </w:rPr>
              <w:t>1</w:t>
            </w:r>
            <w:r w:rsidR="00350C50" w:rsidRPr="00892632">
              <w:rPr>
                <w:rFonts w:eastAsia="Times New Roman"/>
                <w:szCs w:val="18"/>
                <w:lang w:eastAsia="en-GB"/>
              </w:rPr>
              <w:t>.9</w:t>
            </w:r>
            <w:r w:rsidRPr="00892632">
              <w:rPr>
                <w:rFonts w:eastAsia="Times New Roman"/>
                <w:szCs w:val="18"/>
                <w:lang w:eastAsia="en-GB"/>
              </w:rPr>
              <w:t>)</w:t>
            </w:r>
          </w:p>
        </w:tc>
        <w:tc>
          <w:tcPr>
            <w:tcW w:w="524" w:type="pct"/>
            <w:shd w:val="clear" w:color="auto" w:fill="auto"/>
            <w:vAlign w:val="bottom"/>
          </w:tcPr>
          <w:p w14:paraId="18E75043" w14:textId="7A6FE481" w:rsidR="00550422" w:rsidRPr="00892632" w:rsidRDefault="00892632" w:rsidP="00577845">
            <w:pPr>
              <w:tabs>
                <w:tab w:val="decimal" w:pos="637"/>
              </w:tabs>
              <w:spacing w:after="0"/>
              <w:rPr>
                <w:rFonts w:eastAsia="Times New Roman"/>
                <w:szCs w:val="18"/>
                <w:lang w:eastAsia="en-GB"/>
              </w:rPr>
            </w:pPr>
            <w:r w:rsidRPr="00892632">
              <w:rPr>
                <w:rFonts w:eastAsia="Times New Roman"/>
                <w:szCs w:val="18"/>
                <w:lang w:eastAsia="en-GB"/>
              </w:rPr>
              <w:t>27.1</w:t>
            </w:r>
          </w:p>
        </w:tc>
        <w:tc>
          <w:tcPr>
            <w:tcW w:w="169" w:type="pct"/>
          </w:tcPr>
          <w:p w14:paraId="7CFED980" w14:textId="77777777" w:rsidR="00550422" w:rsidRPr="004F6EE6" w:rsidRDefault="00550422" w:rsidP="00550422">
            <w:pPr>
              <w:tabs>
                <w:tab w:val="decimal" w:pos="505"/>
              </w:tabs>
              <w:spacing w:after="0"/>
              <w:rPr>
                <w:rFonts w:eastAsia="Times New Roman"/>
                <w:szCs w:val="18"/>
                <w:lang w:eastAsia="en-GB"/>
              </w:rPr>
            </w:pPr>
          </w:p>
        </w:tc>
      </w:tr>
      <w:tr w:rsidR="00550422" w:rsidRPr="00363580" w14:paraId="1CEA6273" w14:textId="77777777" w:rsidTr="00692B9C">
        <w:trPr>
          <w:trHeight w:val="100"/>
        </w:trPr>
        <w:tc>
          <w:tcPr>
            <w:tcW w:w="2431" w:type="pct"/>
            <w:shd w:val="clear" w:color="auto" w:fill="auto"/>
          </w:tcPr>
          <w:p w14:paraId="3491CC92" w14:textId="0A555715" w:rsidR="00550422" w:rsidRPr="00577845" w:rsidRDefault="00550422" w:rsidP="00550422">
            <w:pPr>
              <w:spacing w:after="0"/>
              <w:rPr>
                <w:rFonts w:eastAsia="Times New Roman"/>
                <w:szCs w:val="18"/>
                <w:lang w:eastAsia="en-GB"/>
              </w:rPr>
            </w:pPr>
            <w:r w:rsidRPr="00577845">
              <w:rPr>
                <w:rFonts w:eastAsia="Times New Roman"/>
                <w:szCs w:val="18"/>
                <w:lang w:eastAsia="en-GB"/>
              </w:rPr>
              <w:t>Changes arising from obtaining or losing control of consolidated funds</w:t>
            </w:r>
          </w:p>
        </w:tc>
        <w:tc>
          <w:tcPr>
            <w:tcW w:w="764" w:type="pct"/>
            <w:shd w:val="clear" w:color="auto" w:fill="auto"/>
          </w:tcPr>
          <w:p w14:paraId="5861D05C" w14:textId="135572C7" w:rsidR="00550422" w:rsidRPr="00892632" w:rsidRDefault="00550422" w:rsidP="00957B0D">
            <w:pPr>
              <w:tabs>
                <w:tab w:val="decimal" w:pos="1125"/>
              </w:tabs>
              <w:spacing w:after="0"/>
              <w:rPr>
                <w:rFonts w:eastAsia="Times New Roman"/>
                <w:szCs w:val="18"/>
                <w:lang w:eastAsia="en-GB"/>
              </w:rPr>
            </w:pPr>
            <w:r w:rsidRPr="00892632">
              <w:rPr>
                <w:rFonts w:eastAsia="Times New Roman"/>
                <w:szCs w:val="18"/>
                <w:lang w:eastAsia="en-GB"/>
              </w:rPr>
              <w:t>(</w:t>
            </w:r>
            <w:r w:rsidR="00892632" w:rsidRPr="00892632">
              <w:rPr>
                <w:rFonts w:eastAsia="Times New Roman"/>
                <w:szCs w:val="18"/>
                <w:lang w:eastAsia="en-GB"/>
              </w:rPr>
              <w:t>0.8</w:t>
            </w:r>
            <w:r w:rsidRPr="00892632">
              <w:rPr>
                <w:rFonts w:eastAsia="Times New Roman"/>
                <w:szCs w:val="18"/>
                <w:lang w:eastAsia="en-GB"/>
              </w:rPr>
              <w:t>)</w:t>
            </w:r>
          </w:p>
        </w:tc>
        <w:tc>
          <w:tcPr>
            <w:tcW w:w="626" w:type="pct"/>
            <w:shd w:val="clear" w:color="auto" w:fill="auto"/>
          </w:tcPr>
          <w:p w14:paraId="3B8332A9" w14:textId="4F4B183E" w:rsidR="00550422" w:rsidRPr="00892632" w:rsidRDefault="00550422" w:rsidP="00577845">
            <w:pPr>
              <w:tabs>
                <w:tab w:val="decimal" w:pos="936"/>
              </w:tabs>
              <w:spacing w:after="0"/>
              <w:rPr>
                <w:rFonts w:eastAsia="Times New Roman"/>
                <w:szCs w:val="18"/>
                <w:lang w:eastAsia="en-GB"/>
              </w:rPr>
            </w:pPr>
            <w:r w:rsidRPr="00892632">
              <w:rPr>
                <w:rFonts w:eastAsia="Times New Roman"/>
                <w:szCs w:val="18"/>
                <w:lang w:eastAsia="en-GB"/>
              </w:rPr>
              <w:t>-</w:t>
            </w:r>
          </w:p>
        </w:tc>
        <w:tc>
          <w:tcPr>
            <w:tcW w:w="486" w:type="pct"/>
            <w:shd w:val="clear" w:color="auto" w:fill="auto"/>
          </w:tcPr>
          <w:p w14:paraId="333B640C" w14:textId="0EEDD852" w:rsidR="00550422" w:rsidRPr="00892632" w:rsidRDefault="00550422" w:rsidP="00577845">
            <w:pPr>
              <w:tabs>
                <w:tab w:val="decimal" w:pos="559"/>
              </w:tabs>
              <w:spacing w:after="0"/>
              <w:rPr>
                <w:rFonts w:eastAsia="Times New Roman"/>
                <w:szCs w:val="18"/>
                <w:lang w:eastAsia="en-GB"/>
              </w:rPr>
            </w:pPr>
            <w:r w:rsidRPr="00892632">
              <w:rPr>
                <w:rFonts w:eastAsia="Times New Roman"/>
                <w:szCs w:val="18"/>
                <w:lang w:eastAsia="en-GB"/>
              </w:rPr>
              <w:t>-</w:t>
            </w:r>
          </w:p>
        </w:tc>
        <w:tc>
          <w:tcPr>
            <w:tcW w:w="524" w:type="pct"/>
            <w:shd w:val="clear" w:color="auto" w:fill="auto"/>
          </w:tcPr>
          <w:p w14:paraId="0879F45C" w14:textId="043096F3" w:rsidR="00550422" w:rsidRPr="00892632" w:rsidRDefault="00550422" w:rsidP="00577845">
            <w:pPr>
              <w:tabs>
                <w:tab w:val="decimal" w:pos="637"/>
              </w:tabs>
              <w:spacing w:after="0"/>
              <w:ind w:right="-52"/>
              <w:rPr>
                <w:rFonts w:eastAsia="Times New Roman"/>
                <w:szCs w:val="18"/>
                <w:lang w:eastAsia="en-GB"/>
              </w:rPr>
            </w:pPr>
            <w:r w:rsidRPr="00892632">
              <w:rPr>
                <w:rFonts w:eastAsia="Times New Roman"/>
                <w:szCs w:val="18"/>
                <w:lang w:eastAsia="en-GB"/>
              </w:rPr>
              <w:t>(</w:t>
            </w:r>
            <w:r w:rsidR="00892632" w:rsidRPr="00892632">
              <w:rPr>
                <w:rFonts w:eastAsia="Times New Roman"/>
                <w:szCs w:val="18"/>
                <w:lang w:eastAsia="en-GB"/>
              </w:rPr>
              <w:t>0.8</w:t>
            </w:r>
            <w:r w:rsidRPr="00892632">
              <w:rPr>
                <w:rFonts w:eastAsia="Times New Roman"/>
                <w:szCs w:val="18"/>
                <w:lang w:eastAsia="en-GB"/>
              </w:rPr>
              <w:t>)</w:t>
            </w:r>
          </w:p>
        </w:tc>
        <w:tc>
          <w:tcPr>
            <w:tcW w:w="169" w:type="pct"/>
          </w:tcPr>
          <w:p w14:paraId="49A01249" w14:textId="77777777" w:rsidR="00550422" w:rsidRPr="004F6EE6" w:rsidRDefault="00550422" w:rsidP="00550422">
            <w:pPr>
              <w:tabs>
                <w:tab w:val="decimal" w:pos="505"/>
              </w:tabs>
              <w:spacing w:after="0"/>
              <w:rPr>
                <w:rFonts w:eastAsia="Times New Roman"/>
                <w:szCs w:val="18"/>
                <w:lang w:eastAsia="en-GB"/>
              </w:rPr>
            </w:pPr>
          </w:p>
        </w:tc>
      </w:tr>
      <w:tr w:rsidR="00550422" w:rsidRPr="00363580" w14:paraId="5F0798B4" w14:textId="77777777" w:rsidTr="00692B9C">
        <w:trPr>
          <w:trHeight w:val="100"/>
        </w:trPr>
        <w:tc>
          <w:tcPr>
            <w:tcW w:w="2431" w:type="pct"/>
            <w:shd w:val="clear" w:color="auto" w:fill="auto"/>
          </w:tcPr>
          <w:p w14:paraId="09166670" w14:textId="21CFE4CD" w:rsidR="00550422" w:rsidRPr="00577845" w:rsidRDefault="00550422" w:rsidP="00550422">
            <w:pPr>
              <w:spacing w:after="0"/>
              <w:rPr>
                <w:rFonts w:eastAsia="Times New Roman"/>
                <w:szCs w:val="18"/>
                <w:lang w:eastAsia="en-GB"/>
              </w:rPr>
            </w:pPr>
            <w:r w:rsidRPr="00577845">
              <w:rPr>
                <w:rFonts w:eastAsia="Times New Roman"/>
                <w:szCs w:val="18"/>
                <w:lang w:eastAsia="en-GB"/>
              </w:rPr>
              <w:t>Changes in fair value</w:t>
            </w:r>
          </w:p>
        </w:tc>
        <w:tc>
          <w:tcPr>
            <w:tcW w:w="764" w:type="pct"/>
            <w:shd w:val="clear" w:color="auto" w:fill="auto"/>
            <w:vAlign w:val="bottom"/>
          </w:tcPr>
          <w:p w14:paraId="3B648CB6" w14:textId="743E19BF" w:rsidR="00550422" w:rsidRPr="00892632" w:rsidRDefault="00892632" w:rsidP="00957B0D">
            <w:pPr>
              <w:tabs>
                <w:tab w:val="decimal" w:pos="1125"/>
              </w:tabs>
              <w:spacing w:after="0"/>
              <w:rPr>
                <w:rFonts w:eastAsia="Times New Roman"/>
                <w:szCs w:val="18"/>
                <w:lang w:eastAsia="en-GB"/>
              </w:rPr>
            </w:pPr>
            <w:r w:rsidRPr="00892632">
              <w:rPr>
                <w:rFonts w:eastAsia="Times New Roman"/>
                <w:szCs w:val="18"/>
                <w:lang w:eastAsia="en-GB"/>
              </w:rPr>
              <w:t>3.5</w:t>
            </w:r>
          </w:p>
        </w:tc>
        <w:tc>
          <w:tcPr>
            <w:tcW w:w="626" w:type="pct"/>
            <w:shd w:val="clear" w:color="auto" w:fill="auto"/>
            <w:vAlign w:val="bottom"/>
          </w:tcPr>
          <w:p w14:paraId="1B76FA89" w14:textId="106133B3" w:rsidR="00550422" w:rsidRPr="00892632" w:rsidRDefault="00550422" w:rsidP="00577845">
            <w:pPr>
              <w:tabs>
                <w:tab w:val="decimal" w:pos="936"/>
              </w:tabs>
              <w:spacing w:after="0"/>
              <w:rPr>
                <w:rFonts w:eastAsia="Times New Roman"/>
                <w:szCs w:val="18"/>
                <w:lang w:eastAsia="en-GB"/>
              </w:rPr>
            </w:pPr>
            <w:r w:rsidRPr="00892632">
              <w:rPr>
                <w:rFonts w:eastAsia="Times New Roman"/>
                <w:szCs w:val="18"/>
                <w:lang w:eastAsia="en-GB"/>
              </w:rPr>
              <w:t>-</w:t>
            </w:r>
          </w:p>
        </w:tc>
        <w:tc>
          <w:tcPr>
            <w:tcW w:w="486" w:type="pct"/>
            <w:shd w:val="clear" w:color="auto" w:fill="auto"/>
            <w:vAlign w:val="bottom"/>
          </w:tcPr>
          <w:p w14:paraId="3E761A22" w14:textId="7C092627" w:rsidR="00550422" w:rsidRPr="00892632" w:rsidRDefault="00550422" w:rsidP="00577845">
            <w:pPr>
              <w:tabs>
                <w:tab w:val="decimal" w:pos="559"/>
              </w:tabs>
              <w:spacing w:after="0"/>
              <w:rPr>
                <w:rFonts w:eastAsia="Times New Roman"/>
                <w:szCs w:val="18"/>
                <w:lang w:eastAsia="en-GB"/>
              </w:rPr>
            </w:pPr>
            <w:r w:rsidRPr="00892632">
              <w:rPr>
                <w:rFonts w:eastAsia="Times New Roman"/>
                <w:szCs w:val="18"/>
                <w:lang w:eastAsia="en-GB"/>
              </w:rPr>
              <w:t>-</w:t>
            </w:r>
          </w:p>
        </w:tc>
        <w:tc>
          <w:tcPr>
            <w:tcW w:w="524" w:type="pct"/>
            <w:shd w:val="clear" w:color="auto" w:fill="auto"/>
            <w:vAlign w:val="bottom"/>
          </w:tcPr>
          <w:p w14:paraId="53D56550" w14:textId="28E98C27" w:rsidR="00550422" w:rsidRPr="00892632" w:rsidRDefault="00892632" w:rsidP="00577845">
            <w:pPr>
              <w:tabs>
                <w:tab w:val="decimal" w:pos="637"/>
              </w:tabs>
              <w:spacing w:after="0"/>
              <w:rPr>
                <w:rFonts w:eastAsia="Times New Roman"/>
                <w:szCs w:val="18"/>
                <w:lang w:eastAsia="en-GB"/>
              </w:rPr>
            </w:pPr>
            <w:r w:rsidRPr="00892632">
              <w:rPr>
                <w:rFonts w:eastAsia="Times New Roman"/>
                <w:szCs w:val="18"/>
                <w:lang w:eastAsia="en-GB"/>
              </w:rPr>
              <w:t>3.5</w:t>
            </w:r>
          </w:p>
        </w:tc>
        <w:tc>
          <w:tcPr>
            <w:tcW w:w="169" w:type="pct"/>
          </w:tcPr>
          <w:p w14:paraId="3C9C9B89" w14:textId="77777777" w:rsidR="00550422" w:rsidRPr="004F6EE6" w:rsidRDefault="00550422" w:rsidP="00550422">
            <w:pPr>
              <w:tabs>
                <w:tab w:val="decimal" w:pos="505"/>
              </w:tabs>
              <w:spacing w:after="0"/>
              <w:rPr>
                <w:rFonts w:eastAsia="Times New Roman"/>
                <w:szCs w:val="18"/>
                <w:lang w:eastAsia="en-GB"/>
              </w:rPr>
            </w:pPr>
          </w:p>
        </w:tc>
      </w:tr>
      <w:tr w:rsidR="00550422" w:rsidRPr="00363580" w14:paraId="21278EA4" w14:textId="77777777" w:rsidTr="00692B9C">
        <w:trPr>
          <w:trHeight w:val="100"/>
        </w:trPr>
        <w:tc>
          <w:tcPr>
            <w:tcW w:w="2431" w:type="pct"/>
            <w:shd w:val="clear" w:color="auto" w:fill="auto"/>
          </w:tcPr>
          <w:p w14:paraId="5A3C8A07" w14:textId="38A57A43" w:rsidR="00550422" w:rsidRPr="00577845" w:rsidRDefault="00550422" w:rsidP="00550422">
            <w:pPr>
              <w:spacing w:after="0"/>
              <w:rPr>
                <w:rFonts w:eastAsia="Times New Roman"/>
                <w:szCs w:val="18"/>
                <w:lang w:eastAsia="en-GB"/>
              </w:rPr>
            </w:pPr>
            <w:r w:rsidRPr="00577845">
              <w:rPr>
                <w:rFonts w:eastAsia="Times New Roman"/>
                <w:szCs w:val="18"/>
                <w:lang w:eastAsia="en-GB"/>
              </w:rPr>
              <w:t>Interest expense</w:t>
            </w:r>
          </w:p>
        </w:tc>
        <w:tc>
          <w:tcPr>
            <w:tcW w:w="764" w:type="pct"/>
            <w:shd w:val="clear" w:color="auto" w:fill="auto"/>
            <w:vAlign w:val="bottom"/>
          </w:tcPr>
          <w:p w14:paraId="5F880C94" w14:textId="3F5039B3" w:rsidR="00550422" w:rsidRPr="00892632" w:rsidRDefault="00550422" w:rsidP="00957B0D">
            <w:pPr>
              <w:tabs>
                <w:tab w:val="decimal" w:pos="1125"/>
              </w:tabs>
              <w:spacing w:after="0"/>
              <w:rPr>
                <w:rFonts w:eastAsia="Times New Roman"/>
                <w:szCs w:val="18"/>
                <w:lang w:eastAsia="en-GB"/>
              </w:rPr>
            </w:pPr>
            <w:r w:rsidRPr="00892632">
              <w:rPr>
                <w:rFonts w:eastAsia="Times New Roman"/>
                <w:szCs w:val="18"/>
                <w:lang w:eastAsia="en-GB"/>
              </w:rPr>
              <w:t>-</w:t>
            </w:r>
          </w:p>
        </w:tc>
        <w:tc>
          <w:tcPr>
            <w:tcW w:w="626" w:type="pct"/>
            <w:shd w:val="clear" w:color="auto" w:fill="auto"/>
            <w:vAlign w:val="bottom"/>
          </w:tcPr>
          <w:p w14:paraId="01576209" w14:textId="03C26E4F" w:rsidR="00550422" w:rsidRPr="00892632" w:rsidRDefault="00550422" w:rsidP="00577845">
            <w:pPr>
              <w:tabs>
                <w:tab w:val="decimal" w:pos="936"/>
              </w:tabs>
              <w:spacing w:after="0"/>
              <w:rPr>
                <w:rFonts w:eastAsia="Times New Roman"/>
                <w:szCs w:val="18"/>
                <w:lang w:eastAsia="en-GB"/>
              </w:rPr>
            </w:pPr>
            <w:r w:rsidRPr="00892632">
              <w:rPr>
                <w:rFonts w:eastAsia="Times New Roman"/>
                <w:szCs w:val="18"/>
                <w:lang w:eastAsia="en-GB"/>
              </w:rPr>
              <w:t>0.1</w:t>
            </w:r>
          </w:p>
        </w:tc>
        <w:tc>
          <w:tcPr>
            <w:tcW w:w="486" w:type="pct"/>
            <w:shd w:val="clear" w:color="auto" w:fill="auto"/>
            <w:vAlign w:val="bottom"/>
          </w:tcPr>
          <w:p w14:paraId="1058A5B3" w14:textId="39461164" w:rsidR="00550422" w:rsidRPr="00892632" w:rsidRDefault="00550422" w:rsidP="00577845">
            <w:pPr>
              <w:tabs>
                <w:tab w:val="decimal" w:pos="559"/>
              </w:tabs>
              <w:spacing w:after="0"/>
              <w:rPr>
                <w:rFonts w:eastAsia="Times New Roman"/>
                <w:szCs w:val="18"/>
                <w:lang w:eastAsia="en-GB"/>
              </w:rPr>
            </w:pPr>
            <w:r w:rsidRPr="00892632">
              <w:rPr>
                <w:rFonts w:eastAsia="Times New Roman"/>
                <w:szCs w:val="18"/>
                <w:lang w:eastAsia="en-GB"/>
              </w:rPr>
              <w:t>0.</w:t>
            </w:r>
            <w:r w:rsidR="004F198C" w:rsidRPr="00892632">
              <w:rPr>
                <w:rFonts w:eastAsia="Times New Roman"/>
                <w:szCs w:val="18"/>
                <w:lang w:eastAsia="en-GB"/>
              </w:rPr>
              <w:t>8</w:t>
            </w:r>
          </w:p>
        </w:tc>
        <w:tc>
          <w:tcPr>
            <w:tcW w:w="524" w:type="pct"/>
            <w:shd w:val="clear" w:color="auto" w:fill="auto"/>
            <w:vAlign w:val="bottom"/>
          </w:tcPr>
          <w:p w14:paraId="33D980DF" w14:textId="34324ABB" w:rsidR="00550422" w:rsidRPr="00892632" w:rsidRDefault="00550422" w:rsidP="00577845">
            <w:pPr>
              <w:tabs>
                <w:tab w:val="decimal" w:pos="637"/>
              </w:tabs>
              <w:spacing w:after="0"/>
              <w:rPr>
                <w:rFonts w:eastAsia="Times New Roman"/>
                <w:szCs w:val="18"/>
                <w:lang w:eastAsia="en-GB"/>
              </w:rPr>
            </w:pPr>
            <w:r w:rsidRPr="00892632">
              <w:rPr>
                <w:rFonts w:eastAsia="Times New Roman"/>
                <w:szCs w:val="18"/>
                <w:lang w:eastAsia="en-GB"/>
              </w:rPr>
              <w:t>0.</w:t>
            </w:r>
            <w:r w:rsidR="00804F46" w:rsidRPr="00892632">
              <w:rPr>
                <w:rFonts w:eastAsia="Times New Roman"/>
                <w:szCs w:val="18"/>
                <w:lang w:eastAsia="en-GB"/>
              </w:rPr>
              <w:t>9</w:t>
            </w:r>
          </w:p>
        </w:tc>
        <w:tc>
          <w:tcPr>
            <w:tcW w:w="169" w:type="pct"/>
          </w:tcPr>
          <w:p w14:paraId="3A31BCDF" w14:textId="77777777" w:rsidR="00550422" w:rsidRPr="004F6EE6" w:rsidRDefault="00550422" w:rsidP="00550422">
            <w:pPr>
              <w:tabs>
                <w:tab w:val="decimal" w:pos="505"/>
              </w:tabs>
              <w:spacing w:after="0"/>
              <w:rPr>
                <w:rFonts w:eastAsia="Times New Roman"/>
                <w:szCs w:val="18"/>
                <w:lang w:eastAsia="en-GB"/>
              </w:rPr>
            </w:pPr>
          </w:p>
        </w:tc>
      </w:tr>
      <w:tr w:rsidR="00DE5C67" w:rsidRPr="00363580" w14:paraId="66218D10" w14:textId="77777777" w:rsidTr="0087019C">
        <w:trPr>
          <w:trHeight w:val="100"/>
        </w:trPr>
        <w:tc>
          <w:tcPr>
            <w:tcW w:w="2431" w:type="pct"/>
            <w:shd w:val="clear" w:color="auto" w:fill="auto"/>
          </w:tcPr>
          <w:p w14:paraId="41701B71" w14:textId="0893809F" w:rsidR="00550422" w:rsidRPr="00577845" w:rsidRDefault="00550422" w:rsidP="00550422">
            <w:pPr>
              <w:spacing w:after="0"/>
              <w:rPr>
                <w:rFonts w:eastAsia="Times New Roman"/>
                <w:szCs w:val="18"/>
                <w:lang w:eastAsia="en-GB"/>
              </w:rPr>
            </w:pPr>
            <w:r w:rsidRPr="00577845">
              <w:rPr>
                <w:rFonts w:eastAsia="Times New Roman"/>
                <w:b/>
                <w:bCs/>
                <w:szCs w:val="18"/>
                <w:lang w:eastAsia="en-GB"/>
              </w:rPr>
              <w:t xml:space="preserve">Liabilities arising from financing activities carried forward at 31 December </w:t>
            </w:r>
            <w:r w:rsidR="00E85F7E" w:rsidRPr="00577845">
              <w:rPr>
                <w:rFonts w:eastAsia="Times New Roman"/>
                <w:b/>
                <w:bCs/>
                <w:szCs w:val="18"/>
                <w:lang w:eastAsia="en-GB"/>
              </w:rPr>
              <w:t>2023</w:t>
            </w:r>
          </w:p>
        </w:tc>
        <w:tc>
          <w:tcPr>
            <w:tcW w:w="764" w:type="pct"/>
            <w:tcBorders>
              <w:top w:val="single" w:sz="4" w:space="0" w:color="auto"/>
            </w:tcBorders>
            <w:shd w:val="clear" w:color="auto" w:fill="auto"/>
            <w:vAlign w:val="bottom"/>
          </w:tcPr>
          <w:p w14:paraId="04D98550" w14:textId="5E0061ED" w:rsidR="00550422" w:rsidRPr="00892632" w:rsidRDefault="00892632" w:rsidP="0087019C">
            <w:pPr>
              <w:tabs>
                <w:tab w:val="decimal" w:pos="1125"/>
              </w:tabs>
              <w:spacing w:after="0"/>
              <w:jc w:val="right"/>
              <w:rPr>
                <w:rFonts w:eastAsia="Times New Roman"/>
                <w:szCs w:val="18"/>
                <w:lang w:eastAsia="en-GB"/>
              </w:rPr>
            </w:pPr>
            <w:r>
              <w:rPr>
                <w:rFonts w:eastAsia="Times New Roman"/>
                <w:b/>
                <w:bCs/>
                <w:szCs w:val="18"/>
                <w:lang w:eastAsia="en-GB"/>
              </w:rPr>
              <w:t>80.2</w:t>
            </w:r>
          </w:p>
        </w:tc>
        <w:tc>
          <w:tcPr>
            <w:tcW w:w="626" w:type="pct"/>
            <w:tcBorders>
              <w:top w:val="single" w:sz="4" w:space="0" w:color="auto"/>
            </w:tcBorders>
            <w:shd w:val="clear" w:color="auto" w:fill="auto"/>
            <w:vAlign w:val="bottom"/>
          </w:tcPr>
          <w:p w14:paraId="27DBF793" w14:textId="76DF7AC7" w:rsidR="00550422" w:rsidRPr="00892632" w:rsidRDefault="00892632" w:rsidP="00577845">
            <w:pPr>
              <w:tabs>
                <w:tab w:val="decimal" w:pos="936"/>
              </w:tabs>
              <w:spacing w:after="0"/>
              <w:rPr>
                <w:rFonts w:eastAsia="Times New Roman"/>
                <w:szCs w:val="18"/>
                <w:lang w:eastAsia="en-GB"/>
              </w:rPr>
            </w:pPr>
            <w:r>
              <w:rPr>
                <w:rFonts w:eastAsia="Times New Roman"/>
                <w:b/>
                <w:bCs/>
                <w:szCs w:val="18"/>
                <w:lang w:eastAsia="en-GB"/>
              </w:rPr>
              <w:t>49.7</w:t>
            </w:r>
          </w:p>
        </w:tc>
        <w:tc>
          <w:tcPr>
            <w:tcW w:w="486" w:type="pct"/>
            <w:tcBorders>
              <w:top w:val="single" w:sz="4" w:space="0" w:color="auto"/>
            </w:tcBorders>
            <w:shd w:val="clear" w:color="auto" w:fill="auto"/>
            <w:vAlign w:val="bottom"/>
          </w:tcPr>
          <w:p w14:paraId="3CB58E01" w14:textId="46BB3E2A" w:rsidR="00550422" w:rsidRPr="00892632" w:rsidRDefault="00892632" w:rsidP="00577845">
            <w:pPr>
              <w:tabs>
                <w:tab w:val="decimal" w:pos="559"/>
              </w:tabs>
              <w:spacing w:after="0"/>
              <w:rPr>
                <w:rFonts w:eastAsia="Times New Roman"/>
                <w:szCs w:val="18"/>
                <w:lang w:eastAsia="en-GB"/>
              </w:rPr>
            </w:pPr>
            <w:r>
              <w:rPr>
                <w:rFonts w:eastAsia="Times New Roman"/>
                <w:b/>
                <w:bCs/>
                <w:szCs w:val="18"/>
                <w:lang w:eastAsia="en-GB"/>
              </w:rPr>
              <w:t>44.1</w:t>
            </w:r>
          </w:p>
        </w:tc>
        <w:tc>
          <w:tcPr>
            <w:tcW w:w="524" w:type="pct"/>
            <w:tcBorders>
              <w:top w:val="single" w:sz="4" w:space="0" w:color="auto"/>
            </w:tcBorders>
            <w:shd w:val="clear" w:color="auto" w:fill="auto"/>
            <w:vAlign w:val="bottom"/>
          </w:tcPr>
          <w:p w14:paraId="1C15A0C5" w14:textId="067F94A4" w:rsidR="00550422" w:rsidRPr="00892632" w:rsidRDefault="00892632" w:rsidP="00577845">
            <w:pPr>
              <w:tabs>
                <w:tab w:val="decimal" w:pos="637"/>
              </w:tabs>
              <w:spacing w:after="0"/>
              <w:rPr>
                <w:rFonts w:eastAsia="Times New Roman"/>
                <w:szCs w:val="18"/>
                <w:lang w:eastAsia="en-GB"/>
              </w:rPr>
            </w:pPr>
            <w:r>
              <w:rPr>
                <w:rFonts w:eastAsia="Times New Roman"/>
                <w:b/>
                <w:bCs/>
                <w:szCs w:val="18"/>
                <w:lang w:eastAsia="en-GB"/>
              </w:rPr>
              <w:t>174.0</w:t>
            </w:r>
          </w:p>
        </w:tc>
        <w:tc>
          <w:tcPr>
            <w:tcW w:w="169" w:type="pct"/>
          </w:tcPr>
          <w:p w14:paraId="04C56855" w14:textId="77777777" w:rsidR="00550422" w:rsidRPr="004F6EE6" w:rsidRDefault="00550422" w:rsidP="00550422">
            <w:pPr>
              <w:tabs>
                <w:tab w:val="decimal" w:pos="505"/>
              </w:tabs>
              <w:spacing w:after="0"/>
              <w:rPr>
                <w:rFonts w:eastAsia="Times New Roman"/>
                <w:szCs w:val="18"/>
                <w:lang w:eastAsia="en-GB"/>
              </w:rPr>
            </w:pPr>
          </w:p>
        </w:tc>
      </w:tr>
      <w:tr w:rsidR="008879F8" w:rsidRPr="00363580" w14:paraId="3655FB56" w14:textId="77777777" w:rsidTr="00692B9C">
        <w:trPr>
          <w:trHeight w:val="140"/>
        </w:trPr>
        <w:tc>
          <w:tcPr>
            <w:tcW w:w="2431" w:type="pct"/>
            <w:shd w:val="clear" w:color="auto" w:fill="auto"/>
          </w:tcPr>
          <w:p w14:paraId="7E5522D6" w14:textId="77777777" w:rsidR="00550422" w:rsidRPr="00577845" w:rsidRDefault="00550422" w:rsidP="00550422">
            <w:pPr>
              <w:spacing w:after="0"/>
              <w:rPr>
                <w:rFonts w:eastAsia="Times New Roman"/>
                <w:szCs w:val="18"/>
                <w:highlight w:val="yellow"/>
                <w:lang w:eastAsia="en-GB"/>
              </w:rPr>
            </w:pPr>
          </w:p>
        </w:tc>
        <w:tc>
          <w:tcPr>
            <w:tcW w:w="764" w:type="pct"/>
            <w:tcBorders>
              <w:top w:val="double" w:sz="4" w:space="0" w:color="auto"/>
            </w:tcBorders>
            <w:shd w:val="clear" w:color="auto" w:fill="auto"/>
          </w:tcPr>
          <w:p w14:paraId="232655EB" w14:textId="77777777" w:rsidR="00550422" w:rsidRPr="001F4923" w:rsidRDefault="00550422" w:rsidP="00957B0D">
            <w:pPr>
              <w:tabs>
                <w:tab w:val="decimal" w:pos="1125"/>
              </w:tabs>
              <w:spacing w:after="0"/>
              <w:rPr>
                <w:rFonts w:eastAsia="Times New Roman"/>
                <w:sz w:val="12"/>
                <w:szCs w:val="12"/>
                <w:highlight w:val="yellow"/>
                <w:lang w:eastAsia="en-GB"/>
              </w:rPr>
            </w:pPr>
          </w:p>
        </w:tc>
        <w:tc>
          <w:tcPr>
            <w:tcW w:w="626" w:type="pct"/>
            <w:tcBorders>
              <w:top w:val="double" w:sz="4" w:space="0" w:color="auto"/>
            </w:tcBorders>
            <w:shd w:val="clear" w:color="auto" w:fill="auto"/>
          </w:tcPr>
          <w:p w14:paraId="10BADAB0" w14:textId="77777777" w:rsidR="00550422" w:rsidRPr="001F4923" w:rsidRDefault="00550422" w:rsidP="00577845">
            <w:pPr>
              <w:tabs>
                <w:tab w:val="decimal" w:pos="936"/>
              </w:tabs>
              <w:spacing w:after="0"/>
              <w:rPr>
                <w:rFonts w:eastAsia="Times New Roman"/>
                <w:sz w:val="12"/>
                <w:szCs w:val="12"/>
                <w:highlight w:val="yellow"/>
                <w:lang w:eastAsia="en-GB"/>
              </w:rPr>
            </w:pPr>
          </w:p>
        </w:tc>
        <w:tc>
          <w:tcPr>
            <w:tcW w:w="486" w:type="pct"/>
            <w:tcBorders>
              <w:top w:val="double" w:sz="4" w:space="0" w:color="auto"/>
            </w:tcBorders>
            <w:shd w:val="clear" w:color="auto" w:fill="auto"/>
            <w:vAlign w:val="bottom"/>
          </w:tcPr>
          <w:p w14:paraId="6B643BE5" w14:textId="77777777" w:rsidR="00550422" w:rsidRPr="001F4923" w:rsidRDefault="00550422" w:rsidP="00577845">
            <w:pPr>
              <w:tabs>
                <w:tab w:val="decimal" w:pos="559"/>
              </w:tabs>
              <w:spacing w:after="0"/>
              <w:rPr>
                <w:rFonts w:eastAsia="Times New Roman"/>
                <w:sz w:val="12"/>
                <w:szCs w:val="12"/>
                <w:highlight w:val="yellow"/>
                <w:lang w:eastAsia="en-GB"/>
              </w:rPr>
            </w:pPr>
          </w:p>
        </w:tc>
        <w:tc>
          <w:tcPr>
            <w:tcW w:w="524" w:type="pct"/>
            <w:tcBorders>
              <w:top w:val="double" w:sz="4" w:space="0" w:color="auto"/>
            </w:tcBorders>
            <w:shd w:val="clear" w:color="auto" w:fill="auto"/>
            <w:vAlign w:val="bottom"/>
          </w:tcPr>
          <w:p w14:paraId="7F5AB59A" w14:textId="77777777" w:rsidR="00550422" w:rsidRPr="001F4923" w:rsidRDefault="00550422" w:rsidP="00577845">
            <w:pPr>
              <w:tabs>
                <w:tab w:val="decimal" w:pos="637"/>
              </w:tabs>
              <w:spacing w:after="0"/>
              <w:rPr>
                <w:rFonts w:eastAsia="Times New Roman"/>
                <w:sz w:val="12"/>
                <w:szCs w:val="12"/>
                <w:highlight w:val="yellow"/>
                <w:lang w:eastAsia="en-GB"/>
              </w:rPr>
            </w:pPr>
          </w:p>
        </w:tc>
        <w:tc>
          <w:tcPr>
            <w:tcW w:w="169" w:type="pct"/>
          </w:tcPr>
          <w:p w14:paraId="55F5C70F" w14:textId="77777777" w:rsidR="00550422" w:rsidRPr="00F2718C" w:rsidRDefault="00550422" w:rsidP="00550422">
            <w:pPr>
              <w:tabs>
                <w:tab w:val="decimal" w:pos="505"/>
              </w:tabs>
              <w:spacing w:after="0"/>
              <w:rPr>
                <w:rFonts w:eastAsia="Times New Roman"/>
                <w:sz w:val="12"/>
                <w:szCs w:val="12"/>
                <w:lang w:eastAsia="en-GB"/>
              </w:rPr>
            </w:pPr>
          </w:p>
        </w:tc>
      </w:tr>
      <w:tr w:rsidR="00036D7A" w:rsidRPr="00363580" w14:paraId="03B39EE0" w14:textId="77777777" w:rsidTr="00692B9C">
        <w:trPr>
          <w:trHeight w:val="100"/>
        </w:trPr>
        <w:tc>
          <w:tcPr>
            <w:tcW w:w="2431" w:type="pct"/>
            <w:shd w:val="clear" w:color="auto" w:fill="auto"/>
          </w:tcPr>
          <w:p w14:paraId="218C5C81" w14:textId="52F1248C" w:rsidR="00036D7A" w:rsidRPr="00577845" w:rsidRDefault="00036D7A" w:rsidP="00036D7A">
            <w:pPr>
              <w:spacing w:after="0"/>
              <w:rPr>
                <w:rFonts w:eastAsia="Times New Roman"/>
                <w:szCs w:val="18"/>
                <w:lang w:eastAsia="en-GB"/>
              </w:rPr>
            </w:pPr>
            <w:r w:rsidRPr="00577845">
              <w:rPr>
                <w:rFonts w:eastAsia="Times New Roman"/>
                <w:szCs w:val="18"/>
                <w:lang w:eastAsia="en-GB"/>
              </w:rPr>
              <w:t>Changes from financing cash flows</w:t>
            </w:r>
          </w:p>
        </w:tc>
        <w:tc>
          <w:tcPr>
            <w:tcW w:w="764" w:type="pct"/>
            <w:shd w:val="clear" w:color="auto" w:fill="auto"/>
            <w:vAlign w:val="bottom"/>
          </w:tcPr>
          <w:p w14:paraId="20C57816" w14:textId="7A49CF8C" w:rsidR="00036D7A" w:rsidRPr="005F0E7F" w:rsidRDefault="00B574AB" w:rsidP="00957B0D">
            <w:pPr>
              <w:tabs>
                <w:tab w:val="decimal" w:pos="1125"/>
              </w:tabs>
              <w:spacing w:after="0"/>
              <w:ind w:right="-61"/>
              <w:rPr>
                <w:rFonts w:eastAsia="Times New Roman"/>
                <w:szCs w:val="18"/>
                <w:lang w:eastAsia="en-GB"/>
              </w:rPr>
            </w:pPr>
            <w:r w:rsidRPr="005F0E7F">
              <w:rPr>
                <w:rFonts w:eastAsia="Times New Roman"/>
                <w:szCs w:val="18"/>
                <w:lang w:eastAsia="en-GB"/>
              </w:rPr>
              <w:t>101.6</w:t>
            </w:r>
            <w:r w:rsidR="00AD04F5" w:rsidRPr="00892632">
              <w:rPr>
                <w:rFonts w:eastAsia="Times New Roman"/>
                <w:szCs w:val="18"/>
                <w:vertAlign w:val="superscript"/>
                <w:lang w:eastAsia="en-GB"/>
              </w:rPr>
              <w:t>2</w:t>
            </w:r>
          </w:p>
        </w:tc>
        <w:tc>
          <w:tcPr>
            <w:tcW w:w="626" w:type="pct"/>
            <w:shd w:val="clear" w:color="auto" w:fill="auto"/>
            <w:vAlign w:val="bottom"/>
          </w:tcPr>
          <w:p w14:paraId="529CB8CF" w14:textId="1A3271C1" w:rsidR="00036D7A" w:rsidRPr="005F0E7F" w:rsidRDefault="00B574AB" w:rsidP="00577845">
            <w:pPr>
              <w:tabs>
                <w:tab w:val="decimal" w:pos="936"/>
              </w:tabs>
              <w:spacing w:after="0"/>
              <w:rPr>
                <w:rFonts w:eastAsia="Times New Roman"/>
                <w:szCs w:val="18"/>
                <w:lang w:eastAsia="en-GB"/>
              </w:rPr>
            </w:pPr>
            <w:r w:rsidRPr="005F0E7F">
              <w:rPr>
                <w:rFonts w:eastAsia="Times New Roman"/>
                <w:szCs w:val="18"/>
                <w:lang w:eastAsia="en-GB"/>
              </w:rPr>
              <w:t>-</w:t>
            </w:r>
          </w:p>
        </w:tc>
        <w:tc>
          <w:tcPr>
            <w:tcW w:w="486" w:type="pct"/>
            <w:shd w:val="clear" w:color="auto" w:fill="auto"/>
            <w:vAlign w:val="bottom"/>
          </w:tcPr>
          <w:p w14:paraId="616ACEB7" w14:textId="06907E09" w:rsidR="00036D7A" w:rsidRPr="005F0E7F" w:rsidRDefault="00B574AB" w:rsidP="00577845">
            <w:pPr>
              <w:tabs>
                <w:tab w:val="decimal" w:pos="559"/>
              </w:tabs>
              <w:spacing w:after="0"/>
              <w:ind w:right="-47"/>
              <w:rPr>
                <w:rFonts w:eastAsia="Times New Roman"/>
                <w:szCs w:val="18"/>
                <w:lang w:eastAsia="en-GB"/>
              </w:rPr>
            </w:pPr>
            <w:r w:rsidRPr="005F0E7F">
              <w:rPr>
                <w:rFonts w:eastAsia="Times New Roman"/>
                <w:szCs w:val="18"/>
                <w:lang w:eastAsia="en-GB"/>
              </w:rPr>
              <w:t>(4.1)</w:t>
            </w:r>
          </w:p>
        </w:tc>
        <w:tc>
          <w:tcPr>
            <w:tcW w:w="524" w:type="pct"/>
            <w:shd w:val="clear" w:color="auto" w:fill="auto"/>
            <w:vAlign w:val="bottom"/>
          </w:tcPr>
          <w:p w14:paraId="59892370" w14:textId="2D9701B9" w:rsidR="00036D7A" w:rsidRPr="005F0E7F" w:rsidRDefault="00B574AB" w:rsidP="00577845">
            <w:pPr>
              <w:tabs>
                <w:tab w:val="decimal" w:pos="637"/>
              </w:tabs>
              <w:spacing w:after="0"/>
              <w:rPr>
                <w:rFonts w:eastAsia="Times New Roman"/>
                <w:szCs w:val="18"/>
                <w:lang w:eastAsia="en-GB"/>
              </w:rPr>
            </w:pPr>
            <w:r w:rsidRPr="005F0E7F">
              <w:rPr>
                <w:rFonts w:eastAsia="Times New Roman"/>
                <w:szCs w:val="18"/>
                <w:lang w:eastAsia="en-GB"/>
              </w:rPr>
              <w:t>97.5</w:t>
            </w:r>
          </w:p>
        </w:tc>
        <w:tc>
          <w:tcPr>
            <w:tcW w:w="169" w:type="pct"/>
          </w:tcPr>
          <w:p w14:paraId="7D215B2C" w14:textId="77777777" w:rsidR="00036D7A" w:rsidRPr="004F6EE6" w:rsidRDefault="00036D7A" w:rsidP="00036D7A">
            <w:pPr>
              <w:tabs>
                <w:tab w:val="decimal" w:pos="505"/>
              </w:tabs>
              <w:spacing w:after="0"/>
              <w:rPr>
                <w:rFonts w:eastAsia="Times New Roman"/>
                <w:szCs w:val="18"/>
                <w:lang w:eastAsia="en-GB"/>
              </w:rPr>
            </w:pPr>
          </w:p>
        </w:tc>
      </w:tr>
      <w:tr w:rsidR="00036D7A" w:rsidRPr="00363580" w14:paraId="6249D8E2" w14:textId="77777777" w:rsidTr="00692B9C">
        <w:trPr>
          <w:trHeight w:val="100"/>
        </w:trPr>
        <w:tc>
          <w:tcPr>
            <w:tcW w:w="2431" w:type="pct"/>
            <w:shd w:val="clear" w:color="auto" w:fill="auto"/>
          </w:tcPr>
          <w:p w14:paraId="7271AECC" w14:textId="063A3DA0" w:rsidR="00036D7A" w:rsidRPr="00577845" w:rsidRDefault="00036D7A" w:rsidP="00036D7A">
            <w:pPr>
              <w:spacing w:after="0"/>
              <w:rPr>
                <w:rFonts w:eastAsia="Times New Roman"/>
                <w:szCs w:val="18"/>
                <w:lang w:eastAsia="en-GB"/>
              </w:rPr>
            </w:pPr>
            <w:r w:rsidRPr="00577845">
              <w:rPr>
                <w:rFonts w:eastAsia="Times New Roman"/>
                <w:szCs w:val="18"/>
                <w:lang w:eastAsia="en-GB"/>
              </w:rPr>
              <w:t>Changes arising from obtaining or losing control of consolidated funds</w:t>
            </w:r>
          </w:p>
        </w:tc>
        <w:tc>
          <w:tcPr>
            <w:tcW w:w="764" w:type="pct"/>
            <w:shd w:val="clear" w:color="auto" w:fill="auto"/>
          </w:tcPr>
          <w:p w14:paraId="0E4BC372" w14:textId="0E9ED63F" w:rsidR="00036D7A" w:rsidRPr="005F0E7F" w:rsidRDefault="00B574AB" w:rsidP="00957B0D">
            <w:pPr>
              <w:tabs>
                <w:tab w:val="decimal" w:pos="1125"/>
              </w:tabs>
              <w:spacing w:after="0"/>
              <w:rPr>
                <w:rFonts w:eastAsia="Times New Roman"/>
                <w:szCs w:val="18"/>
                <w:lang w:eastAsia="en-GB"/>
              </w:rPr>
            </w:pPr>
            <w:r w:rsidRPr="005F0E7F">
              <w:rPr>
                <w:rFonts w:eastAsia="Times New Roman"/>
                <w:szCs w:val="18"/>
                <w:lang w:eastAsia="en-GB"/>
              </w:rPr>
              <w:t>68.</w:t>
            </w:r>
            <w:r w:rsidR="002304B6">
              <w:rPr>
                <w:rFonts w:eastAsia="Times New Roman"/>
                <w:szCs w:val="18"/>
                <w:lang w:eastAsia="en-GB"/>
              </w:rPr>
              <w:t>9</w:t>
            </w:r>
          </w:p>
        </w:tc>
        <w:tc>
          <w:tcPr>
            <w:tcW w:w="626" w:type="pct"/>
            <w:shd w:val="clear" w:color="auto" w:fill="auto"/>
          </w:tcPr>
          <w:p w14:paraId="0B959F4B" w14:textId="076A3245" w:rsidR="00036D7A" w:rsidRPr="005F0E7F" w:rsidRDefault="00B574AB" w:rsidP="00577845">
            <w:pPr>
              <w:tabs>
                <w:tab w:val="decimal" w:pos="936"/>
              </w:tabs>
              <w:spacing w:after="0"/>
              <w:rPr>
                <w:rFonts w:eastAsia="Times New Roman"/>
                <w:szCs w:val="18"/>
                <w:lang w:eastAsia="en-GB"/>
              </w:rPr>
            </w:pPr>
            <w:r w:rsidRPr="005F0E7F">
              <w:rPr>
                <w:rFonts w:eastAsia="Times New Roman"/>
                <w:szCs w:val="18"/>
                <w:lang w:eastAsia="en-GB"/>
              </w:rPr>
              <w:t>-</w:t>
            </w:r>
          </w:p>
        </w:tc>
        <w:tc>
          <w:tcPr>
            <w:tcW w:w="486" w:type="pct"/>
            <w:shd w:val="clear" w:color="auto" w:fill="auto"/>
          </w:tcPr>
          <w:p w14:paraId="060CC08A" w14:textId="7A8890E8" w:rsidR="00036D7A" w:rsidRPr="005F0E7F" w:rsidRDefault="00B574AB" w:rsidP="00577845">
            <w:pPr>
              <w:tabs>
                <w:tab w:val="decimal" w:pos="559"/>
              </w:tabs>
              <w:spacing w:after="0"/>
              <w:rPr>
                <w:rFonts w:eastAsia="Times New Roman"/>
                <w:szCs w:val="18"/>
                <w:lang w:eastAsia="en-GB"/>
              </w:rPr>
            </w:pPr>
            <w:r w:rsidRPr="005F0E7F">
              <w:rPr>
                <w:rFonts w:eastAsia="Times New Roman"/>
                <w:szCs w:val="18"/>
                <w:lang w:eastAsia="en-GB"/>
              </w:rPr>
              <w:t>-</w:t>
            </w:r>
          </w:p>
        </w:tc>
        <w:tc>
          <w:tcPr>
            <w:tcW w:w="524" w:type="pct"/>
            <w:shd w:val="clear" w:color="auto" w:fill="auto"/>
          </w:tcPr>
          <w:p w14:paraId="32431BC4" w14:textId="7E8DF5B1" w:rsidR="00036D7A" w:rsidRPr="005F0E7F" w:rsidRDefault="00B574AB" w:rsidP="00577845">
            <w:pPr>
              <w:tabs>
                <w:tab w:val="decimal" w:pos="637"/>
              </w:tabs>
              <w:spacing w:after="0"/>
              <w:rPr>
                <w:rFonts w:eastAsia="Times New Roman"/>
                <w:szCs w:val="18"/>
                <w:lang w:eastAsia="en-GB"/>
              </w:rPr>
            </w:pPr>
            <w:r w:rsidRPr="005F0E7F">
              <w:rPr>
                <w:rFonts w:eastAsia="Times New Roman"/>
                <w:szCs w:val="18"/>
                <w:lang w:eastAsia="en-GB"/>
              </w:rPr>
              <w:t>68.</w:t>
            </w:r>
            <w:r w:rsidR="002304B6">
              <w:rPr>
                <w:rFonts w:eastAsia="Times New Roman"/>
                <w:szCs w:val="18"/>
                <w:lang w:eastAsia="en-GB"/>
              </w:rPr>
              <w:t>9</w:t>
            </w:r>
          </w:p>
        </w:tc>
        <w:tc>
          <w:tcPr>
            <w:tcW w:w="169" w:type="pct"/>
          </w:tcPr>
          <w:p w14:paraId="538CF96E" w14:textId="77777777" w:rsidR="00036D7A" w:rsidRPr="004F6EE6" w:rsidRDefault="00036D7A" w:rsidP="00036D7A">
            <w:pPr>
              <w:tabs>
                <w:tab w:val="decimal" w:pos="505"/>
              </w:tabs>
              <w:spacing w:after="0"/>
              <w:rPr>
                <w:rFonts w:eastAsia="Times New Roman"/>
                <w:szCs w:val="18"/>
                <w:lang w:eastAsia="en-GB"/>
              </w:rPr>
            </w:pPr>
          </w:p>
        </w:tc>
      </w:tr>
      <w:tr w:rsidR="00036D7A" w:rsidRPr="00363580" w14:paraId="05F58F9E" w14:textId="77777777" w:rsidTr="00692B9C">
        <w:trPr>
          <w:trHeight w:val="100"/>
        </w:trPr>
        <w:tc>
          <w:tcPr>
            <w:tcW w:w="2431" w:type="pct"/>
            <w:shd w:val="clear" w:color="auto" w:fill="auto"/>
          </w:tcPr>
          <w:p w14:paraId="1447160F" w14:textId="0C58C5F3" w:rsidR="00036D7A" w:rsidRPr="00577845" w:rsidRDefault="00036D7A" w:rsidP="00036D7A">
            <w:pPr>
              <w:spacing w:after="0"/>
              <w:rPr>
                <w:rFonts w:eastAsia="Times New Roman"/>
                <w:szCs w:val="18"/>
                <w:lang w:eastAsia="en-GB"/>
              </w:rPr>
            </w:pPr>
            <w:r w:rsidRPr="00577845">
              <w:rPr>
                <w:rFonts w:eastAsia="Times New Roman"/>
                <w:szCs w:val="18"/>
                <w:lang w:eastAsia="en-GB"/>
              </w:rPr>
              <w:t>Changes in fair value</w:t>
            </w:r>
          </w:p>
        </w:tc>
        <w:tc>
          <w:tcPr>
            <w:tcW w:w="764" w:type="pct"/>
            <w:shd w:val="clear" w:color="auto" w:fill="auto"/>
            <w:vAlign w:val="bottom"/>
          </w:tcPr>
          <w:p w14:paraId="0625E8C3" w14:textId="75EF41C1" w:rsidR="00036D7A" w:rsidRPr="005F0E7F" w:rsidRDefault="00B574AB" w:rsidP="00957B0D">
            <w:pPr>
              <w:tabs>
                <w:tab w:val="decimal" w:pos="1125"/>
              </w:tabs>
              <w:spacing w:after="0"/>
              <w:rPr>
                <w:rFonts w:eastAsia="Times New Roman"/>
                <w:szCs w:val="18"/>
                <w:lang w:eastAsia="en-GB"/>
              </w:rPr>
            </w:pPr>
            <w:r w:rsidRPr="005F0E7F">
              <w:rPr>
                <w:rFonts w:eastAsia="Times New Roman"/>
                <w:szCs w:val="18"/>
                <w:lang w:eastAsia="en-GB"/>
              </w:rPr>
              <w:t>0.1</w:t>
            </w:r>
          </w:p>
        </w:tc>
        <w:tc>
          <w:tcPr>
            <w:tcW w:w="626" w:type="pct"/>
            <w:shd w:val="clear" w:color="auto" w:fill="auto"/>
            <w:vAlign w:val="bottom"/>
          </w:tcPr>
          <w:p w14:paraId="775F33DD" w14:textId="5271E495" w:rsidR="00036D7A" w:rsidRPr="005F0E7F" w:rsidRDefault="00B574AB" w:rsidP="00577845">
            <w:pPr>
              <w:tabs>
                <w:tab w:val="decimal" w:pos="936"/>
              </w:tabs>
              <w:spacing w:after="0"/>
              <w:rPr>
                <w:rFonts w:eastAsia="Times New Roman"/>
                <w:szCs w:val="18"/>
                <w:lang w:eastAsia="en-GB"/>
              </w:rPr>
            </w:pPr>
            <w:r w:rsidRPr="005F0E7F">
              <w:rPr>
                <w:rFonts w:eastAsia="Times New Roman"/>
                <w:szCs w:val="18"/>
                <w:lang w:eastAsia="en-GB"/>
              </w:rPr>
              <w:t>-</w:t>
            </w:r>
          </w:p>
        </w:tc>
        <w:tc>
          <w:tcPr>
            <w:tcW w:w="486" w:type="pct"/>
            <w:shd w:val="clear" w:color="auto" w:fill="auto"/>
            <w:vAlign w:val="bottom"/>
          </w:tcPr>
          <w:p w14:paraId="1A5599E0" w14:textId="59A34553" w:rsidR="00036D7A" w:rsidRPr="005F0E7F" w:rsidRDefault="00B574AB" w:rsidP="00577845">
            <w:pPr>
              <w:tabs>
                <w:tab w:val="decimal" w:pos="559"/>
              </w:tabs>
              <w:spacing w:after="0"/>
              <w:rPr>
                <w:rFonts w:eastAsia="Times New Roman"/>
                <w:szCs w:val="18"/>
                <w:lang w:eastAsia="en-GB"/>
              </w:rPr>
            </w:pPr>
            <w:r w:rsidRPr="005F0E7F">
              <w:rPr>
                <w:rFonts w:eastAsia="Times New Roman"/>
                <w:szCs w:val="18"/>
                <w:lang w:eastAsia="en-GB"/>
              </w:rPr>
              <w:t>-</w:t>
            </w:r>
          </w:p>
        </w:tc>
        <w:tc>
          <w:tcPr>
            <w:tcW w:w="524" w:type="pct"/>
            <w:shd w:val="clear" w:color="auto" w:fill="auto"/>
            <w:vAlign w:val="bottom"/>
          </w:tcPr>
          <w:p w14:paraId="60FCF220" w14:textId="0659EA0E" w:rsidR="00036D7A" w:rsidRPr="005F0E7F" w:rsidRDefault="00B574AB" w:rsidP="00577845">
            <w:pPr>
              <w:tabs>
                <w:tab w:val="decimal" w:pos="637"/>
              </w:tabs>
              <w:spacing w:after="0"/>
              <w:rPr>
                <w:rFonts w:eastAsia="Times New Roman"/>
                <w:szCs w:val="18"/>
                <w:lang w:eastAsia="en-GB"/>
              </w:rPr>
            </w:pPr>
            <w:r w:rsidRPr="005F0E7F">
              <w:rPr>
                <w:rFonts w:eastAsia="Times New Roman"/>
                <w:szCs w:val="18"/>
                <w:lang w:eastAsia="en-GB"/>
              </w:rPr>
              <w:t>0.1</w:t>
            </w:r>
          </w:p>
        </w:tc>
        <w:tc>
          <w:tcPr>
            <w:tcW w:w="169" w:type="pct"/>
          </w:tcPr>
          <w:p w14:paraId="62E1A7F7" w14:textId="77777777" w:rsidR="00036D7A" w:rsidRPr="004F6EE6" w:rsidRDefault="00036D7A" w:rsidP="00036D7A">
            <w:pPr>
              <w:tabs>
                <w:tab w:val="decimal" w:pos="505"/>
              </w:tabs>
              <w:spacing w:after="0"/>
              <w:rPr>
                <w:rFonts w:eastAsia="Times New Roman"/>
                <w:szCs w:val="18"/>
                <w:lang w:eastAsia="en-GB"/>
              </w:rPr>
            </w:pPr>
          </w:p>
        </w:tc>
      </w:tr>
      <w:tr w:rsidR="00036D7A" w:rsidRPr="00363580" w14:paraId="036F3E54" w14:textId="77777777" w:rsidTr="00692B9C">
        <w:trPr>
          <w:trHeight w:val="100"/>
        </w:trPr>
        <w:tc>
          <w:tcPr>
            <w:tcW w:w="2431" w:type="pct"/>
            <w:shd w:val="clear" w:color="auto" w:fill="auto"/>
          </w:tcPr>
          <w:p w14:paraId="39A8D01C" w14:textId="72562B25" w:rsidR="00036D7A" w:rsidRPr="00577845" w:rsidRDefault="00036D7A" w:rsidP="00036D7A">
            <w:pPr>
              <w:spacing w:after="0"/>
              <w:rPr>
                <w:rFonts w:eastAsia="Times New Roman"/>
                <w:szCs w:val="18"/>
                <w:lang w:eastAsia="en-GB"/>
              </w:rPr>
            </w:pPr>
            <w:r w:rsidRPr="00577845">
              <w:rPr>
                <w:rFonts w:eastAsia="Times New Roman"/>
                <w:szCs w:val="18"/>
                <w:lang w:eastAsia="en-GB"/>
              </w:rPr>
              <w:t>Interest expense</w:t>
            </w:r>
          </w:p>
        </w:tc>
        <w:tc>
          <w:tcPr>
            <w:tcW w:w="764" w:type="pct"/>
            <w:shd w:val="clear" w:color="auto" w:fill="auto"/>
            <w:vAlign w:val="bottom"/>
          </w:tcPr>
          <w:p w14:paraId="1C44878F" w14:textId="7D9623E8" w:rsidR="00036D7A" w:rsidRPr="005F0E7F" w:rsidRDefault="00B574AB" w:rsidP="00957B0D">
            <w:pPr>
              <w:tabs>
                <w:tab w:val="decimal" w:pos="1125"/>
              </w:tabs>
              <w:spacing w:after="0"/>
              <w:rPr>
                <w:rFonts w:eastAsia="Times New Roman"/>
                <w:szCs w:val="18"/>
                <w:lang w:eastAsia="en-GB"/>
              </w:rPr>
            </w:pPr>
            <w:r w:rsidRPr="005F0E7F">
              <w:rPr>
                <w:rFonts w:eastAsia="Times New Roman"/>
                <w:szCs w:val="18"/>
                <w:lang w:eastAsia="en-GB"/>
              </w:rPr>
              <w:t>-</w:t>
            </w:r>
          </w:p>
        </w:tc>
        <w:tc>
          <w:tcPr>
            <w:tcW w:w="626" w:type="pct"/>
            <w:shd w:val="clear" w:color="auto" w:fill="auto"/>
            <w:vAlign w:val="bottom"/>
          </w:tcPr>
          <w:p w14:paraId="0C113412" w14:textId="7FFEFC3A" w:rsidR="00036D7A" w:rsidRPr="005F0E7F" w:rsidRDefault="00B574AB" w:rsidP="00577845">
            <w:pPr>
              <w:tabs>
                <w:tab w:val="decimal" w:pos="936"/>
              </w:tabs>
              <w:spacing w:after="0"/>
              <w:rPr>
                <w:rFonts w:eastAsia="Times New Roman"/>
                <w:szCs w:val="18"/>
                <w:lang w:eastAsia="en-GB"/>
              </w:rPr>
            </w:pPr>
            <w:r w:rsidRPr="005F0E7F">
              <w:rPr>
                <w:rFonts w:eastAsia="Times New Roman"/>
                <w:szCs w:val="18"/>
                <w:lang w:eastAsia="en-GB"/>
              </w:rPr>
              <w:t>0.1</w:t>
            </w:r>
          </w:p>
        </w:tc>
        <w:tc>
          <w:tcPr>
            <w:tcW w:w="486" w:type="pct"/>
            <w:shd w:val="clear" w:color="auto" w:fill="auto"/>
            <w:vAlign w:val="bottom"/>
          </w:tcPr>
          <w:p w14:paraId="0B075615" w14:textId="06F7A91E" w:rsidR="00036D7A" w:rsidRPr="005F0E7F" w:rsidRDefault="00B574AB" w:rsidP="00577845">
            <w:pPr>
              <w:tabs>
                <w:tab w:val="decimal" w:pos="559"/>
              </w:tabs>
              <w:spacing w:after="0"/>
              <w:rPr>
                <w:rFonts w:eastAsia="Times New Roman"/>
                <w:szCs w:val="18"/>
                <w:lang w:eastAsia="en-GB"/>
              </w:rPr>
            </w:pPr>
            <w:r w:rsidRPr="005F0E7F">
              <w:rPr>
                <w:rFonts w:eastAsia="Times New Roman"/>
                <w:szCs w:val="18"/>
                <w:lang w:eastAsia="en-GB"/>
              </w:rPr>
              <w:t>0.7</w:t>
            </w:r>
          </w:p>
        </w:tc>
        <w:tc>
          <w:tcPr>
            <w:tcW w:w="524" w:type="pct"/>
            <w:shd w:val="clear" w:color="auto" w:fill="auto"/>
            <w:vAlign w:val="bottom"/>
          </w:tcPr>
          <w:p w14:paraId="337E184E" w14:textId="617EEB94" w:rsidR="00036D7A" w:rsidRPr="005F0E7F" w:rsidRDefault="00B574AB" w:rsidP="00577845">
            <w:pPr>
              <w:tabs>
                <w:tab w:val="decimal" w:pos="637"/>
              </w:tabs>
              <w:spacing w:after="0"/>
              <w:rPr>
                <w:rFonts w:eastAsia="Times New Roman"/>
                <w:szCs w:val="18"/>
                <w:lang w:eastAsia="en-GB"/>
              </w:rPr>
            </w:pPr>
            <w:r w:rsidRPr="005F0E7F">
              <w:rPr>
                <w:rFonts w:eastAsia="Times New Roman"/>
                <w:szCs w:val="18"/>
                <w:lang w:eastAsia="en-GB"/>
              </w:rPr>
              <w:t>0.8</w:t>
            </w:r>
          </w:p>
        </w:tc>
        <w:tc>
          <w:tcPr>
            <w:tcW w:w="169" w:type="pct"/>
          </w:tcPr>
          <w:p w14:paraId="0777366A" w14:textId="77777777" w:rsidR="00036D7A" w:rsidRPr="004F6EE6" w:rsidRDefault="00036D7A" w:rsidP="00036D7A">
            <w:pPr>
              <w:tabs>
                <w:tab w:val="decimal" w:pos="505"/>
              </w:tabs>
              <w:spacing w:after="0"/>
              <w:rPr>
                <w:rFonts w:eastAsia="Times New Roman"/>
                <w:szCs w:val="18"/>
                <w:lang w:eastAsia="en-GB"/>
              </w:rPr>
            </w:pPr>
          </w:p>
        </w:tc>
      </w:tr>
      <w:tr w:rsidR="00036D7A" w:rsidRPr="00363580" w14:paraId="6F2979A0" w14:textId="77777777" w:rsidTr="005F0E7F">
        <w:trPr>
          <w:trHeight w:val="100"/>
        </w:trPr>
        <w:tc>
          <w:tcPr>
            <w:tcW w:w="2431" w:type="pct"/>
            <w:shd w:val="clear" w:color="auto" w:fill="auto"/>
          </w:tcPr>
          <w:p w14:paraId="062567B7" w14:textId="4CFBA515" w:rsidR="00036D7A" w:rsidRPr="00577845" w:rsidRDefault="00036D7A" w:rsidP="00036D7A">
            <w:pPr>
              <w:spacing w:after="0"/>
              <w:rPr>
                <w:rFonts w:eastAsia="Times New Roman"/>
                <w:szCs w:val="18"/>
                <w:lang w:eastAsia="en-GB"/>
              </w:rPr>
            </w:pPr>
            <w:r w:rsidRPr="00577845">
              <w:rPr>
                <w:rFonts w:eastAsia="Times New Roman"/>
                <w:b/>
                <w:bCs/>
                <w:szCs w:val="18"/>
                <w:lang w:eastAsia="en-GB"/>
              </w:rPr>
              <w:t xml:space="preserve">Liabilities arising from financing activities carried forward at </w:t>
            </w:r>
            <w:r w:rsidR="005E3494" w:rsidRPr="00577845">
              <w:rPr>
                <w:rFonts w:eastAsia="Times New Roman"/>
                <w:b/>
                <w:bCs/>
                <w:szCs w:val="18"/>
                <w:lang w:eastAsia="en-GB"/>
              </w:rPr>
              <w:t xml:space="preserve">30 June </w:t>
            </w:r>
            <w:r w:rsidR="00E85F7E" w:rsidRPr="00577845">
              <w:rPr>
                <w:rFonts w:eastAsia="Times New Roman"/>
                <w:b/>
                <w:bCs/>
                <w:szCs w:val="18"/>
                <w:lang w:eastAsia="en-GB"/>
              </w:rPr>
              <w:t>2024</w:t>
            </w:r>
          </w:p>
        </w:tc>
        <w:tc>
          <w:tcPr>
            <w:tcW w:w="764" w:type="pct"/>
            <w:tcBorders>
              <w:top w:val="single" w:sz="4" w:space="0" w:color="auto"/>
              <w:bottom w:val="double" w:sz="4" w:space="0" w:color="auto"/>
            </w:tcBorders>
            <w:shd w:val="clear" w:color="auto" w:fill="auto"/>
            <w:vAlign w:val="bottom"/>
          </w:tcPr>
          <w:p w14:paraId="64089705" w14:textId="27177A18" w:rsidR="00036D7A" w:rsidRPr="005F0E7F" w:rsidRDefault="00B574AB" w:rsidP="005F0E7F">
            <w:pPr>
              <w:tabs>
                <w:tab w:val="decimal" w:pos="1125"/>
              </w:tabs>
              <w:spacing w:after="0"/>
              <w:jc w:val="right"/>
              <w:rPr>
                <w:rFonts w:eastAsia="Times New Roman"/>
                <w:szCs w:val="18"/>
                <w:lang w:eastAsia="en-GB"/>
              </w:rPr>
            </w:pPr>
            <w:r w:rsidRPr="005F0E7F">
              <w:rPr>
                <w:rFonts w:eastAsia="Times New Roman"/>
                <w:b/>
                <w:bCs/>
                <w:szCs w:val="18"/>
                <w:lang w:eastAsia="en-GB"/>
              </w:rPr>
              <w:t>250.</w:t>
            </w:r>
            <w:r w:rsidR="002304B6">
              <w:rPr>
                <w:rFonts w:eastAsia="Times New Roman"/>
                <w:b/>
                <w:bCs/>
                <w:szCs w:val="18"/>
                <w:lang w:eastAsia="en-GB"/>
              </w:rPr>
              <w:t>8</w:t>
            </w:r>
          </w:p>
        </w:tc>
        <w:tc>
          <w:tcPr>
            <w:tcW w:w="626" w:type="pct"/>
            <w:tcBorders>
              <w:top w:val="single" w:sz="4" w:space="0" w:color="auto"/>
              <w:bottom w:val="double" w:sz="4" w:space="0" w:color="auto"/>
            </w:tcBorders>
            <w:shd w:val="clear" w:color="auto" w:fill="auto"/>
            <w:vAlign w:val="bottom"/>
          </w:tcPr>
          <w:p w14:paraId="389675DB" w14:textId="7BE177A5" w:rsidR="00036D7A" w:rsidRPr="005F0E7F" w:rsidRDefault="00E320EE" w:rsidP="00577845">
            <w:pPr>
              <w:tabs>
                <w:tab w:val="decimal" w:pos="936"/>
              </w:tabs>
              <w:spacing w:after="0"/>
              <w:rPr>
                <w:rFonts w:eastAsia="Times New Roman"/>
                <w:b/>
                <w:bCs/>
                <w:szCs w:val="18"/>
                <w:lang w:eastAsia="en-GB"/>
              </w:rPr>
            </w:pPr>
            <w:r w:rsidRPr="005F0E7F">
              <w:rPr>
                <w:rFonts w:eastAsia="Times New Roman"/>
                <w:b/>
                <w:bCs/>
                <w:szCs w:val="18"/>
                <w:lang w:eastAsia="en-GB"/>
              </w:rPr>
              <w:t>49.8</w:t>
            </w:r>
          </w:p>
        </w:tc>
        <w:tc>
          <w:tcPr>
            <w:tcW w:w="486" w:type="pct"/>
            <w:tcBorders>
              <w:top w:val="single" w:sz="4" w:space="0" w:color="auto"/>
              <w:bottom w:val="double" w:sz="4" w:space="0" w:color="auto"/>
            </w:tcBorders>
            <w:shd w:val="clear" w:color="auto" w:fill="auto"/>
            <w:vAlign w:val="bottom"/>
          </w:tcPr>
          <w:p w14:paraId="7F3420A1" w14:textId="667C6D1B" w:rsidR="00036D7A" w:rsidRPr="005F0E7F" w:rsidRDefault="00E320EE" w:rsidP="00577845">
            <w:pPr>
              <w:tabs>
                <w:tab w:val="decimal" w:pos="559"/>
              </w:tabs>
              <w:spacing w:after="0"/>
              <w:rPr>
                <w:rFonts w:eastAsia="Times New Roman"/>
                <w:b/>
                <w:bCs/>
                <w:szCs w:val="18"/>
                <w:lang w:eastAsia="en-GB"/>
              </w:rPr>
            </w:pPr>
            <w:r w:rsidRPr="005F0E7F">
              <w:rPr>
                <w:rFonts w:eastAsia="Times New Roman"/>
                <w:b/>
                <w:bCs/>
                <w:szCs w:val="18"/>
                <w:lang w:eastAsia="en-GB"/>
              </w:rPr>
              <w:t>40.7</w:t>
            </w:r>
          </w:p>
        </w:tc>
        <w:tc>
          <w:tcPr>
            <w:tcW w:w="524" w:type="pct"/>
            <w:tcBorders>
              <w:top w:val="single" w:sz="4" w:space="0" w:color="auto"/>
              <w:bottom w:val="double" w:sz="4" w:space="0" w:color="auto"/>
            </w:tcBorders>
            <w:shd w:val="clear" w:color="auto" w:fill="auto"/>
            <w:vAlign w:val="bottom"/>
          </w:tcPr>
          <w:p w14:paraId="0DD4CB09" w14:textId="4AB3A8AF" w:rsidR="00036D7A" w:rsidRPr="005F0E7F" w:rsidRDefault="00E320EE" w:rsidP="00577845">
            <w:pPr>
              <w:tabs>
                <w:tab w:val="decimal" w:pos="637"/>
              </w:tabs>
              <w:spacing w:after="0"/>
              <w:rPr>
                <w:rFonts w:eastAsia="Times New Roman"/>
                <w:b/>
                <w:bCs/>
                <w:szCs w:val="18"/>
                <w:lang w:eastAsia="en-GB"/>
              </w:rPr>
            </w:pPr>
            <w:r w:rsidRPr="005F0E7F">
              <w:rPr>
                <w:rFonts w:eastAsia="Times New Roman"/>
                <w:b/>
                <w:bCs/>
                <w:szCs w:val="18"/>
                <w:lang w:eastAsia="en-GB"/>
              </w:rPr>
              <w:t>341.</w:t>
            </w:r>
            <w:r w:rsidR="002304B6">
              <w:rPr>
                <w:rFonts w:eastAsia="Times New Roman"/>
                <w:b/>
                <w:bCs/>
                <w:szCs w:val="18"/>
                <w:lang w:eastAsia="en-GB"/>
              </w:rPr>
              <w:t>3</w:t>
            </w:r>
          </w:p>
        </w:tc>
        <w:tc>
          <w:tcPr>
            <w:tcW w:w="169" w:type="pct"/>
          </w:tcPr>
          <w:p w14:paraId="377DC634" w14:textId="77777777" w:rsidR="00036D7A" w:rsidRPr="004F6EE6" w:rsidRDefault="00036D7A" w:rsidP="00036D7A">
            <w:pPr>
              <w:tabs>
                <w:tab w:val="decimal" w:pos="505"/>
              </w:tabs>
              <w:spacing w:after="0"/>
              <w:rPr>
                <w:rFonts w:eastAsia="Times New Roman"/>
                <w:szCs w:val="18"/>
                <w:lang w:eastAsia="en-GB"/>
              </w:rPr>
            </w:pPr>
          </w:p>
        </w:tc>
      </w:tr>
      <w:tr w:rsidR="00036D7A" w:rsidRPr="00363580" w14:paraId="1AA9664C" w14:textId="77777777" w:rsidTr="00692B9C">
        <w:trPr>
          <w:trHeight w:val="100"/>
        </w:trPr>
        <w:tc>
          <w:tcPr>
            <w:tcW w:w="2431" w:type="pct"/>
            <w:shd w:val="clear" w:color="auto" w:fill="auto"/>
          </w:tcPr>
          <w:p w14:paraId="76A4DE13" w14:textId="77777777" w:rsidR="00036D7A" w:rsidRPr="00761CB1" w:rsidRDefault="00036D7A" w:rsidP="00036D7A">
            <w:pPr>
              <w:spacing w:after="0"/>
              <w:rPr>
                <w:rFonts w:eastAsia="Times New Roman"/>
                <w:sz w:val="16"/>
                <w:lang w:eastAsia="en-GB"/>
              </w:rPr>
            </w:pPr>
          </w:p>
        </w:tc>
        <w:tc>
          <w:tcPr>
            <w:tcW w:w="764" w:type="pct"/>
            <w:tcBorders>
              <w:top w:val="double" w:sz="4" w:space="0" w:color="auto"/>
            </w:tcBorders>
            <w:shd w:val="clear" w:color="auto" w:fill="auto"/>
          </w:tcPr>
          <w:p w14:paraId="2DE883AD" w14:textId="77777777" w:rsidR="00036D7A" w:rsidRPr="001F4923" w:rsidRDefault="00036D7A" w:rsidP="00957B0D">
            <w:pPr>
              <w:tabs>
                <w:tab w:val="decimal" w:pos="451"/>
                <w:tab w:val="decimal" w:pos="1125"/>
              </w:tabs>
              <w:spacing w:after="0"/>
              <w:rPr>
                <w:rFonts w:eastAsia="Times New Roman"/>
                <w:szCs w:val="18"/>
                <w:highlight w:val="yellow"/>
                <w:lang w:eastAsia="en-GB"/>
              </w:rPr>
            </w:pPr>
          </w:p>
        </w:tc>
        <w:tc>
          <w:tcPr>
            <w:tcW w:w="626" w:type="pct"/>
            <w:tcBorders>
              <w:top w:val="double" w:sz="4" w:space="0" w:color="auto"/>
            </w:tcBorders>
            <w:shd w:val="clear" w:color="auto" w:fill="auto"/>
          </w:tcPr>
          <w:p w14:paraId="4C105897" w14:textId="77777777" w:rsidR="00036D7A" w:rsidRPr="001F4923" w:rsidRDefault="00036D7A" w:rsidP="00036D7A">
            <w:pPr>
              <w:tabs>
                <w:tab w:val="decimal" w:pos="669"/>
              </w:tabs>
              <w:spacing w:after="0"/>
              <w:rPr>
                <w:rFonts w:eastAsia="Times New Roman"/>
                <w:szCs w:val="18"/>
                <w:highlight w:val="yellow"/>
                <w:lang w:eastAsia="en-GB"/>
              </w:rPr>
            </w:pPr>
          </w:p>
        </w:tc>
        <w:tc>
          <w:tcPr>
            <w:tcW w:w="486" w:type="pct"/>
            <w:tcBorders>
              <w:top w:val="double" w:sz="4" w:space="0" w:color="auto"/>
            </w:tcBorders>
            <w:shd w:val="clear" w:color="auto" w:fill="auto"/>
            <w:vAlign w:val="bottom"/>
          </w:tcPr>
          <w:p w14:paraId="2A238368" w14:textId="77777777" w:rsidR="00036D7A" w:rsidRPr="001F4923" w:rsidRDefault="00036D7A" w:rsidP="00036D7A">
            <w:pPr>
              <w:tabs>
                <w:tab w:val="decimal" w:pos="369"/>
              </w:tabs>
              <w:spacing w:after="0"/>
              <w:rPr>
                <w:rFonts w:eastAsia="Times New Roman"/>
                <w:szCs w:val="18"/>
                <w:highlight w:val="yellow"/>
                <w:lang w:eastAsia="en-GB"/>
              </w:rPr>
            </w:pPr>
          </w:p>
        </w:tc>
        <w:tc>
          <w:tcPr>
            <w:tcW w:w="524" w:type="pct"/>
            <w:tcBorders>
              <w:top w:val="double" w:sz="4" w:space="0" w:color="auto"/>
            </w:tcBorders>
            <w:shd w:val="clear" w:color="auto" w:fill="auto"/>
            <w:vAlign w:val="bottom"/>
          </w:tcPr>
          <w:p w14:paraId="2F74EB7F" w14:textId="77777777" w:rsidR="00036D7A" w:rsidRPr="001F4923" w:rsidRDefault="00036D7A" w:rsidP="00036D7A">
            <w:pPr>
              <w:tabs>
                <w:tab w:val="decimal" w:pos="473"/>
              </w:tabs>
              <w:spacing w:after="0"/>
              <w:rPr>
                <w:rFonts w:eastAsia="Times New Roman"/>
                <w:szCs w:val="18"/>
                <w:highlight w:val="yellow"/>
                <w:lang w:eastAsia="en-GB"/>
              </w:rPr>
            </w:pPr>
          </w:p>
        </w:tc>
        <w:tc>
          <w:tcPr>
            <w:tcW w:w="169" w:type="pct"/>
          </w:tcPr>
          <w:p w14:paraId="337B4240" w14:textId="77777777" w:rsidR="00036D7A" w:rsidRPr="004F6EE6" w:rsidRDefault="00036D7A" w:rsidP="00036D7A">
            <w:pPr>
              <w:tabs>
                <w:tab w:val="decimal" w:pos="505"/>
              </w:tabs>
              <w:spacing w:after="0"/>
              <w:rPr>
                <w:rFonts w:eastAsia="Times New Roman"/>
                <w:szCs w:val="18"/>
                <w:lang w:eastAsia="en-GB"/>
              </w:rPr>
            </w:pPr>
          </w:p>
        </w:tc>
      </w:tr>
      <w:tr w:rsidR="00B91744" w:rsidRPr="00363580" w14:paraId="2F5E5510" w14:textId="77777777" w:rsidTr="00692B9C">
        <w:trPr>
          <w:trHeight w:val="233"/>
        </w:trPr>
        <w:tc>
          <w:tcPr>
            <w:tcW w:w="2431" w:type="pct"/>
            <w:shd w:val="clear" w:color="auto" w:fill="auto"/>
          </w:tcPr>
          <w:p w14:paraId="418FECB7" w14:textId="77777777" w:rsidR="004D34BC" w:rsidRPr="00761CB1" w:rsidRDefault="004D34BC">
            <w:pPr>
              <w:spacing w:after="0"/>
              <w:rPr>
                <w:rFonts w:eastAsia="Times New Roman"/>
                <w:sz w:val="16"/>
                <w:lang w:eastAsia="en-GB"/>
              </w:rPr>
            </w:pPr>
            <w:r w:rsidRPr="00761CB1">
              <w:rPr>
                <w:rFonts w:eastAsia="Times New Roman"/>
                <w:sz w:val="16"/>
                <w:lang w:eastAsia="en-GB"/>
              </w:rPr>
              <w:t>Notes</w:t>
            </w:r>
          </w:p>
        </w:tc>
        <w:tc>
          <w:tcPr>
            <w:tcW w:w="764" w:type="pct"/>
            <w:shd w:val="clear" w:color="auto" w:fill="auto"/>
          </w:tcPr>
          <w:p w14:paraId="4978FC06" w14:textId="77777777" w:rsidR="004D34BC" w:rsidRPr="001F4923" w:rsidRDefault="004D34BC" w:rsidP="00957B0D">
            <w:pPr>
              <w:tabs>
                <w:tab w:val="decimal" w:pos="451"/>
                <w:tab w:val="decimal" w:pos="1125"/>
              </w:tabs>
              <w:spacing w:after="0"/>
              <w:rPr>
                <w:rFonts w:eastAsia="Times New Roman"/>
                <w:szCs w:val="18"/>
                <w:highlight w:val="yellow"/>
                <w:lang w:eastAsia="en-GB"/>
              </w:rPr>
            </w:pPr>
          </w:p>
        </w:tc>
        <w:tc>
          <w:tcPr>
            <w:tcW w:w="626" w:type="pct"/>
            <w:shd w:val="clear" w:color="auto" w:fill="auto"/>
          </w:tcPr>
          <w:p w14:paraId="41696053" w14:textId="77777777" w:rsidR="004D34BC" w:rsidRPr="001F4923" w:rsidRDefault="004D34BC" w:rsidP="00F2718C">
            <w:pPr>
              <w:tabs>
                <w:tab w:val="decimal" w:pos="607"/>
              </w:tabs>
              <w:spacing w:after="0"/>
              <w:ind w:right="38"/>
              <w:jc w:val="right"/>
              <w:rPr>
                <w:rFonts w:eastAsia="Times New Roman"/>
                <w:szCs w:val="18"/>
                <w:highlight w:val="yellow"/>
                <w:lang w:eastAsia="en-GB"/>
              </w:rPr>
            </w:pPr>
            <w:r w:rsidRPr="00761CB1">
              <w:rPr>
                <w:rFonts w:eastAsia="Times New Roman"/>
                <w:szCs w:val="18"/>
                <w:lang w:eastAsia="en-GB"/>
              </w:rPr>
              <w:t>13</w:t>
            </w:r>
          </w:p>
        </w:tc>
        <w:tc>
          <w:tcPr>
            <w:tcW w:w="486" w:type="pct"/>
            <w:shd w:val="clear" w:color="auto" w:fill="auto"/>
            <w:vAlign w:val="bottom"/>
          </w:tcPr>
          <w:p w14:paraId="02A12A72" w14:textId="77777777" w:rsidR="004D34BC" w:rsidRPr="001F4923" w:rsidRDefault="004D34BC">
            <w:pPr>
              <w:tabs>
                <w:tab w:val="decimal" w:pos="369"/>
              </w:tabs>
              <w:spacing w:after="0"/>
              <w:rPr>
                <w:rFonts w:eastAsia="Times New Roman"/>
                <w:szCs w:val="18"/>
                <w:highlight w:val="yellow"/>
                <w:lang w:eastAsia="en-GB"/>
              </w:rPr>
            </w:pPr>
          </w:p>
        </w:tc>
        <w:tc>
          <w:tcPr>
            <w:tcW w:w="524" w:type="pct"/>
            <w:shd w:val="clear" w:color="auto" w:fill="auto"/>
            <w:vAlign w:val="bottom"/>
          </w:tcPr>
          <w:p w14:paraId="7BE6062A" w14:textId="77777777" w:rsidR="004D34BC" w:rsidRPr="001F4923" w:rsidRDefault="004D34BC">
            <w:pPr>
              <w:tabs>
                <w:tab w:val="decimal" w:pos="473"/>
              </w:tabs>
              <w:spacing w:after="0"/>
              <w:rPr>
                <w:rFonts w:eastAsia="Times New Roman"/>
                <w:szCs w:val="18"/>
                <w:highlight w:val="yellow"/>
                <w:lang w:eastAsia="en-GB"/>
              </w:rPr>
            </w:pPr>
          </w:p>
        </w:tc>
        <w:tc>
          <w:tcPr>
            <w:tcW w:w="169" w:type="pct"/>
          </w:tcPr>
          <w:p w14:paraId="428786A6" w14:textId="77777777" w:rsidR="004D34BC" w:rsidRPr="004F6EE6" w:rsidRDefault="004D34BC">
            <w:pPr>
              <w:tabs>
                <w:tab w:val="decimal" w:pos="505"/>
              </w:tabs>
              <w:spacing w:after="0"/>
              <w:rPr>
                <w:rFonts w:eastAsia="Times New Roman"/>
                <w:szCs w:val="18"/>
                <w:lang w:eastAsia="en-GB"/>
              </w:rPr>
            </w:pPr>
          </w:p>
        </w:tc>
      </w:tr>
    </w:tbl>
    <w:bookmarkEnd w:id="10"/>
    <w:p w14:paraId="31163C82" w14:textId="34C60FE5" w:rsidR="00BF45FC" w:rsidRPr="00957B0D" w:rsidRDefault="005C719B" w:rsidP="00957B0D">
      <w:pPr>
        <w:pStyle w:val="Footnote"/>
      </w:pPr>
      <w:r w:rsidRPr="00952D0B">
        <w:rPr>
          <w:vertAlign w:val="superscript"/>
        </w:rPr>
        <w:t>1</w:t>
      </w:r>
      <w:r w:rsidR="00957B0D">
        <w:t xml:space="preserve"> </w:t>
      </w:r>
      <w:r w:rsidRPr="00957B0D">
        <w:t xml:space="preserve">Accrued interest on loans and borrowings is recorded within ‘Trade and other payables’ and is therefore not included in </w:t>
      </w:r>
      <w:r w:rsidR="00C65EA6" w:rsidRPr="00957B0D">
        <w:t>this analysis. The interest expense above comprises the charge arising from unwinding the discount applied in calculating the amo</w:t>
      </w:r>
      <w:r w:rsidR="003109D2" w:rsidRPr="00957B0D">
        <w:t xml:space="preserve">rtised cost of the subordinated debt. </w:t>
      </w:r>
    </w:p>
    <w:p w14:paraId="7E2A9507" w14:textId="694EA965" w:rsidR="00FE5D39" w:rsidRPr="00957B0D" w:rsidRDefault="003141A9" w:rsidP="00577845">
      <w:pPr>
        <w:pStyle w:val="Footnote"/>
        <w:spacing w:after="240"/>
      </w:pPr>
      <w:r w:rsidRPr="00952D0B">
        <w:rPr>
          <w:vertAlign w:val="superscript"/>
        </w:rPr>
        <w:t>2</w:t>
      </w:r>
      <w:r w:rsidR="00957B0D">
        <w:t xml:space="preserve"> </w:t>
      </w:r>
      <w:r w:rsidRPr="00957B0D">
        <w:t xml:space="preserve">Comprises cash flows </w:t>
      </w:r>
      <w:r w:rsidR="00F25986" w:rsidRPr="00957B0D">
        <w:t>from third-party subscriptions into consolidated funds</w:t>
      </w:r>
      <w:r w:rsidR="00892632">
        <w:t>, net of redemptions</w:t>
      </w:r>
      <w:r w:rsidR="00F25986" w:rsidRPr="00957B0D">
        <w:t xml:space="preserve"> (see Cash flow statement).</w:t>
      </w:r>
    </w:p>
    <w:p w14:paraId="7567FBF3" w14:textId="111D060C" w:rsidR="00C710E8" w:rsidRDefault="00EC3751" w:rsidP="00577845">
      <w:pPr>
        <w:pStyle w:val="Subheading"/>
        <w:spacing w:before="360" w:line="240" w:lineRule="exact"/>
        <w:contextualSpacing/>
      </w:pPr>
      <w:r w:rsidRPr="004C5302" w:rsidDel="00934EF0">
        <w:t>19.</w:t>
      </w:r>
      <w:r w:rsidR="005E18D3" w:rsidDel="00934EF0">
        <w:tab/>
      </w:r>
      <w:r w:rsidR="00221DDE">
        <w:t xml:space="preserve">Financial </w:t>
      </w:r>
      <w:r w:rsidR="00AF496D">
        <w:t>i</w:t>
      </w:r>
      <w:r w:rsidR="00221DDE">
        <w:t>nstruments</w:t>
      </w:r>
    </w:p>
    <w:p w14:paraId="40E1974D" w14:textId="0C3EEEE8" w:rsidR="00C710E8" w:rsidRPr="00C710E8" w:rsidRDefault="00C710E8" w:rsidP="00C710E8">
      <w:pPr>
        <w:pStyle w:val="Bodytext0"/>
      </w:pPr>
      <w:r w:rsidRPr="00C710E8">
        <w:t>Financial instruments held at fair value are carried at a value which represents the price to exit the instruments at the balance sheet date. The fair value of financial instruments that are actively traded in organised financial markets is determined by reference to quoted market bid prices at the close of business on the balance sheet date. Where a quoted market price is not available, the Group establishes</w:t>
      </w:r>
      <w:r w:rsidR="007C2932">
        <w:t xml:space="preserve"> the</w:t>
      </w:r>
      <w:r w:rsidRPr="00C710E8">
        <w:t xml:space="preserve"> fair value using valuation techniques such as recent arm’s length market transactions, reference to the current fair value of another instrument that is substantially the same, discounted cash flow analysis or other valuation models.</w:t>
      </w:r>
      <w:r w:rsidR="009E08E3" w:rsidRPr="009E08E3">
        <w:t xml:space="preserve"> </w:t>
      </w:r>
      <w:r w:rsidR="009E08E3">
        <w:t>For financial instruments not held at fair value, their carrying amount is a reasonable approximation of their fair value.</w:t>
      </w:r>
    </w:p>
    <w:p w14:paraId="29762A22" w14:textId="77777777" w:rsidR="00C710E8" w:rsidRPr="00C710E8" w:rsidRDefault="00C710E8" w:rsidP="00C710E8">
      <w:pPr>
        <w:pStyle w:val="Bodytext0"/>
      </w:pPr>
      <w:r w:rsidRPr="00C710E8">
        <w:t>The Group used the following hierarchy for determining and disclosing the fair value of financial instruments:</w:t>
      </w:r>
    </w:p>
    <w:p w14:paraId="353B26EE" w14:textId="00EC649A" w:rsidR="00C710E8" w:rsidRPr="00C710E8" w:rsidRDefault="00C710E8" w:rsidP="00CF007D">
      <w:pPr>
        <w:pStyle w:val="Bullet1Bold"/>
      </w:pPr>
      <w:r w:rsidRPr="00221DDE">
        <w:rPr>
          <w:rFonts w:ascii="Source Sans Pro" w:hAnsi="Source Sans Pro"/>
        </w:rPr>
        <w:t>Level 1: quoted prices (unadjusted) in active markets for identical assets or liabilities.</w:t>
      </w:r>
    </w:p>
    <w:p w14:paraId="3951445D" w14:textId="1EED1440" w:rsidR="00C710E8" w:rsidRPr="00C710E8" w:rsidRDefault="00C710E8" w:rsidP="00CF007D">
      <w:pPr>
        <w:pStyle w:val="Bullet1Bold"/>
      </w:pPr>
      <w:r w:rsidRPr="00221DDE">
        <w:rPr>
          <w:rFonts w:ascii="Source Sans Pro" w:hAnsi="Source Sans Pro"/>
        </w:rPr>
        <w:t>Level 2: other techniques, for which all inputs which have a significant effect on the recorded fair value are observable, either directly or indirectly.</w:t>
      </w:r>
    </w:p>
    <w:p w14:paraId="7DB87DB2" w14:textId="7FDF57E1" w:rsidR="00C710E8" w:rsidRPr="00C710E8" w:rsidRDefault="00C710E8" w:rsidP="00CF007D">
      <w:pPr>
        <w:pStyle w:val="Bullet1Bold"/>
      </w:pPr>
      <w:r w:rsidRPr="00221DDE">
        <w:rPr>
          <w:rFonts w:ascii="Source Sans Pro" w:hAnsi="Source Sans Pro"/>
        </w:rPr>
        <w:t>Level 3: techniques which use inputs which have a significant effect on the recorded fair value that are not based on observable market data (unobservable inputs).</w:t>
      </w:r>
    </w:p>
    <w:p w14:paraId="58DB0D95" w14:textId="34D9DDF1" w:rsidR="00957B0D" w:rsidRDefault="00957B0D">
      <w:pPr>
        <w:rPr>
          <w:rFonts w:eastAsiaTheme="minorHAnsi"/>
          <w:sz w:val="20"/>
          <w:lang w:val="en-GB" w:eastAsia="en-US"/>
        </w:rPr>
      </w:pPr>
      <w:r>
        <w:br w:type="page"/>
      </w:r>
    </w:p>
    <w:p w14:paraId="71525EC1" w14:textId="795EECDA" w:rsidR="00CC5ECC" w:rsidRPr="00C710E8" w:rsidRDefault="00C710E8" w:rsidP="00C710E8">
      <w:pPr>
        <w:pStyle w:val="Bodytext0"/>
      </w:pPr>
      <w:r w:rsidRPr="00C710E8">
        <w:lastRenderedPageBreak/>
        <w:t xml:space="preserve">As at 30 June </w:t>
      </w:r>
      <w:r w:rsidR="00E85F7E">
        <w:t>2024</w:t>
      </w:r>
      <w:r w:rsidRPr="00C710E8">
        <w:t>, the Group held the following financial instruments measured at fair value</w:t>
      </w:r>
      <w:r w:rsidR="003658D9">
        <w:t>:</w:t>
      </w:r>
    </w:p>
    <w:tbl>
      <w:tblPr>
        <w:tblStyle w:val="TableGrid"/>
        <w:tblW w:w="9956"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10"/>
        <w:gridCol w:w="1498"/>
        <w:gridCol w:w="185"/>
        <w:gridCol w:w="1498"/>
        <w:gridCol w:w="185"/>
        <w:gridCol w:w="1497"/>
        <w:gridCol w:w="185"/>
        <w:gridCol w:w="1498"/>
      </w:tblGrid>
      <w:tr w:rsidR="00C710E8" w:rsidRPr="00922B5E" w14:paraId="5A37FABB" w14:textId="77777777" w:rsidTr="00957B0D">
        <w:trPr>
          <w:trHeight w:hRule="exact" w:val="284"/>
        </w:trPr>
        <w:tc>
          <w:tcPr>
            <w:tcW w:w="3410" w:type="dxa"/>
            <w:tcBorders>
              <w:top w:val="nil"/>
              <w:bottom w:val="nil"/>
            </w:tcBorders>
            <w:vAlign w:val="bottom"/>
          </w:tcPr>
          <w:p w14:paraId="7DEC7AFA" w14:textId="6D79B554" w:rsidR="00C710E8" w:rsidRPr="005405BA" w:rsidRDefault="00C710E8" w:rsidP="00957B0D">
            <w:pPr>
              <w:pStyle w:val="Tableheading"/>
              <w:jc w:val="right"/>
            </w:pPr>
          </w:p>
        </w:tc>
        <w:tc>
          <w:tcPr>
            <w:tcW w:w="1498" w:type="dxa"/>
            <w:tcBorders>
              <w:top w:val="nil"/>
              <w:bottom w:val="nil"/>
            </w:tcBorders>
            <w:vAlign w:val="bottom"/>
          </w:tcPr>
          <w:p w14:paraId="3AEDA2A5" w14:textId="09FD89AA" w:rsidR="00C710E8" w:rsidRDefault="003658D9" w:rsidP="00957B0D">
            <w:pPr>
              <w:pStyle w:val="Tableheading"/>
              <w:jc w:val="right"/>
            </w:pPr>
            <w:r>
              <w:t>Level 1</w:t>
            </w:r>
          </w:p>
        </w:tc>
        <w:tc>
          <w:tcPr>
            <w:tcW w:w="185" w:type="dxa"/>
            <w:tcBorders>
              <w:top w:val="nil"/>
              <w:bottom w:val="nil"/>
            </w:tcBorders>
            <w:vAlign w:val="bottom"/>
          </w:tcPr>
          <w:p w14:paraId="4985634A" w14:textId="77777777" w:rsidR="00C710E8" w:rsidRPr="00922B5E" w:rsidRDefault="00C710E8" w:rsidP="00957B0D">
            <w:pPr>
              <w:pStyle w:val="Tableheading"/>
              <w:jc w:val="right"/>
            </w:pPr>
          </w:p>
        </w:tc>
        <w:tc>
          <w:tcPr>
            <w:tcW w:w="1498" w:type="dxa"/>
            <w:tcBorders>
              <w:top w:val="nil"/>
              <w:bottom w:val="nil"/>
            </w:tcBorders>
            <w:vAlign w:val="bottom"/>
          </w:tcPr>
          <w:p w14:paraId="11A8C41F" w14:textId="7DEE6A2D" w:rsidR="00C710E8" w:rsidRPr="00922B5E" w:rsidRDefault="003658D9" w:rsidP="00957B0D">
            <w:pPr>
              <w:pStyle w:val="Tableheading"/>
              <w:jc w:val="right"/>
            </w:pPr>
            <w:r>
              <w:t>Level 2</w:t>
            </w:r>
          </w:p>
        </w:tc>
        <w:tc>
          <w:tcPr>
            <w:tcW w:w="185" w:type="dxa"/>
            <w:tcBorders>
              <w:top w:val="nil"/>
              <w:bottom w:val="nil"/>
            </w:tcBorders>
            <w:vAlign w:val="bottom"/>
          </w:tcPr>
          <w:p w14:paraId="12789F53" w14:textId="77777777" w:rsidR="00C710E8" w:rsidRDefault="00C710E8" w:rsidP="00957B0D">
            <w:pPr>
              <w:pStyle w:val="Tableheading"/>
              <w:jc w:val="right"/>
            </w:pPr>
          </w:p>
        </w:tc>
        <w:tc>
          <w:tcPr>
            <w:tcW w:w="1497" w:type="dxa"/>
            <w:tcBorders>
              <w:top w:val="nil"/>
              <w:bottom w:val="nil"/>
            </w:tcBorders>
            <w:vAlign w:val="bottom"/>
          </w:tcPr>
          <w:p w14:paraId="6E305593" w14:textId="32656699" w:rsidR="00C710E8" w:rsidRPr="00922B5E" w:rsidRDefault="003658D9" w:rsidP="00957B0D">
            <w:pPr>
              <w:pStyle w:val="Tableheading"/>
              <w:jc w:val="right"/>
            </w:pPr>
            <w:r>
              <w:t>Level 3</w:t>
            </w:r>
          </w:p>
        </w:tc>
        <w:tc>
          <w:tcPr>
            <w:tcW w:w="185" w:type="dxa"/>
            <w:tcBorders>
              <w:top w:val="nil"/>
              <w:bottom w:val="nil"/>
            </w:tcBorders>
            <w:vAlign w:val="bottom"/>
          </w:tcPr>
          <w:p w14:paraId="4F4FE382" w14:textId="77777777" w:rsidR="00C710E8" w:rsidRDefault="00C710E8" w:rsidP="00957B0D">
            <w:pPr>
              <w:pStyle w:val="Tableheading"/>
              <w:jc w:val="right"/>
            </w:pPr>
          </w:p>
        </w:tc>
        <w:tc>
          <w:tcPr>
            <w:tcW w:w="1498" w:type="dxa"/>
            <w:tcBorders>
              <w:top w:val="nil"/>
              <w:bottom w:val="nil"/>
            </w:tcBorders>
            <w:vAlign w:val="bottom"/>
          </w:tcPr>
          <w:p w14:paraId="62405CE0" w14:textId="7A8BB00D" w:rsidR="00C710E8" w:rsidRPr="00922B5E" w:rsidRDefault="00BF095C" w:rsidP="00957B0D">
            <w:pPr>
              <w:pStyle w:val="Tableheading"/>
              <w:jc w:val="right"/>
            </w:pPr>
            <w:r>
              <w:t>Total</w:t>
            </w:r>
          </w:p>
        </w:tc>
      </w:tr>
      <w:tr w:rsidR="00E83E7C" w:rsidRPr="00922B5E" w14:paraId="416CB8E1" w14:textId="77777777" w:rsidTr="009F2FE4">
        <w:trPr>
          <w:trHeight w:hRule="exact" w:val="284"/>
        </w:trPr>
        <w:tc>
          <w:tcPr>
            <w:tcW w:w="3410" w:type="dxa"/>
            <w:tcBorders>
              <w:top w:val="nil"/>
              <w:bottom w:val="nil"/>
            </w:tcBorders>
          </w:tcPr>
          <w:p w14:paraId="4D3F3093" w14:textId="77777777" w:rsidR="00E83E7C" w:rsidRPr="005405BA" w:rsidRDefault="00E83E7C" w:rsidP="00957B0D">
            <w:pPr>
              <w:pStyle w:val="Tableheading"/>
              <w:jc w:val="right"/>
            </w:pPr>
          </w:p>
        </w:tc>
        <w:tc>
          <w:tcPr>
            <w:tcW w:w="1498" w:type="dxa"/>
            <w:tcBorders>
              <w:top w:val="nil"/>
              <w:bottom w:val="nil"/>
            </w:tcBorders>
          </w:tcPr>
          <w:p w14:paraId="0C3754C4" w14:textId="0EAF36D8" w:rsidR="00E83E7C" w:rsidRDefault="00E83E7C" w:rsidP="00957B0D">
            <w:pPr>
              <w:pStyle w:val="Tableheading"/>
              <w:jc w:val="right"/>
            </w:pPr>
            <w:r>
              <w:t>£m</w:t>
            </w:r>
          </w:p>
        </w:tc>
        <w:tc>
          <w:tcPr>
            <w:tcW w:w="185" w:type="dxa"/>
            <w:tcBorders>
              <w:top w:val="nil"/>
              <w:bottom w:val="nil"/>
            </w:tcBorders>
          </w:tcPr>
          <w:p w14:paraId="41BBA31E" w14:textId="77777777" w:rsidR="00E83E7C" w:rsidRPr="00922B5E" w:rsidRDefault="00E83E7C" w:rsidP="00957B0D">
            <w:pPr>
              <w:pStyle w:val="Tableheading"/>
              <w:jc w:val="right"/>
            </w:pPr>
          </w:p>
        </w:tc>
        <w:tc>
          <w:tcPr>
            <w:tcW w:w="1498" w:type="dxa"/>
            <w:tcBorders>
              <w:top w:val="nil"/>
              <w:bottom w:val="nil"/>
            </w:tcBorders>
          </w:tcPr>
          <w:p w14:paraId="566D8D6A" w14:textId="507BD15A" w:rsidR="00E83E7C" w:rsidRDefault="00E83E7C" w:rsidP="00957B0D">
            <w:pPr>
              <w:pStyle w:val="Tableheading"/>
              <w:jc w:val="right"/>
            </w:pPr>
            <w:r>
              <w:t>£m</w:t>
            </w:r>
          </w:p>
        </w:tc>
        <w:tc>
          <w:tcPr>
            <w:tcW w:w="185" w:type="dxa"/>
            <w:tcBorders>
              <w:top w:val="nil"/>
              <w:bottom w:val="nil"/>
            </w:tcBorders>
          </w:tcPr>
          <w:p w14:paraId="43D6FB57" w14:textId="77777777" w:rsidR="00E83E7C" w:rsidRDefault="00E83E7C" w:rsidP="00957B0D">
            <w:pPr>
              <w:pStyle w:val="Tableheading"/>
              <w:jc w:val="right"/>
            </w:pPr>
          </w:p>
        </w:tc>
        <w:tc>
          <w:tcPr>
            <w:tcW w:w="1497" w:type="dxa"/>
            <w:tcBorders>
              <w:top w:val="nil"/>
              <w:bottom w:val="nil"/>
            </w:tcBorders>
          </w:tcPr>
          <w:p w14:paraId="29751EA9" w14:textId="058EB670" w:rsidR="00E83E7C" w:rsidRDefault="00E83E7C" w:rsidP="00957B0D">
            <w:pPr>
              <w:pStyle w:val="Tableheading"/>
              <w:jc w:val="right"/>
            </w:pPr>
            <w:r>
              <w:t>£m</w:t>
            </w:r>
          </w:p>
        </w:tc>
        <w:tc>
          <w:tcPr>
            <w:tcW w:w="185" w:type="dxa"/>
            <w:tcBorders>
              <w:top w:val="nil"/>
              <w:bottom w:val="nil"/>
            </w:tcBorders>
          </w:tcPr>
          <w:p w14:paraId="0D25FC02" w14:textId="77777777" w:rsidR="00E83E7C" w:rsidRDefault="00E83E7C" w:rsidP="00957B0D">
            <w:pPr>
              <w:pStyle w:val="Tableheading"/>
              <w:jc w:val="right"/>
            </w:pPr>
          </w:p>
        </w:tc>
        <w:tc>
          <w:tcPr>
            <w:tcW w:w="1498" w:type="dxa"/>
            <w:tcBorders>
              <w:top w:val="nil"/>
              <w:bottom w:val="nil"/>
            </w:tcBorders>
          </w:tcPr>
          <w:p w14:paraId="05419E90" w14:textId="751F18DF" w:rsidR="00E83E7C" w:rsidRDefault="00E83E7C" w:rsidP="00957B0D">
            <w:pPr>
              <w:pStyle w:val="Tableheading"/>
              <w:jc w:val="right"/>
            </w:pPr>
            <w:r>
              <w:t>£m</w:t>
            </w:r>
          </w:p>
        </w:tc>
      </w:tr>
      <w:tr w:rsidR="005A2843" w:rsidRPr="00A66CA2" w14:paraId="2FC0ABE1" w14:textId="77777777" w:rsidTr="5D6F39AD">
        <w:trPr>
          <w:trHeight w:hRule="exact" w:val="284"/>
        </w:trPr>
        <w:tc>
          <w:tcPr>
            <w:tcW w:w="3410" w:type="dxa"/>
            <w:tcBorders>
              <w:top w:val="nil"/>
              <w:bottom w:val="nil"/>
            </w:tcBorders>
            <w:shd w:val="clear" w:color="auto" w:fill="auto"/>
            <w:vAlign w:val="center"/>
          </w:tcPr>
          <w:p w14:paraId="309AAD5A" w14:textId="1E5ED69E" w:rsidR="005A2843" w:rsidRPr="00632714" w:rsidRDefault="005A2843" w:rsidP="005A2843">
            <w:pPr>
              <w:pStyle w:val="Tabletext"/>
            </w:pPr>
            <w:r w:rsidRPr="00632714">
              <w:t xml:space="preserve">Financial assets </w:t>
            </w:r>
            <w:r w:rsidR="00B15C1E">
              <w:t xml:space="preserve">– </w:t>
            </w:r>
            <w:r w:rsidR="00191641">
              <w:t>i</w:t>
            </w:r>
            <w:r w:rsidR="00972DFB">
              <w:t>nvestments in</w:t>
            </w:r>
            <w:r w:rsidRPr="00632714">
              <w:t xml:space="preserve"> funds</w:t>
            </w:r>
          </w:p>
        </w:tc>
        <w:tc>
          <w:tcPr>
            <w:tcW w:w="1498" w:type="dxa"/>
            <w:tcBorders>
              <w:top w:val="nil"/>
              <w:bottom w:val="nil"/>
            </w:tcBorders>
            <w:shd w:val="clear" w:color="auto" w:fill="auto"/>
            <w:vAlign w:val="center"/>
          </w:tcPr>
          <w:p w14:paraId="38F9323C" w14:textId="28C9B0D9" w:rsidR="005A2843" w:rsidRPr="00423552" w:rsidRDefault="00F56EE5" w:rsidP="005A2843">
            <w:pPr>
              <w:pStyle w:val="Tabletext"/>
              <w:tabs>
                <w:tab w:val="decimal" w:pos="1210"/>
              </w:tabs>
            </w:pPr>
            <w:r>
              <w:t>257.0</w:t>
            </w:r>
          </w:p>
        </w:tc>
        <w:tc>
          <w:tcPr>
            <w:tcW w:w="185" w:type="dxa"/>
            <w:tcBorders>
              <w:top w:val="nil"/>
              <w:bottom w:val="nil"/>
            </w:tcBorders>
          </w:tcPr>
          <w:p w14:paraId="4B08E7C9" w14:textId="77777777" w:rsidR="005A2843" w:rsidRPr="00423552" w:rsidRDefault="005A2843" w:rsidP="005A2843">
            <w:pPr>
              <w:pStyle w:val="Tabletext"/>
              <w:jc w:val="right"/>
            </w:pPr>
          </w:p>
        </w:tc>
        <w:tc>
          <w:tcPr>
            <w:tcW w:w="1498" w:type="dxa"/>
            <w:tcBorders>
              <w:top w:val="nil"/>
              <w:bottom w:val="nil"/>
            </w:tcBorders>
            <w:shd w:val="clear" w:color="auto" w:fill="auto"/>
          </w:tcPr>
          <w:p w14:paraId="2FB0E881" w14:textId="62E8D3BA" w:rsidR="005A2843" w:rsidRPr="00423552" w:rsidRDefault="00F56EE5" w:rsidP="005A2843">
            <w:pPr>
              <w:pStyle w:val="Tabletext"/>
              <w:tabs>
                <w:tab w:val="decimal" w:pos="1198"/>
              </w:tabs>
            </w:pPr>
            <w:r>
              <w:t>197.0</w:t>
            </w:r>
          </w:p>
        </w:tc>
        <w:tc>
          <w:tcPr>
            <w:tcW w:w="185" w:type="dxa"/>
            <w:tcBorders>
              <w:top w:val="nil"/>
              <w:bottom w:val="nil"/>
            </w:tcBorders>
          </w:tcPr>
          <w:p w14:paraId="30D47894" w14:textId="77777777" w:rsidR="005A2843" w:rsidRPr="00423552" w:rsidRDefault="005A2843" w:rsidP="005A2843">
            <w:pPr>
              <w:pStyle w:val="Tabletext"/>
              <w:jc w:val="right"/>
            </w:pPr>
          </w:p>
        </w:tc>
        <w:tc>
          <w:tcPr>
            <w:tcW w:w="1497" w:type="dxa"/>
            <w:tcBorders>
              <w:top w:val="nil"/>
              <w:bottom w:val="nil"/>
            </w:tcBorders>
          </w:tcPr>
          <w:p w14:paraId="72226CA2" w14:textId="77777777" w:rsidR="005A2843" w:rsidRDefault="00F56EE5" w:rsidP="005A2843">
            <w:pPr>
              <w:pStyle w:val="Tabletext"/>
              <w:jc w:val="right"/>
            </w:pPr>
            <w:r>
              <w:t>-</w:t>
            </w:r>
          </w:p>
          <w:p w14:paraId="622285D4" w14:textId="57C584BD" w:rsidR="005A2843" w:rsidRPr="00423552" w:rsidRDefault="00F56EE5" w:rsidP="005F0E7F">
            <w:pPr>
              <w:pStyle w:val="Tabletext"/>
              <w:jc w:val="center"/>
            </w:pPr>
            <w:r>
              <w:t>-</w:t>
            </w:r>
          </w:p>
        </w:tc>
        <w:tc>
          <w:tcPr>
            <w:tcW w:w="185" w:type="dxa"/>
            <w:tcBorders>
              <w:top w:val="nil"/>
              <w:bottom w:val="nil"/>
            </w:tcBorders>
          </w:tcPr>
          <w:p w14:paraId="6174FB78" w14:textId="77777777" w:rsidR="005A2843" w:rsidRPr="00423552" w:rsidRDefault="005A2843" w:rsidP="005A2843">
            <w:pPr>
              <w:pStyle w:val="Tabletext"/>
              <w:jc w:val="right"/>
            </w:pPr>
          </w:p>
        </w:tc>
        <w:tc>
          <w:tcPr>
            <w:tcW w:w="1498" w:type="dxa"/>
            <w:tcBorders>
              <w:top w:val="nil"/>
              <w:bottom w:val="nil"/>
            </w:tcBorders>
          </w:tcPr>
          <w:p w14:paraId="5FE0022F" w14:textId="2E886F49" w:rsidR="005A2843" w:rsidRPr="00423552" w:rsidRDefault="00763BF7" w:rsidP="005A2843">
            <w:pPr>
              <w:pStyle w:val="Tabletext"/>
              <w:tabs>
                <w:tab w:val="decimal" w:pos="1198"/>
              </w:tabs>
            </w:pPr>
            <w:r>
              <w:t>454.0</w:t>
            </w:r>
          </w:p>
        </w:tc>
      </w:tr>
      <w:tr w:rsidR="005A2843" w:rsidRPr="00A66CA2" w14:paraId="317BFB33" w14:textId="77777777" w:rsidTr="00CE181C">
        <w:trPr>
          <w:trHeight w:hRule="exact" w:val="569"/>
        </w:trPr>
        <w:tc>
          <w:tcPr>
            <w:tcW w:w="3410" w:type="dxa"/>
            <w:tcBorders>
              <w:top w:val="nil"/>
              <w:bottom w:val="nil"/>
            </w:tcBorders>
            <w:shd w:val="clear" w:color="auto" w:fill="auto"/>
            <w:vAlign w:val="center"/>
          </w:tcPr>
          <w:p w14:paraId="01D8965C" w14:textId="375C34AE" w:rsidR="005A2843" w:rsidRPr="00632714" w:rsidRDefault="00DC58C7" w:rsidP="005A2843">
            <w:pPr>
              <w:pStyle w:val="Tabletext"/>
            </w:pPr>
            <w:r w:rsidRPr="00632714">
              <w:t>Financial liabilities</w:t>
            </w:r>
            <w:r w:rsidR="00972DFB">
              <w:t xml:space="preserve"> – non-controlling interests </w:t>
            </w:r>
            <w:r w:rsidR="00AB0E3B">
              <w:t>in consolidated funds</w:t>
            </w:r>
          </w:p>
        </w:tc>
        <w:tc>
          <w:tcPr>
            <w:tcW w:w="1498" w:type="dxa"/>
            <w:tcBorders>
              <w:top w:val="nil"/>
              <w:bottom w:val="nil"/>
            </w:tcBorders>
            <w:shd w:val="clear" w:color="auto" w:fill="auto"/>
          </w:tcPr>
          <w:p w14:paraId="6D0CFAE5" w14:textId="675DC369" w:rsidR="005A2843" w:rsidRPr="00423552" w:rsidRDefault="00F56EE5" w:rsidP="005A2843">
            <w:pPr>
              <w:pStyle w:val="Tabletext"/>
              <w:tabs>
                <w:tab w:val="decimal" w:pos="1210"/>
              </w:tabs>
            </w:pPr>
            <w:r>
              <w:t>(250.</w:t>
            </w:r>
            <w:r w:rsidR="00C06FDC">
              <w:t>8</w:t>
            </w:r>
            <w:r>
              <w:t>)</w:t>
            </w:r>
          </w:p>
        </w:tc>
        <w:tc>
          <w:tcPr>
            <w:tcW w:w="185" w:type="dxa"/>
            <w:tcBorders>
              <w:top w:val="nil"/>
              <w:bottom w:val="nil"/>
            </w:tcBorders>
          </w:tcPr>
          <w:p w14:paraId="26021B3B" w14:textId="77777777" w:rsidR="005A2843" w:rsidRPr="00423552" w:rsidRDefault="005A2843" w:rsidP="005A2843">
            <w:pPr>
              <w:pStyle w:val="Tabletext"/>
              <w:jc w:val="right"/>
            </w:pPr>
          </w:p>
        </w:tc>
        <w:tc>
          <w:tcPr>
            <w:tcW w:w="1498" w:type="dxa"/>
            <w:tcBorders>
              <w:top w:val="nil"/>
              <w:bottom w:val="nil"/>
            </w:tcBorders>
            <w:shd w:val="clear" w:color="auto" w:fill="auto"/>
          </w:tcPr>
          <w:p w14:paraId="39DB708A" w14:textId="7B74952E" w:rsidR="005A2843" w:rsidRPr="00423552" w:rsidRDefault="00F56EE5" w:rsidP="005A2843">
            <w:pPr>
              <w:pStyle w:val="Tabletext"/>
              <w:tabs>
                <w:tab w:val="decimal" w:pos="1198"/>
              </w:tabs>
            </w:pPr>
            <w:r>
              <w:t>-</w:t>
            </w:r>
          </w:p>
        </w:tc>
        <w:tc>
          <w:tcPr>
            <w:tcW w:w="185" w:type="dxa"/>
            <w:tcBorders>
              <w:top w:val="nil"/>
              <w:bottom w:val="nil"/>
            </w:tcBorders>
          </w:tcPr>
          <w:p w14:paraId="32792A43" w14:textId="77777777" w:rsidR="005A2843" w:rsidRPr="00423552" w:rsidRDefault="005A2843" w:rsidP="005A2843">
            <w:pPr>
              <w:pStyle w:val="Tabletext"/>
              <w:jc w:val="right"/>
            </w:pPr>
          </w:p>
        </w:tc>
        <w:tc>
          <w:tcPr>
            <w:tcW w:w="1497" w:type="dxa"/>
            <w:tcBorders>
              <w:top w:val="nil"/>
              <w:bottom w:val="nil"/>
            </w:tcBorders>
          </w:tcPr>
          <w:p w14:paraId="6D5714CB" w14:textId="266BEC56" w:rsidR="005A2843" w:rsidRPr="00423552" w:rsidRDefault="00F56EE5" w:rsidP="005A2843">
            <w:pPr>
              <w:pStyle w:val="Tabletext"/>
              <w:jc w:val="right"/>
            </w:pPr>
            <w:r>
              <w:t>-</w:t>
            </w:r>
          </w:p>
        </w:tc>
        <w:tc>
          <w:tcPr>
            <w:tcW w:w="185" w:type="dxa"/>
            <w:tcBorders>
              <w:top w:val="nil"/>
              <w:bottom w:val="nil"/>
            </w:tcBorders>
          </w:tcPr>
          <w:p w14:paraId="40C5A263" w14:textId="77777777" w:rsidR="005A2843" w:rsidRPr="00423552" w:rsidRDefault="005A2843" w:rsidP="005A2843">
            <w:pPr>
              <w:pStyle w:val="Tabletext"/>
              <w:jc w:val="right"/>
            </w:pPr>
          </w:p>
        </w:tc>
        <w:tc>
          <w:tcPr>
            <w:tcW w:w="1498" w:type="dxa"/>
            <w:tcBorders>
              <w:top w:val="nil"/>
              <w:bottom w:val="nil"/>
            </w:tcBorders>
          </w:tcPr>
          <w:p w14:paraId="78F38681" w14:textId="131E88EF" w:rsidR="005A2843" w:rsidRPr="00423552" w:rsidRDefault="00763BF7" w:rsidP="005A2843">
            <w:pPr>
              <w:pStyle w:val="Tabletext"/>
              <w:tabs>
                <w:tab w:val="decimal" w:pos="1198"/>
              </w:tabs>
            </w:pPr>
            <w:r>
              <w:t>(250.</w:t>
            </w:r>
            <w:r w:rsidR="00C06FDC">
              <w:t>8</w:t>
            </w:r>
            <w:r>
              <w:t>)</w:t>
            </w:r>
          </w:p>
        </w:tc>
      </w:tr>
      <w:tr w:rsidR="005A2843" w:rsidRPr="00A66CA2" w14:paraId="49E14B40" w14:textId="77777777" w:rsidTr="5D6F39AD">
        <w:trPr>
          <w:trHeight w:hRule="exact" w:val="284"/>
        </w:trPr>
        <w:tc>
          <w:tcPr>
            <w:tcW w:w="3410" w:type="dxa"/>
            <w:tcBorders>
              <w:top w:val="nil"/>
              <w:bottom w:val="nil"/>
            </w:tcBorders>
            <w:shd w:val="clear" w:color="auto" w:fill="auto"/>
            <w:vAlign w:val="center"/>
          </w:tcPr>
          <w:p w14:paraId="0B928919" w14:textId="157800FC" w:rsidR="005A2843" w:rsidRPr="00632714" w:rsidRDefault="00DC58C7" w:rsidP="005A2843">
            <w:pPr>
              <w:pStyle w:val="Tabletext"/>
            </w:pPr>
            <w:r w:rsidRPr="00632714">
              <w:t xml:space="preserve">Financial </w:t>
            </w:r>
            <w:r w:rsidR="007D6977">
              <w:t>liabilities</w:t>
            </w:r>
            <w:r w:rsidRPr="00632714">
              <w:t xml:space="preserve"> – derivatives</w:t>
            </w:r>
          </w:p>
        </w:tc>
        <w:tc>
          <w:tcPr>
            <w:tcW w:w="1498" w:type="dxa"/>
            <w:tcBorders>
              <w:top w:val="nil"/>
              <w:bottom w:val="nil"/>
            </w:tcBorders>
            <w:shd w:val="clear" w:color="auto" w:fill="auto"/>
          </w:tcPr>
          <w:p w14:paraId="0FA23816" w14:textId="70F9411D" w:rsidR="005A2843" w:rsidRPr="00423552" w:rsidRDefault="00F56EE5" w:rsidP="005A2843">
            <w:pPr>
              <w:pStyle w:val="Tabletext"/>
              <w:tabs>
                <w:tab w:val="decimal" w:pos="1210"/>
              </w:tabs>
            </w:pPr>
            <w:r>
              <w:t>-</w:t>
            </w:r>
          </w:p>
        </w:tc>
        <w:tc>
          <w:tcPr>
            <w:tcW w:w="185" w:type="dxa"/>
            <w:tcBorders>
              <w:top w:val="nil"/>
              <w:bottom w:val="nil"/>
            </w:tcBorders>
          </w:tcPr>
          <w:p w14:paraId="5D4E59B7" w14:textId="77777777" w:rsidR="005A2843" w:rsidRPr="00423552" w:rsidRDefault="005A2843" w:rsidP="005A2843">
            <w:pPr>
              <w:pStyle w:val="Tabletext"/>
              <w:jc w:val="right"/>
            </w:pPr>
          </w:p>
        </w:tc>
        <w:tc>
          <w:tcPr>
            <w:tcW w:w="1498" w:type="dxa"/>
            <w:tcBorders>
              <w:top w:val="nil"/>
              <w:bottom w:val="nil"/>
            </w:tcBorders>
            <w:shd w:val="clear" w:color="auto" w:fill="auto"/>
          </w:tcPr>
          <w:p w14:paraId="21D4A463" w14:textId="43768F85" w:rsidR="005A2843" w:rsidRPr="00423552" w:rsidRDefault="00F56EE5" w:rsidP="005A2843">
            <w:pPr>
              <w:pStyle w:val="Tabletext"/>
              <w:tabs>
                <w:tab w:val="decimal" w:pos="1198"/>
              </w:tabs>
            </w:pPr>
            <w:r>
              <w:t>(0.1)</w:t>
            </w:r>
          </w:p>
        </w:tc>
        <w:tc>
          <w:tcPr>
            <w:tcW w:w="185" w:type="dxa"/>
            <w:tcBorders>
              <w:top w:val="nil"/>
              <w:bottom w:val="nil"/>
            </w:tcBorders>
          </w:tcPr>
          <w:p w14:paraId="75B33ACF" w14:textId="77777777" w:rsidR="005A2843" w:rsidRPr="00423552" w:rsidRDefault="005A2843" w:rsidP="005A2843">
            <w:pPr>
              <w:pStyle w:val="Tabletext"/>
              <w:jc w:val="right"/>
            </w:pPr>
          </w:p>
        </w:tc>
        <w:tc>
          <w:tcPr>
            <w:tcW w:w="1497" w:type="dxa"/>
            <w:tcBorders>
              <w:top w:val="nil"/>
              <w:bottom w:val="nil"/>
            </w:tcBorders>
          </w:tcPr>
          <w:p w14:paraId="77E41706" w14:textId="411B2D75" w:rsidR="005A2843" w:rsidRPr="00423552" w:rsidRDefault="00F56EE5" w:rsidP="005A2843">
            <w:pPr>
              <w:pStyle w:val="Tabletext"/>
              <w:jc w:val="right"/>
            </w:pPr>
            <w:r>
              <w:t>-</w:t>
            </w:r>
          </w:p>
        </w:tc>
        <w:tc>
          <w:tcPr>
            <w:tcW w:w="185" w:type="dxa"/>
            <w:tcBorders>
              <w:top w:val="nil"/>
              <w:bottom w:val="nil"/>
            </w:tcBorders>
          </w:tcPr>
          <w:p w14:paraId="04543CE4" w14:textId="77777777" w:rsidR="005A2843" w:rsidRPr="00423552" w:rsidRDefault="005A2843" w:rsidP="005A2843">
            <w:pPr>
              <w:pStyle w:val="Tabletext"/>
              <w:jc w:val="right"/>
            </w:pPr>
          </w:p>
        </w:tc>
        <w:tc>
          <w:tcPr>
            <w:tcW w:w="1498" w:type="dxa"/>
            <w:tcBorders>
              <w:top w:val="nil"/>
              <w:bottom w:val="nil"/>
            </w:tcBorders>
          </w:tcPr>
          <w:p w14:paraId="2EB0A61C" w14:textId="2FE79957" w:rsidR="005A2843" w:rsidRPr="00423552" w:rsidRDefault="00763BF7" w:rsidP="005A2843">
            <w:pPr>
              <w:pStyle w:val="Tabletext"/>
              <w:tabs>
                <w:tab w:val="decimal" w:pos="1198"/>
              </w:tabs>
            </w:pPr>
            <w:r>
              <w:t>(0.1)</w:t>
            </w:r>
          </w:p>
        </w:tc>
      </w:tr>
      <w:tr w:rsidR="005A2843" w:rsidRPr="00A66CA2" w14:paraId="369E0B2E" w14:textId="77777777" w:rsidTr="5D6F39AD">
        <w:trPr>
          <w:trHeight w:hRule="exact" w:val="284"/>
        </w:trPr>
        <w:tc>
          <w:tcPr>
            <w:tcW w:w="3410" w:type="dxa"/>
            <w:tcBorders>
              <w:top w:val="nil"/>
              <w:bottom w:val="nil"/>
            </w:tcBorders>
            <w:shd w:val="clear" w:color="auto" w:fill="auto"/>
            <w:vAlign w:val="center"/>
          </w:tcPr>
          <w:p w14:paraId="0D8E924F" w14:textId="77777777" w:rsidR="005A2843" w:rsidRPr="00632714" w:rsidRDefault="005A2843" w:rsidP="005A2843">
            <w:pPr>
              <w:pStyle w:val="Tabletext"/>
              <w:rPr>
                <w:b/>
              </w:rPr>
            </w:pPr>
            <w:r w:rsidRPr="00632714">
              <w:rPr>
                <w:b/>
              </w:rPr>
              <w:t xml:space="preserve"> </w:t>
            </w:r>
          </w:p>
        </w:tc>
        <w:tc>
          <w:tcPr>
            <w:tcW w:w="1498" w:type="dxa"/>
            <w:tcBorders>
              <w:top w:val="single" w:sz="4" w:space="0" w:color="auto"/>
              <w:bottom w:val="double" w:sz="4" w:space="0" w:color="auto"/>
            </w:tcBorders>
            <w:shd w:val="clear" w:color="auto" w:fill="auto"/>
          </w:tcPr>
          <w:p w14:paraId="318FA3B0" w14:textId="37CA73F4" w:rsidR="005A2843" w:rsidRPr="00423552" w:rsidRDefault="00F56EE5" w:rsidP="005A2843">
            <w:pPr>
              <w:pStyle w:val="Tabletext"/>
              <w:tabs>
                <w:tab w:val="decimal" w:pos="1210"/>
              </w:tabs>
              <w:rPr>
                <w:b/>
              </w:rPr>
            </w:pPr>
            <w:r>
              <w:rPr>
                <w:b/>
              </w:rPr>
              <w:t>6.</w:t>
            </w:r>
            <w:r w:rsidR="00C06FDC">
              <w:rPr>
                <w:b/>
              </w:rPr>
              <w:t>2</w:t>
            </w:r>
          </w:p>
        </w:tc>
        <w:tc>
          <w:tcPr>
            <w:tcW w:w="185" w:type="dxa"/>
            <w:tcBorders>
              <w:top w:val="nil"/>
              <w:bottom w:val="nil"/>
            </w:tcBorders>
          </w:tcPr>
          <w:p w14:paraId="6E87593F" w14:textId="77777777" w:rsidR="005A2843" w:rsidRPr="00423552" w:rsidRDefault="005A2843" w:rsidP="005A2843">
            <w:pPr>
              <w:pStyle w:val="Tabletext"/>
              <w:jc w:val="right"/>
              <w:rPr>
                <w:b/>
              </w:rPr>
            </w:pPr>
          </w:p>
        </w:tc>
        <w:tc>
          <w:tcPr>
            <w:tcW w:w="1498" w:type="dxa"/>
            <w:tcBorders>
              <w:top w:val="single" w:sz="4" w:space="0" w:color="auto"/>
              <w:bottom w:val="double" w:sz="4" w:space="0" w:color="auto"/>
            </w:tcBorders>
            <w:shd w:val="clear" w:color="auto" w:fill="auto"/>
          </w:tcPr>
          <w:p w14:paraId="5977BC92" w14:textId="63B43B00" w:rsidR="005A2843" w:rsidRPr="00423552" w:rsidRDefault="00F56EE5" w:rsidP="005A2843">
            <w:pPr>
              <w:pStyle w:val="Tabletext"/>
              <w:tabs>
                <w:tab w:val="decimal" w:pos="1198"/>
              </w:tabs>
              <w:rPr>
                <w:b/>
              </w:rPr>
            </w:pPr>
            <w:r>
              <w:rPr>
                <w:b/>
              </w:rPr>
              <w:t>196.9</w:t>
            </w:r>
          </w:p>
        </w:tc>
        <w:tc>
          <w:tcPr>
            <w:tcW w:w="185" w:type="dxa"/>
            <w:tcBorders>
              <w:top w:val="nil"/>
              <w:bottom w:val="nil"/>
            </w:tcBorders>
          </w:tcPr>
          <w:p w14:paraId="618A2273" w14:textId="77777777" w:rsidR="005A2843" w:rsidRPr="00423552" w:rsidRDefault="005A2843" w:rsidP="005A2843">
            <w:pPr>
              <w:pStyle w:val="Tabletext"/>
              <w:jc w:val="right"/>
              <w:rPr>
                <w:b/>
              </w:rPr>
            </w:pPr>
          </w:p>
        </w:tc>
        <w:tc>
          <w:tcPr>
            <w:tcW w:w="1497" w:type="dxa"/>
            <w:tcBorders>
              <w:top w:val="single" w:sz="4" w:space="0" w:color="auto"/>
              <w:bottom w:val="double" w:sz="4" w:space="0" w:color="auto"/>
            </w:tcBorders>
          </w:tcPr>
          <w:p w14:paraId="0B5887D2" w14:textId="69E49925" w:rsidR="005A2843" w:rsidRPr="00423552" w:rsidRDefault="00F56EE5" w:rsidP="005A2843">
            <w:pPr>
              <w:pStyle w:val="Tabletext"/>
              <w:jc w:val="right"/>
              <w:rPr>
                <w:b/>
              </w:rPr>
            </w:pPr>
            <w:r>
              <w:rPr>
                <w:b/>
              </w:rPr>
              <w:t>-</w:t>
            </w:r>
          </w:p>
        </w:tc>
        <w:tc>
          <w:tcPr>
            <w:tcW w:w="185" w:type="dxa"/>
            <w:tcBorders>
              <w:top w:val="nil"/>
              <w:bottom w:val="nil"/>
            </w:tcBorders>
          </w:tcPr>
          <w:p w14:paraId="5E5F484C" w14:textId="77777777" w:rsidR="005A2843" w:rsidRPr="00423552" w:rsidRDefault="005A2843" w:rsidP="005A2843">
            <w:pPr>
              <w:pStyle w:val="Tabletext"/>
              <w:jc w:val="right"/>
              <w:rPr>
                <w:b/>
              </w:rPr>
            </w:pPr>
          </w:p>
        </w:tc>
        <w:tc>
          <w:tcPr>
            <w:tcW w:w="1498" w:type="dxa"/>
            <w:tcBorders>
              <w:top w:val="single" w:sz="4" w:space="0" w:color="auto"/>
              <w:bottom w:val="double" w:sz="4" w:space="0" w:color="auto"/>
            </w:tcBorders>
          </w:tcPr>
          <w:p w14:paraId="0865709E" w14:textId="6CCF1827" w:rsidR="005A2843" w:rsidRPr="00423552" w:rsidRDefault="00763BF7" w:rsidP="005A2843">
            <w:pPr>
              <w:pStyle w:val="Tabletext"/>
              <w:tabs>
                <w:tab w:val="decimal" w:pos="1198"/>
              </w:tabs>
              <w:rPr>
                <w:b/>
              </w:rPr>
            </w:pPr>
            <w:r>
              <w:rPr>
                <w:b/>
              </w:rPr>
              <w:t>203.</w:t>
            </w:r>
            <w:r w:rsidR="00C06FDC">
              <w:rPr>
                <w:b/>
              </w:rPr>
              <w:t>1</w:t>
            </w:r>
          </w:p>
        </w:tc>
      </w:tr>
    </w:tbl>
    <w:p w14:paraId="6DC3C9E7" w14:textId="77777777" w:rsidR="00D1219A" w:rsidRDefault="00D1219A" w:rsidP="003658D9">
      <w:pPr>
        <w:pStyle w:val="Bodytext0"/>
      </w:pPr>
    </w:p>
    <w:p w14:paraId="783F96DA" w14:textId="608BF7D6" w:rsidR="003658D9" w:rsidRPr="00C710E8" w:rsidRDefault="003658D9" w:rsidP="003658D9">
      <w:pPr>
        <w:pStyle w:val="Bodytext0"/>
      </w:pPr>
      <w:r w:rsidRPr="00C710E8">
        <w:t xml:space="preserve">As at 30 June </w:t>
      </w:r>
      <w:r w:rsidR="00E85F7E">
        <w:t>2023</w:t>
      </w:r>
      <w:r w:rsidRPr="00C710E8">
        <w:t>, the Group held the following financial instruments measured at fair value</w:t>
      </w:r>
      <w:r>
        <w:t>:</w:t>
      </w:r>
    </w:p>
    <w:tbl>
      <w:tblPr>
        <w:tblStyle w:val="TableGrid"/>
        <w:tblW w:w="9956"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10"/>
        <w:gridCol w:w="1498"/>
        <w:gridCol w:w="185"/>
        <w:gridCol w:w="1498"/>
        <w:gridCol w:w="185"/>
        <w:gridCol w:w="1497"/>
        <w:gridCol w:w="185"/>
        <w:gridCol w:w="1498"/>
      </w:tblGrid>
      <w:tr w:rsidR="003658D9" w:rsidRPr="00922B5E" w14:paraId="3E827DB8" w14:textId="77777777" w:rsidTr="00957B0D">
        <w:trPr>
          <w:trHeight w:hRule="exact" w:val="284"/>
        </w:trPr>
        <w:tc>
          <w:tcPr>
            <w:tcW w:w="3410" w:type="dxa"/>
            <w:tcBorders>
              <w:bottom w:val="nil"/>
            </w:tcBorders>
            <w:vAlign w:val="bottom"/>
          </w:tcPr>
          <w:p w14:paraId="3A8B2D25" w14:textId="771DDCC3" w:rsidR="003658D9" w:rsidRPr="005405BA" w:rsidRDefault="003658D9" w:rsidP="00957B0D">
            <w:pPr>
              <w:pStyle w:val="Tableheading"/>
              <w:jc w:val="right"/>
            </w:pPr>
          </w:p>
        </w:tc>
        <w:tc>
          <w:tcPr>
            <w:tcW w:w="1498" w:type="dxa"/>
            <w:tcBorders>
              <w:bottom w:val="nil"/>
            </w:tcBorders>
            <w:vAlign w:val="bottom"/>
          </w:tcPr>
          <w:p w14:paraId="084FB957" w14:textId="77777777" w:rsidR="003658D9" w:rsidRDefault="003658D9" w:rsidP="00957B0D">
            <w:pPr>
              <w:pStyle w:val="Tableheading"/>
              <w:jc w:val="right"/>
            </w:pPr>
            <w:r>
              <w:t>Level 1</w:t>
            </w:r>
          </w:p>
        </w:tc>
        <w:tc>
          <w:tcPr>
            <w:tcW w:w="185" w:type="dxa"/>
            <w:tcBorders>
              <w:top w:val="nil"/>
              <w:bottom w:val="nil"/>
            </w:tcBorders>
            <w:vAlign w:val="bottom"/>
          </w:tcPr>
          <w:p w14:paraId="7585EA5C" w14:textId="77777777" w:rsidR="003658D9" w:rsidRPr="00922B5E" w:rsidRDefault="003658D9" w:rsidP="00957B0D">
            <w:pPr>
              <w:pStyle w:val="Tableheading"/>
              <w:jc w:val="right"/>
            </w:pPr>
          </w:p>
        </w:tc>
        <w:tc>
          <w:tcPr>
            <w:tcW w:w="1498" w:type="dxa"/>
            <w:tcBorders>
              <w:top w:val="nil"/>
              <w:bottom w:val="nil"/>
            </w:tcBorders>
            <w:vAlign w:val="bottom"/>
          </w:tcPr>
          <w:p w14:paraId="2D7CCE9F" w14:textId="77777777" w:rsidR="003658D9" w:rsidRPr="00922B5E" w:rsidRDefault="003658D9" w:rsidP="00957B0D">
            <w:pPr>
              <w:pStyle w:val="Tableheading"/>
              <w:jc w:val="right"/>
            </w:pPr>
            <w:r>
              <w:t>Level 2</w:t>
            </w:r>
          </w:p>
        </w:tc>
        <w:tc>
          <w:tcPr>
            <w:tcW w:w="185" w:type="dxa"/>
            <w:tcBorders>
              <w:top w:val="nil"/>
              <w:bottom w:val="nil"/>
            </w:tcBorders>
            <w:vAlign w:val="bottom"/>
          </w:tcPr>
          <w:p w14:paraId="280F85B3" w14:textId="77777777" w:rsidR="003658D9" w:rsidRDefault="003658D9" w:rsidP="00957B0D">
            <w:pPr>
              <w:pStyle w:val="Tableheading"/>
              <w:jc w:val="right"/>
            </w:pPr>
          </w:p>
        </w:tc>
        <w:tc>
          <w:tcPr>
            <w:tcW w:w="1497" w:type="dxa"/>
            <w:tcBorders>
              <w:top w:val="nil"/>
              <w:bottom w:val="nil"/>
            </w:tcBorders>
            <w:vAlign w:val="bottom"/>
          </w:tcPr>
          <w:p w14:paraId="7FC527B9" w14:textId="4FAB153B" w:rsidR="003658D9" w:rsidRPr="00922B5E" w:rsidRDefault="003658D9" w:rsidP="00957B0D">
            <w:pPr>
              <w:pStyle w:val="Tableheading"/>
              <w:jc w:val="right"/>
            </w:pPr>
            <w:r>
              <w:t>Level 3</w:t>
            </w:r>
          </w:p>
        </w:tc>
        <w:tc>
          <w:tcPr>
            <w:tcW w:w="185" w:type="dxa"/>
            <w:tcBorders>
              <w:top w:val="nil"/>
              <w:bottom w:val="nil"/>
            </w:tcBorders>
            <w:vAlign w:val="bottom"/>
          </w:tcPr>
          <w:p w14:paraId="4991E35C" w14:textId="77777777" w:rsidR="003658D9" w:rsidRDefault="003658D9" w:rsidP="00957B0D">
            <w:pPr>
              <w:pStyle w:val="Tableheading"/>
              <w:jc w:val="right"/>
            </w:pPr>
          </w:p>
        </w:tc>
        <w:tc>
          <w:tcPr>
            <w:tcW w:w="1498" w:type="dxa"/>
            <w:tcBorders>
              <w:top w:val="nil"/>
              <w:bottom w:val="nil"/>
            </w:tcBorders>
            <w:vAlign w:val="bottom"/>
          </w:tcPr>
          <w:p w14:paraId="7CCC23B3" w14:textId="112A6CC9" w:rsidR="003658D9" w:rsidRPr="00922B5E" w:rsidRDefault="00BF095C" w:rsidP="00957B0D">
            <w:pPr>
              <w:pStyle w:val="Tableheading"/>
              <w:jc w:val="right"/>
            </w:pPr>
            <w:r>
              <w:t>Total</w:t>
            </w:r>
          </w:p>
        </w:tc>
      </w:tr>
      <w:tr w:rsidR="00255304" w:rsidRPr="00922B5E" w14:paraId="4B39E1C4" w14:textId="77777777" w:rsidTr="009F2FE4">
        <w:trPr>
          <w:trHeight w:hRule="exact" w:val="284"/>
        </w:trPr>
        <w:tc>
          <w:tcPr>
            <w:tcW w:w="3410" w:type="dxa"/>
            <w:tcBorders>
              <w:top w:val="nil"/>
              <w:bottom w:val="nil"/>
            </w:tcBorders>
          </w:tcPr>
          <w:p w14:paraId="331445C6" w14:textId="77777777" w:rsidR="00255304" w:rsidRPr="005405BA" w:rsidRDefault="00255304" w:rsidP="00957B0D">
            <w:pPr>
              <w:pStyle w:val="Tableheading"/>
              <w:jc w:val="right"/>
            </w:pPr>
          </w:p>
        </w:tc>
        <w:tc>
          <w:tcPr>
            <w:tcW w:w="1498" w:type="dxa"/>
            <w:tcBorders>
              <w:top w:val="nil"/>
              <w:bottom w:val="nil"/>
            </w:tcBorders>
          </w:tcPr>
          <w:p w14:paraId="2BC5902D" w14:textId="0A4971AA" w:rsidR="00255304" w:rsidRDefault="00255304" w:rsidP="00957B0D">
            <w:pPr>
              <w:pStyle w:val="Tableheading"/>
              <w:jc w:val="right"/>
            </w:pPr>
            <w:r>
              <w:t>£m</w:t>
            </w:r>
          </w:p>
        </w:tc>
        <w:tc>
          <w:tcPr>
            <w:tcW w:w="185" w:type="dxa"/>
            <w:tcBorders>
              <w:top w:val="nil"/>
              <w:bottom w:val="nil"/>
            </w:tcBorders>
          </w:tcPr>
          <w:p w14:paraId="5538E09E" w14:textId="77777777" w:rsidR="00255304" w:rsidRPr="00922B5E" w:rsidRDefault="00255304" w:rsidP="00957B0D">
            <w:pPr>
              <w:pStyle w:val="Tableheading"/>
              <w:jc w:val="right"/>
            </w:pPr>
          </w:p>
        </w:tc>
        <w:tc>
          <w:tcPr>
            <w:tcW w:w="1498" w:type="dxa"/>
            <w:tcBorders>
              <w:top w:val="nil"/>
              <w:bottom w:val="nil"/>
            </w:tcBorders>
          </w:tcPr>
          <w:p w14:paraId="020DF82D" w14:textId="5B67B3EE" w:rsidR="00255304" w:rsidRDefault="00255304" w:rsidP="00957B0D">
            <w:pPr>
              <w:pStyle w:val="Tableheading"/>
              <w:jc w:val="right"/>
            </w:pPr>
            <w:r>
              <w:t>£m</w:t>
            </w:r>
          </w:p>
        </w:tc>
        <w:tc>
          <w:tcPr>
            <w:tcW w:w="185" w:type="dxa"/>
            <w:tcBorders>
              <w:top w:val="nil"/>
              <w:bottom w:val="nil"/>
            </w:tcBorders>
          </w:tcPr>
          <w:p w14:paraId="6CF6839A" w14:textId="77777777" w:rsidR="00255304" w:rsidRDefault="00255304" w:rsidP="00957B0D">
            <w:pPr>
              <w:pStyle w:val="Tableheading"/>
              <w:jc w:val="right"/>
            </w:pPr>
          </w:p>
        </w:tc>
        <w:tc>
          <w:tcPr>
            <w:tcW w:w="1497" w:type="dxa"/>
            <w:tcBorders>
              <w:top w:val="nil"/>
              <w:bottom w:val="nil"/>
            </w:tcBorders>
          </w:tcPr>
          <w:p w14:paraId="4823A00F" w14:textId="7440E8BC" w:rsidR="00255304" w:rsidRDefault="00255304" w:rsidP="00957B0D">
            <w:pPr>
              <w:pStyle w:val="Tableheading"/>
              <w:jc w:val="right"/>
            </w:pPr>
            <w:r>
              <w:t>£m</w:t>
            </w:r>
          </w:p>
        </w:tc>
        <w:tc>
          <w:tcPr>
            <w:tcW w:w="185" w:type="dxa"/>
            <w:tcBorders>
              <w:top w:val="nil"/>
              <w:bottom w:val="nil"/>
            </w:tcBorders>
          </w:tcPr>
          <w:p w14:paraId="19C04C9F" w14:textId="77777777" w:rsidR="00255304" w:rsidRDefault="00255304" w:rsidP="00957B0D">
            <w:pPr>
              <w:pStyle w:val="Tableheading"/>
              <w:jc w:val="right"/>
            </w:pPr>
          </w:p>
        </w:tc>
        <w:tc>
          <w:tcPr>
            <w:tcW w:w="1498" w:type="dxa"/>
            <w:tcBorders>
              <w:top w:val="nil"/>
              <w:bottom w:val="nil"/>
            </w:tcBorders>
          </w:tcPr>
          <w:p w14:paraId="01483C31" w14:textId="35629723" w:rsidR="00255304" w:rsidRDefault="00255304" w:rsidP="00957B0D">
            <w:pPr>
              <w:pStyle w:val="Tableheading"/>
              <w:jc w:val="right"/>
            </w:pPr>
            <w:r>
              <w:t>£m</w:t>
            </w:r>
          </w:p>
        </w:tc>
      </w:tr>
      <w:tr w:rsidR="00415A80" w:rsidRPr="00A66CA2" w14:paraId="11557818" w14:textId="77777777">
        <w:trPr>
          <w:trHeight w:hRule="exact" w:val="284"/>
        </w:trPr>
        <w:tc>
          <w:tcPr>
            <w:tcW w:w="3410" w:type="dxa"/>
            <w:tcBorders>
              <w:top w:val="nil"/>
              <w:bottom w:val="nil"/>
            </w:tcBorders>
            <w:shd w:val="clear" w:color="auto" w:fill="auto"/>
            <w:vAlign w:val="center"/>
          </w:tcPr>
          <w:p w14:paraId="2F1DC0B4" w14:textId="5FDE7911" w:rsidR="00415A80" w:rsidRPr="009A0E69" w:rsidRDefault="00415A80" w:rsidP="00415A80">
            <w:pPr>
              <w:pStyle w:val="Tabletext"/>
            </w:pPr>
            <w:r>
              <w:t xml:space="preserve">Financial assets </w:t>
            </w:r>
            <w:r w:rsidR="00AB0E3B">
              <w:t>–</w:t>
            </w:r>
            <w:r>
              <w:t xml:space="preserve"> </w:t>
            </w:r>
            <w:r w:rsidR="00AB0E3B">
              <w:t xml:space="preserve">investments in </w:t>
            </w:r>
            <w:r>
              <w:t>funds</w:t>
            </w:r>
          </w:p>
        </w:tc>
        <w:tc>
          <w:tcPr>
            <w:tcW w:w="1498" w:type="dxa"/>
            <w:tcBorders>
              <w:top w:val="nil"/>
              <w:bottom w:val="nil"/>
            </w:tcBorders>
            <w:vAlign w:val="center"/>
          </w:tcPr>
          <w:p w14:paraId="23769076" w14:textId="1863F3D6" w:rsidR="00415A80" w:rsidRPr="005A2843" w:rsidRDefault="00415A80" w:rsidP="00415A80">
            <w:pPr>
              <w:pStyle w:val="Tabletext"/>
              <w:tabs>
                <w:tab w:val="decimal" w:pos="1210"/>
              </w:tabs>
            </w:pPr>
            <w:r w:rsidRPr="00423552">
              <w:t>122.0</w:t>
            </w:r>
          </w:p>
        </w:tc>
        <w:tc>
          <w:tcPr>
            <w:tcW w:w="185" w:type="dxa"/>
            <w:tcBorders>
              <w:top w:val="nil"/>
              <w:bottom w:val="nil"/>
            </w:tcBorders>
          </w:tcPr>
          <w:p w14:paraId="1690B4E5" w14:textId="77777777" w:rsidR="00415A80" w:rsidRPr="005A2843" w:rsidRDefault="00415A80" w:rsidP="00415A80">
            <w:pPr>
              <w:pStyle w:val="Tabletext"/>
              <w:jc w:val="right"/>
            </w:pPr>
          </w:p>
        </w:tc>
        <w:tc>
          <w:tcPr>
            <w:tcW w:w="1498" w:type="dxa"/>
            <w:tcBorders>
              <w:top w:val="nil"/>
              <w:bottom w:val="nil"/>
            </w:tcBorders>
            <w:shd w:val="clear" w:color="auto" w:fill="auto"/>
          </w:tcPr>
          <w:p w14:paraId="4878673E" w14:textId="61A4E1E8" w:rsidR="00415A80" w:rsidRPr="005A2843" w:rsidRDefault="00415A80" w:rsidP="00415A80">
            <w:pPr>
              <w:pStyle w:val="Tabletext"/>
              <w:tabs>
                <w:tab w:val="decimal" w:pos="1229"/>
              </w:tabs>
            </w:pPr>
            <w:r>
              <w:t>44.6</w:t>
            </w:r>
          </w:p>
        </w:tc>
        <w:tc>
          <w:tcPr>
            <w:tcW w:w="185" w:type="dxa"/>
            <w:tcBorders>
              <w:top w:val="nil"/>
              <w:bottom w:val="nil"/>
            </w:tcBorders>
          </w:tcPr>
          <w:p w14:paraId="4E1D9C40" w14:textId="77777777" w:rsidR="00415A80" w:rsidRPr="005A2843" w:rsidRDefault="00415A80" w:rsidP="00415A80">
            <w:pPr>
              <w:pStyle w:val="Tabletext"/>
              <w:jc w:val="right"/>
            </w:pPr>
          </w:p>
        </w:tc>
        <w:tc>
          <w:tcPr>
            <w:tcW w:w="1497" w:type="dxa"/>
            <w:tcBorders>
              <w:top w:val="nil"/>
              <w:bottom w:val="nil"/>
            </w:tcBorders>
          </w:tcPr>
          <w:p w14:paraId="61001E36" w14:textId="508BC41F" w:rsidR="00415A80" w:rsidRPr="005A2843" w:rsidRDefault="00415A80" w:rsidP="00415A80">
            <w:pPr>
              <w:pStyle w:val="Tabletext"/>
              <w:jc w:val="right"/>
            </w:pPr>
            <w:r w:rsidRPr="00423552">
              <w:t>-</w:t>
            </w:r>
          </w:p>
        </w:tc>
        <w:tc>
          <w:tcPr>
            <w:tcW w:w="185" w:type="dxa"/>
            <w:tcBorders>
              <w:top w:val="nil"/>
              <w:bottom w:val="nil"/>
            </w:tcBorders>
          </w:tcPr>
          <w:p w14:paraId="5C93EB16" w14:textId="77777777" w:rsidR="00415A80" w:rsidRPr="005A2843" w:rsidRDefault="00415A80" w:rsidP="00415A80">
            <w:pPr>
              <w:pStyle w:val="Tabletext"/>
              <w:jc w:val="right"/>
            </w:pPr>
          </w:p>
        </w:tc>
        <w:tc>
          <w:tcPr>
            <w:tcW w:w="1498" w:type="dxa"/>
            <w:tcBorders>
              <w:top w:val="nil"/>
              <w:bottom w:val="nil"/>
            </w:tcBorders>
          </w:tcPr>
          <w:p w14:paraId="31AE934B" w14:textId="357F9E0C" w:rsidR="00415A80" w:rsidRPr="005A2843" w:rsidRDefault="00415A80" w:rsidP="00415A80">
            <w:pPr>
              <w:pStyle w:val="Tabletext"/>
              <w:tabs>
                <w:tab w:val="decimal" w:pos="1187"/>
              </w:tabs>
            </w:pPr>
            <w:r>
              <w:t>166.6</w:t>
            </w:r>
          </w:p>
        </w:tc>
      </w:tr>
      <w:tr w:rsidR="00415A80" w:rsidRPr="00A66CA2" w14:paraId="3AC7C054" w14:textId="77777777">
        <w:trPr>
          <w:trHeight w:hRule="exact" w:val="284"/>
        </w:trPr>
        <w:tc>
          <w:tcPr>
            <w:tcW w:w="3410" w:type="dxa"/>
            <w:tcBorders>
              <w:top w:val="nil"/>
              <w:bottom w:val="nil"/>
            </w:tcBorders>
            <w:shd w:val="clear" w:color="auto" w:fill="auto"/>
            <w:vAlign w:val="center"/>
          </w:tcPr>
          <w:p w14:paraId="54534C0B" w14:textId="74D76667" w:rsidR="00415A80" w:rsidRDefault="00415A80" w:rsidP="00415A80">
            <w:pPr>
              <w:pStyle w:val="Tabletext"/>
            </w:pPr>
            <w:r>
              <w:t xml:space="preserve">Financial assets – derivatives </w:t>
            </w:r>
          </w:p>
        </w:tc>
        <w:tc>
          <w:tcPr>
            <w:tcW w:w="1498" w:type="dxa"/>
            <w:tcBorders>
              <w:top w:val="nil"/>
              <w:bottom w:val="nil"/>
            </w:tcBorders>
          </w:tcPr>
          <w:p w14:paraId="1A993577" w14:textId="3323BD65" w:rsidR="00415A80" w:rsidRPr="005A2843" w:rsidRDefault="00415A80" w:rsidP="00415A80">
            <w:pPr>
              <w:pStyle w:val="Tabletext"/>
              <w:tabs>
                <w:tab w:val="decimal" w:pos="1210"/>
              </w:tabs>
            </w:pPr>
            <w:r w:rsidRPr="00423552">
              <w:t>-</w:t>
            </w:r>
          </w:p>
        </w:tc>
        <w:tc>
          <w:tcPr>
            <w:tcW w:w="185" w:type="dxa"/>
            <w:tcBorders>
              <w:top w:val="nil"/>
              <w:bottom w:val="nil"/>
            </w:tcBorders>
          </w:tcPr>
          <w:p w14:paraId="02A4C630" w14:textId="77777777" w:rsidR="00415A80" w:rsidRPr="005A2843" w:rsidRDefault="00415A80" w:rsidP="00415A80">
            <w:pPr>
              <w:pStyle w:val="Tabletext"/>
              <w:jc w:val="right"/>
            </w:pPr>
          </w:p>
        </w:tc>
        <w:tc>
          <w:tcPr>
            <w:tcW w:w="1498" w:type="dxa"/>
            <w:tcBorders>
              <w:top w:val="nil"/>
              <w:bottom w:val="nil"/>
            </w:tcBorders>
            <w:shd w:val="clear" w:color="auto" w:fill="auto"/>
          </w:tcPr>
          <w:p w14:paraId="0653DC82" w14:textId="2788ACE0" w:rsidR="00415A80" w:rsidRPr="005A2843" w:rsidRDefault="00415A80" w:rsidP="00415A80">
            <w:pPr>
              <w:pStyle w:val="Tabletext"/>
              <w:tabs>
                <w:tab w:val="decimal" w:pos="1229"/>
              </w:tabs>
            </w:pPr>
            <w:r>
              <w:t>0.2</w:t>
            </w:r>
          </w:p>
        </w:tc>
        <w:tc>
          <w:tcPr>
            <w:tcW w:w="185" w:type="dxa"/>
            <w:tcBorders>
              <w:top w:val="nil"/>
              <w:bottom w:val="nil"/>
            </w:tcBorders>
          </w:tcPr>
          <w:p w14:paraId="5A3F1C21" w14:textId="77777777" w:rsidR="00415A80" w:rsidRPr="005A2843" w:rsidRDefault="00415A80" w:rsidP="00415A80">
            <w:pPr>
              <w:pStyle w:val="Tabletext"/>
              <w:jc w:val="right"/>
            </w:pPr>
          </w:p>
        </w:tc>
        <w:tc>
          <w:tcPr>
            <w:tcW w:w="1497" w:type="dxa"/>
            <w:tcBorders>
              <w:top w:val="nil"/>
              <w:bottom w:val="nil"/>
            </w:tcBorders>
          </w:tcPr>
          <w:p w14:paraId="4226F199" w14:textId="20142936" w:rsidR="00415A80" w:rsidRPr="005A2843" w:rsidRDefault="00415A80" w:rsidP="00415A80">
            <w:pPr>
              <w:pStyle w:val="Tabletext"/>
              <w:jc w:val="right"/>
            </w:pPr>
            <w:r w:rsidRPr="00423552">
              <w:t>-</w:t>
            </w:r>
          </w:p>
        </w:tc>
        <w:tc>
          <w:tcPr>
            <w:tcW w:w="185" w:type="dxa"/>
            <w:tcBorders>
              <w:top w:val="nil"/>
              <w:bottom w:val="nil"/>
            </w:tcBorders>
          </w:tcPr>
          <w:p w14:paraId="6B0F6068" w14:textId="77777777" w:rsidR="00415A80" w:rsidRPr="005A2843" w:rsidRDefault="00415A80" w:rsidP="00415A80">
            <w:pPr>
              <w:pStyle w:val="Tabletext"/>
              <w:jc w:val="right"/>
            </w:pPr>
          </w:p>
        </w:tc>
        <w:tc>
          <w:tcPr>
            <w:tcW w:w="1498" w:type="dxa"/>
            <w:tcBorders>
              <w:top w:val="nil"/>
              <w:bottom w:val="nil"/>
            </w:tcBorders>
          </w:tcPr>
          <w:p w14:paraId="47F27037" w14:textId="34A4EEAE" w:rsidR="00415A80" w:rsidRPr="005A2843" w:rsidRDefault="00415A80" w:rsidP="00415A80">
            <w:pPr>
              <w:pStyle w:val="Tabletext"/>
              <w:tabs>
                <w:tab w:val="decimal" w:pos="1173"/>
              </w:tabs>
            </w:pPr>
            <w:r>
              <w:t>0.2</w:t>
            </w:r>
          </w:p>
        </w:tc>
      </w:tr>
      <w:tr w:rsidR="00415A80" w:rsidRPr="00A66CA2" w14:paraId="70F6A089" w14:textId="77777777" w:rsidTr="00CE181C">
        <w:trPr>
          <w:trHeight w:hRule="exact" w:val="559"/>
        </w:trPr>
        <w:tc>
          <w:tcPr>
            <w:tcW w:w="3410" w:type="dxa"/>
            <w:tcBorders>
              <w:top w:val="nil"/>
              <w:bottom w:val="nil"/>
            </w:tcBorders>
            <w:shd w:val="clear" w:color="auto" w:fill="auto"/>
            <w:vAlign w:val="center"/>
          </w:tcPr>
          <w:p w14:paraId="4976EE1B" w14:textId="06806679" w:rsidR="00415A80" w:rsidRDefault="00415A80" w:rsidP="00415A80">
            <w:pPr>
              <w:pStyle w:val="Tabletext"/>
            </w:pPr>
            <w:r>
              <w:t xml:space="preserve">Financial liabilities </w:t>
            </w:r>
            <w:r w:rsidR="00674E95">
              <w:t>– non-controlling interests in consolidated funds</w:t>
            </w:r>
          </w:p>
        </w:tc>
        <w:tc>
          <w:tcPr>
            <w:tcW w:w="1498" w:type="dxa"/>
            <w:tcBorders>
              <w:top w:val="nil"/>
              <w:bottom w:val="nil"/>
            </w:tcBorders>
          </w:tcPr>
          <w:p w14:paraId="729959FF" w14:textId="68BE509A" w:rsidR="00415A80" w:rsidRPr="005A2843" w:rsidRDefault="00415A80" w:rsidP="00415A80">
            <w:pPr>
              <w:pStyle w:val="Tabletext"/>
              <w:tabs>
                <w:tab w:val="decimal" w:pos="1210"/>
              </w:tabs>
            </w:pPr>
            <w:r w:rsidRPr="00423552">
              <w:t>(48.5)</w:t>
            </w:r>
          </w:p>
        </w:tc>
        <w:tc>
          <w:tcPr>
            <w:tcW w:w="185" w:type="dxa"/>
            <w:tcBorders>
              <w:top w:val="nil"/>
              <w:bottom w:val="nil"/>
            </w:tcBorders>
          </w:tcPr>
          <w:p w14:paraId="001E83D3" w14:textId="77777777" w:rsidR="00415A80" w:rsidRPr="005A2843" w:rsidRDefault="00415A80" w:rsidP="00415A80">
            <w:pPr>
              <w:pStyle w:val="Tabletext"/>
              <w:jc w:val="right"/>
            </w:pPr>
          </w:p>
        </w:tc>
        <w:tc>
          <w:tcPr>
            <w:tcW w:w="1498" w:type="dxa"/>
            <w:tcBorders>
              <w:top w:val="nil"/>
              <w:bottom w:val="nil"/>
            </w:tcBorders>
            <w:shd w:val="clear" w:color="auto" w:fill="auto"/>
          </w:tcPr>
          <w:p w14:paraId="2DB3F69E" w14:textId="3E5DF19A" w:rsidR="00415A80" w:rsidRPr="005A2843" w:rsidRDefault="00415A80" w:rsidP="00415A80">
            <w:pPr>
              <w:pStyle w:val="Tabletext"/>
              <w:tabs>
                <w:tab w:val="decimal" w:pos="1229"/>
              </w:tabs>
            </w:pPr>
            <w:r w:rsidRPr="00423552">
              <w:t>-</w:t>
            </w:r>
          </w:p>
        </w:tc>
        <w:tc>
          <w:tcPr>
            <w:tcW w:w="185" w:type="dxa"/>
            <w:tcBorders>
              <w:top w:val="nil"/>
              <w:bottom w:val="nil"/>
            </w:tcBorders>
          </w:tcPr>
          <w:p w14:paraId="6C08D161" w14:textId="77777777" w:rsidR="00415A80" w:rsidRPr="005A2843" w:rsidRDefault="00415A80" w:rsidP="00415A80">
            <w:pPr>
              <w:pStyle w:val="Tabletext"/>
              <w:jc w:val="right"/>
            </w:pPr>
          </w:p>
        </w:tc>
        <w:tc>
          <w:tcPr>
            <w:tcW w:w="1497" w:type="dxa"/>
            <w:tcBorders>
              <w:top w:val="nil"/>
              <w:bottom w:val="nil"/>
            </w:tcBorders>
          </w:tcPr>
          <w:p w14:paraId="2955777E" w14:textId="6C495762" w:rsidR="00415A80" w:rsidRPr="005A2843" w:rsidRDefault="00415A80" w:rsidP="00415A80">
            <w:pPr>
              <w:pStyle w:val="Tabletext"/>
              <w:jc w:val="right"/>
            </w:pPr>
            <w:r w:rsidRPr="00423552">
              <w:t>-</w:t>
            </w:r>
          </w:p>
        </w:tc>
        <w:tc>
          <w:tcPr>
            <w:tcW w:w="185" w:type="dxa"/>
            <w:tcBorders>
              <w:top w:val="nil"/>
              <w:bottom w:val="nil"/>
            </w:tcBorders>
          </w:tcPr>
          <w:p w14:paraId="4ED5DCFD" w14:textId="77777777" w:rsidR="00415A80" w:rsidRPr="005A2843" w:rsidRDefault="00415A80" w:rsidP="00415A80">
            <w:pPr>
              <w:pStyle w:val="Tabletext"/>
              <w:jc w:val="right"/>
            </w:pPr>
          </w:p>
        </w:tc>
        <w:tc>
          <w:tcPr>
            <w:tcW w:w="1498" w:type="dxa"/>
            <w:tcBorders>
              <w:top w:val="nil"/>
              <w:bottom w:val="nil"/>
            </w:tcBorders>
          </w:tcPr>
          <w:p w14:paraId="7D8BA2EF" w14:textId="1F478929" w:rsidR="00415A80" w:rsidRPr="005A2843" w:rsidRDefault="00415A80" w:rsidP="00415A80">
            <w:pPr>
              <w:pStyle w:val="Tabletext"/>
              <w:tabs>
                <w:tab w:val="decimal" w:pos="1173"/>
              </w:tabs>
            </w:pPr>
            <w:r w:rsidRPr="00423552">
              <w:t>(48.5)</w:t>
            </w:r>
          </w:p>
        </w:tc>
      </w:tr>
      <w:tr w:rsidR="00415A80" w:rsidRPr="00A66CA2" w14:paraId="0E807E2D" w14:textId="77777777" w:rsidTr="00BF095C">
        <w:trPr>
          <w:trHeight w:hRule="exact" w:val="284"/>
        </w:trPr>
        <w:tc>
          <w:tcPr>
            <w:tcW w:w="3410" w:type="dxa"/>
            <w:tcBorders>
              <w:top w:val="nil"/>
              <w:bottom w:val="nil"/>
            </w:tcBorders>
            <w:shd w:val="clear" w:color="auto" w:fill="auto"/>
            <w:vAlign w:val="center"/>
          </w:tcPr>
          <w:p w14:paraId="529C4773" w14:textId="77777777" w:rsidR="00415A80" w:rsidRPr="00851326" w:rsidRDefault="00415A80" w:rsidP="00415A80">
            <w:pPr>
              <w:pStyle w:val="Tabletext"/>
              <w:rPr>
                <w:b/>
                <w:bCs/>
              </w:rPr>
            </w:pPr>
            <w:r>
              <w:rPr>
                <w:b/>
                <w:bCs/>
              </w:rPr>
              <w:t xml:space="preserve"> </w:t>
            </w:r>
          </w:p>
        </w:tc>
        <w:tc>
          <w:tcPr>
            <w:tcW w:w="1498" w:type="dxa"/>
            <w:tcBorders>
              <w:top w:val="single" w:sz="4" w:space="0" w:color="auto"/>
              <w:bottom w:val="double" w:sz="4" w:space="0" w:color="auto"/>
            </w:tcBorders>
          </w:tcPr>
          <w:p w14:paraId="506DE171" w14:textId="5635D5F2" w:rsidR="00415A80" w:rsidRPr="005A2843" w:rsidRDefault="00415A80" w:rsidP="00415A80">
            <w:pPr>
              <w:pStyle w:val="Tabletext"/>
              <w:tabs>
                <w:tab w:val="decimal" w:pos="1210"/>
              </w:tabs>
            </w:pPr>
            <w:r w:rsidRPr="00F2718C">
              <w:rPr>
                <w:b/>
              </w:rPr>
              <w:t>73.5</w:t>
            </w:r>
          </w:p>
        </w:tc>
        <w:tc>
          <w:tcPr>
            <w:tcW w:w="185" w:type="dxa"/>
            <w:tcBorders>
              <w:top w:val="nil"/>
              <w:bottom w:val="nil"/>
            </w:tcBorders>
          </w:tcPr>
          <w:p w14:paraId="226E7DA6" w14:textId="77777777" w:rsidR="00415A80" w:rsidRPr="005A2843" w:rsidRDefault="00415A80" w:rsidP="00415A80">
            <w:pPr>
              <w:pStyle w:val="Tabletext"/>
              <w:jc w:val="right"/>
            </w:pPr>
          </w:p>
        </w:tc>
        <w:tc>
          <w:tcPr>
            <w:tcW w:w="1498" w:type="dxa"/>
            <w:tcBorders>
              <w:top w:val="single" w:sz="4" w:space="0" w:color="auto"/>
              <w:bottom w:val="double" w:sz="4" w:space="0" w:color="auto"/>
            </w:tcBorders>
            <w:shd w:val="clear" w:color="auto" w:fill="auto"/>
          </w:tcPr>
          <w:p w14:paraId="03D71BBB" w14:textId="22050A92" w:rsidR="00415A80" w:rsidRPr="005A2843" w:rsidRDefault="00415A80" w:rsidP="00415A80">
            <w:pPr>
              <w:pStyle w:val="Tabletext"/>
              <w:tabs>
                <w:tab w:val="decimal" w:pos="1229"/>
              </w:tabs>
            </w:pPr>
            <w:r w:rsidRPr="00F2718C">
              <w:rPr>
                <w:b/>
              </w:rPr>
              <w:t>44.8</w:t>
            </w:r>
          </w:p>
        </w:tc>
        <w:tc>
          <w:tcPr>
            <w:tcW w:w="185" w:type="dxa"/>
            <w:tcBorders>
              <w:top w:val="nil"/>
              <w:bottom w:val="nil"/>
            </w:tcBorders>
          </w:tcPr>
          <w:p w14:paraId="6E4F80EA" w14:textId="77777777" w:rsidR="00415A80" w:rsidRPr="005A2843" w:rsidRDefault="00415A80" w:rsidP="00415A80">
            <w:pPr>
              <w:pStyle w:val="Tabletext"/>
              <w:jc w:val="right"/>
            </w:pPr>
          </w:p>
        </w:tc>
        <w:tc>
          <w:tcPr>
            <w:tcW w:w="1497" w:type="dxa"/>
            <w:tcBorders>
              <w:top w:val="single" w:sz="4" w:space="0" w:color="auto"/>
              <w:bottom w:val="double" w:sz="4" w:space="0" w:color="auto"/>
            </w:tcBorders>
          </w:tcPr>
          <w:p w14:paraId="7B1182BF" w14:textId="7D3B94E8" w:rsidR="00415A80" w:rsidRPr="005A2843" w:rsidRDefault="00415A80" w:rsidP="00415A80">
            <w:pPr>
              <w:pStyle w:val="Tabletext"/>
              <w:jc w:val="right"/>
            </w:pPr>
            <w:r w:rsidRPr="00F2718C">
              <w:rPr>
                <w:b/>
              </w:rPr>
              <w:t>-</w:t>
            </w:r>
          </w:p>
        </w:tc>
        <w:tc>
          <w:tcPr>
            <w:tcW w:w="185" w:type="dxa"/>
            <w:tcBorders>
              <w:top w:val="nil"/>
              <w:bottom w:val="nil"/>
            </w:tcBorders>
          </w:tcPr>
          <w:p w14:paraId="69D1CF66" w14:textId="77777777" w:rsidR="00415A80" w:rsidRPr="005A2843" w:rsidRDefault="00415A80" w:rsidP="00415A80">
            <w:pPr>
              <w:pStyle w:val="Tabletext"/>
              <w:jc w:val="right"/>
            </w:pPr>
          </w:p>
        </w:tc>
        <w:tc>
          <w:tcPr>
            <w:tcW w:w="1498" w:type="dxa"/>
            <w:tcBorders>
              <w:top w:val="single" w:sz="4" w:space="0" w:color="auto"/>
              <w:bottom w:val="double" w:sz="4" w:space="0" w:color="auto"/>
            </w:tcBorders>
          </w:tcPr>
          <w:p w14:paraId="310E5931" w14:textId="4D130096" w:rsidR="00415A80" w:rsidRPr="005A2843" w:rsidRDefault="00415A80" w:rsidP="00415A80">
            <w:pPr>
              <w:pStyle w:val="Tabletext"/>
              <w:tabs>
                <w:tab w:val="decimal" w:pos="1187"/>
              </w:tabs>
            </w:pPr>
            <w:r w:rsidRPr="00F2718C">
              <w:rPr>
                <w:b/>
              </w:rPr>
              <w:t>118.3</w:t>
            </w:r>
          </w:p>
        </w:tc>
      </w:tr>
    </w:tbl>
    <w:p w14:paraId="45FEE69F" w14:textId="13A7A33C" w:rsidR="00CC5ECC" w:rsidRDefault="00CC5ECC" w:rsidP="00C54721">
      <w:pPr>
        <w:pStyle w:val="Bodytext0"/>
      </w:pPr>
    </w:p>
    <w:p w14:paraId="5CEEF847" w14:textId="132EA171" w:rsidR="003658D9" w:rsidRPr="00C710E8" w:rsidRDefault="003658D9" w:rsidP="00C54721">
      <w:pPr>
        <w:pStyle w:val="Bodytext0"/>
      </w:pPr>
      <w:r w:rsidRPr="00C710E8">
        <w:t>As at 3</w:t>
      </w:r>
      <w:r>
        <w:t>1</w:t>
      </w:r>
      <w:r w:rsidRPr="00C710E8">
        <w:t xml:space="preserve"> </w:t>
      </w:r>
      <w:r>
        <w:t xml:space="preserve">December </w:t>
      </w:r>
      <w:r w:rsidR="00E85F7E">
        <w:t>2023</w:t>
      </w:r>
      <w:r w:rsidRPr="00C710E8">
        <w:t>, the Group held the following financial instruments measured at fair value</w:t>
      </w:r>
      <w:r>
        <w:t>:</w:t>
      </w:r>
    </w:p>
    <w:tbl>
      <w:tblPr>
        <w:tblStyle w:val="TableGrid"/>
        <w:tblW w:w="9956"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410"/>
        <w:gridCol w:w="1498"/>
        <w:gridCol w:w="185"/>
        <w:gridCol w:w="1498"/>
        <w:gridCol w:w="185"/>
        <w:gridCol w:w="1497"/>
        <w:gridCol w:w="185"/>
        <w:gridCol w:w="1498"/>
      </w:tblGrid>
      <w:tr w:rsidR="003658D9" w:rsidRPr="00922B5E" w14:paraId="51F1DC2C" w14:textId="77777777" w:rsidTr="00957B0D">
        <w:trPr>
          <w:trHeight w:hRule="exact" w:val="284"/>
        </w:trPr>
        <w:tc>
          <w:tcPr>
            <w:tcW w:w="3410" w:type="dxa"/>
            <w:tcBorders>
              <w:bottom w:val="nil"/>
            </w:tcBorders>
            <w:vAlign w:val="bottom"/>
          </w:tcPr>
          <w:p w14:paraId="56B7B46D" w14:textId="5A3A50C9" w:rsidR="003658D9" w:rsidRPr="005405BA" w:rsidRDefault="003658D9" w:rsidP="00957B0D">
            <w:pPr>
              <w:pStyle w:val="Tableheading"/>
              <w:jc w:val="right"/>
            </w:pPr>
          </w:p>
        </w:tc>
        <w:tc>
          <w:tcPr>
            <w:tcW w:w="1498" w:type="dxa"/>
            <w:tcBorders>
              <w:bottom w:val="nil"/>
            </w:tcBorders>
            <w:vAlign w:val="bottom"/>
          </w:tcPr>
          <w:p w14:paraId="6091A45E" w14:textId="77777777" w:rsidR="003658D9" w:rsidRDefault="003658D9" w:rsidP="00957B0D">
            <w:pPr>
              <w:pStyle w:val="Tableheading"/>
              <w:jc w:val="right"/>
            </w:pPr>
            <w:r>
              <w:t>Level 1</w:t>
            </w:r>
          </w:p>
        </w:tc>
        <w:tc>
          <w:tcPr>
            <w:tcW w:w="185" w:type="dxa"/>
            <w:tcBorders>
              <w:top w:val="nil"/>
              <w:bottom w:val="nil"/>
            </w:tcBorders>
            <w:vAlign w:val="bottom"/>
          </w:tcPr>
          <w:p w14:paraId="4E5BA422" w14:textId="77777777" w:rsidR="003658D9" w:rsidRPr="00922B5E" w:rsidRDefault="003658D9" w:rsidP="00957B0D">
            <w:pPr>
              <w:pStyle w:val="Tableheading"/>
              <w:jc w:val="right"/>
            </w:pPr>
          </w:p>
        </w:tc>
        <w:tc>
          <w:tcPr>
            <w:tcW w:w="1498" w:type="dxa"/>
            <w:tcBorders>
              <w:top w:val="nil"/>
              <w:bottom w:val="nil"/>
            </w:tcBorders>
            <w:vAlign w:val="bottom"/>
          </w:tcPr>
          <w:p w14:paraId="2CB47B1A" w14:textId="77777777" w:rsidR="003658D9" w:rsidRPr="00922B5E" w:rsidRDefault="003658D9" w:rsidP="00957B0D">
            <w:pPr>
              <w:pStyle w:val="Tableheading"/>
              <w:jc w:val="right"/>
            </w:pPr>
            <w:r>
              <w:t>Level 2</w:t>
            </w:r>
          </w:p>
        </w:tc>
        <w:tc>
          <w:tcPr>
            <w:tcW w:w="185" w:type="dxa"/>
            <w:tcBorders>
              <w:top w:val="nil"/>
              <w:bottom w:val="nil"/>
            </w:tcBorders>
            <w:vAlign w:val="bottom"/>
          </w:tcPr>
          <w:p w14:paraId="22E36A9D" w14:textId="77777777" w:rsidR="003658D9" w:rsidRDefault="003658D9" w:rsidP="00957B0D">
            <w:pPr>
              <w:pStyle w:val="Tableheading"/>
              <w:jc w:val="right"/>
            </w:pPr>
          </w:p>
        </w:tc>
        <w:tc>
          <w:tcPr>
            <w:tcW w:w="1497" w:type="dxa"/>
            <w:tcBorders>
              <w:top w:val="nil"/>
              <w:bottom w:val="nil"/>
            </w:tcBorders>
            <w:vAlign w:val="bottom"/>
          </w:tcPr>
          <w:p w14:paraId="3CCEC48C" w14:textId="6DA258E9" w:rsidR="003658D9" w:rsidRPr="00922B5E" w:rsidRDefault="003658D9" w:rsidP="00957B0D">
            <w:pPr>
              <w:pStyle w:val="Tableheading"/>
              <w:jc w:val="right"/>
            </w:pPr>
            <w:r>
              <w:t>Level 3</w:t>
            </w:r>
          </w:p>
        </w:tc>
        <w:tc>
          <w:tcPr>
            <w:tcW w:w="185" w:type="dxa"/>
            <w:tcBorders>
              <w:top w:val="nil"/>
              <w:bottom w:val="nil"/>
            </w:tcBorders>
            <w:vAlign w:val="bottom"/>
          </w:tcPr>
          <w:p w14:paraId="63571117" w14:textId="77777777" w:rsidR="003658D9" w:rsidRDefault="003658D9" w:rsidP="00957B0D">
            <w:pPr>
              <w:pStyle w:val="Tableheading"/>
              <w:jc w:val="right"/>
            </w:pPr>
          </w:p>
        </w:tc>
        <w:tc>
          <w:tcPr>
            <w:tcW w:w="1498" w:type="dxa"/>
            <w:tcBorders>
              <w:top w:val="nil"/>
              <w:bottom w:val="nil"/>
            </w:tcBorders>
            <w:vAlign w:val="bottom"/>
          </w:tcPr>
          <w:p w14:paraId="1E377E38" w14:textId="589BD760" w:rsidR="003658D9" w:rsidRPr="00922B5E" w:rsidRDefault="00BF095C" w:rsidP="00957B0D">
            <w:pPr>
              <w:pStyle w:val="Tableheading"/>
              <w:jc w:val="right"/>
            </w:pPr>
            <w:r>
              <w:t xml:space="preserve">Total </w:t>
            </w:r>
          </w:p>
        </w:tc>
      </w:tr>
      <w:tr w:rsidR="00D10288" w:rsidRPr="00A66CA2" w14:paraId="37727804" w14:textId="77777777" w:rsidTr="009F2FE4">
        <w:trPr>
          <w:trHeight w:hRule="exact" w:val="284"/>
        </w:trPr>
        <w:tc>
          <w:tcPr>
            <w:tcW w:w="3410" w:type="dxa"/>
            <w:tcBorders>
              <w:top w:val="nil"/>
              <w:bottom w:val="nil"/>
            </w:tcBorders>
            <w:shd w:val="clear" w:color="auto" w:fill="auto"/>
          </w:tcPr>
          <w:p w14:paraId="1DC4A5A9" w14:textId="2E49DFB2" w:rsidR="00D10288" w:rsidRDefault="00D10288" w:rsidP="00957B0D">
            <w:pPr>
              <w:pStyle w:val="Tableheading"/>
              <w:jc w:val="right"/>
            </w:pPr>
          </w:p>
        </w:tc>
        <w:tc>
          <w:tcPr>
            <w:tcW w:w="1498" w:type="dxa"/>
            <w:tcBorders>
              <w:top w:val="nil"/>
              <w:bottom w:val="nil"/>
            </w:tcBorders>
          </w:tcPr>
          <w:p w14:paraId="1C140A15" w14:textId="63178442" w:rsidR="00D10288" w:rsidRDefault="00F66382" w:rsidP="00957B0D">
            <w:pPr>
              <w:pStyle w:val="Tableheading"/>
              <w:jc w:val="right"/>
            </w:pPr>
            <w:r>
              <w:t>£m</w:t>
            </w:r>
          </w:p>
        </w:tc>
        <w:tc>
          <w:tcPr>
            <w:tcW w:w="185" w:type="dxa"/>
            <w:tcBorders>
              <w:top w:val="nil"/>
              <w:bottom w:val="nil"/>
            </w:tcBorders>
          </w:tcPr>
          <w:p w14:paraId="47D37842" w14:textId="77777777" w:rsidR="00D10288" w:rsidRPr="003658D9" w:rsidRDefault="00D10288" w:rsidP="00957B0D">
            <w:pPr>
              <w:pStyle w:val="Tableheading"/>
              <w:jc w:val="right"/>
            </w:pPr>
          </w:p>
        </w:tc>
        <w:tc>
          <w:tcPr>
            <w:tcW w:w="1498" w:type="dxa"/>
            <w:tcBorders>
              <w:top w:val="nil"/>
              <w:bottom w:val="nil"/>
            </w:tcBorders>
            <w:shd w:val="clear" w:color="auto" w:fill="auto"/>
          </w:tcPr>
          <w:p w14:paraId="16B95166" w14:textId="1839B497" w:rsidR="00D10288" w:rsidRDefault="00F66382" w:rsidP="00957B0D">
            <w:pPr>
              <w:pStyle w:val="Tableheading"/>
              <w:jc w:val="right"/>
            </w:pPr>
            <w:r>
              <w:t>£m</w:t>
            </w:r>
          </w:p>
        </w:tc>
        <w:tc>
          <w:tcPr>
            <w:tcW w:w="185" w:type="dxa"/>
            <w:tcBorders>
              <w:top w:val="nil"/>
              <w:bottom w:val="nil"/>
            </w:tcBorders>
          </w:tcPr>
          <w:p w14:paraId="5E746C3A" w14:textId="77777777" w:rsidR="00D10288" w:rsidRPr="003658D9" w:rsidRDefault="00D10288" w:rsidP="00957B0D">
            <w:pPr>
              <w:pStyle w:val="Tableheading"/>
              <w:jc w:val="right"/>
            </w:pPr>
          </w:p>
        </w:tc>
        <w:tc>
          <w:tcPr>
            <w:tcW w:w="1497" w:type="dxa"/>
            <w:tcBorders>
              <w:top w:val="nil"/>
              <w:bottom w:val="nil"/>
            </w:tcBorders>
          </w:tcPr>
          <w:p w14:paraId="3368D36C" w14:textId="78D1CBCF" w:rsidR="00D10288" w:rsidRPr="003658D9" w:rsidRDefault="00F66382" w:rsidP="00957B0D">
            <w:pPr>
              <w:pStyle w:val="Tableheading"/>
              <w:jc w:val="right"/>
            </w:pPr>
            <w:r>
              <w:t>£m</w:t>
            </w:r>
          </w:p>
        </w:tc>
        <w:tc>
          <w:tcPr>
            <w:tcW w:w="185" w:type="dxa"/>
            <w:tcBorders>
              <w:top w:val="nil"/>
              <w:bottom w:val="nil"/>
            </w:tcBorders>
          </w:tcPr>
          <w:p w14:paraId="5783B4B8" w14:textId="77777777" w:rsidR="00D10288" w:rsidRPr="003658D9" w:rsidRDefault="00D10288" w:rsidP="00957B0D">
            <w:pPr>
              <w:pStyle w:val="Tableheading"/>
              <w:jc w:val="right"/>
            </w:pPr>
          </w:p>
        </w:tc>
        <w:tc>
          <w:tcPr>
            <w:tcW w:w="1498" w:type="dxa"/>
            <w:tcBorders>
              <w:top w:val="nil"/>
              <w:bottom w:val="nil"/>
            </w:tcBorders>
          </w:tcPr>
          <w:p w14:paraId="72B8D28E" w14:textId="2384C4EE" w:rsidR="00D10288" w:rsidRDefault="00F97DC7" w:rsidP="00957B0D">
            <w:pPr>
              <w:pStyle w:val="Tableheading"/>
              <w:jc w:val="right"/>
            </w:pPr>
            <w:r>
              <w:t>£m</w:t>
            </w:r>
          </w:p>
        </w:tc>
      </w:tr>
      <w:tr w:rsidR="00BE7F84" w:rsidRPr="00A66CA2" w14:paraId="5F8EC1C1" w14:textId="77777777">
        <w:trPr>
          <w:trHeight w:hRule="exact" w:val="284"/>
        </w:trPr>
        <w:tc>
          <w:tcPr>
            <w:tcW w:w="3410" w:type="dxa"/>
            <w:tcBorders>
              <w:top w:val="nil"/>
              <w:bottom w:val="nil"/>
            </w:tcBorders>
            <w:shd w:val="clear" w:color="auto" w:fill="auto"/>
            <w:vAlign w:val="center"/>
          </w:tcPr>
          <w:p w14:paraId="469855CE" w14:textId="06E7D68D" w:rsidR="00BE7F84" w:rsidRPr="009A0E69" w:rsidRDefault="00BE7F84" w:rsidP="00BE7F84">
            <w:pPr>
              <w:pStyle w:val="Tabletext"/>
            </w:pPr>
            <w:r>
              <w:t xml:space="preserve">Financial assets – </w:t>
            </w:r>
            <w:r w:rsidR="00674E95">
              <w:t xml:space="preserve">investments in </w:t>
            </w:r>
            <w:r>
              <w:t>funds</w:t>
            </w:r>
          </w:p>
        </w:tc>
        <w:tc>
          <w:tcPr>
            <w:tcW w:w="1498" w:type="dxa"/>
            <w:tcBorders>
              <w:top w:val="nil"/>
              <w:bottom w:val="nil"/>
            </w:tcBorders>
            <w:vAlign w:val="bottom"/>
          </w:tcPr>
          <w:p w14:paraId="5D20A729" w14:textId="26CB1861" w:rsidR="00BE7F84" w:rsidRPr="00415A80" w:rsidRDefault="00BE7F84" w:rsidP="00BE7F84">
            <w:pPr>
              <w:pStyle w:val="Tabletext"/>
              <w:tabs>
                <w:tab w:val="decimal" w:pos="1210"/>
              </w:tabs>
              <w:rPr>
                <w:highlight w:val="yellow"/>
              </w:rPr>
            </w:pPr>
            <w:r w:rsidRPr="00131B4F">
              <w:rPr>
                <w:rFonts w:eastAsia="Arial"/>
                <w:szCs w:val="18"/>
                <w:lang w:eastAsia="en-GB"/>
              </w:rPr>
              <w:t>141.7</w:t>
            </w:r>
          </w:p>
        </w:tc>
        <w:tc>
          <w:tcPr>
            <w:tcW w:w="185" w:type="dxa"/>
            <w:tcBorders>
              <w:top w:val="nil"/>
              <w:bottom w:val="nil"/>
            </w:tcBorders>
            <w:vAlign w:val="bottom"/>
          </w:tcPr>
          <w:p w14:paraId="48B9BC3E" w14:textId="77777777" w:rsidR="00BE7F84" w:rsidRPr="00415A80" w:rsidRDefault="00BE7F84" w:rsidP="00BE7F84">
            <w:pPr>
              <w:pStyle w:val="Tabletext"/>
              <w:jc w:val="right"/>
              <w:rPr>
                <w:highlight w:val="yellow"/>
              </w:rPr>
            </w:pPr>
          </w:p>
        </w:tc>
        <w:tc>
          <w:tcPr>
            <w:tcW w:w="1498" w:type="dxa"/>
            <w:tcBorders>
              <w:top w:val="nil"/>
              <w:bottom w:val="nil"/>
            </w:tcBorders>
            <w:shd w:val="clear" w:color="auto" w:fill="auto"/>
          </w:tcPr>
          <w:p w14:paraId="18776307" w14:textId="4DCF5A64" w:rsidR="00BE7F84" w:rsidRPr="00415A80" w:rsidRDefault="00BE7F84" w:rsidP="00BE7F84">
            <w:pPr>
              <w:pStyle w:val="Tabletext"/>
              <w:tabs>
                <w:tab w:val="decimal" w:pos="1229"/>
              </w:tabs>
              <w:rPr>
                <w:highlight w:val="yellow"/>
              </w:rPr>
            </w:pPr>
            <w:r w:rsidRPr="00131B4F">
              <w:rPr>
                <w:rFonts w:eastAsia="Arial"/>
                <w:szCs w:val="18"/>
                <w:lang w:eastAsia="en-GB"/>
              </w:rPr>
              <w:t>77.7</w:t>
            </w:r>
          </w:p>
        </w:tc>
        <w:tc>
          <w:tcPr>
            <w:tcW w:w="185" w:type="dxa"/>
            <w:tcBorders>
              <w:top w:val="nil"/>
              <w:bottom w:val="nil"/>
            </w:tcBorders>
            <w:vAlign w:val="bottom"/>
          </w:tcPr>
          <w:p w14:paraId="371EC87A" w14:textId="77777777" w:rsidR="00BE7F84" w:rsidRPr="00415A80" w:rsidRDefault="00BE7F84" w:rsidP="00BE7F84">
            <w:pPr>
              <w:pStyle w:val="Tabletext"/>
              <w:jc w:val="right"/>
              <w:rPr>
                <w:highlight w:val="yellow"/>
              </w:rPr>
            </w:pPr>
          </w:p>
        </w:tc>
        <w:tc>
          <w:tcPr>
            <w:tcW w:w="1497" w:type="dxa"/>
            <w:tcBorders>
              <w:top w:val="nil"/>
              <w:bottom w:val="nil"/>
            </w:tcBorders>
          </w:tcPr>
          <w:p w14:paraId="32FDCE5B" w14:textId="6C52C757" w:rsidR="00BE7F84" w:rsidRPr="00415A80" w:rsidRDefault="00BE7F84" w:rsidP="00BE7F84">
            <w:pPr>
              <w:pStyle w:val="Tabletext"/>
              <w:jc w:val="right"/>
              <w:rPr>
                <w:highlight w:val="yellow"/>
              </w:rPr>
            </w:pPr>
            <w:r>
              <w:rPr>
                <w:rFonts w:eastAsia="Arial"/>
                <w:szCs w:val="18"/>
                <w:lang w:eastAsia="en-GB"/>
              </w:rPr>
              <w:t>–</w:t>
            </w:r>
          </w:p>
        </w:tc>
        <w:tc>
          <w:tcPr>
            <w:tcW w:w="185" w:type="dxa"/>
            <w:tcBorders>
              <w:top w:val="nil"/>
              <w:bottom w:val="nil"/>
            </w:tcBorders>
            <w:vAlign w:val="bottom"/>
          </w:tcPr>
          <w:p w14:paraId="4DE25153" w14:textId="77777777" w:rsidR="00BE7F84" w:rsidRPr="00415A80" w:rsidRDefault="00BE7F84" w:rsidP="00BE7F84">
            <w:pPr>
              <w:pStyle w:val="Tabletext"/>
              <w:jc w:val="right"/>
              <w:rPr>
                <w:highlight w:val="yellow"/>
              </w:rPr>
            </w:pPr>
          </w:p>
        </w:tc>
        <w:tc>
          <w:tcPr>
            <w:tcW w:w="1498" w:type="dxa"/>
            <w:tcBorders>
              <w:top w:val="nil"/>
              <w:bottom w:val="nil"/>
            </w:tcBorders>
          </w:tcPr>
          <w:p w14:paraId="7E56B5F0" w14:textId="6ED894E2" w:rsidR="00BE7F84" w:rsidRPr="00415A80" w:rsidRDefault="00BE7F84" w:rsidP="00BE7F84">
            <w:pPr>
              <w:pStyle w:val="Tabletext"/>
              <w:tabs>
                <w:tab w:val="decimal" w:pos="1175"/>
              </w:tabs>
              <w:rPr>
                <w:highlight w:val="yellow"/>
              </w:rPr>
            </w:pPr>
            <w:r w:rsidRPr="00B76B5E">
              <w:rPr>
                <w:rFonts w:cs="Agenda-Semibold"/>
                <w:szCs w:val="18"/>
              </w:rPr>
              <w:t>219.4</w:t>
            </w:r>
          </w:p>
        </w:tc>
      </w:tr>
      <w:tr w:rsidR="00BE7F84" w:rsidRPr="00A66CA2" w14:paraId="0CCBA62C" w14:textId="77777777" w:rsidTr="00CE181C">
        <w:trPr>
          <w:trHeight w:hRule="exact" w:val="511"/>
        </w:trPr>
        <w:tc>
          <w:tcPr>
            <w:tcW w:w="3410" w:type="dxa"/>
            <w:tcBorders>
              <w:top w:val="nil"/>
              <w:bottom w:val="nil"/>
            </w:tcBorders>
            <w:shd w:val="clear" w:color="auto" w:fill="auto"/>
          </w:tcPr>
          <w:p w14:paraId="65454DF2" w14:textId="071E813E" w:rsidR="00BE7F84" w:rsidRDefault="00BE7F84" w:rsidP="006822B7">
            <w:pPr>
              <w:pStyle w:val="Tabletext"/>
            </w:pPr>
            <w:r>
              <w:t xml:space="preserve">Financial liabilities </w:t>
            </w:r>
            <w:r w:rsidR="00BC097A">
              <w:t>- non-controlling interests in consolidated funds</w:t>
            </w:r>
          </w:p>
        </w:tc>
        <w:tc>
          <w:tcPr>
            <w:tcW w:w="1498" w:type="dxa"/>
            <w:tcBorders>
              <w:top w:val="nil"/>
              <w:bottom w:val="nil"/>
            </w:tcBorders>
          </w:tcPr>
          <w:p w14:paraId="2ECC2763" w14:textId="4555AAD8" w:rsidR="00BE7F84" w:rsidRPr="00415A80" w:rsidRDefault="00BE7F84" w:rsidP="006822B7">
            <w:pPr>
              <w:pStyle w:val="Tabletext"/>
              <w:tabs>
                <w:tab w:val="decimal" w:pos="1210"/>
              </w:tabs>
              <w:rPr>
                <w:highlight w:val="yellow"/>
              </w:rPr>
            </w:pPr>
            <w:r w:rsidRPr="00131B4F">
              <w:rPr>
                <w:rFonts w:eastAsia="Arial"/>
                <w:szCs w:val="18"/>
                <w:lang w:eastAsia="en-GB"/>
              </w:rPr>
              <w:t>(80.2)</w:t>
            </w:r>
          </w:p>
        </w:tc>
        <w:tc>
          <w:tcPr>
            <w:tcW w:w="185" w:type="dxa"/>
            <w:tcBorders>
              <w:top w:val="nil"/>
              <w:bottom w:val="nil"/>
            </w:tcBorders>
          </w:tcPr>
          <w:p w14:paraId="690FDF13" w14:textId="77777777" w:rsidR="00BE7F84" w:rsidRPr="00415A80" w:rsidRDefault="00BE7F84" w:rsidP="00CE181C">
            <w:pPr>
              <w:pStyle w:val="Tabletext"/>
              <w:rPr>
                <w:highlight w:val="yellow"/>
              </w:rPr>
            </w:pPr>
          </w:p>
        </w:tc>
        <w:tc>
          <w:tcPr>
            <w:tcW w:w="1498" w:type="dxa"/>
            <w:tcBorders>
              <w:top w:val="nil"/>
              <w:bottom w:val="nil"/>
            </w:tcBorders>
            <w:shd w:val="clear" w:color="auto" w:fill="auto"/>
          </w:tcPr>
          <w:p w14:paraId="20EDBB23" w14:textId="365B11B5" w:rsidR="00BE7F84" w:rsidRPr="00415A80" w:rsidRDefault="00BE7F84" w:rsidP="006822B7">
            <w:pPr>
              <w:pStyle w:val="Tabletext"/>
              <w:tabs>
                <w:tab w:val="decimal" w:pos="1229"/>
              </w:tabs>
              <w:rPr>
                <w:highlight w:val="yellow"/>
              </w:rPr>
            </w:pPr>
            <w:r>
              <w:rPr>
                <w:rFonts w:eastAsia="Arial"/>
                <w:szCs w:val="18"/>
                <w:lang w:eastAsia="en-GB"/>
              </w:rPr>
              <w:t>–</w:t>
            </w:r>
          </w:p>
        </w:tc>
        <w:tc>
          <w:tcPr>
            <w:tcW w:w="185" w:type="dxa"/>
            <w:tcBorders>
              <w:top w:val="nil"/>
              <w:bottom w:val="nil"/>
            </w:tcBorders>
          </w:tcPr>
          <w:p w14:paraId="5B310262" w14:textId="77777777" w:rsidR="00BE7F84" w:rsidRPr="00415A80" w:rsidRDefault="00BE7F84" w:rsidP="00CE181C">
            <w:pPr>
              <w:pStyle w:val="Tabletext"/>
              <w:rPr>
                <w:highlight w:val="yellow"/>
              </w:rPr>
            </w:pPr>
          </w:p>
        </w:tc>
        <w:tc>
          <w:tcPr>
            <w:tcW w:w="1497" w:type="dxa"/>
            <w:tcBorders>
              <w:top w:val="nil"/>
              <w:bottom w:val="nil"/>
            </w:tcBorders>
          </w:tcPr>
          <w:p w14:paraId="02354D2F" w14:textId="7E78EBBA" w:rsidR="00BE7F84" w:rsidRPr="00415A80" w:rsidRDefault="00BE7F84" w:rsidP="00CD58FC">
            <w:pPr>
              <w:pStyle w:val="Tabletext"/>
              <w:jc w:val="right"/>
              <w:rPr>
                <w:highlight w:val="yellow"/>
              </w:rPr>
            </w:pPr>
            <w:r>
              <w:rPr>
                <w:rFonts w:eastAsia="Arial"/>
                <w:szCs w:val="18"/>
                <w:lang w:eastAsia="en-GB"/>
              </w:rPr>
              <w:t>–</w:t>
            </w:r>
          </w:p>
        </w:tc>
        <w:tc>
          <w:tcPr>
            <w:tcW w:w="185" w:type="dxa"/>
            <w:tcBorders>
              <w:top w:val="nil"/>
              <w:bottom w:val="nil"/>
            </w:tcBorders>
          </w:tcPr>
          <w:p w14:paraId="51DEC6E9" w14:textId="77777777" w:rsidR="00BE7F84" w:rsidRPr="00415A80" w:rsidRDefault="00BE7F84" w:rsidP="00CE181C">
            <w:pPr>
              <w:pStyle w:val="Tabletext"/>
              <w:rPr>
                <w:highlight w:val="yellow"/>
              </w:rPr>
            </w:pPr>
          </w:p>
        </w:tc>
        <w:tc>
          <w:tcPr>
            <w:tcW w:w="1498" w:type="dxa"/>
            <w:tcBorders>
              <w:top w:val="nil"/>
              <w:bottom w:val="nil"/>
            </w:tcBorders>
          </w:tcPr>
          <w:p w14:paraId="6A81B362" w14:textId="72F73361" w:rsidR="00BE7F84" w:rsidRPr="00415A80" w:rsidRDefault="00BE7F84" w:rsidP="006822B7">
            <w:pPr>
              <w:pStyle w:val="Tabletext"/>
              <w:tabs>
                <w:tab w:val="decimal" w:pos="1175"/>
              </w:tabs>
              <w:rPr>
                <w:highlight w:val="yellow"/>
              </w:rPr>
            </w:pPr>
            <w:r w:rsidRPr="00227994">
              <w:rPr>
                <w:rFonts w:eastAsia="Arial"/>
                <w:szCs w:val="18"/>
                <w:lang w:eastAsia="en-GB"/>
              </w:rPr>
              <w:t>(80.2)</w:t>
            </w:r>
          </w:p>
        </w:tc>
      </w:tr>
      <w:tr w:rsidR="00BE7F84" w:rsidRPr="00A66CA2" w14:paraId="4075828B" w14:textId="77777777" w:rsidTr="00CE181C">
        <w:trPr>
          <w:trHeight w:hRule="exact" w:val="324"/>
        </w:trPr>
        <w:tc>
          <w:tcPr>
            <w:tcW w:w="3410" w:type="dxa"/>
            <w:tcBorders>
              <w:top w:val="nil"/>
              <w:bottom w:val="nil"/>
            </w:tcBorders>
            <w:shd w:val="clear" w:color="auto" w:fill="auto"/>
          </w:tcPr>
          <w:p w14:paraId="3FE96553" w14:textId="139A81E5" w:rsidR="00BE7F84" w:rsidRDefault="006822B7" w:rsidP="006822B7">
            <w:pPr>
              <w:pStyle w:val="Tabletext"/>
            </w:pPr>
            <w:r>
              <w:t>F</w:t>
            </w:r>
            <w:r w:rsidR="00BE7F84">
              <w:t>inancial liabilities – derivatives</w:t>
            </w:r>
          </w:p>
        </w:tc>
        <w:tc>
          <w:tcPr>
            <w:tcW w:w="1498" w:type="dxa"/>
            <w:tcBorders>
              <w:top w:val="nil"/>
              <w:bottom w:val="nil"/>
            </w:tcBorders>
          </w:tcPr>
          <w:p w14:paraId="77E0ED0D" w14:textId="5A1BE8DA" w:rsidR="00BE7F84" w:rsidRPr="00415A80" w:rsidRDefault="00BE7F84" w:rsidP="006822B7">
            <w:pPr>
              <w:pStyle w:val="Tabletext"/>
              <w:tabs>
                <w:tab w:val="decimal" w:pos="1210"/>
              </w:tabs>
              <w:rPr>
                <w:highlight w:val="yellow"/>
              </w:rPr>
            </w:pPr>
            <w:r>
              <w:rPr>
                <w:rFonts w:eastAsia="Arial"/>
                <w:szCs w:val="18"/>
                <w:lang w:eastAsia="en-GB"/>
              </w:rPr>
              <w:t>–</w:t>
            </w:r>
          </w:p>
        </w:tc>
        <w:tc>
          <w:tcPr>
            <w:tcW w:w="185" w:type="dxa"/>
            <w:tcBorders>
              <w:top w:val="nil"/>
              <w:bottom w:val="nil"/>
            </w:tcBorders>
          </w:tcPr>
          <w:p w14:paraId="0AF30C01" w14:textId="77777777" w:rsidR="00BE7F84" w:rsidRPr="00415A80" w:rsidRDefault="00BE7F84" w:rsidP="00CE181C">
            <w:pPr>
              <w:pStyle w:val="Tabletext"/>
              <w:rPr>
                <w:highlight w:val="yellow"/>
              </w:rPr>
            </w:pPr>
          </w:p>
        </w:tc>
        <w:tc>
          <w:tcPr>
            <w:tcW w:w="1498" w:type="dxa"/>
            <w:tcBorders>
              <w:top w:val="nil"/>
              <w:bottom w:val="nil"/>
            </w:tcBorders>
            <w:shd w:val="clear" w:color="auto" w:fill="auto"/>
          </w:tcPr>
          <w:p w14:paraId="292034A4" w14:textId="2F63F9FC" w:rsidR="00BE7F84" w:rsidRPr="00415A80" w:rsidRDefault="00BE7F84" w:rsidP="006822B7">
            <w:pPr>
              <w:pStyle w:val="Tabletext"/>
              <w:tabs>
                <w:tab w:val="decimal" w:pos="1229"/>
              </w:tabs>
              <w:rPr>
                <w:highlight w:val="yellow"/>
              </w:rPr>
            </w:pPr>
            <w:r w:rsidRPr="00131B4F">
              <w:rPr>
                <w:rFonts w:eastAsia="Arial"/>
                <w:szCs w:val="18"/>
                <w:lang w:eastAsia="en-GB"/>
              </w:rPr>
              <w:t>(0.1)</w:t>
            </w:r>
          </w:p>
        </w:tc>
        <w:tc>
          <w:tcPr>
            <w:tcW w:w="185" w:type="dxa"/>
            <w:tcBorders>
              <w:top w:val="nil"/>
              <w:bottom w:val="nil"/>
            </w:tcBorders>
          </w:tcPr>
          <w:p w14:paraId="53904CD8" w14:textId="77777777" w:rsidR="00BE7F84" w:rsidRPr="00415A80" w:rsidRDefault="00BE7F84" w:rsidP="00CE181C">
            <w:pPr>
              <w:pStyle w:val="Tabletext"/>
              <w:rPr>
                <w:highlight w:val="yellow"/>
              </w:rPr>
            </w:pPr>
          </w:p>
        </w:tc>
        <w:tc>
          <w:tcPr>
            <w:tcW w:w="1497" w:type="dxa"/>
            <w:tcBorders>
              <w:top w:val="nil"/>
              <w:bottom w:val="nil"/>
            </w:tcBorders>
          </w:tcPr>
          <w:p w14:paraId="61E0EF6E" w14:textId="49824442" w:rsidR="00BE7F84" w:rsidRPr="00415A80" w:rsidRDefault="00BE7F84" w:rsidP="00CD58FC">
            <w:pPr>
              <w:pStyle w:val="Tabletext"/>
              <w:jc w:val="right"/>
              <w:rPr>
                <w:highlight w:val="yellow"/>
              </w:rPr>
            </w:pPr>
            <w:r>
              <w:rPr>
                <w:rFonts w:eastAsia="Arial"/>
                <w:szCs w:val="18"/>
                <w:lang w:eastAsia="en-GB"/>
              </w:rPr>
              <w:t>–</w:t>
            </w:r>
          </w:p>
        </w:tc>
        <w:tc>
          <w:tcPr>
            <w:tcW w:w="185" w:type="dxa"/>
            <w:tcBorders>
              <w:top w:val="nil"/>
              <w:bottom w:val="nil"/>
            </w:tcBorders>
          </w:tcPr>
          <w:p w14:paraId="0D4E3D8F" w14:textId="77777777" w:rsidR="00BE7F84" w:rsidRPr="00415A80" w:rsidRDefault="00BE7F84" w:rsidP="00CE181C">
            <w:pPr>
              <w:pStyle w:val="Tabletext"/>
              <w:rPr>
                <w:highlight w:val="yellow"/>
              </w:rPr>
            </w:pPr>
          </w:p>
        </w:tc>
        <w:tc>
          <w:tcPr>
            <w:tcW w:w="1498" w:type="dxa"/>
            <w:tcBorders>
              <w:top w:val="nil"/>
              <w:bottom w:val="nil"/>
            </w:tcBorders>
          </w:tcPr>
          <w:p w14:paraId="0D9C4E53" w14:textId="7498D255" w:rsidR="00BE7F84" w:rsidRPr="00415A80" w:rsidRDefault="00BE7F84" w:rsidP="006822B7">
            <w:pPr>
              <w:pStyle w:val="Tabletext"/>
              <w:tabs>
                <w:tab w:val="decimal" w:pos="1175"/>
              </w:tabs>
              <w:rPr>
                <w:highlight w:val="yellow"/>
              </w:rPr>
            </w:pPr>
            <w:r w:rsidRPr="00B76B5E">
              <w:rPr>
                <w:rFonts w:cs="Agenda-Semibold"/>
                <w:szCs w:val="18"/>
              </w:rPr>
              <w:t>(0.1)</w:t>
            </w:r>
          </w:p>
        </w:tc>
      </w:tr>
      <w:tr w:rsidR="00BE7F84" w:rsidRPr="00A66CA2" w14:paraId="3C2B6D2E" w14:textId="77777777">
        <w:trPr>
          <w:trHeight w:hRule="exact" w:val="284"/>
        </w:trPr>
        <w:tc>
          <w:tcPr>
            <w:tcW w:w="3410" w:type="dxa"/>
            <w:tcBorders>
              <w:top w:val="nil"/>
              <w:bottom w:val="nil"/>
            </w:tcBorders>
            <w:shd w:val="clear" w:color="auto" w:fill="auto"/>
            <w:vAlign w:val="center"/>
          </w:tcPr>
          <w:p w14:paraId="0B5B3335" w14:textId="77777777" w:rsidR="00BE7F84" w:rsidRDefault="00BE7F84" w:rsidP="00BE7F84">
            <w:pPr>
              <w:pStyle w:val="Tabletext"/>
              <w:rPr>
                <w:b/>
                <w:bCs/>
              </w:rPr>
            </w:pPr>
          </w:p>
          <w:p w14:paraId="4E5C5571" w14:textId="77777777" w:rsidR="00BE7F84" w:rsidRDefault="00BE7F84" w:rsidP="00BE7F84">
            <w:pPr>
              <w:pStyle w:val="Tabletext"/>
              <w:rPr>
                <w:b/>
                <w:bCs/>
              </w:rPr>
            </w:pPr>
          </w:p>
          <w:p w14:paraId="3E48AD73" w14:textId="44C82C67" w:rsidR="00BE7F84" w:rsidRDefault="00BE7F84" w:rsidP="00BE7F84">
            <w:pPr>
              <w:pStyle w:val="Tabletext"/>
              <w:rPr>
                <w:b/>
                <w:bCs/>
              </w:rPr>
            </w:pPr>
            <w:r>
              <w:rPr>
                <w:b/>
                <w:bCs/>
              </w:rPr>
              <w:t xml:space="preserve"> </w:t>
            </w:r>
          </w:p>
          <w:p w14:paraId="07F3CE44" w14:textId="16C051DD" w:rsidR="00BE7F84" w:rsidRPr="00851326" w:rsidRDefault="00BE7F84" w:rsidP="00BE7F84">
            <w:pPr>
              <w:pStyle w:val="Tabletext"/>
              <w:rPr>
                <w:b/>
                <w:bCs/>
              </w:rPr>
            </w:pPr>
          </w:p>
        </w:tc>
        <w:tc>
          <w:tcPr>
            <w:tcW w:w="1498" w:type="dxa"/>
            <w:tcBorders>
              <w:top w:val="single" w:sz="4" w:space="0" w:color="auto"/>
              <w:bottom w:val="double" w:sz="4" w:space="0" w:color="auto"/>
            </w:tcBorders>
          </w:tcPr>
          <w:p w14:paraId="2F3CBB27" w14:textId="51A40C34" w:rsidR="00BE7F84" w:rsidRPr="00415A80" w:rsidRDefault="00BE7F84" w:rsidP="00BE7F84">
            <w:pPr>
              <w:pStyle w:val="Tabletext"/>
              <w:tabs>
                <w:tab w:val="decimal" w:pos="1210"/>
              </w:tabs>
              <w:rPr>
                <w:b/>
                <w:bCs/>
                <w:highlight w:val="yellow"/>
              </w:rPr>
            </w:pPr>
            <w:r w:rsidRPr="00131B4F">
              <w:rPr>
                <w:rFonts w:eastAsia="Arial"/>
                <w:b/>
                <w:szCs w:val="18"/>
                <w:lang w:eastAsia="en-GB"/>
              </w:rPr>
              <w:t>61.5</w:t>
            </w:r>
          </w:p>
        </w:tc>
        <w:tc>
          <w:tcPr>
            <w:tcW w:w="185" w:type="dxa"/>
            <w:tcBorders>
              <w:top w:val="nil"/>
              <w:bottom w:val="nil"/>
            </w:tcBorders>
            <w:vAlign w:val="bottom"/>
          </w:tcPr>
          <w:p w14:paraId="47E4A6B4" w14:textId="77777777" w:rsidR="00BE7F84" w:rsidRPr="00415A80" w:rsidRDefault="00BE7F84" w:rsidP="00BE7F84">
            <w:pPr>
              <w:pStyle w:val="Tabletext"/>
              <w:jc w:val="right"/>
              <w:rPr>
                <w:b/>
                <w:bCs/>
                <w:highlight w:val="yellow"/>
              </w:rPr>
            </w:pPr>
          </w:p>
        </w:tc>
        <w:tc>
          <w:tcPr>
            <w:tcW w:w="1498" w:type="dxa"/>
            <w:tcBorders>
              <w:top w:val="single" w:sz="4" w:space="0" w:color="auto"/>
              <w:bottom w:val="double" w:sz="4" w:space="0" w:color="auto"/>
            </w:tcBorders>
            <w:shd w:val="clear" w:color="auto" w:fill="auto"/>
          </w:tcPr>
          <w:p w14:paraId="29DC1192" w14:textId="2E95617E" w:rsidR="00BE7F84" w:rsidRPr="00415A80" w:rsidRDefault="00BE7F84" w:rsidP="00BE7F84">
            <w:pPr>
              <w:pStyle w:val="Tabletext"/>
              <w:tabs>
                <w:tab w:val="decimal" w:pos="1229"/>
              </w:tabs>
              <w:rPr>
                <w:b/>
                <w:bCs/>
                <w:highlight w:val="yellow"/>
              </w:rPr>
            </w:pPr>
            <w:r w:rsidRPr="00131B4F">
              <w:rPr>
                <w:rFonts w:eastAsia="Arial"/>
                <w:b/>
                <w:szCs w:val="18"/>
                <w:lang w:eastAsia="en-GB"/>
              </w:rPr>
              <w:t>77.6</w:t>
            </w:r>
          </w:p>
        </w:tc>
        <w:tc>
          <w:tcPr>
            <w:tcW w:w="185" w:type="dxa"/>
            <w:tcBorders>
              <w:top w:val="nil"/>
              <w:bottom w:val="nil"/>
            </w:tcBorders>
            <w:vAlign w:val="bottom"/>
          </w:tcPr>
          <w:p w14:paraId="7A9AE122" w14:textId="77777777" w:rsidR="00BE7F84" w:rsidRPr="00415A80" w:rsidRDefault="00BE7F84" w:rsidP="00BE7F84">
            <w:pPr>
              <w:pStyle w:val="Tabletext"/>
              <w:jc w:val="right"/>
              <w:rPr>
                <w:b/>
                <w:bCs/>
                <w:highlight w:val="yellow"/>
              </w:rPr>
            </w:pPr>
          </w:p>
        </w:tc>
        <w:tc>
          <w:tcPr>
            <w:tcW w:w="1497" w:type="dxa"/>
            <w:tcBorders>
              <w:top w:val="single" w:sz="4" w:space="0" w:color="auto"/>
              <w:bottom w:val="double" w:sz="4" w:space="0" w:color="auto"/>
            </w:tcBorders>
          </w:tcPr>
          <w:p w14:paraId="22BBC00D" w14:textId="6422E9EC" w:rsidR="00BE7F84" w:rsidRPr="00415A80" w:rsidRDefault="00BE7F84" w:rsidP="00BE7F84">
            <w:pPr>
              <w:pStyle w:val="Tabletext"/>
              <w:jc w:val="right"/>
              <w:rPr>
                <w:b/>
                <w:bCs/>
                <w:highlight w:val="yellow"/>
              </w:rPr>
            </w:pPr>
            <w:r>
              <w:rPr>
                <w:rFonts w:eastAsia="Arial"/>
                <w:b/>
                <w:bCs/>
                <w:szCs w:val="18"/>
                <w:lang w:eastAsia="en-GB"/>
              </w:rPr>
              <w:t>–</w:t>
            </w:r>
          </w:p>
        </w:tc>
        <w:tc>
          <w:tcPr>
            <w:tcW w:w="185" w:type="dxa"/>
            <w:tcBorders>
              <w:top w:val="nil"/>
              <w:bottom w:val="nil"/>
            </w:tcBorders>
            <w:vAlign w:val="bottom"/>
          </w:tcPr>
          <w:p w14:paraId="17C37F61" w14:textId="77777777" w:rsidR="00BE7F84" w:rsidRPr="00415A80" w:rsidRDefault="00BE7F84" w:rsidP="00BE7F84">
            <w:pPr>
              <w:pStyle w:val="Tabletext"/>
              <w:jc w:val="right"/>
              <w:rPr>
                <w:b/>
                <w:bCs/>
                <w:highlight w:val="yellow"/>
              </w:rPr>
            </w:pPr>
          </w:p>
        </w:tc>
        <w:tc>
          <w:tcPr>
            <w:tcW w:w="1498" w:type="dxa"/>
            <w:tcBorders>
              <w:top w:val="single" w:sz="4" w:space="0" w:color="auto"/>
              <w:bottom w:val="double" w:sz="4" w:space="0" w:color="auto"/>
            </w:tcBorders>
          </w:tcPr>
          <w:p w14:paraId="41FA58BF" w14:textId="659FA720" w:rsidR="00BE7F84" w:rsidRPr="00415A80" w:rsidRDefault="00BE7F84" w:rsidP="00BE7F84">
            <w:pPr>
              <w:pStyle w:val="Tabletext"/>
              <w:tabs>
                <w:tab w:val="decimal" w:pos="1175"/>
              </w:tabs>
              <w:rPr>
                <w:b/>
                <w:bCs/>
                <w:highlight w:val="yellow"/>
              </w:rPr>
            </w:pPr>
            <w:r w:rsidRPr="00131B4F">
              <w:rPr>
                <w:rFonts w:eastAsia="Arial"/>
                <w:b/>
                <w:szCs w:val="18"/>
                <w:lang w:eastAsia="en-GB"/>
              </w:rPr>
              <w:t>139.1</w:t>
            </w:r>
          </w:p>
        </w:tc>
      </w:tr>
    </w:tbl>
    <w:p w14:paraId="7D100013" w14:textId="1CCEDEBE" w:rsidR="00761B26" w:rsidRPr="00761B26" w:rsidRDefault="00761B26" w:rsidP="00F2575A">
      <w:pPr>
        <w:pStyle w:val="Subheading"/>
      </w:pPr>
      <w:r>
        <w:t>2</w:t>
      </w:r>
      <w:r w:rsidR="00934EF0">
        <w:t>0</w:t>
      </w:r>
      <w:r>
        <w:t>.</w:t>
      </w:r>
      <w:r>
        <w:tab/>
      </w:r>
      <w:r w:rsidR="00F60455">
        <w:t>Related party transactions</w:t>
      </w:r>
    </w:p>
    <w:p w14:paraId="20F182FE" w14:textId="74E3614D" w:rsidR="00BF095C" w:rsidRPr="00F2575A" w:rsidRDefault="00BF095C" w:rsidP="00BF095C">
      <w:pPr>
        <w:pStyle w:val="Bodytext0"/>
      </w:pPr>
      <w:r w:rsidRPr="00F2575A">
        <w:t xml:space="preserve">All related party transactions during the period are consistent with those disclosed in the Annual Report and Accounts for the year ended 31 December </w:t>
      </w:r>
      <w:r w:rsidR="00E85F7E">
        <w:t>2023</w:t>
      </w:r>
      <w:r w:rsidRPr="00F2575A">
        <w:t xml:space="preserve"> and have taken place on an arm’s length basis. </w:t>
      </w:r>
    </w:p>
    <w:p w14:paraId="19349712" w14:textId="3578F35C" w:rsidR="00251FB2" w:rsidRPr="00251FB2" w:rsidRDefault="00027623" w:rsidP="00251FB2">
      <w:pPr>
        <w:pStyle w:val="Bodytext0"/>
      </w:pPr>
      <w:r>
        <w:t>N</w:t>
      </w:r>
      <w:r w:rsidR="00251FB2" w:rsidRPr="00F2575A">
        <w:t>o new related parties or related party transactions that materially affect the financial position or performance of the Group existed or occurred during the period.</w:t>
      </w:r>
    </w:p>
    <w:p w14:paraId="144A2AD6" w14:textId="6707F91E" w:rsidR="00CF68FD" w:rsidRDefault="00CF68FD">
      <w:r>
        <w:br w:type="page"/>
      </w:r>
    </w:p>
    <w:tbl>
      <w:tblPr>
        <w:tblStyle w:val="TableGrid"/>
        <w:tblW w:w="10348" w:type="dxa"/>
        <w:tblLook w:val="04A0" w:firstRow="1" w:lastRow="0" w:firstColumn="1" w:lastColumn="0" w:noHBand="0" w:noVBand="1"/>
      </w:tblPr>
      <w:tblGrid>
        <w:gridCol w:w="10348"/>
      </w:tblGrid>
      <w:tr w:rsidR="009E6C3A" w:rsidRPr="001520AE" w14:paraId="5EEBB4EE" w14:textId="77777777" w:rsidTr="00A97AF6">
        <w:trPr>
          <w:trHeight w:val="708"/>
        </w:trPr>
        <w:tc>
          <w:tcPr>
            <w:tcW w:w="10348" w:type="dxa"/>
          </w:tcPr>
          <w:p w14:paraId="24AB6919" w14:textId="77777777" w:rsidR="009E6C3A" w:rsidRPr="00854DA5" w:rsidRDefault="009E6C3A" w:rsidP="00A97AF6">
            <w:pPr>
              <w:pStyle w:val="Heading"/>
              <w:spacing w:after="120"/>
              <w:rPr>
                <w:sz w:val="52"/>
                <w:szCs w:val="40"/>
                <w:highlight w:val="yellow"/>
              </w:rPr>
            </w:pPr>
            <w:r w:rsidRPr="00F2575A">
              <w:rPr>
                <w:sz w:val="52"/>
                <w:szCs w:val="40"/>
              </w:rPr>
              <w:lastRenderedPageBreak/>
              <w:t>Statement of Directors’ responsibilities</w:t>
            </w:r>
          </w:p>
        </w:tc>
      </w:tr>
      <w:tr w:rsidR="009E6C3A" w:rsidRPr="00A517F6" w14:paraId="0636444C" w14:textId="77777777" w:rsidTr="00A97AF6">
        <w:trPr>
          <w:trHeight w:hRule="exact" w:val="284"/>
        </w:trPr>
        <w:tc>
          <w:tcPr>
            <w:tcW w:w="10348" w:type="dxa"/>
            <w:shd w:val="clear" w:color="auto" w:fill="16293F" w:themeFill="text1"/>
          </w:tcPr>
          <w:p w14:paraId="1388E7EE" w14:textId="77777777" w:rsidR="009E6C3A" w:rsidRPr="00A517F6" w:rsidRDefault="009E6C3A" w:rsidP="00A97AF6">
            <w:pPr>
              <w:pStyle w:val="Bodytext0"/>
              <w:spacing w:before="0" w:line="240" w:lineRule="auto"/>
              <w:rPr>
                <w:sz w:val="16"/>
                <w:szCs w:val="18"/>
              </w:rPr>
            </w:pPr>
          </w:p>
        </w:tc>
      </w:tr>
    </w:tbl>
    <w:p w14:paraId="6AE6B8E0" w14:textId="77777777" w:rsidR="009E6C3A" w:rsidRPr="00511754" w:rsidRDefault="009E6C3A" w:rsidP="009E6C3A">
      <w:pPr>
        <w:pStyle w:val="Subheading"/>
      </w:pPr>
      <w:r w:rsidRPr="00511754">
        <w:t>Statements relating to the preparation of the Financial Statements</w:t>
      </w:r>
    </w:p>
    <w:p w14:paraId="49113192" w14:textId="77777777" w:rsidR="00BF095C" w:rsidRPr="00BF095C" w:rsidRDefault="00BF095C" w:rsidP="00BF095C">
      <w:pPr>
        <w:pStyle w:val="Bodytext0"/>
      </w:pPr>
      <w:r w:rsidRPr="00BF095C">
        <w:t xml:space="preserve">We confirm that to the best of our knowledge: </w:t>
      </w:r>
    </w:p>
    <w:p w14:paraId="402B10D9" w14:textId="37231701" w:rsidR="00BF095C" w:rsidRPr="00BF095C" w:rsidRDefault="00BF095C" w:rsidP="00BF095C">
      <w:pPr>
        <w:pStyle w:val="Bullet2"/>
        <w:ind w:left="284"/>
      </w:pPr>
      <w:r w:rsidRPr="00BF095C">
        <w:t>The condensed</w:t>
      </w:r>
      <w:r w:rsidRPr="00BF095C" w:rsidDel="008B4EE1">
        <w:t xml:space="preserve"> </w:t>
      </w:r>
      <w:r w:rsidRPr="00BF095C">
        <w:t xml:space="preserve">set of financial statements has been prepared in accordance with </w:t>
      </w:r>
      <w:r w:rsidR="00EF6271">
        <w:t>UK-adopted</w:t>
      </w:r>
      <w:r w:rsidRPr="00BF095C">
        <w:t xml:space="preserve"> International Accounting Standard 34, ‘</w:t>
      </w:r>
      <w:r w:rsidRPr="00BF095C">
        <w:rPr>
          <w:i/>
          <w:iCs/>
        </w:rPr>
        <w:t>Interim Financial Reporting</w:t>
      </w:r>
      <w:r w:rsidRPr="00BF095C">
        <w:t>’ as</w:t>
      </w:r>
      <w:r w:rsidR="00DF0484">
        <w:t xml:space="preserve"> required by </w:t>
      </w:r>
      <w:r w:rsidR="00DF0484" w:rsidRPr="00DF0484">
        <w:t xml:space="preserve">the Companies Act 2006 </w:t>
      </w:r>
      <w:r w:rsidRPr="00BF095C">
        <w:t xml:space="preserve">and gives a true and fair view of the assets, liabilities, financial position and profits of the Group for the period ended 30 June </w:t>
      </w:r>
      <w:r w:rsidR="00E85F7E">
        <w:t>2024</w:t>
      </w:r>
      <w:r w:rsidRPr="00BF095C">
        <w:t xml:space="preserve">. </w:t>
      </w:r>
    </w:p>
    <w:p w14:paraId="4F321977" w14:textId="67BE0A9C" w:rsidR="00BF095C" w:rsidRPr="00BF095C" w:rsidRDefault="00BF095C" w:rsidP="00BF095C">
      <w:pPr>
        <w:pStyle w:val="Bullet2"/>
        <w:ind w:left="284"/>
      </w:pPr>
      <w:r w:rsidRPr="00BF095C">
        <w:t xml:space="preserve">The interim report includes a fair review of the information required by: </w:t>
      </w:r>
    </w:p>
    <w:p w14:paraId="5007D2C1" w14:textId="55287E11" w:rsidR="00BF095C" w:rsidRPr="00BF095C" w:rsidRDefault="00BF095C" w:rsidP="27803709">
      <w:pPr>
        <w:pStyle w:val="Bullet2"/>
        <w:ind w:left="284"/>
      </w:pPr>
      <w:r w:rsidRPr="00BF095C">
        <w:t xml:space="preserve">a) </w:t>
      </w:r>
      <w:r w:rsidR="00BD2922">
        <w:tab/>
      </w:r>
      <w:r w:rsidRPr="00BF095C">
        <w:t xml:space="preserve">DTR 4.2.7R of the Guidance, being an indication of important events that have occurred during the first six months of the current financial year and their impact on the condensed set of financial statements; and a description of the principal risks and uncertainties for the remaining six months of the year; and </w:t>
      </w:r>
    </w:p>
    <w:p w14:paraId="7CFB860F" w14:textId="1C2B3C14" w:rsidR="00BF095C" w:rsidRDefault="00BF095C" w:rsidP="00577845">
      <w:pPr>
        <w:pStyle w:val="Bullet2"/>
        <w:numPr>
          <w:ilvl w:val="0"/>
          <w:numId w:val="0"/>
        </w:numPr>
        <w:ind w:left="630" w:hanging="346"/>
      </w:pPr>
      <w:r w:rsidRPr="00BF095C">
        <w:t xml:space="preserve">b) </w:t>
      </w:r>
      <w:r w:rsidR="00BD2922">
        <w:tab/>
      </w:r>
      <w:r w:rsidRPr="00BF095C">
        <w:t xml:space="preserve">DTR 4.2.8R of the Guidance, being related party transactions that have taken place in the first six months of the current financial year and that have materially affected the financial position or performance of the Group during that period; and any changes in the related party transactions described in the last Annual Report and Accounts that could have a material effect on the financial position or performance of the Group in the past six months of the current financial year. </w:t>
      </w:r>
    </w:p>
    <w:p w14:paraId="70C587B1" w14:textId="1953757B" w:rsidR="00BF095C" w:rsidRPr="00BF095C" w:rsidRDefault="00BF095C" w:rsidP="00BF095C">
      <w:pPr>
        <w:pStyle w:val="Bullet2"/>
        <w:ind w:left="284"/>
      </w:pPr>
      <w:r w:rsidRPr="00BF095C">
        <w:t xml:space="preserve">A list of the Directors of Jupiter Fund Management plc can be found in the Annual Report and Accounts for the year ended 31 December </w:t>
      </w:r>
      <w:r w:rsidR="00E85F7E">
        <w:t>2023</w:t>
      </w:r>
      <w:r w:rsidRPr="00BF095C">
        <w:t xml:space="preserve">. A current list of Directors is maintained on the website at www.jupiteram.com. </w:t>
      </w:r>
    </w:p>
    <w:p w14:paraId="64F383B7" w14:textId="77777777" w:rsidR="00BF095C" w:rsidRPr="00BF095C" w:rsidRDefault="00BF095C" w:rsidP="00BF095C">
      <w:pPr>
        <w:pStyle w:val="Bodytext0"/>
      </w:pPr>
    </w:p>
    <w:p w14:paraId="6D10EB67" w14:textId="77777777" w:rsidR="00BF095C" w:rsidRPr="00BF095C" w:rsidRDefault="00BF095C" w:rsidP="00BF095C">
      <w:pPr>
        <w:pStyle w:val="Bodytext0"/>
      </w:pPr>
      <w:r w:rsidRPr="00BF095C">
        <w:t xml:space="preserve">On behalf of the Board </w:t>
      </w:r>
    </w:p>
    <w:p w14:paraId="267AC346" w14:textId="0A3A0F62" w:rsidR="00DF0484" w:rsidRDefault="00DF0484" w:rsidP="00BF095C">
      <w:pPr>
        <w:pStyle w:val="Bodytext0"/>
      </w:pPr>
    </w:p>
    <w:p w14:paraId="39D98681" w14:textId="77777777" w:rsidR="00B30453" w:rsidRDefault="00B30453" w:rsidP="00BF095C">
      <w:pPr>
        <w:pStyle w:val="Bodytext0"/>
      </w:pPr>
    </w:p>
    <w:p w14:paraId="706CC657" w14:textId="77777777" w:rsidR="00B3199E" w:rsidRDefault="00B3199E" w:rsidP="00BF095C">
      <w:pPr>
        <w:pStyle w:val="Bodytext0"/>
      </w:pPr>
    </w:p>
    <w:p w14:paraId="3D23CC26" w14:textId="3E282E08" w:rsidR="00BF095C" w:rsidRPr="00BF095C" w:rsidRDefault="00BF095C" w:rsidP="00B3199E">
      <w:pPr>
        <w:pStyle w:val="Bodytext0"/>
        <w:spacing w:before="0"/>
      </w:pPr>
      <w:r w:rsidRPr="00BF095C">
        <w:t xml:space="preserve">Wayne Mepham </w:t>
      </w:r>
    </w:p>
    <w:p w14:paraId="215B9FDA" w14:textId="31E650D1" w:rsidR="00BF095C" w:rsidRPr="00BF095C" w:rsidRDefault="00BF095C" w:rsidP="00B3199E">
      <w:pPr>
        <w:pStyle w:val="Bodytext0"/>
        <w:spacing w:before="0"/>
      </w:pPr>
      <w:r w:rsidRPr="00BF095C">
        <w:t xml:space="preserve">Chief Financial </w:t>
      </w:r>
      <w:r w:rsidR="00E06771">
        <w:t xml:space="preserve">&amp; Operating </w:t>
      </w:r>
      <w:r w:rsidRPr="00BF095C">
        <w:t xml:space="preserve">Officer </w:t>
      </w:r>
    </w:p>
    <w:p w14:paraId="746111C7" w14:textId="1DF19C39" w:rsidR="00BF095C" w:rsidRDefault="00376214" w:rsidP="00BF095C">
      <w:pPr>
        <w:pStyle w:val="Bodytext0"/>
        <w:rPr>
          <w:lang w:val="en-US"/>
        </w:rPr>
      </w:pPr>
      <w:r>
        <w:rPr>
          <w:lang w:val="en-US"/>
        </w:rPr>
        <w:t>25 July</w:t>
      </w:r>
      <w:r w:rsidR="00BF095C" w:rsidRPr="00BF095C">
        <w:rPr>
          <w:lang w:val="en-US"/>
        </w:rPr>
        <w:t xml:space="preserve"> </w:t>
      </w:r>
      <w:r w:rsidR="00E85F7E">
        <w:rPr>
          <w:lang w:val="en-US"/>
        </w:rPr>
        <w:t>2024</w:t>
      </w:r>
    </w:p>
    <w:p w14:paraId="4F2D8047" w14:textId="77777777" w:rsidR="00325581" w:rsidRDefault="00325581">
      <w:r>
        <w:br w:type="page"/>
      </w:r>
    </w:p>
    <w:tbl>
      <w:tblPr>
        <w:tblStyle w:val="TableGrid"/>
        <w:tblW w:w="10348" w:type="dxa"/>
        <w:tblLook w:val="04A0" w:firstRow="1" w:lastRow="0" w:firstColumn="1" w:lastColumn="0" w:noHBand="0" w:noVBand="1"/>
      </w:tblPr>
      <w:tblGrid>
        <w:gridCol w:w="10348"/>
      </w:tblGrid>
      <w:tr w:rsidR="00E263FF" w:rsidRPr="001520AE" w14:paraId="1770C6A4" w14:textId="77777777" w:rsidTr="00A97AF6">
        <w:trPr>
          <w:trHeight w:val="708"/>
        </w:trPr>
        <w:tc>
          <w:tcPr>
            <w:tcW w:w="10348" w:type="dxa"/>
          </w:tcPr>
          <w:p w14:paraId="6D600370" w14:textId="77777777" w:rsidR="00E263FF" w:rsidRPr="00854DA5" w:rsidRDefault="00E263FF" w:rsidP="00A97AF6">
            <w:pPr>
              <w:pStyle w:val="Heading"/>
              <w:spacing w:after="120"/>
              <w:rPr>
                <w:sz w:val="52"/>
                <w:szCs w:val="40"/>
                <w:highlight w:val="yellow"/>
              </w:rPr>
            </w:pPr>
            <w:bookmarkStart w:id="11" w:name="_Hlk139544191"/>
            <w:r w:rsidRPr="00F2575A">
              <w:rPr>
                <w:sz w:val="52"/>
                <w:szCs w:val="40"/>
              </w:rPr>
              <w:lastRenderedPageBreak/>
              <w:t>Principal risks and mitigations</w:t>
            </w:r>
          </w:p>
        </w:tc>
      </w:tr>
      <w:tr w:rsidR="00E263FF" w:rsidRPr="00A517F6" w14:paraId="6730057A" w14:textId="77777777" w:rsidTr="00A97AF6">
        <w:trPr>
          <w:trHeight w:hRule="exact" w:val="284"/>
        </w:trPr>
        <w:tc>
          <w:tcPr>
            <w:tcW w:w="10348" w:type="dxa"/>
            <w:shd w:val="clear" w:color="auto" w:fill="16293F" w:themeFill="text1"/>
          </w:tcPr>
          <w:p w14:paraId="5C814B3B" w14:textId="77777777" w:rsidR="00E263FF" w:rsidRPr="00A517F6" w:rsidRDefault="00E263FF" w:rsidP="00A97AF6">
            <w:pPr>
              <w:pStyle w:val="Bodytext0"/>
              <w:spacing w:before="0" w:line="240" w:lineRule="auto"/>
              <w:rPr>
                <w:sz w:val="16"/>
                <w:szCs w:val="18"/>
              </w:rPr>
            </w:pPr>
          </w:p>
        </w:tc>
      </w:tr>
    </w:tbl>
    <w:p w14:paraId="6BF17FCD" w14:textId="77777777" w:rsidR="00336236" w:rsidRDefault="00336236" w:rsidP="00336236"/>
    <w:p w14:paraId="02560A70" w14:textId="5FD1C801" w:rsidR="00D67A26" w:rsidRPr="00187315" w:rsidRDefault="00D67A26" w:rsidP="00D67A26">
      <w:pPr>
        <w:pStyle w:val="Bodytext0"/>
      </w:pPr>
      <w:r w:rsidRPr="00187315">
        <w:t xml:space="preserve">The Group is exposed to various risk types in pursuing its business objectives, which can be driven by both internal and external factors. Understanding and managing these risks is a regulatory requirement but also imperative to the success of the business. </w:t>
      </w:r>
      <w:r w:rsidR="00D766D6" w:rsidRPr="00187315">
        <w:t>O</w:t>
      </w:r>
      <w:r w:rsidRPr="00187315">
        <w:t xml:space="preserve">ur principal risks, as disclosed in the Group’s </w:t>
      </w:r>
      <w:r w:rsidR="00E85F7E" w:rsidRPr="00187315">
        <w:t>2023</w:t>
      </w:r>
      <w:r w:rsidRPr="00187315">
        <w:t xml:space="preserve"> Annual Report and Accounts, </w:t>
      </w:r>
      <w:r w:rsidR="005D069A" w:rsidRPr="00187315">
        <w:t xml:space="preserve">remain unchanged and </w:t>
      </w:r>
      <w:r w:rsidRPr="00187315">
        <w:t xml:space="preserve">our risk profile has remained stable during the first half of </w:t>
      </w:r>
      <w:r w:rsidR="00E85F7E" w:rsidRPr="00187315">
        <w:t>2024</w:t>
      </w:r>
      <w:r w:rsidRPr="00187315">
        <w:t xml:space="preserve">. </w:t>
      </w:r>
    </w:p>
    <w:p w14:paraId="39DB279B" w14:textId="77777777" w:rsidR="00D67A26" w:rsidRPr="00187315" w:rsidRDefault="00D67A26" w:rsidP="00D67A26">
      <w:pPr>
        <w:pStyle w:val="Bodytext0"/>
      </w:pPr>
      <w:r w:rsidRPr="00187315">
        <w:t xml:space="preserve">Jupiter’s regulatory engagement remains a key area of focus and we continue to engage with our Regulators in an open and transparent manner, appropriately managing changes to our regulatory landscape and any resulting regulatory divergence. </w:t>
      </w:r>
    </w:p>
    <w:p w14:paraId="278B32A4" w14:textId="2CE3E91C" w:rsidR="00D67A26" w:rsidRPr="00187315" w:rsidRDefault="00D67A26" w:rsidP="00D67A26">
      <w:pPr>
        <w:pStyle w:val="Bodytext0"/>
      </w:pPr>
      <w:r w:rsidRPr="00187315">
        <w:t>Technology and Information Security risk remains a key area of focus due to the risk posed from a successful cyber-attack and we continue to maintain a robust control environment in this area of the business, reducing vulnerabilities where possible.</w:t>
      </w:r>
    </w:p>
    <w:p w14:paraId="22227314" w14:textId="0C95EC16" w:rsidR="00D67A26" w:rsidRPr="00187315" w:rsidRDefault="00D67A26" w:rsidP="00D67A26">
      <w:pPr>
        <w:pStyle w:val="Bodytext0"/>
      </w:pPr>
      <w:r w:rsidRPr="00187315">
        <w:t xml:space="preserve">Outsourcing </w:t>
      </w:r>
      <w:r w:rsidR="0079759C" w:rsidRPr="00187315">
        <w:t>is</w:t>
      </w:r>
      <w:r w:rsidRPr="00187315">
        <w:t xml:space="preserve"> a key component of our business strategy and </w:t>
      </w:r>
      <w:r w:rsidR="00F15BA6" w:rsidRPr="00187315">
        <w:t xml:space="preserve">Jupiter </w:t>
      </w:r>
      <w:r w:rsidRPr="00187315">
        <w:t>rel</w:t>
      </w:r>
      <w:r w:rsidR="00F15BA6" w:rsidRPr="00187315">
        <w:t>ies</w:t>
      </w:r>
      <w:r w:rsidRPr="00187315">
        <w:t xml:space="preserve"> on third-party relationships to deliver our business services. In addition, understanding and managing our People risk is essential to the success of our business to ensure we meet our evolving operational and regulatory needs.</w:t>
      </w:r>
    </w:p>
    <w:p w14:paraId="2A5E3FE9" w14:textId="5B9A513D" w:rsidR="68CAC795" w:rsidRPr="00D67A26" w:rsidRDefault="00D67A26" w:rsidP="00632714">
      <w:pPr>
        <w:pStyle w:val="Bodytext0"/>
        <w:rPr>
          <w:rFonts w:eastAsia="Source Sans Pro" w:cs="Source Sans Pro"/>
          <w:szCs w:val="20"/>
        </w:rPr>
      </w:pPr>
      <w:r w:rsidRPr="00187315">
        <w:t xml:space="preserve">We believe that the Group remains well positioned and equipped to respond to any further volatility in the markets in a way that continues to mitigate risk and protect our client interests. Looking forward to the second half of </w:t>
      </w:r>
      <w:r w:rsidR="00E85F7E" w:rsidRPr="00187315">
        <w:t>2024</w:t>
      </w:r>
      <w:r w:rsidRPr="00187315">
        <w:t xml:space="preserve"> and beyond we continue to leverage the Group’s Enterprise Risk Management framework to identify any key emerging risks which may further impact our overall risk profile to ensure we are well positioned to understand and manage them in line with the Group’s risk appetite.</w:t>
      </w:r>
    </w:p>
    <w:bookmarkEnd w:id="11"/>
    <w:p w14:paraId="37F1CF41" w14:textId="52F7B259" w:rsidR="68CAC795" w:rsidRDefault="68CAC795" w:rsidP="68CAC795">
      <w:pPr>
        <w:rPr>
          <w:rFonts w:eastAsia="MS Gothic" w:cs="Tahoma"/>
          <w:highlight w:val="yellow"/>
        </w:rPr>
      </w:pPr>
    </w:p>
    <w:p w14:paraId="6330DC49" w14:textId="77777777" w:rsidR="00E263FF" w:rsidRDefault="00E263FF" w:rsidP="00E263FF">
      <w:pPr>
        <w:rPr>
          <w:rFonts w:eastAsiaTheme="minorHAnsi"/>
          <w:sz w:val="20"/>
          <w:lang w:val="en-GB" w:eastAsia="en-US"/>
        </w:rPr>
      </w:pPr>
      <w:r>
        <w:br w:type="page"/>
      </w:r>
    </w:p>
    <w:tbl>
      <w:tblPr>
        <w:tblStyle w:val="TableGrid"/>
        <w:tblW w:w="10348" w:type="dxa"/>
        <w:tblLook w:val="04A0" w:firstRow="1" w:lastRow="0" w:firstColumn="1" w:lastColumn="0" w:noHBand="0" w:noVBand="1"/>
      </w:tblPr>
      <w:tblGrid>
        <w:gridCol w:w="10348"/>
      </w:tblGrid>
      <w:tr w:rsidR="00E263FF" w:rsidRPr="001520AE" w14:paraId="46899E2F" w14:textId="77777777" w:rsidTr="00A97AF6">
        <w:trPr>
          <w:trHeight w:val="708"/>
        </w:trPr>
        <w:tc>
          <w:tcPr>
            <w:tcW w:w="10348" w:type="dxa"/>
          </w:tcPr>
          <w:p w14:paraId="3D85869A" w14:textId="77777777" w:rsidR="00E263FF" w:rsidRPr="001520AE" w:rsidRDefault="00E263FF" w:rsidP="00A97AF6">
            <w:pPr>
              <w:pStyle w:val="Heading"/>
              <w:spacing w:after="120"/>
              <w:rPr>
                <w:sz w:val="52"/>
                <w:szCs w:val="40"/>
              </w:rPr>
            </w:pPr>
            <w:r w:rsidRPr="004E7E87">
              <w:rPr>
                <w:sz w:val="52"/>
                <w:szCs w:val="40"/>
              </w:rPr>
              <w:lastRenderedPageBreak/>
              <w:t xml:space="preserve">Alternative </w:t>
            </w:r>
            <w:r>
              <w:rPr>
                <w:sz w:val="52"/>
                <w:szCs w:val="40"/>
              </w:rPr>
              <w:t>p</w:t>
            </w:r>
            <w:r w:rsidRPr="004E7E87">
              <w:rPr>
                <w:sz w:val="52"/>
                <w:szCs w:val="40"/>
              </w:rPr>
              <w:t xml:space="preserve">erformance </w:t>
            </w:r>
            <w:r>
              <w:rPr>
                <w:sz w:val="52"/>
                <w:szCs w:val="40"/>
              </w:rPr>
              <w:t>m</w:t>
            </w:r>
            <w:r w:rsidRPr="004E7E87">
              <w:rPr>
                <w:sz w:val="52"/>
                <w:szCs w:val="40"/>
              </w:rPr>
              <w:t>easures</w:t>
            </w:r>
          </w:p>
        </w:tc>
      </w:tr>
      <w:tr w:rsidR="00E263FF" w:rsidRPr="00A517F6" w14:paraId="40A77F31" w14:textId="77777777" w:rsidTr="00A97AF6">
        <w:trPr>
          <w:trHeight w:hRule="exact" w:val="284"/>
        </w:trPr>
        <w:tc>
          <w:tcPr>
            <w:tcW w:w="10348" w:type="dxa"/>
            <w:shd w:val="clear" w:color="auto" w:fill="16293F" w:themeFill="text1"/>
          </w:tcPr>
          <w:p w14:paraId="28863B8E" w14:textId="77777777" w:rsidR="00E263FF" w:rsidRPr="00A517F6" w:rsidRDefault="00E263FF" w:rsidP="00A97AF6">
            <w:pPr>
              <w:pStyle w:val="Bodytext0"/>
              <w:spacing w:before="0" w:line="240" w:lineRule="auto"/>
              <w:rPr>
                <w:sz w:val="16"/>
                <w:szCs w:val="18"/>
              </w:rPr>
            </w:pPr>
          </w:p>
        </w:tc>
      </w:tr>
    </w:tbl>
    <w:p w14:paraId="74C75503" w14:textId="77777777" w:rsidR="00E263FF" w:rsidRDefault="00E263FF" w:rsidP="00E263FF">
      <w:pPr>
        <w:pStyle w:val="Subheading"/>
      </w:pPr>
      <w:r>
        <w:t>The use of alternative performance measures (APMs)</w:t>
      </w:r>
    </w:p>
    <w:p w14:paraId="189F2F93" w14:textId="7C742DF1" w:rsidR="00C66FCB" w:rsidRPr="004C5302" w:rsidRDefault="0080236C" w:rsidP="0080236C">
      <w:pPr>
        <w:pStyle w:val="Bodytext0"/>
        <w:rPr>
          <w:lang w:val="en-US"/>
        </w:rPr>
      </w:pPr>
      <w:r w:rsidRPr="004C5302">
        <w:rPr>
          <w:lang w:val="en-US"/>
        </w:rPr>
        <w:t>The Group uses APMs</w:t>
      </w:r>
      <w:r w:rsidR="00C66FCB" w:rsidRPr="004C5302">
        <w:rPr>
          <w:lang w:val="en-US"/>
        </w:rPr>
        <w:t xml:space="preserve"> for two principal reasons:</w:t>
      </w:r>
    </w:p>
    <w:p w14:paraId="10136E11" w14:textId="09591178" w:rsidR="00C66FCB" w:rsidRPr="004C5302" w:rsidRDefault="00C66FCB" w:rsidP="00957B0D">
      <w:pPr>
        <w:pStyle w:val="Bullet1"/>
        <w:numPr>
          <w:ilvl w:val="0"/>
          <w:numId w:val="39"/>
        </w:numPr>
        <w:ind w:left="360"/>
      </w:pPr>
      <w:r w:rsidRPr="004C5302">
        <w:t>We use ratios to provide metrics for users of the accounts; and</w:t>
      </w:r>
    </w:p>
    <w:p w14:paraId="556565BF" w14:textId="716E6962" w:rsidR="00C66FCB" w:rsidRDefault="00C66FCB" w:rsidP="00957B0D">
      <w:pPr>
        <w:pStyle w:val="Bullet1"/>
        <w:numPr>
          <w:ilvl w:val="0"/>
          <w:numId w:val="39"/>
        </w:numPr>
        <w:ind w:left="360"/>
      </w:pPr>
      <w:r w:rsidRPr="004C5302">
        <w:t>We use revenue, expense and profitability-based APMs to explain the Group’s underlying profitability.</w:t>
      </w:r>
    </w:p>
    <w:p w14:paraId="2296C950" w14:textId="4B5681B5" w:rsidR="007F0E28" w:rsidRPr="004C5302" w:rsidRDefault="007F0E28" w:rsidP="004C5302">
      <w:pPr>
        <w:pStyle w:val="Subheading2"/>
      </w:pPr>
      <w:r w:rsidRPr="004C5302">
        <w:t>Ratios</w:t>
      </w:r>
    </w:p>
    <w:p w14:paraId="19C50AF2" w14:textId="77777777" w:rsidR="00272111" w:rsidRPr="004C5302" w:rsidRDefault="00272111" w:rsidP="004C5302">
      <w:pPr>
        <w:pStyle w:val="Bodytext0"/>
        <w:rPr>
          <w:lang w:val="en-US"/>
        </w:rPr>
      </w:pPr>
      <w:r w:rsidRPr="004C5302">
        <w:rPr>
          <w:lang w:val="en-US"/>
        </w:rPr>
        <w:t>The Group calculates ratios to provide comparable metrics for users of the accounts. These ratios are derived from other APMs that measure underlying revenue and expenditure data.</w:t>
      </w:r>
    </w:p>
    <w:p w14:paraId="50BAC9C8" w14:textId="38F8B641" w:rsidR="00272111" w:rsidRDefault="00272111" w:rsidP="00272111">
      <w:pPr>
        <w:pStyle w:val="Bodytext0"/>
        <w:rPr>
          <w:lang w:val="en-US"/>
        </w:rPr>
      </w:pPr>
      <w:r w:rsidRPr="004C5302">
        <w:rPr>
          <w:lang w:val="en-US"/>
        </w:rPr>
        <w:t>In this document, we have used the following ratios:</w:t>
      </w:r>
    </w:p>
    <w:p w14:paraId="3D27CF8A" w14:textId="77777777" w:rsidR="00A46C49" w:rsidRPr="00394E08" w:rsidRDefault="00A46C49" w:rsidP="00A46C49">
      <w:pPr>
        <w:pStyle w:val="Bodytext0"/>
      </w:pPr>
    </w:p>
    <w:tbl>
      <w:tblPr>
        <w:tblStyle w:val="TableGrid60"/>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869"/>
        <w:gridCol w:w="891"/>
        <w:gridCol w:w="918"/>
        <w:gridCol w:w="956"/>
        <w:gridCol w:w="3180"/>
        <w:gridCol w:w="1136"/>
      </w:tblGrid>
      <w:tr w:rsidR="002042C7" w:rsidRPr="001E5F21" w14:paraId="74062319" w14:textId="77777777" w:rsidTr="0061526F">
        <w:trPr>
          <w:trHeight w:val="374"/>
        </w:trPr>
        <w:tc>
          <w:tcPr>
            <w:tcW w:w="245" w:type="dxa"/>
          </w:tcPr>
          <w:p w14:paraId="3B51A432" w14:textId="77777777" w:rsidR="00A46C49" w:rsidRPr="001E5F21" w:rsidRDefault="00A46C49" w:rsidP="00C87079">
            <w:pPr>
              <w:pStyle w:val="Tableheading"/>
            </w:pPr>
          </w:p>
        </w:tc>
        <w:tc>
          <w:tcPr>
            <w:tcW w:w="2869" w:type="dxa"/>
          </w:tcPr>
          <w:p w14:paraId="4614DB72" w14:textId="77777777" w:rsidR="00A46C49" w:rsidRPr="001E5F21" w:rsidRDefault="00A46C49" w:rsidP="00C87079">
            <w:pPr>
              <w:pStyle w:val="Tableheading"/>
            </w:pPr>
            <w:r w:rsidRPr="001E5F21">
              <w:t>APM</w:t>
            </w:r>
          </w:p>
        </w:tc>
        <w:tc>
          <w:tcPr>
            <w:tcW w:w="891" w:type="dxa"/>
          </w:tcPr>
          <w:p w14:paraId="4EDFB717" w14:textId="431AF5A2" w:rsidR="00B45870" w:rsidRPr="001C5F44" w:rsidRDefault="00B45870" w:rsidP="00C87079">
            <w:pPr>
              <w:pStyle w:val="Tableheading"/>
              <w:jc w:val="center"/>
            </w:pPr>
            <w:r w:rsidRPr="001C5F44">
              <w:t>Six months ended</w:t>
            </w:r>
          </w:p>
          <w:p w14:paraId="2933709E" w14:textId="4F3375E6" w:rsidR="00A46C49" w:rsidRPr="001C5F44" w:rsidRDefault="00B45870" w:rsidP="00C87079">
            <w:pPr>
              <w:pStyle w:val="Tableheading"/>
              <w:jc w:val="center"/>
            </w:pPr>
            <w:r w:rsidRPr="001C5F44">
              <w:t xml:space="preserve">30 June </w:t>
            </w:r>
            <w:r w:rsidR="00E85F7E">
              <w:t>2024</w:t>
            </w:r>
          </w:p>
        </w:tc>
        <w:tc>
          <w:tcPr>
            <w:tcW w:w="918" w:type="dxa"/>
          </w:tcPr>
          <w:p w14:paraId="7219C628" w14:textId="77777777" w:rsidR="00B45870" w:rsidRPr="001C5F44" w:rsidRDefault="00B45870" w:rsidP="00C87079">
            <w:pPr>
              <w:pStyle w:val="Tableheading"/>
              <w:jc w:val="center"/>
            </w:pPr>
            <w:r w:rsidRPr="001C5F44">
              <w:t>Six months ended</w:t>
            </w:r>
          </w:p>
          <w:p w14:paraId="4349626E" w14:textId="0A5B8DE5" w:rsidR="00A46C49" w:rsidRPr="001C5F44" w:rsidRDefault="00B45870" w:rsidP="00C87079">
            <w:pPr>
              <w:pStyle w:val="Tableheading"/>
              <w:jc w:val="center"/>
            </w:pPr>
            <w:r w:rsidRPr="001C5F44">
              <w:t xml:space="preserve">30 June </w:t>
            </w:r>
            <w:r w:rsidR="00E85F7E">
              <w:t>2023</w:t>
            </w:r>
          </w:p>
        </w:tc>
        <w:tc>
          <w:tcPr>
            <w:tcW w:w="956" w:type="dxa"/>
          </w:tcPr>
          <w:p w14:paraId="49B7E5D4" w14:textId="75CF9F31" w:rsidR="00B45870" w:rsidRPr="00F2575A" w:rsidRDefault="00B45870" w:rsidP="00C87079">
            <w:pPr>
              <w:pStyle w:val="Tableheading"/>
              <w:jc w:val="center"/>
            </w:pPr>
            <w:r w:rsidRPr="00F2575A">
              <w:t>Year ended</w:t>
            </w:r>
          </w:p>
          <w:p w14:paraId="55497723" w14:textId="62859284" w:rsidR="00A46C49" w:rsidRPr="00F2575A" w:rsidRDefault="00B45870" w:rsidP="00C87079">
            <w:pPr>
              <w:pStyle w:val="Tableheading"/>
              <w:jc w:val="center"/>
            </w:pPr>
            <w:r w:rsidRPr="00F2575A">
              <w:t xml:space="preserve">31 December </w:t>
            </w:r>
            <w:r w:rsidR="00E85F7E">
              <w:t>2023</w:t>
            </w:r>
          </w:p>
        </w:tc>
        <w:tc>
          <w:tcPr>
            <w:tcW w:w="3180" w:type="dxa"/>
          </w:tcPr>
          <w:p w14:paraId="44E862CF" w14:textId="77777777" w:rsidR="00A46C49" w:rsidRPr="001E5F21" w:rsidRDefault="00A46C49" w:rsidP="00C87079">
            <w:pPr>
              <w:pStyle w:val="Tableheading"/>
            </w:pPr>
            <w:r w:rsidRPr="001E5F21">
              <w:t>Definition</w:t>
            </w:r>
          </w:p>
        </w:tc>
        <w:tc>
          <w:tcPr>
            <w:tcW w:w="1136" w:type="dxa"/>
          </w:tcPr>
          <w:p w14:paraId="222375F8" w14:textId="77777777" w:rsidR="00A46C49" w:rsidRPr="001E5F21" w:rsidRDefault="00A46C49" w:rsidP="00C87079">
            <w:pPr>
              <w:pStyle w:val="Tableheading"/>
            </w:pPr>
            <w:r>
              <w:t>Reconciliation</w:t>
            </w:r>
          </w:p>
        </w:tc>
      </w:tr>
      <w:tr w:rsidR="00570FE3" w:rsidRPr="001E5F21" w14:paraId="586A7976" w14:textId="77777777" w:rsidTr="0061526F">
        <w:trPr>
          <w:trHeight w:val="283"/>
        </w:trPr>
        <w:tc>
          <w:tcPr>
            <w:tcW w:w="245" w:type="dxa"/>
          </w:tcPr>
          <w:p w14:paraId="2B3A0236" w14:textId="77777777" w:rsidR="00570FE3" w:rsidRDefault="00570FE3" w:rsidP="00376214">
            <w:pPr>
              <w:pStyle w:val="Tabletext"/>
            </w:pPr>
            <w:r>
              <w:t>1</w:t>
            </w:r>
          </w:p>
        </w:tc>
        <w:tc>
          <w:tcPr>
            <w:tcW w:w="2869" w:type="dxa"/>
          </w:tcPr>
          <w:p w14:paraId="6B73907B" w14:textId="3520C4D1" w:rsidR="00570FE3" w:rsidRPr="001E5F21" w:rsidRDefault="00570FE3" w:rsidP="00376214">
            <w:pPr>
              <w:pStyle w:val="Tabletext"/>
            </w:pPr>
            <w:r>
              <w:t>Cost: income ratio</w:t>
            </w:r>
          </w:p>
        </w:tc>
        <w:tc>
          <w:tcPr>
            <w:tcW w:w="891" w:type="dxa"/>
          </w:tcPr>
          <w:p w14:paraId="4B7AA7BC" w14:textId="688BD256" w:rsidR="00570FE3" w:rsidRPr="001C5F44" w:rsidRDefault="00570FE3" w:rsidP="00376214">
            <w:pPr>
              <w:pStyle w:val="Tabletext"/>
              <w:jc w:val="center"/>
            </w:pPr>
            <w:r>
              <w:t>74%</w:t>
            </w:r>
          </w:p>
        </w:tc>
        <w:tc>
          <w:tcPr>
            <w:tcW w:w="918" w:type="dxa"/>
          </w:tcPr>
          <w:p w14:paraId="7140C7EF" w14:textId="303E3198" w:rsidR="00570FE3" w:rsidRPr="001C5F44" w:rsidRDefault="00570FE3" w:rsidP="00376214">
            <w:pPr>
              <w:pStyle w:val="Tabletext"/>
              <w:jc w:val="center"/>
            </w:pPr>
            <w:r>
              <w:t>71%</w:t>
            </w:r>
          </w:p>
        </w:tc>
        <w:tc>
          <w:tcPr>
            <w:tcW w:w="956" w:type="dxa"/>
          </w:tcPr>
          <w:p w14:paraId="1E974BB3" w14:textId="5648F3AC" w:rsidR="00570FE3" w:rsidRPr="001F4923" w:rsidRDefault="00570FE3" w:rsidP="00376214">
            <w:pPr>
              <w:pStyle w:val="Tabletext"/>
              <w:jc w:val="center"/>
              <w:rPr>
                <w:highlight w:val="yellow"/>
              </w:rPr>
            </w:pPr>
            <w:r w:rsidRPr="00131B4F">
              <w:rPr>
                <w:szCs w:val="18"/>
              </w:rPr>
              <w:t>73</w:t>
            </w:r>
            <w:r w:rsidRPr="00D2181B">
              <w:rPr>
                <w:bCs/>
                <w:szCs w:val="18"/>
              </w:rPr>
              <w:t>%</w:t>
            </w:r>
          </w:p>
        </w:tc>
        <w:tc>
          <w:tcPr>
            <w:tcW w:w="3180" w:type="dxa"/>
          </w:tcPr>
          <w:p w14:paraId="7786F3A1" w14:textId="6976A138" w:rsidR="00570FE3" w:rsidRPr="001E5F21" w:rsidRDefault="00570FE3" w:rsidP="00376214">
            <w:pPr>
              <w:pStyle w:val="Tabletext"/>
            </w:pPr>
            <w:r>
              <w:t>Administrative expenses before exceptional items and performance fee</w:t>
            </w:r>
            <w:r w:rsidR="00E3670B">
              <w:t xml:space="preserve"> costs</w:t>
            </w:r>
            <w:r>
              <w:t xml:space="preserve"> divided by net revenue before performance fees</w:t>
            </w:r>
          </w:p>
        </w:tc>
        <w:tc>
          <w:tcPr>
            <w:tcW w:w="1136" w:type="dxa"/>
            <w:vMerge w:val="restart"/>
            <w:vAlign w:val="center"/>
          </w:tcPr>
          <w:p w14:paraId="0F3D532A" w14:textId="77777777" w:rsidR="00570FE3" w:rsidRDefault="00570FE3" w:rsidP="00376214">
            <w:pPr>
              <w:pStyle w:val="Tabletext"/>
            </w:pPr>
          </w:p>
          <w:p w14:paraId="3EAC267C" w14:textId="77777777" w:rsidR="00570FE3" w:rsidRDefault="00570FE3" w:rsidP="00376214">
            <w:pPr>
              <w:pStyle w:val="Tabletext"/>
            </w:pPr>
          </w:p>
          <w:p w14:paraId="6D4D2DAC" w14:textId="77777777" w:rsidR="00570FE3" w:rsidRDefault="00570FE3" w:rsidP="00376214">
            <w:pPr>
              <w:pStyle w:val="Tabletext"/>
            </w:pPr>
            <w:r>
              <w:t>See table 1 below</w:t>
            </w:r>
          </w:p>
          <w:p w14:paraId="44DE1C64" w14:textId="77777777" w:rsidR="00570FE3" w:rsidRPr="007D6F69" w:rsidRDefault="00570FE3" w:rsidP="00376214">
            <w:pPr>
              <w:pStyle w:val="Tabletext"/>
            </w:pPr>
          </w:p>
          <w:p w14:paraId="17F3FA61" w14:textId="77777777" w:rsidR="00570FE3" w:rsidRDefault="00570FE3" w:rsidP="00376214">
            <w:pPr>
              <w:pStyle w:val="Tabletext"/>
            </w:pPr>
          </w:p>
          <w:p w14:paraId="05D90ABF" w14:textId="77777777" w:rsidR="00570FE3" w:rsidRDefault="00570FE3" w:rsidP="00376214">
            <w:pPr>
              <w:pStyle w:val="Tabletext"/>
            </w:pPr>
          </w:p>
          <w:p w14:paraId="727DFB01" w14:textId="77777777" w:rsidR="00570FE3" w:rsidRPr="001E5F21" w:rsidRDefault="00570FE3" w:rsidP="00376214">
            <w:pPr>
              <w:pStyle w:val="Tabletext"/>
            </w:pPr>
          </w:p>
        </w:tc>
      </w:tr>
      <w:tr w:rsidR="00570FE3" w:rsidRPr="001E5F21" w14:paraId="1DE12A1B" w14:textId="77777777" w:rsidTr="0061526F">
        <w:trPr>
          <w:trHeight w:val="77"/>
        </w:trPr>
        <w:tc>
          <w:tcPr>
            <w:tcW w:w="245" w:type="dxa"/>
          </w:tcPr>
          <w:p w14:paraId="0CF1E26E" w14:textId="77777777" w:rsidR="00570FE3" w:rsidRPr="001E5F21" w:rsidRDefault="00570FE3" w:rsidP="00376214">
            <w:pPr>
              <w:pStyle w:val="Tabletext"/>
            </w:pPr>
            <w:r>
              <w:t>2</w:t>
            </w:r>
          </w:p>
        </w:tc>
        <w:tc>
          <w:tcPr>
            <w:tcW w:w="2869" w:type="dxa"/>
          </w:tcPr>
          <w:p w14:paraId="36885C8B" w14:textId="075BD38C" w:rsidR="00570FE3" w:rsidRPr="001E5F21" w:rsidRDefault="00570FE3" w:rsidP="00376214">
            <w:pPr>
              <w:pStyle w:val="Tabletext"/>
            </w:pPr>
            <w:r>
              <w:t>Net management fee margin</w:t>
            </w:r>
          </w:p>
        </w:tc>
        <w:tc>
          <w:tcPr>
            <w:tcW w:w="891" w:type="dxa"/>
          </w:tcPr>
          <w:p w14:paraId="28531E62" w14:textId="2975F1DA" w:rsidR="00570FE3" w:rsidRPr="001C5F44" w:rsidRDefault="00570FE3" w:rsidP="00376214">
            <w:pPr>
              <w:pStyle w:val="Tabletext"/>
              <w:jc w:val="center"/>
            </w:pPr>
            <w:r>
              <w:t>6</w:t>
            </w:r>
            <w:r w:rsidR="009602C8">
              <w:t>5</w:t>
            </w:r>
            <w:r>
              <w:t>bps</w:t>
            </w:r>
          </w:p>
        </w:tc>
        <w:tc>
          <w:tcPr>
            <w:tcW w:w="918" w:type="dxa"/>
          </w:tcPr>
          <w:p w14:paraId="6EFF33AC" w14:textId="2CCC12DC" w:rsidR="00570FE3" w:rsidRPr="001C5F44" w:rsidRDefault="00570FE3" w:rsidP="00376214">
            <w:pPr>
              <w:pStyle w:val="Tabletext"/>
              <w:jc w:val="center"/>
            </w:pPr>
            <w:r>
              <w:t>7</w:t>
            </w:r>
            <w:r w:rsidR="009602C8">
              <w:t>1</w:t>
            </w:r>
            <w:r>
              <w:t>bps</w:t>
            </w:r>
          </w:p>
        </w:tc>
        <w:tc>
          <w:tcPr>
            <w:tcW w:w="956" w:type="dxa"/>
          </w:tcPr>
          <w:p w14:paraId="02047D7D" w14:textId="0A1CE7BE" w:rsidR="00570FE3" w:rsidRPr="001F4923" w:rsidRDefault="009602C8" w:rsidP="00376214">
            <w:pPr>
              <w:pStyle w:val="Tabletext"/>
              <w:jc w:val="center"/>
              <w:rPr>
                <w:highlight w:val="yellow"/>
              </w:rPr>
            </w:pPr>
            <w:r>
              <w:rPr>
                <w:szCs w:val="18"/>
              </w:rPr>
              <w:t>70</w:t>
            </w:r>
            <w:r w:rsidR="00570FE3" w:rsidRPr="00D2181B">
              <w:rPr>
                <w:szCs w:val="18"/>
              </w:rPr>
              <w:t>bps</w:t>
            </w:r>
          </w:p>
        </w:tc>
        <w:tc>
          <w:tcPr>
            <w:tcW w:w="3180" w:type="dxa"/>
          </w:tcPr>
          <w:p w14:paraId="708A0E7E" w14:textId="470B5487" w:rsidR="00570FE3" w:rsidRPr="001E5F21" w:rsidRDefault="00570FE3" w:rsidP="00376214">
            <w:pPr>
              <w:pStyle w:val="Tabletext"/>
            </w:pPr>
            <w:r>
              <w:t>Net management fees divided by average AUM</w:t>
            </w:r>
          </w:p>
        </w:tc>
        <w:tc>
          <w:tcPr>
            <w:tcW w:w="1136" w:type="dxa"/>
            <w:vMerge/>
          </w:tcPr>
          <w:p w14:paraId="7B5ADA3A" w14:textId="77777777" w:rsidR="00570FE3" w:rsidRPr="001E5F21" w:rsidRDefault="00570FE3" w:rsidP="00376214">
            <w:pPr>
              <w:pStyle w:val="Tabletext"/>
            </w:pPr>
          </w:p>
        </w:tc>
      </w:tr>
      <w:tr w:rsidR="00570FE3" w:rsidRPr="001E5F21" w14:paraId="32200951" w14:textId="77777777" w:rsidTr="0061526F">
        <w:trPr>
          <w:trHeight w:val="77"/>
        </w:trPr>
        <w:tc>
          <w:tcPr>
            <w:tcW w:w="245" w:type="dxa"/>
          </w:tcPr>
          <w:p w14:paraId="4050CB8F" w14:textId="70CD3C41" w:rsidR="00570FE3" w:rsidRDefault="00570FE3" w:rsidP="00376214">
            <w:pPr>
              <w:pStyle w:val="Tabletext"/>
            </w:pPr>
            <w:r>
              <w:t>3</w:t>
            </w:r>
          </w:p>
        </w:tc>
        <w:tc>
          <w:tcPr>
            <w:tcW w:w="2869" w:type="dxa"/>
          </w:tcPr>
          <w:p w14:paraId="769E164C" w14:textId="5CF23430" w:rsidR="00570FE3" w:rsidRDefault="00570FE3" w:rsidP="00376214">
            <w:pPr>
              <w:pStyle w:val="Tabletext"/>
            </w:pPr>
            <w:r>
              <w:t>Total compensation ratio</w:t>
            </w:r>
          </w:p>
        </w:tc>
        <w:tc>
          <w:tcPr>
            <w:tcW w:w="891" w:type="dxa"/>
          </w:tcPr>
          <w:p w14:paraId="29CA4A49" w14:textId="1482F15A" w:rsidR="00570FE3" w:rsidRDefault="003351B4" w:rsidP="00376214">
            <w:pPr>
              <w:pStyle w:val="Tabletext"/>
              <w:jc w:val="center"/>
            </w:pPr>
            <w:r>
              <w:t>46%</w:t>
            </w:r>
          </w:p>
        </w:tc>
        <w:tc>
          <w:tcPr>
            <w:tcW w:w="918" w:type="dxa"/>
          </w:tcPr>
          <w:p w14:paraId="5090A2EB" w14:textId="5D4325DC" w:rsidR="00570FE3" w:rsidRDefault="00570FE3" w:rsidP="00376214">
            <w:pPr>
              <w:pStyle w:val="Tabletext"/>
              <w:jc w:val="center"/>
            </w:pPr>
            <w:r>
              <w:t>43%</w:t>
            </w:r>
          </w:p>
        </w:tc>
        <w:tc>
          <w:tcPr>
            <w:tcW w:w="956" w:type="dxa"/>
          </w:tcPr>
          <w:p w14:paraId="57C6E763" w14:textId="60FF9FAC" w:rsidR="00570FE3" w:rsidRPr="00131B4F" w:rsidRDefault="00570FE3" w:rsidP="00376214">
            <w:pPr>
              <w:pStyle w:val="Tabletext"/>
              <w:jc w:val="center"/>
              <w:rPr>
                <w:szCs w:val="18"/>
              </w:rPr>
            </w:pPr>
            <w:r>
              <w:rPr>
                <w:szCs w:val="18"/>
              </w:rPr>
              <w:t>43%</w:t>
            </w:r>
          </w:p>
        </w:tc>
        <w:tc>
          <w:tcPr>
            <w:tcW w:w="3180" w:type="dxa"/>
          </w:tcPr>
          <w:p w14:paraId="04A7AEE3" w14:textId="68B44F7E" w:rsidR="00570FE3" w:rsidRDefault="00852FB8" w:rsidP="00376214">
            <w:pPr>
              <w:pStyle w:val="Tabletext"/>
            </w:pPr>
            <w:r>
              <w:t>Compensation</w:t>
            </w:r>
            <w:r w:rsidR="00570FE3">
              <w:t xml:space="preserve"> costs before exceptional items as a proportion of net revenue</w:t>
            </w:r>
          </w:p>
        </w:tc>
        <w:tc>
          <w:tcPr>
            <w:tcW w:w="1136" w:type="dxa"/>
            <w:vMerge/>
          </w:tcPr>
          <w:p w14:paraId="2FECFFDA" w14:textId="77777777" w:rsidR="00570FE3" w:rsidRPr="001E5F21" w:rsidRDefault="00570FE3" w:rsidP="00376214">
            <w:pPr>
              <w:pStyle w:val="Tabletext"/>
            </w:pPr>
          </w:p>
        </w:tc>
      </w:tr>
      <w:tr w:rsidR="00570FE3" w:rsidRPr="001E5F21" w14:paraId="5069DE27" w14:textId="77777777" w:rsidTr="0061526F">
        <w:trPr>
          <w:trHeight w:val="77"/>
        </w:trPr>
        <w:tc>
          <w:tcPr>
            <w:tcW w:w="245" w:type="dxa"/>
          </w:tcPr>
          <w:p w14:paraId="4EC1FA5E" w14:textId="0713BDCF" w:rsidR="00570FE3" w:rsidRDefault="00570FE3" w:rsidP="00376214">
            <w:pPr>
              <w:pStyle w:val="Tabletext"/>
            </w:pPr>
            <w:r>
              <w:t>4</w:t>
            </w:r>
          </w:p>
        </w:tc>
        <w:tc>
          <w:tcPr>
            <w:tcW w:w="2869" w:type="dxa"/>
          </w:tcPr>
          <w:p w14:paraId="02AEBE05" w14:textId="1B656739" w:rsidR="00570FE3" w:rsidRPr="001E5F21" w:rsidRDefault="00570FE3" w:rsidP="00376214">
            <w:pPr>
              <w:pStyle w:val="Tabletext"/>
            </w:pPr>
            <w:r>
              <w:t>Total compensation ratio</w:t>
            </w:r>
            <w:r w:rsidDel="0005098A">
              <w:t xml:space="preserve"> </w:t>
            </w:r>
            <w:r>
              <w:t>before  performance fees</w:t>
            </w:r>
          </w:p>
        </w:tc>
        <w:tc>
          <w:tcPr>
            <w:tcW w:w="891" w:type="dxa"/>
          </w:tcPr>
          <w:p w14:paraId="04BC7F71" w14:textId="3113E4B3" w:rsidR="00570FE3" w:rsidRPr="001C5F44" w:rsidRDefault="00570FE3" w:rsidP="00376214">
            <w:pPr>
              <w:pStyle w:val="Tabletext"/>
              <w:jc w:val="center"/>
            </w:pPr>
            <w:r>
              <w:t>45%</w:t>
            </w:r>
          </w:p>
        </w:tc>
        <w:tc>
          <w:tcPr>
            <w:tcW w:w="918" w:type="dxa"/>
          </w:tcPr>
          <w:p w14:paraId="4E71B951" w14:textId="34704B3D" w:rsidR="00570FE3" w:rsidRPr="001C5F44" w:rsidRDefault="00570FE3" w:rsidP="00376214">
            <w:pPr>
              <w:pStyle w:val="Tabletext"/>
              <w:jc w:val="center"/>
            </w:pPr>
            <w:r>
              <w:t>41</w:t>
            </w:r>
            <w:r w:rsidRPr="001C5F44">
              <w:t>%</w:t>
            </w:r>
          </w:p>
        </w:tc>
        <w:tc>
          <w:tcPr>
            <w:tcW w:w="956" w:type="dxa"/>
          </w:tcPr>
          <w:p w14:paraId="7BDF29C9" w14:textId="2709F63C" w:rsidR="00570FE3" w:rsidRPr="001F4923" w:rsidRDefault="00570FE3" w:rsidP="00376214">
            <w:pPr>
              <w:pStyle w:val="Tabletext"/>
              <w:jc w:val="center"/>
              <w:rPr>
                <w:highlight w:val="yellow"/>
              </w:rPr>
            </w:pPr>
            <w:r w:rsidRPr="00131B4F">
              <w:rPr>
                <w:szCs w:val="18"/>
              </w:rPr>
              <w:t>42</w:t>
            </w:r>
            <w:r w:rsidRPr="00D2181B">
              <w:rPr>
                <w:szCs w:val="18"/>
              </w:rPr>
              <w:t>%</w:t>
            </w:r>
          </w:p>
        </w:tc>
        <w:tc>
          <w:tcPr>
            <w:tcW w:w="3180" w:type="dxa"/>
          </w:tcPr>
          <w:p w14:paraId="3B52FEFA" w14:textId="251D7AFC" w:rsidR="00570FE3" w:rsidRPr="001E5F21" w:rsidRDefault="00C12631" w:rsidP="00376214">
            <w:pPr>
              <w:pStyle w:val="Tabletext"/>
            </w:pPr>
            <w:r>
              <w:t>Compensation</w:t>
            </w:r>
            <w:r w:rsidR="00570FE3">
              <w:t xml:space="preserve"> costs before exceptional items and performance fee costs as a proportion of net revenue before performance fees</w:t>
            </w:r>
          </w:p>
        </w:tc>
        <w:tc>
          <w:tcPr>
            <w:tcW w:w="1136" w:type="dxa"/>
            <w:vMerge/>
          </w:tcPr>
          <w:p w14:paraId="7A0C9981" w14:textId="77777777" w:rsidR="00570FE3" w:rsidRPr="001E5F21" w:rsidRDefault="00570FE3" w:rsidP="00376214">
            <w:pPr>
              <w:pStyle w:val="Tabletext"/>
            </w:pPr>
          </w:p>
        </w:tc>
      </w:tr>
      <w:tr w:rsidR="00570FE3" w:rsidRPr="001E5F21" w14:paraId="19F534A9" w14:textId="77777777" w:rsidTr="0061526F">
        <w:trPr>
          <w:trHeight w:val="70"/>
        </w:trPr>
        <w:tc>
          <w:tcPr>
            <w:tcW w:w="245" w:type="dxa"/>
            <w:tcBorders>
              <w:top w:val="single" w:sz="4" w:space="0" w:color="auto"/>
              <w:left w:val="single" w:sz="4" w:space="0" w:color="auto"/>
              <w:bottom w:val="single" w:sz="4" w:space="0" w:color="auto"/>
              <w:right w:val="single" w:sz="4" w:space="0" w:color="auto"/>
            </w:tcBorders>
          </w:tcPr>
          <w:p w14:paraId="19F13988" w14:textId="7703E93D" w:rsidR="00570FE3" w:rsidRPr="001E5F21" w:rsidRDefault="00570FE3" w:rsidP="00376214">
            <w:pPr>
              <w:pStyle w:val="Tabletext"/>
            </w:pPr>
            <w:r>
              <w:t>5</w:t>
            </w:r>
          </w:p>
        </w:tc>
        <w:tc>
          <w:tcPr>
            <w:tcW w:w="2869" w:type="dxa"/>
            <w:tcBorders>
              <w:top w:val="single" w:sz="4" w:space="0" w:color="auto"/>
              <w:left w:val="single" w:sz="4" w:space="0" w:color="auto"/>
              <w:bottom w:val="single" w:sz="4" w:space="0" w:color="auto"/>
              <w:right w:val="single" w:sz="4" w:space="0" w:color="auto"/>
            </w:tcBorders>
          </w:tcPr>
          <w:p w14:paraId="5638C5AF" w14:textId="77777777" w:rsidR="00570FE3" w:rsidRPr="001E5F21" w:rsidRDefault="00570FE3" w:rsidP="00376214">
            <w:pPr>
              <w:pStyle w:val="Tabletext"/>
            </w:pPr>
            <w:r w:rsidRPr="001E5F21">
              <w:t>Underlying EPS</w:t>
            </w:r>
          </w:p>
        </w:tc>
        <w:tc>
          <w:tcPr>
            <w:tcW w:w="891" w:type="dxa"/>
            <w:tcBorders>
              <w:top w:val="single" w:sz="4" w:space="0" w:color="auto"/>
              <w:left w:val="single" w:sz="4" w:space="0" w:color="auto"/>
              <w:bottom w:val="single" w:sz="4" w:space="0" w:color="auto"/>
              <w:right w:val="single" w:sz="4" w:space="0" w:color="auto"/>
            </w:tcBorders>
          </w:tcPr>
          <w:p w14:paraId="5B04BC04" w14:textId="1A74C4E7" w:rsidR="00570FE3" w:rsidRPr="001C5F44" w:rsidRDefault="00570FE3" w:rsidP="00376214">
            <w:pPr>
              <w:pStyle w:val="Tabletext"/>
              <w:jc w:val="center"/>
            </w:pPr>
            <w:r>
              <w:t>6.6p</w:t>
            </w:r>
          </w:p>
        </w:tc>
        <w:tc>
          <w:tcPr>
            <w:tcW w:w="918" w:type="dxa"/>
            <w:tcBorders>
              <w:top w:val="single" w:sz="4" w:space="0" w:color="auto"/>
              <w:left w:val="single" w:sz="4" w:space="0" w:color="auto"/>
              <w:bottom w:val="single" w:sz="4" w:space="0" w:color="auto"/>
              <w:right w:val="single" w:sz="4" w:space="0" w:color="auto"/>
            </w:tcBorders>
          </w:tcPr>
          <w:p w14:paraId="342E1493" w14:textId="3E451ACD" w:rsidR="00570FE3" w:rsidRPr="001C5F44" w:rsidRDefault="00570FE3" w:rsidP="00376214">
            <w:pPr>
              <w:pStyle w:val="Tabletext"/>
              <w:jc w:val="center"/>
            </w:pPr>
            <w:r>
              <w:t>6.7</w:t>
            </w:r>
            <w:r w:rsidRPr="001C5F44">
              <w:t>p</w:t>
            </w:r>
          </w:p>
        </w:tc>
        <w:tc>
          <w:tcPr>
            <w:tcW w:w="956" w:type="dxa"/>
            <w:tcBorders>
              <w:top w:val="single" w:sz="4" w:space="0" w:color="auto"/>
              <w:left w:val="single" w:sz="4" w:space="0" w:color="auto"/>
              <w:bottom w:val="single" w:sz="4" w:space="0" w:color="auto"/>
              <w:right w:val="single" w:sz="4" w:space="0" w:color="auto"/>
            </w:tcBorders>
          </w:tcPr>
          <w:p w14:paraId="1630C290" w14:textId="35F3BF00" w:rsidR="00570FE3" w:rsidRPr="001F4923" w:rsidRDefault="00570FE3" w:rsidP="00376214">
            <w:pPr>
              <w:pStyle w:val="Tabletext"/>
              <w:jc w:val="center"/>
              <w:rPr>
                <w:highlight w:val="yellow"/>
              </w:rPr>
            </w:pPr>
            <w:r>
              <w:rPr>
                <w:szCs w:val="18"/>
              </w:rPr>
              <w:t>14.8</w:t>
            </w:r>
            <w:r w:rsidRPr="00D2181B">
              <w:rPr>
                <w:szCs w:val="18"/>
              </w:rPr>
              <w:t>p</w:t>
            </w:r>
          </w:p>
        </w:tc>
        <w:tc>
          <w:tcPr>
            <w:tcW w:w="3180" w:type="dxa"/>
            <w:tcBorders>
              <w:top w:val="single" w:sz="4" w:space="0" w:color="auto"/>
              <w:left w:val="single" w:sz="4" w:space="0" w:color="auto"/>
              <w:bottom w:val="single" w:sz="4" w:space="0" w:color="auto"/>
            </w:tcBorders>
          </w:tcPr>
          <w:p w14:paraId="279631A9" w14:textId="79297479" w:rsidR="00570FE3" w:rsidRPr="001E5F21" w:rsidRDefault="00570FE3" w:rsidP="00376214">
            <w:pPr>
              <w:pStyle w:val="Tabletext"/>
            </w:pPr>
            <w:r w:rsidRPr="001E5F21">
              <w:t xml:space="preserve">Underlying profit after tax </w:t>
            </w:r>
            <w:r>
              <w:t xml:space="preserve">attributable to equity holders of the parent </w:t>
            </w:r>
            <w:r w:rsidRPr="001E5F21">
              <w:t xml:space="preserve">divided by </w:t>
            </w:r>
            <w:r>
              <w:t xml:space="preserve">average </w:t>
            </w:r>
            <w:r w:rsidRPr="001E5F21">
              <w:t>issued share capital</w:t>
            </w:r>
          </w:p>
        </w:tc>
        <w:tc>
          <w:tcPr>
            <w:tcW w:w="1136" w:type="dxa"/>
            <w:vMerge/>
          </w:tcPr>
          <w:p w14:paraId="47FBF18B" w14:textId="77777777" w:rsidR="00570FE3" w:rsidRPr="001E5F21" w:rsidRDefault="00570FE3" w:rsidP="00376214">
            <w:pPr>
              <w:pStyle w:val="Tabletext"/>
            </w:pPr>
          </w:p>
        </w:tc>
      </w:tr>
      <w:tr w:rsidR="00570FE3" w:rsidRPr="001E5F21" w14:paraId="382EF708" w14:textId="77777777" w:rsidTr="0061526F">
        <w:trPr>
          <w:trHeight w:val="70"/>
        </w:trPr>
        <w:tc>
          <w:tcPr>
            <w:tcW w:w="245" w:type="dxa"/>
            <w:tcBorders>
              <w:top w:val="single" w:sz="4" w:space="0" w:color="auto"/>
              <w:left w:val="single" w:sz="4" w:space="0" w:color="auto"/>
              <w:bottom w:val="single" w:sz="4" w:space="0" w:color="auto"/>
              <w:right w:val="single" w:sz="4" w:space="0" w:color="auto"/>
            </w:tcBorders>
          </w:tcPr>
          <w:p w14:paraId="1384862D" w14:textId="429F1DAA" w:rsidR="00570FE3" w:rsidRDefault="00570FE3" w:rsidP="00376214">
            <w:pPr>
              <w:pStyle w:val="Tabletext"/>
            </w:pPr>
            <w:r>
              <w:t>6</w:t>
            </w:r>
          </w:p>
        </w:tc>
        <w:tc>
          <w:tcPr>
            <w:tcW w:w="2869" w:type="dxa"/>
            <w:tcBorders>
              <w:top w:val="single" w:sz="4" w:space="0" w:color="auto"/>
              <w:left w:val="single" w:sz="4" w:space="0" w:color="auto"/>
              <w:bottom w:val="single" w:sz="4" w:space="0" w:color="auto"/>
              <w:right w:val="single" w:sz="4" w:space="0" w:color="auto"/>
            </w:tcBorders>
          </w:tcPr>
          <w:p w14:paraId="5E1C33C1" w14:textId="255FAE4F" w:rsidR="00570FE3" w:rsidRPr="001E5F21" w:rsidRDefault="00570FE3" w:rsidP="00376214">
            <w:pPr>
              <w:pStyle w:val="Tabletext"/>
            </w:pPr>
            <w:r>
              <w:t>Underlying EPS before performance fee profits/losses</w:t>
            </w:r>
          </w:p>
        </w:tc>
        <w:tc>
          <w:tcPr>
            <w:tcW w:w="891" w:type="dxa"/>
            <w:tcBorders>
              <w:top w:val="single" w:sz="4" w:space="0" w:color="auto"/>
              <w:left w:val="single" w:sz="4" w:space="0" w:color="auto"/>
              <w:bottom w:val="single" w:sz="4" w:space="0" w:color="auto"/>
              <w:right w:val="single" w:sz="4" w:space="0" w:color="auto"/>
            </w:tcBorders>
          </w:tcPr>
          <w:p w14:paraId="7AFA50EC" w14:textId="26AD990C" w:rsidR="00570FE3" w:rsidRDefault="00AE05F0" w:rsidP="00376214">
            <w:pPr>
              <w:pStyle w:val="Tabletext"/>
              <w:jc w:val="center"/>
            </w:pPr>
            <w:r>
              <w:t>6.4p</w:t>
            </w:r>
          </w:p>
        </w:tc>
        <w:tc>
          <w:tcPr>
            <w:tcW w:w="918" w:type="dxa"/>
            <w:tcBorders>
              <w:top w:val="single" w:sz="4" w:space="0" w:color="auto"/>
              <w:left w:val="single" w:sz="4" w:space="0" w:color="auto"/>
              <w:bottom w:val="single" w:sz="4" w:space="0" w:color="auto"/>
              <w:right w:val="single" w:sz="4" w:space="0" w:color="auto"/>
            </w:tcBorders>
          </w:tcPr>
          <w:p w14:paraId="6FFF5775" w14:textId="5E70C524" w:rsidR="00570FE3" w:rsidRDefault="00570FE3" w:rsidP="00376214">
            <w:pPr>
              <w:pStyle w:val="Tabletext"/>
              <w:jc w:val="center"/>
            </w:pPr>
            <w:r>
              <w:t>7.1p</w:t>
            </w:r>
          </w:p>
        </w:tc>
        <w:tc>
          <w:tcPr>
            <w:tcW w:w="956" w:type="dxa"/>
            <w:tcBorders>
              <w:top w:val="single" w:sz="4" w:space="0" w:color="auto"/>
              <w:left w:val="single" w:sz="4" w:space="0" w:color="auto"/>
              <w:bottom w:val="single" w:sz="4" w:space="0" w:color="auto"/>
              <w:right w:val="single" w:sz="4" w:space="0" w:color="auto"/>
            </w:tcBorders>
          </w:tcPr>
          <w:p w14:paraId="31CB08BC" w14:textId="657F00DF" w:rsidR="00570FE3" w:rsidRDefault="00570FE3" w:rsidP="00376214">
            <w:pPr>
              <w:pStyle w:val="Tabletext"/>
              <w:jc w:val="center"/>
              <w:rPr>
                <w:szCs w:val="18"/>
              </w:rPr>
            </w:pPr>
            <w:r>
              <w:rPr>
                <w:szCs w:val="18"/>
              </w:rPr>
              <w:t>13.8p</w:t>
            </w:r>
          </w:p>
        </w:tc>
        <w:tc>
          <w:tcPr>
            <w:tcW w:w="3180" w:type="dxa"/>
            <w:tcBorders>
              <w:top w:val="single" w:sz="4" w:space="0" w:color="auto"/>
              <w:left w:val="single" w:sz="4" w:space="0" w:color="auto"/>
              <w:bottom w:val="single" w:sz="4" w:space="0" w:color="auto"/>
            </w:tcBorders>
          </w:tcPr>
          <w:p w14:paraId="551AD70F" w14:textId="5B842872" w:rsidR="00570FE3" w:rsidRPr="001E5F21" w:rsidRDefault="00570FE3" w:rsidP="00376214">
            <w:pPr>
              <w:pStyle w:val="Tabletext"/>
            </w:pPr>
            <w:r w:rsidRPr="001E5F21">
              <w:t xml:space="preserve">Underlying profit after tax </w:t>
            </w:r>
            <w:r>
              <w:t xml:space="preserve">before performance fee profits/losses attributable to equity holders of the parent </w:t>
            </w:r>
            <w:r w:rsidRPr="001E5F21">
              <w:t xml:space="preserve">divided by </w:t>
            </w:r>
            <w:r>
              <w:t xml:space="preserve">average </w:t>
            </w:r>
            <w:r w:rsidRPr="001E5F21">
              <w:t>issued share capital</w:t>
            </w:r>
          </w:p>
        </w:tc>
        <w:tc>
          <w:tcPr>
            <w:tcW w:w="1136" w:type="dxa"/>
            <w:vMerge/>
          </w:tcPr>
          <w:p w14:paraId="01B92E39" w14:textId="77777777" w:rsidR="00570FE3" w:rsidRPr="001E5F21" w:rsidRDefault="00570FE3" w:rsidP="00376214">
            <w:pPr>
              <w:pStyle w:val="Tabletext"/>
            </w:pPr>
          </w:p>
        </w:tc>
      </w:tr>
    </w:tbl>
    <w:p w14:paraId="14AF85FA" w14:textId="77777777" w:rsidR="00A46C49" w:rsidRDefault="00A46C49" w:rsidP="00A46C49">
      <w:pPr>
        <w:spacing w:after="0"/>
        <w:rPr>
          <w:rFonts w:ascii="Source Sans Pro Semibold" w:eastAsiaTheme="minorHAnsi" w:hAnsi="Source Sans Pro Semibold"/>
          <w:color w:val="3E5772"/>
          <w:sz w:val="20"/>
          <w:lang w:val="en-GB" w:eastAsia="en-US"/>
        </w:rPr>
      </w:pPr>
    </w:p>
    <w:p w14:paraId="7D291D4B" w14:textId="77777777" w:rsidR="00A46C49" w:rsidRDefault="00A46C49">
      <w:pPr>
        <w:rPr>
          <w:rFonts w:ascii="Source Sans Pro Semibold" w:eastAsiaTheme="minorHAnsi" w:hAnsi="Source Sans Pro Semibold"/>
          <w:color w:val="3E5772"/>
          <w:sz w:val="20"/>
          <w:lang w:val="en-GB" w:eastAsia="en-US"/>
        </w:rPr>
      </w:pPr>
      <w:r>
        <w:rPr>
          <w:rFonts w:ascii="Source Sans Pro Semibold" w:eastAsiaTheme="minorHAnsi" w:hAnsi="Source Sans Pro Semibold"/>
          <w:color w:val="3E5772"/>
          <w:sz w:val="20"/>
          <w:lang w:val="en-GB" w:eastAsia="en-US"/>
        </w:rPr>
        <w:br w:type="page"/>
      </w:r>
    </w:p>
    <w:p w14:paraId="1A98EF71" w14:textId="391C2E71" w:rsidR="00A46C49" w:rsidRPr="004F6EE6" w:rsidRDefault="00A46C49" w:rsidP="00A46C49">
      <w:pPr>
        <w:spacing w:after="0"/>
        <w:rPr>
          <w:rFonts w:ascii="Source Sans Pro Semibold" w:eastAsiaTheme="minorHAnsi" w:hAnsi="Source Sans Pro Semibold"/>
          <w:color w:val="3E5772"/>
          <w:sz w:val="20"/>
          <w:lang w:val="en-GB" w:eastAsia="en-US"/>
        </w:rPr>
      </w:pPr>
      <w:r w:rsidRPr="004F6EE6">
        <w:rPr>
          <w:rFonts w:ascii="Source Sans Pro Semibold" w:eastAsiaTheme="minorHAnsi" w:hAnsi="Source Sans Pro Semibold"/>
          <w:color w:val="3E5772"/>
          <w:sz w:val="20"/>
          <w:lang w:val="en-GB" w:eastAsia="en-US"/>
        </w:rPr>
        <w:lastRenderedPageBreak/>
        <w:t>Reconciliation</w:t>
      </w:r>
      <w:r w:rsidR="00A7398B">
        <w:rPr>
          <w:rFonts w:ascii="Source Sans Pro Semibold" w:eastAsiaTheme="minorHAnsi" w:hAnsi="Source Sans Pro Semibold"/>
          <w:color w:val="3E5772"/>
          <w:sz w:val="20"/>
          <w:lang w:val="en-GB" w:eastAsia="en-US"/>
        </w:rPr>
        <w:t xml:space="preserve"> of reported IFRS numbers to APM</w:t>
      </w:r>
      <w:r w:rsidRPr="004F6EE6">
        <w:rPr>
          <w:rFonts w:ascii="Source Sans Pro Semibold" w:eastAsiaTheme="minorHAnsi" w:hAnsi="Source Sans Pro Semibold"/>
          <w:color w:val="3E5772"/>
          <w:sz w:val="20"/>
          <w:lang w:val="en-GB" w:eastAsia="en-US"/>
        </w:rPr>
        <w:t>s: table 1</w:t>
      </w:r>
    </w:p>
    <w:p w14:paraId="4F7F7F60" w14:textId="77777777" w:rsidR="00B34F31" w:rsidRDefault="00B34F31" w:rsidP="00A46C49">
      <w:pPr>
        <w:spacing w:after="0"/>
        <w:rPr>
          <w:rFonts w:ascii="Source Sans Pro Semibold" w:eastAsiaTheme="minorHAnsi" w:hAnsi="Source Sans Pro Semibold"/>
          <w:color w:val="3E5772"/>
          <w:sz w:val="20"/>
          <w:lang w:val="en-GB" w:eastAsia="en-US"/>
        </w:rPr>
      </w:pPr>
    </w:p>
    <w:tbl>
      <w:tblPr>
        <w:tblStyle w:val="TableGrid"/>
        <w:tblW w:w="0" w:type="auto"/>
        <w:tblLook w:val="04A0" w:firstRow="1" w:lastRow="0" w:firstColumn="1" w:lastColumn="0" w:noHBand="0" w:noVBand="1"/>
      </w:tblPr>
      <w:tblGrid>
        <w:gridCol w:w="4993"/>
        <w:gridCol w:w="410"/>
        <w:gridCol w:w="1554"/>
        <w:gridCol w:w="1569"/>
        <w:gridCol w:w="1584"/>
        <w:gridCol w:w="95"/>
      </w:tblGrid>
      <w:tr w:rsidR="00B34F31" w14:paraId="7EBDDA91" w14:textId="77777777" w:rsidTr="005F0CDE">
        <w:trPr>
          <w:gridAfter w:val="1"/>
          <w:wAfter w:w="95" w:type="dxa"/>
        </w:trPr>
        <w:tc>
          <w:tcPr>
            <w:tcW w:w="4993" w:type="dxa"/>
            <w:vAlign w:val="bottom"/>
          </w:tcPr>
          <w:p w14:paraId="6BAF09A9" w14:textId="77777777" w:rsidR="00B34F31" w:rsidRDefault="00B34F31" w:rsidP="00957B0D">
            <w:pPr>
              <w:pStyle w:val="Tableheading"/>
              <w:jc w:val="right"/>
            </w:pPr>
          </w:p>
        </w:tc>
        <w:tc>
          <w:tcPr>
            <w:tcW w:w="410" w:type="dxa"/>
            <w:vAlign w:val="bottom"/>
          </w:tcPr>
          <w:p w14:paraId="3512784E" w14:textId="721EC60A" w:rsidR="00B34F31" w:rsidRDefault="00B34F31" w:rsidP="00957B0D">
            <w:pPr>
              <w:pStyle w:val="Tableheading"/>
              <w:jc w:val="center"/>
            </w:pPr>
            <w:r w:rsidRPr="00577845">
              <w:rPr>
                <w:color w:val="003D7F" w:themeColor="accent2" w:themeShade="BF"/>
                <w:szCs w:val="18"/>
              </w:rPr>
              <w:t>APM</w:t>
            </w:r>
          </w:p>
        </w:tc>
        <w:tc>
          <w:tcPr>
            <w:tcW w:w="1554" w:type="dxa"/>
            <w:vAlign w:val="bottom"/>
          </w:tcPr>
          <w:p w14:paraId="21A0582F" w14:textId="77777777"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Six months ended</w:t>
            </w:r>
          </w:p>
          <w:p w14:paraId="1F63C1F1" w14:textId="7B30E64E"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 xml:space="preserve">30 June </w:t>
            </w:r>
            <w:r w:rsidR="00E85F7E" w:rsidRPr="00577845">
              <w:rPr>
                <w:color w:val="003D7F" w:themeColor="accent2" w:themeShade="BF"/>
                <w:szCs w:val="18"/>
              </w:rPr>
              <w:t>2024</w:t>
            </w:r>
          </w:p>
          <w:p w14:paraId="209E0EFF" w14:textId="5113FD3C" w:rsidR="00B34F31" w:rsidRDefault="00B34F31" w:rsidP="00957B0D">
            <w:pPr>
              <w:pStyle w:val="Tableheading"/>
              <w:jc w:val="right"/>
            </w:pPr>
            <w:r w:rsidRPr="00577845">
              <w:rPr>
                <w:color w:val="003D7F" w:themeColor="accent2" w:themeShade="BF"/>
                <w:szCs w:val="18"/>
              </w:rPr>
              <w:t>£m</w:t>
            </w:r>
          </w:p>
        </w:tc>
        <w:tc>
          <w:tcPr>
            <w:tcW w:w="1569" w:type="dxa"/>
            <w:vAlign w:val="bottom"/>
          </w:tcPr>
          <w:p w14:paraId="06E6D9F7" w14:textId="77777777"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Six months ended</w:t>
            </w:r>
          </w:p>
          <w:p w14:paraId="6144932C" w14:textId="3441D4A9"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 xml:space="preserve">30 June </w:t>
            </w:r>
            <w:r w:rsidR="00E85F7E" w:rsidRPr="00577845">
              <w:rPr>
                <w:color w:val="003D7F" w:themeColor="accent2" w:themeShade="BF"/>
                <w:szCs w:val="18"/>
              </w:rPr>
              <w:t>2023</w:t>
            </w:r>
          </w:p>
          <w:p w14:paraId="6AB20B20" w14:textId="1ECEF2E7" w:rsidR="00B34F31" w:rsidRDefault="00B34F31" w:rsidP="00957B0D">
            <w:pPr>
              <w:pStyle w:val="Tableheading"/>
              <w:jc w:val="right"/>
            </w:pPr>
            <w:r w:rsidRPr="00577845">
              <w:rPr>
                <w:color w:val="003D7F" w:themeColor="accent2" w:themeShade="BF"/>
                <w:szCs w:val="18"/>
              </w:rPr>
              <w:t>£m</w:t>
            </w:r>
          </w:p>
        </w:tc>
        <w:tc>
          <w:tcPr>
            <w:tcW w:w="1584" w:type="dxa"/>
            <w:vAlign w:val="bottom"/>
          </w:tcPr>
          <w:p w14:paraId="04493B53" w14:textId="77777777"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Year ended</w:t>
            </w:r>
          </w:p>
          <w:p w14:paraId="0875837F" w14:textId="6D34FABB" w:rsidR="00B34F31" w:rsidRPr="00577845" w:rsidRDefault="00B34F31" w:rsidP="00957B0D">
            <w:pPr>
              <w:pStyle w:val="Tableheading"/>
              <w:jc w:val="right"/>
              <w:rPr>
                <w:color w:val="003D7F" w:themeColor="accent2" w:themeShade="BF"/>
                <w:szCs w:val="18"/>
              </w:rPr>
            </w:pPr>
            <w:r w:rsidRPr="00577845">
              <w:rPr>
                <w:color w:val="003D7F" w:themeColor="accent2" w:themeShade="BF"/>
                <w:szCs w:val="18"/>
              </w:rPr>
              <w:t xml:space="preserve">31 December </w:t>
            </w:r>
            <w:r w:rsidR="00E85F7E" w:rsidRPr="00577845">
              <w:rPr>
                <w:color w:val="003D7F" w:themeColor="accent2" w:themeShade="BF"/>
                <w:szCs w:val="18"/>
              </w:rPr>
              <w:t>2023</w:t>
            </w:r>
          </w:p>
          <w:p w14:paraId="4B61B732" w14:textId="1F425649" w:rsidR="00B34F31" w:rsidRDefault="00B34F31" w:rsidP="00957B0D">
            <w:pPr>
              <w:pStyle w:val="Tableheading"/>
              <w:jc w:val="right"/>
            </w:pPr>
            <w:r w:rsidRPr="00577845">
              <w:rPr>
                <w:color w:val="003D7F" w:themeColor="accent2" w:themeShade="BF"/>
                <w:szCs w:val="18"/>
              </w:rPr>
              <w:t>£m</w:t>
            </w:r>
          </w:p>
        </w:tc>
      </w:tr>
      <w:tr w:rsidR="00B34F31" w14:paraId="25AFEE3F" w14:textId="77777777" w:rsidTr="005F0CDE">
        <w:trPr>
          <w:gridAfter w:val="1"/>
          <w:wAfter w:w="95" w:type="dxa"/>
        </w:trPr>
        <w:tc>
          <w:tcPr>
            <w:tcW w:w="4993" w:type="dxa"/>
          </w:tcPr>
          <w:p w14:paraId="5476F1F9" w14:textId="77777777" w:rsidR="00B34F31" w:rsidRPr="00577845" w:rsidRDefault="00B34F31" w:rsidP="00B34F31">
            <w:pPr>
              <w:rPr>
                <w:rFonts w:ascii="Source Sans Pro Semibold" w:eastAsiaTheme="minorHAnsi" w:hAnsi="Source Sans Pro Semibold"/>
                <w:color w:val="3E5772"/>
                <w:szCs w:val="18"/>
                <w:lang w:val="en-GB" w:eastAsia="en-US"/>
              </w:rPr>
            </w:pPr>
          </w:p>
        </w:tc>
        <w:tc>
          <w:tcPr>
            <w:tcW w:w="410" w:type="dxa"/>
            <w:vAlign w:val="center"/>
          </w:tcPr>
          <w:p w14:paraId="722DBCB0" w14:textId="77777777" w:rsidR="00B34F31" w:rsidRPr="00577845" w:rsidRDefault="00B34F31" w:rsidP="00423552">
            <w:pPr>
              <w:jc w:val="center"/>
              <w:rPr>
                <w:rFonts w:ascii="Source Sans Pro Semibold" w:eastAsiaTheme="minorHAnsi" w:hAnsi="Source Sans Pro Semibold"/>
                <w:color w:val="3E5772"/>
                <w:szCs w:val="18"/>
                <w:lang w:val="en-GB" w:eastAsia="en-US"/>
              </w:rPr>
            </w:pPr>
          </w:p>
        </w:tc>
        <w:tc>
          <w:tcPr>
            <w:tcW w:w="1554" w:type="dxa"/>
            <w:vAlign w:val="center"/>
          </w:tcPr>
          <w:p w14:paraId="5FACA6F8" w14:textId="77777777" w:rsidR="00B34F31" w:rsidRPr="00577845" w:rsidRDefault="00B34F31" w:rsidP="00423552">
            <w:pPr>
              <w:jc w:val="right"/>
              <w:rPr>
                <w:rFonts w:ascii="Source Sans Pro Semibold" w:eastAsiaTheme="minorHAnsi" w:hAnsi="Source Sans Pro Semibold"/>
                <w:color w:val="3E5772"/>
                <w:szCs w:val="18"/>
                <w:lang w:val="en-GB" w:eastAsia="en-US"/>
              </w:rPr>
            </w:pPr>
          </w:p>
        </w:tc>
        <w:tc>
          <w:tcPr>
            <w:tcW w:w="1569" w:type="dxa"/>
            <w:vAlign w:val="center"/>
          </w:tcPr>
          <w:p w14:paraId="7D8E5BD2" w14:textId="77777777" w:rsidR="00B34F31" w:rsidRPr="00577845" w:rsidRDefault="00B34F31" w:rsidP="00423552">
            <w:pPr>
              <w:jc w:val="right"/>
              <w:rPr>
                <w:rFonts w:ascii="Source Sans Pro Semibold" w:eastAsiaTheme="minorHAnsi" w:hAnsi="Source Sans Pro Semibold"/>
                <w:color w:val="3E5772"/>
                <w:szCs w:val="18"/>
                <w:lang w:val="en-GB" w:eastAsia="en-US"/>
              </w:rPr>
            </w:pPr>
          </w:p>
        </w:tc>
        <w:tc>
          <w:tcPr>
            <w:tcW w:w="1584" w:type="dxa"/>
            <w:vAlign w:val="center"/>
          </w:tcPr>
          <w:p w14:paraId="59657E6D" w14:textId="77777777" w:rsidR="00B34F31" w:rsidRPr="00577845" w:rsidRDefault="00B34F31" w:rsidP="00423552">
            <w:pPr>
              <w:jc w:val="right"/>
              <w:rPr>
                <w:rFonts w:ascii="Source Sans Pro Semibold" w:eastAsiaTheme="minorHAnsi" w:hAnsi="Source Sans Pro Semibold"/>
                <w:color w:val="3E5772"/>
                <w:szCs w:val="18"/>
                <w:lang w:val="en-GB" w:eastAsia="en-US"/>
              </w:rPr>
            </w:pPr>
          </w:p>
        </w:tc>
      </w:tr>
      <w:tr w:rsidR="00376214" w14:paraId="6CD4F15A" w14:textId="77777777" w:rsidTr="005F0CDE">
        <w:trPr>
          <w:gridAfter w:val="1"/>
          <w:wAfter w:w="95" w:type="dxa"/>
        </w:trPr>
        <w:tc>
          <w:tcPr>
            <w:tcW w:w="4993" w:type="dxa"/>
            <w:vAlign w:val="center"/>
          </w:tcPr>
          <w:p w14:paraId="6953A7C6" w14:textId="4F49DBBF" w:rsidR="00376214" w:rsidRPr="00577845" w:rsidRDefault="00376214" w:rsidP="00376214">
            <w:pPr>
              <w:rPr>
                <w:rFonts w:ascii="Source Sans Pro Semibold" w:eastAsiaTheme="minorHAnsi" w:hAnsi="Source Sans Pro Semibold"/>
                <w:color w:val="3E5772"/>
                <w:szCs w:val="18"/>
                <w:lang w:val="en-GB" w:eastAsia="en-US"/>
              </w:rPr>
            </w:pPr>
            <w:r w:rsidRPr="00577845">
              <w:rPr>
                <w:szCs w:val="18"/>
              </w:rPr>
              <w:t>Administrative expenses (page 7)</w:t>
            </w:r>
          </w:p>
        </w:tc>
        <w:tc>
          <w:tcPr>
            <w:tcW w:w="410" w:type="dxa"/>
            <w:vAlign w:val="center"/>
          </w:tcPr>
          <w:p w14:paraId="49583C4F"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590E7352" w14:textId="365BEC71" w:rsidR="00376214" w:rsidRPr="00577845" w:rsidRDefault="009C477D" w:rsidP="00376214">
            <w:pPr>
              <w:tabs>
                <w:tab w:val="decimal" w:pos="1140"/>
              </w:tabs>
              <w:rPr>
                <w:szCs w:val="18"/>
              </w:rPr>
            </w:pPr>
            <w:r w:rsidRPr="00577845">
              <w:rPr>
                <w:szCs w:val="18"/>
              </w:rPr>
              <w:t>129.1</w:t>
            </w:r>
          </w:p>
        </w:tc>
        <w:tc>
          <w:tcPr>
            <w:tcW w:w="1569" w:type="dxa"/>
            <w:vAlign w:val="center"/>
          </w:tcPr>
          <w:p w14:paraId="1A6AFBB7" w14:textId="2B7E481C"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r w:rsidRPr="00577845">
              <w:rPr>
                <w:szCs w:val="18"/>
              </w:rPr>
              <w:t>134.4</w:t>
            </w:r>
          </w:p>
        </w:tc>
        <w:tc>
          <w:tcPr>
            <w:tcW w:w="1584" w:type="dxa"/>
            <w:vAlign w:val="center"/>
          </w:tcPr>
          <w:p w14:paraId="154756AD" w14:textId="3A575E16" w:rsidR="00376214" w:rsidRPr="00577845" w:rsidRDefault="00376214" w:rsidP="00376214">
            <w:pPr>
              <w:tabs>
                <w:tab w:val="decimal" w:pos="1170"/>
              </w:tabs>
              <w:rPr>
                <w:b/>
                <w:bCs/>
                <w:szCs w:val="18"/>
              </w:rPr>
            </w:pPr>
            <w:r w:rsidRPr="00577845">
              <w:rPr>
                <w:b/>
                <w:bCs/>
                <w:szCs w:val="18"/>
              </w:rPr>
              <w:t>265.4</w:t>
            </w:r>
          </w:p>
        </w:tc>
      </w:tr>
      <w:tr w:rsidR="00376214" w14:paraId="04F5D596" w14:textId="77777777" w:rsidTr="005F0CDE">
        <w:trPr>
          <w:gridAfter w:val="1"/>
          <w:wAfter w:w="95" w:type="dxa"/>
        </w:trPr>
        <w:tc>
          <w:tcPr>
            <w:tcW w:w="4993" w:type="dxa"/>
            <w:vAlign w:val="center"/>
          </w:tcPr>
          <w:p w14:paraId="403C06FA" w14:textId="0E686A31" w:rsidR="00376214" w:rsidRPr="00577845" w:rsidRDefault="00376214" w:rsidP="00376214">
            <w:pPr>
              <w:rPr>
                <w:rFonts w:ascii="Source Sans Pro Semibold" w:eastAsiaTheme="minorHAnsi" w:hAnsi="Source Sans Pro Semibold"/>
                <w:color w:val="3E5772"/>
                <w:szCs w:val="18"/>
                <w:lang w:val="en-GB" w:eastAsia="en-US"/>
              </w:rPr>
            </w:pPr>
            <w:r w:rsidRPr="00577845">
              <w:rPr>
                <w:szCs w:val="18"/>
              </w:rPr>
              <w:t>Less: Performance fee costs (page 5)</w:t>
            </w:r>
          </w:p>
        </w:tc>
        <w:tc>
          <w:tcPr>
            <w:tcW w:w="410" w:type="dxa"/>
            <w:vAlign w:val="center"/>
          </w:tcPr>
          <w:p w14:paraId="59E47345"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2C26FEBA" w14:textId="798E9D5B" w:rsidR="00376214" w:rsidRPr="00577845" w:rsidRDefault="00CF67C6" w:rsidP="00376214">
            <w:pPr>
              <w:tabs>
                <w:tab w:val="decimal" w:pos="1140"/>
              </w:tabs>
              <w:rPr>
                <w:szCs w:val="18"/>
              </w:rPr>
            </w:pPr>
            <w:r w:rsidRPr="00577845">
              <w:rPr>
                <w:szCs w:val="18"/>
              </w:rPr>
              <w:t>(2.6)</w:t>
            </w:r>
          </w:p>
        </w:tc>
        <w:tc>
          <w:tcPr>
            <w:tcW w:w="1569" w:type="dxa"/>
            <w:vAlign w:val="center"/>
          </w:tcPr>
          <w:p w14:paraId="6F06E52F" w14:textId="118BC64F"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r w:rsidRPr="00577845">
              <w:rPr>
                <w:szCs w:val="18"/>
              </w:rPr>
              <w:t>(3.5)</w:t>
            </w:r>
          </w:p>
        </w:tc>
        <w:tc>
          <w:tcPr>
            <w:tcW w:w="1584" w:type="dxa"/>
          </w:tcPr>
          <w:p w14:paraId="76931E14" w14:textId="475BB27B" w:rsidR="00376214" w:rsidRPr="00577845" w:rsidRDefault="00376214" w:rsidP="00376214">
            <w:pPr>
              <w:tabs>
                <w:tab w:val="decimal" w:pos="1170"/>
              </w:tabs>
              <w:rPr>
                <w:szCs w:val="18"/>
              </w:rPr>
            </w:pPr>
            <w:r w:rsidRPr="00577845">
              <w:rPr>
                <w:szCs w:val="18"/>
              </w:rPr>
              <w:t>(6.4)</w:t>
            </w:r>
          </w:p>
        </w:tc>
      </w:tr>
      <w:tr w:rsidR="00376214" w14:paraId="13205CE4" w14:textId="77777777" w:rsidTr="00577845">
        <w:trPr>
          <w:gridAfter w:val="1"/>
          <w:wAfter w:w="95" w:type="dxa"/>
        </w:trPr>
        <w:tc>
          <w:tcPr>
            <w:tcW w:w="4993" w:type="dxa"/>
            <w:vAlign w:val="center"/>
          </w:tcPr>
          <w:p w14:paraId="660F99C1" w14:textId="537F9C03" w:rsidR="00376214" w:rsidRPr="00577845" w:rsidRDefault="00376214" w:rsidP="00376214">
            <w:pPr>
              <w:rPr>
                <w:rFonts w:ascii="Source Sans Pro Semibold" w:eastAsiaTheme="minorHAnsi" w:hAnsi="Source Sans Pro Semibold"/>
                <w:color w:val="3E5772"/>
                <w:szCs w:val="18"/>
                <w:lang w:val="en-GB" w:eastAsia="en-US"/>
              </w:rPr>
            </w:pPr>
            <w:r w:rsidRPr="00577845">
              <w:rPr>
                <w:szCs w:val="18"/>
              </w:rPr>
              <w:t xml:space="preserve">Less: Exceptional items included in administrative expenses (page </w:t>
            </w:r>
            <w:r w:rsidR="00E97477">
              <w:rPr>
                <w:szCs w:val="18"/>
              </w:rPr>
              <w:t>5</w:t>
            </w:r>
            <w:r w:rsidRPr="00577845">
              <w:rPr>
                <w:szCs w:val="18"/>
              </w:rPr>
              <w:t xml:space="preserve">) </w:t>
            </w:r>
          </w:p>
        </w:tc>
        <w:tc>
          <w:tcPr>
            <w:tcW w:w="410" w:type="dxa"/>
            <w:vAlign w:val="center"/>
          </w:tcPr>
          <w:p w14:paraId="7F8A7F24"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7F3C75D8" w14:textId="18287906" w:rsidR="00376214" w:rsidRPr="00577845" w:rsidRDefault="00CF67C6" w:rsidP="00376214">
            <w:pPr>
              <w:tabs>
                <w:tab w:val="decimal" w:pos="1140"/>
              </w:tabs>
              <w:rPr>
                <w:szCs w:val="18"/>
              </w:rPr>
            </w:pPr>
            <w:r w:rsidRPr="00577845">
              <w:rPr>
                <w:szCs w:val="18"/>
              </w:rPr>
              <w:t>-</w:t>
            </w:r>
          </w:p>
        </w:tc>
        <w:tc>
          <w:tcPr>
            <w:tcW w:w="1569" w:type="dxa"/>
            <w:vAlign w:val="center"/>
          </w:tcPr>
          <w:p w14:paraId="4D81E3B7" w14:textId="49188B83"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r w:rsidRPr="00577845">
              <w:rPr>
                <w:szCs w:val="18"/>
              </w:rPr>
              <w:t>(2.2)</w:t>
            </w:r>
          </w:p>
        </w:tc>
        <w:tc>
          <w:tcPr>
            <w:tcW w:w="1584" w:type="dxa"/>
            <w:vAlign w:val="center"/>
          </w:tcPr>
          <w:p w14:paraId="0B09D440" w14:textId="21D04DC4" w:rsidR="00376214" w:rsidRPr="00577845" w:rsidRDefault="00376214" w:rsidP="007F3F8B">
            <w:pPr>
              <w:tabs>
                <w:tab w:val="decimal" w:pos="1170"/>
              </w:tabs>
              <w:rPr>
                <w:szCs w:val="18"/>
              </w:rPr>
            </w:pPr>
            <w:r w:rsidRPr="00577845">
              <w:rPr>
                <w:szCs w:val="18"/>
              </w:rPr>
              <w:t>(0.8)</w:t>
            </w:r>
          </w:p>
        </w:tc>
      </w:tr>
      <w:tr w:rsidR="00376214" w14:paraId="352EFF5D" w14:textId="77777777" w:rsidTr="005F0CDE">
        <w:trPr>
          <w:gridAfter w:val="1"/>
          <w:wAfter w:w="95" w:type="dxa"/>
        </w:trPr>
        <w:tc>
          <w:tcPr>
            <w:tcW w:w="4993" w:type="dxa"/>
            <w:vAlign w:val="center"/>
          </w:tcPr>
          <w:p w14:paraId="5B984ECC" w14:textId="11F31002" w:rsidR="00376214" w:rsidRPr="00577845" w:rsidRDefault="00376214" w:rsidP="00376214">
            <w:pPr>
              <w:rPr>
                <w:rFonts w:ascii="Source Sans Pro Semibold" w:eastAsiaTheme="minorHAnsi" w:hAnsi="Source Sans Pro Semibold"/>
                <w:color w:val="3E5772"/>
                <w:szCs w:val="18"/>
                <w:lang w:val="en-GB" w:eastAsia="en-US"/>
              </w:rPr>
            </w:pPr>
            <w:r w:rsidRPr="00577845">
              <w:rPr>
                <w:b/>
                <w:bCs/>
                <w:szCs w:val="18"/>
              </w:rPr>
              <w:t>Administrative</w:t>
            </w:r>
            <w:r w:rsidRPr="00577845">
              <w:rPr>
                <w:b/>
                <w:szCs w:val="18"/>
              </w:rPr>
              <w:t xml:space="preserve"> expenses before exceptional items and performance fee </w:t>
            </w:r>
            <w:r w:rsidRPr="00577845">
              <w:rPr>
                <w:b/>
                <w:bCs/>
                <w:szCs w:val="18"/>
              </w:rPr>
              <w:t>costs</w:t>
            </w:r>
          </w:p>
        </w:tc>
        <w:tc>
          <w:tcPr>
            <w:tcW w:w="410" w:type="dxa"/>
            <w:vAlign w:val="center"/>
          </w:tcPr>
          <w:p w14:paraId="7D13DC3F"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7DF54B8D" w14:textId="72EB98A9" w:rsidR="00376214" w:rsidRPr="00577845" w:rsidRDefault="00CF67C6" w:rsidP="00376214">
            <w:pPr>
              <w:tabs>
                <w:tab w:val="decimal" w:pos="1140"/>
              </w:tabs>
              <w:rPr>
                <w:b/>
                <w:bCs/>
                <w:szCs w:val="18"/>
              </w:rPr>
            </w:pPr>
            <w:r w:rsidRPr="00577845">
              <w:rPr>
                <w:b/>
                <w:bCs/>
                <w:szCs w:val="18"/>
              </w:rPr>
              <w:t>126.5</w:t>
            </w:r>
          </w:p>
        </w:tc>
        <w:tc>
          <w:tcPr>
            <w:tcW w:w="1569" w:type="dxa"/>
            <w:vAlign w:val="center"/>
          </w:tcPr>
          <w:p w14:paraId="46606B5D" w14:textId="7F6C4700"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r w:rsidRPr="00577845">
              <w:rPr>
                <w:b/>
                <w:szCs w:val="18"/>
              </w:rPr>
              <w:t>128.7</w:t>
            </w:r>
          </w:p>
        </w:tc>
        <w:tc>
          <w:tcPr>
            <w:tcW w:w="1584" w:type="dxa"/>
            <w:vAlign w:val="center"/>
          </w:tcPr>
          <w:p w14:paraId="7C03B476" w14:textId="0554EC47" w:rsidR="00376214" w:rsidRPr="00577845" w:rsidRDefault="00376214" w:rsidP="00376214">
            <w:pPr>
              <w:tabs>
                <w:tab w:val="decimal" w:pos="1170"/>
              </w:tabs>
              <w:rPr>
                <w:b/>
                <w:bCs/>
                <w:szCs w:val="18"/>
              </w:rPr>
            </w:pPr>
            <w:r w:rsidRPr="00577845">
              <w:rPr>
                <w:b/>
                <w:bCs/>
                <w:szCs w:val="18"/>
              </w:rPr>
              <w:t>258.2</w:t>
            </w:r>
          </w:p>
        </w:tc>
      </w:tr>
      <w:tr w:rsidR="00376214" w14:paraId="6AF31C61" w14:textId="77777777" w:rsidTr="005F0CDE">
        <w:trPr>
          <w:gridAfter w:val="1"/>
          <w:wAfter w:w="95" w:type="dxa"/>
        </w:trPr>
        <w:tc>
          <w:tcPr>
            <w:tcW w:w="4993" w:type="dxa"/>
            <w:vAlign w:val="center"/>
          </w:tcPr>
          <w:p w14:paraId="67076D39" w14:textId="77777777" w:rsidR="00376214" w:rsidRPr="00577845" w:rsidRDefault="00376214" w:rsidP="00376214">
            <w:pPr>
              <w:rPr>
                <w:rFonts w:ascii="Source Sans Pro Semibold" w:eastAsiaTheme="minorHAnsi" w:hAnsi="Source Sans Pro Semibold"/>
                <w:color w:val="3E5772"/>
                <w:szCs w:val="18"/>
                <w:lang w:val="en-GB" w:eastAsia="en-US"/>
              </w:rPr>
            </w:pPr>
          </w:p>
        </w:tc>
        <w:tc>
          <w:tcPr>
            <w:tcW w:w="410" w:type="dxa"/>
            <w:vAlign w:val="center"/>
          </w:tcPr>
          <w:p w14:paraId="22F606C4"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536E45A0" w14:textId="77777777" w:rsidR="00376214" w:rsidRPr="00577845" w:rsidRDefault="00376214" w:rsidP="00376214">
            <w:pPr>
              <w:tabs>
                <w:tab w:val="decimal" w:pos="1140"/>
              </w:tabs>
              <w:rPr>
                <w:szCs w:val="18"/>
              </w:rPr>
            </w:pPr>
          </w:p>
        </w:tc>
        <w:tc>
          <w:tcPr>
            <w:tcW w:w="1569" w:type="dxa"/>
            <w:vAlign w:val="center"/>
          </w:tcPr>
          <w:p w14:paraId="4871DC59" w14:textId="77777777"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p>
        </w:tc>
        <w:tc>
          <w:tcPr>
            <w:tcW w:w="1584" w:type="dxa"/>
            <w:vAlign w:val="center"/>
          </w:tcPr>
          <w:p w14:paraId="531F1846" w14:textId="77777777" w:rsidR="00376214" w:rsidRPr="00577845" w:rsidRDefault="00376214" w:rsidP="00376214">
            <w:pPr>
              <w:tabs>
                <w:tab w:val="decimal" w:pos="1170"/>
              </w:tabs>
              <w:rPr>
                <w:szCs w:val="18"/>
              </w:rPr>
            </w:pPr>
          </w:p>
        </w:tc>
      </w:tr>
      <w:tr w:rsidR="00376214" w14:paraId="2EA0C862" w14:textId="77777777" w:rsidTr="005F0E7F">
        <w:trPr>
          <w:gridAfter w:val="1"/>
          <w:wAfter w:w="95" w:type="dxa"/>
        </w:trPr>
        <w:tc>
          <w:tcPr>
            <w:tcW w:w="4993" w:type="dxa"/>
            <w:vAlign w:val="center"/>
          </w:tcPr>
          <w:p w14:paraId="0B94A51C" w14:textId="58CAD2FD" w:rsidR="00376214" w:rsidRPr="00577845" w:rsidRDefault="00376214" w:rsidP="00376214">
            <w:pPr>
              <w:rPr>
                <w:rFonts w:ascii="Source Sans Pro Semibold" w:eastAsiaTheme="minorHAnsi" w:hAnsi="Source Sans Pro Semibold"/>
                <w:color w:val="3E5772"/>
                <w:szCs w:val="18"/>
                <w:lang w:val="en-GB" w:eastAsia="en-US"/>
              </w:rPr>
            </w:pPr>
            <w:r w:rsidRPr="00577845">
              <w:rPr>
                <w:szCs w:val="18"/>
              </w:rPr>
              <w:t>Net revenue (page 7)</w:t>
            </w:r>
          </w:p>
        </w:tc>
        <w:tc>
          <w:tcPr>
            <w:tcW w:w="410" w:type="dxa"/>
            <w:vAlign w:val="center"/>
          </w:tcPr>
          <w:p w14:paraId="608EDDFD"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63E7234D" w14:textId="05FE60AB" w:rsidR="00376214" w:rsidRPr="00577845" w:rsidRDefault="00381E1A" w:rsidP="00376214">
            <w:pPr>
              <w:tabs>
                <w:tab w:val="decimal" w:pos="1140"/>
              </w:tabs>
              <w:rPr>
                <w:szCs w:val="18"/>
              </w:rPr>
            </w:pPr>
            <w:r w:rsidRPr="00577845">
              <w:rPr>
                <w:szCs w:val="18"/>
              </w:rPr>
              <w:t>173.7</w:t>
            </w:r>
          </w:p>
        </w:tc>
        <w:tc>
          <w:tcPr>
            <w:tcW w:w="1569" w:type="dxa"/>
            <w:vAlign w:val="center"/>
          </w:tcPr>
          <w:p w14:paraId="35422C7F" w14:textId="52E03431" w:rsidR="00376214" w:rsidRPr="00577845" w:rsidRDefault="00376214" w:rsidP="00376214">
            <w:pPr>
              <w:tabs>
                <w:tab w:val="decimal" w:pos="1155"/>
              </w:tabs>
              <w:rPr>
                <w:rFonts w:ascii="Source Sans Pro Semibold" w:eastAsiaTheme="minorHAnsi" w:hAnsi="Source Sans Pro Semibold"/>
                <w:color w:val="3E5772"/>
                <w:szCs w:val="18"/>
                <w:lang w:val="en-GB" w:eastAsia="en-US"/>
              </w:rPr>
            </w:pPr>
            <w:r w:rsidRPr="00577845">
              <w:rPr>
                <w:szCs w:val="18"/>
              </w:rPr>
              <w:t>181.0</w:t>
            </w:r>
          </w:p>
        </w:tc>
        <w:tc>
          <w:tcPr>
            <w:tcW w:w="1584" w:type="dxa"/>
            <w:vAlign w:val="center"/>
          </w:tcPr>
          <w:p w14:paraId="46B1D0B7" w14:textId="5E3A1D30" w:rsidR="00376214" w:rsidRPr="00577845" w:rsidRDefault="00376214" w:rsidP="005F0E7F">
            <w:pPr>
              <w:tabs>
                <w:tab w:val="decimal" w:pos="1170"/>
              </w:tabs>
              <w:jc w:val="center"/>
              <w:rPr>
                <w:szCs w:val="18"/>
              </w:rPr>
            </w:pPr>
            <w:r w:rsidRPr="00577845">
              <w:rPr>
                <w:szCs w:val="18"/>
              </w:rPr>
              <w:t>368.8</w:t>
            </w:r>
          </w:p>
        </w:tc>
      </w:tr>
      <w:tr w:rsidR="00376214" w14:paraId="276D7B17" w14:textId="77777777" w:rsidTr="005F0E7F">
        <w:trPr>
          <w:gridAfter w:val="1"/>
          <w:wAfter w:w="95" w:type="dxa"/>
        </w:trPr>
        <w:tc>
          <w:tcPr>
            <w:tcW w:w="4993" w:type="dxa"/>
            <w:vAlign w:val="center"/>
          </w:tcPr>
          <w:p w14:paraId="3899D1DB" w14:textId="2E17E3F8" w:rsidR="00376214" w:rsidRPr="00577845" w:rsidRDefault="00376214" w:rsidP="00376214">
            <w:pPr>
              <w:rPr>
                <w:szCs w:val="18"/>
              </w:rPr>
            </w:pPr>
            <w:r w:rsidRPr="00577845">
              <w:rPr>
                <w:szCs w:val="18"/>
              </w:rPr>
              <w:t>Less: Performance fees (page 12)</w:t>
            </w:r>
          </w:p>
        </w:tc>
        <w:tc>
          <w:tcPr>
            <w:tcW w:w="410" w:type="dxa"/>
            <w:vAlign w:val="center"/>
          </w:tcPr>
          <w:p w14:paraId="00149F38"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322CE6F6" w14:textId="5D51F28C" w:rsidR="00376214" w:rsidRPr="00577845" w:rsidRDefault="00381E1A" w:rsidP="00376214">
            <w:pPr>
              <w:tabs>
                <w:tab w:val="decimal" w:pos="1140"/>
              </w:tabs>
              <w:rPr>
                <w:szCs w:val="18"/>
              </w:rPr>
            </w:pPr>
            <w:r w:rsidRPr="00577845">
              <w:rPr>
                <w:szCs w:val="18"/>
              </w:rPr>
              <w:t>(3.9)</w:t>
            </w:r>
          </w:p>
        </w:tc>
        <w:tc>
          <w:tcPr>
            <w:tcW w:w="1569" w:type="dxa"/>
            <w:vAlign w:val="center"/>
          </w:tcPr>
          <w:p w14:paraId="7FA52702" w14:textId="546A8F0B" w:rsidR="00376214" w:rsidRPr="00577845" w:rsidRDefault="00376214" w:rsidP="00376214">
            <w:pPr>
              <w:tabs>
                <w:tab w:val="decimal" w:pos="1155"/>
              </w:tabs>
              <w:rPr>
                <w:szCs w:val="18"/>
              </w:rPr>
            </w:pPr>
            <w:r w:rsidRPr="00577845">
              <w:rPr>
                <w:szCs w:val="18"/>
              </w:rPr>
              <w:t>(0.4)</w:t>
            </w:r>
          </w:p>
        </w:tc>
        <w:tc>
          <w:tcPr>
            <w:tcW w:w="1584" w:type="dxa"/>
            <w:vAlign w:val="center"/>
          </w:tcPr>
          <w:p w14:paraId="7DD675AD" w14:textId="71F6EEDB" w:rsidR="00376214" w:rsidRPr="00577845" w:rsidRDefault="00376214" w:rsidP="005F0E7F">
            <w:pPr>
              <w:tabs>
                <w:tab w:val="decimal" w:pos="1170"/>
              </w:tabs>
              <w:jc w:val="center"/>
              <w:rPr>
                <w:szCs w:val="18"/>
              </w:rPr>
            </w:pPr>
            <w:r w:rsidRPr="00577845">
              <w:rPr>
                <w:szCs w:val="18"/>
              </w:rPr>
              <w:t>(13.2)</w:t>
            </w:r>
          </w:p>
        </w:tc>
      </w:tr>
      <w:tr w:rsidR="00376214" w14:paraId="62815E34" w14:textId="77777777" w:rsidTr="005F0E7F">
        <w:trPr>
          <w:gridAfter w:val="1"/>
          <w:wAfter w:w="95" w:type="dxa"/>
        </w:trPr>
        <w:tc>
          <w:tcPr>
            <w:tcW w:w="4993" w:type="dxa"/>
            <w:vAlign w:val="center"/>
          </w:tcPr>
          <w:p w14:paraId="537BD074" w14:textId="1807E016" w:rsidR="00376214" w:rsidRPr="00577845" w:rsidRDefault="00376214" w:rsidP="00376214">
            <w:pPr>
              <w:rPr>
                <w:szCs w:val="18"/>
              </w:rPr>
            </w:pPr>
            <w:r w:rsidRPr="00577845">
              <w:rPr>
                <w:b/>
                <w:szCs w:val="18"/>
              </w:rPr>
              <w:t>Net revenue before performance fees</w:t>
            </w:r>
          </w:p>
        </w:tc>
        <w:tc>
          <w:tcPr>
            <w:tcW w:w="410" w:type="dxa"/>
            <w:vAlign w:val="center"/>
          </w:tcPr>
          <w:p w14:paraId="4FF8D439" w14:textId="77777777" w:rsidR="00376214" w:rsidRPr="00577845" w:rsidRDefault="00376214" w:rsidP="00376214">
            <w:pPr>
              <w:jc w:val="center"/>
              <w:rPr>
                <w:rFonts w:ascii="Source Sans Pro Semibold" w:eastAsiaTheme="minorHAnsi" w:hAnsi="Source Sans Pro Semibold"/>
                <w:color w:val="3E5772"/>
                <w:szCs w:val="18"/>
                <w:lang w:val="en-GB" w:eastAsia="en-US"/>
              </w:rPr>
            </w:pPr>
          </w:p>
        </w:tc>
        <w:tc>
          <w:tcPr>
            <w:tcW w:w="1554" w:type="dxa"/>
            <w:vAlign w:val="center"/>
          </w:tcPr>
          <w:p w14:paraId="17F25FA2" w14:textId="03EB0344" w:rsidR="00376214" w:rsidRPr="00577845" w:rsidRDefault="00381E1A" w:rsidP="00376214">
            <w:pPr>
              <w:tabs>
                <w:tab w:val="decimal" w:pos="1140"/>
              </w:tabs>
              <w:rPr>
                <w:b/>
                <w:bCs/>
                <w:szCs w:val="18"/>
              </w:rPr>
            </w:pPr>
            <w:r w:rsidRPr="00577845">
              <w:rPr>
                <w:b/>
                <w:bCs/>
                <w:szCs w:val="18"/>
              </w:rPr>
              <w:t>169.8</w:t>
            </w:r>
          </w:p>
        </w:tc>
        <w:tc>
          <w:tcPr>
            <w:tcW w:w="1569" w:type="dxa"/>
            <w:vAlign w:val="center"/>
          </w:tcPr>
          <w:p w14:paraId="484B83EC" w14:textId="3C3D39C2" w:rsidR="00376214" w:rsidRPr="00577845" w:rsidRDefault="00376214" w:rsidP="00376214">
            <w:pPr>
              <w:tabs>
                <w:tab w:val="decimal" w:pos="1155"/>
              </w:tabs>
              <w:rPr>
                <w:szCs w:val="18"/>
              </w:rPr>
            </w:pPr>
            <w:r w:rsidRPr="00577845">
              <w:rPr>
                <w:b/>
                <w:szCs w:val="18"/>
              </w:rPr>
              <w:t>180.6</w:t>
            </w:r>
          </w:p>
        </w:tc>
        <w:tc>
          <w:tcPr>
            <w:tcW w:w="1584" w:type="dxa"/>
            <w:vAlign w:val="center"/>
          </w:tcPr>
          <w:p w14:paraId="1410C5CF" w14:textId="237449B1" w:rsidR="00376214" w:rsidRPr="00577845" w:rsidRDefault="00376214" w:rsidP="005F0E7F">
            <w:pPr>
              <w:tabs>
                <w:tab w:val="decimal" w:pos="1170"/>
              </w:tabs>
              <w:jc w:val="center"/>
              <w:rPr>
                <w:b/>
                <w:bCs/>
                <w:szCs w:val="18"/>
              </w:rPr>
            </w:pPr>
            <w:r w:rsidRPr="00577845">
              <w:rPr>
                <w:b/>
                <w:bCs/>
                <w:szCs w:val="18"/>
              </w:rPr>
              <w:t>355.6</w:t>
            </w:r>
          </w:p>
        </w:tc>
      </w:tr>
      <w:tr w:rsidR="001F4923" w14:paraId="5B818C6C" w14:textId="77777777" w:rsidTr="005F0E7F">
        <w:trPr>
          <w:gridAfter w:val="1"/>
          <w:wAfter w:w="95" w:type="dxa"/>
        </w:trPr>
        <w:tc>
          <w:tcPr>
            <w:tcW w:w="4993" w:type="dxa"/>
            <w:shd w:val="clear" w:color="auto" w:fill="E4E8ED" w:themeFill="accent4" w:themeFillTint="33"/>
            <w:vAlign w:val="center"/>
          </w:tcPr>
          <w:p w14:paraId="4B34D780" w14:textId="1543F67B" w:rsidR="001F4923" w:rsidRPr="00577845" w:rsidRDefault="001F4923" w:rsidP="001F4923">
            <w:pPr>
              <w:rPr>
                <w:b/>
                <w:szCs w:val="18"/>
              </w:rPr>
            </w:pPr>
            <w:r w:rsidRPr="00577845">
              <w:rPr>
                <w:b/>
                <w:bCs/>
                <w:i/>
                <w:iCs/>
                <w:szCs w:val="18"/>
              </w:rPr>
              <w:t>Cost: income ratio</w:t>
            </w:r>
          </w:p>
        </w:tc>
        <w:tc>
          <w:tcPr>
            <w:tcW w:w="410" w:type="dxa"/>
            <w:shd w:val="clear" w:color="auto" w:fill="E4E8ED" w:themeFill="accent4" w:themeFillTint="33"/>
            <w:vAlign w:val="center"/>
          </w:tcPr>
          <w:p w14:paraId="453C39D1" w14:textId="37ED5A14" w:rsidR="001F4923" w:rsidRPr="00577845" w:rsidRDefault="001F4923" w:rsidP="001F4923">
            <w:pPr>
              <w:jc w:val="center"/>
              <w:rPr>
                <w:rFonts w:ascii="Source Sans Pro Semibold" w:eastAsiaTheme="minorHAnsi" w:hAnsi="Source Sans Pro Semibold"/>
                <w:color w:val="3E5772"/>
                <w:szCs w:val="18"/>
                <w:lang w:val="en-GB" w:eastAsia="en-US"/>
              </w:rPr>
            </w:pPr>
            <w:r w:rsidRPr="00577845">
              <w:rPr>
                <w:b/>
                <w:i/>
                <w:szCs w:val="18"/>
              </w:rPr>
              <w:t>1</w:t>
            </w:r>
          </w:p>
        </w:tc>
        <w:tc>
          <w:tcPr>
            <w:tcW w:w="1554" w:type="dxa"/>
            <w:shd w:val="clear" w:color="auto" w:fill="E4E8ED" w:themeFill="accent4" w:themeFillTint="33"/>
            <w:vAlign w:val="center"/>
          </w:tcPr>
          <w:p w14:paraId="3282EB7B" w14:textId="5810C45E" w:rsidR="001F4923" w:rsidRPr="00577845" w:rsidRDefault="00D37D36" w:rsidP="001F4923">
            <w:pPr>
              <w:tabs>
                <w:tab w:val="decimal" w:pos="1140"/>
              </w:tabs>
              <w:rPr>
                <w:b/>
                <w:bCs/>
                <w:i/>
                <w:iCs/>
                <w:szCs w:val="18"/>
              </w:rPr>
            </w:pPr>
            <w:r w:rsidRPr="00577845">
              <w:rPr>
                <w:b/>
                <w:bCs/>
                <w:i/>
                <w:iCs/>
                <w:szCs w:val="18"/>
              </w:rPr>
              <w:t>74%</w:t>
            </w:r>
          </w:p>
        </w:tc>
        <w:tc>
          <w:tcPr>
            <w:tcW w:w="1569" w:type="dxa"/>
            <w:shd w:val="clear" w:color="auto" w:fill="E4E8ED" w:themeFill="accent4" w:themeFillTint="33"/>
            <w:vAlign w:val="center"/>
          </w:tcPr>
          <w:p w14:paraId="63909E61" w14:textId="368E489A" w:rsidR="001F4923" w:rsidRPr="00577845" w:rsidRDefault="001F4923" w:rsidP="001F4923">
            <w:pPr>
              <w:tabs>
                <w:tab w:val="decimal" w:pos="1155"/>
              </w:tabs>
              <w:rPr>
                <w:b/>
                <w:bCs/>
                <w:i/>
                <w:iCs/>
                <w:szCs w:val="18"/>
              </w:rPr>
            </w:pPr>
            <w:r w:rsidRPr="00577845">
              <w:rPr>
                <w:b/>
                <w:i/>
                <w:iCs/>
                <w:szCs w:val="18"/>
              </w:rPr>
              <w:t>71</w:t>
            </w:r>
            <w:r w:rsidRPr="00577845">
              <w:rPr>
                <w:b/>
                <w:bCs/>
                <w:i/>
                <w:iCs/>
                <w:szCs w:val="18"/>
              </w:rPr>
              <w:t>%</w:t>
            </w:r>
          </w:p>
        </w:tc>
        <w:tc>
          <w:tcPr>
            <w:tcW w:w="1584" w:type="dxa"/>
            <w:shd w:val="clear" w:color="auto" w:fill="E4E8ED" w:themeFill="accent4" w:themeFillTint="33"/>
            <w:vAlign w:val="center"/>
          </w:tcPr>
          <w:p w14:paraId="3E18E121" w14:textId="237E100D" w:rsidR="001F4923" w:rsidRPr="00577845" w:rsidRDefault="00376214" w:rsidP="005F0E7F">
            <w:pPr>
              <w:tabs>
                <w:tab w:val="decimal" w:pos="1170"/>
              </w:tabs>
              <w:jc w:val="center"/>
              <w:rPr>
                <w:b/>
                <w:bCs/>
                <w:i/>
                <w:iCs/>
                <w:szCs w:val="18"/>
              </w:rPr>
            </w:pPr>
            <w:r w:rsidRPr="00577845">
              <w:rPr>
                <w:b/>
                <w:bCs/>
                <w:i/>
                <w:iCs/>
                <w:szCs w:val="18"/>
              </w:rPr>
              <w:t>73</w:t>
            </w:r>
            <w:r w:rsidR="001F4923" w:rsidRPr="00577845">
              <w:rPr>
                <w:b/>
                <w:bCs/>
                <w:i/>
                <w:iCs/>
                <w:szCs w:val="18"/>
              </w:rPr>
              <w:t>%</w:t>
            </w:r>
          </w:p>
        </w:tc>
      </w:tr>
      <w:tr w:rsidR="001F4923" w14:paraId="4118BEDF" w14:textId="77777777" w:rsidTr="005F0E7F">
        <w:trPr>
          <w:gridAfter w:val="1"/>
          <w:wAfter w:w="95" w:type="dxa"/>
        </w:trPr>
        <w:tc>
          <w:tcPr>
            <w:tcW w:w="4993" w:type="dxa"/>
            <w:vAlign w:val="center"/>
          </w:tcPr>
          <w:p w14:paraId="3D565D4E" w14:textId="77777777" w:rsidR="001F4923" w:rsidRPr="00577845" w:rsidRDefault="001F4923" w:rsidP="001F4923">
            <w:pPr>
              <w:rPr>
                <w:b/>
                <w:bCs/>
                <w:i/>
                <w:iCs/>
                <w:szCs w:val="18"/>
              </w:rPr>
            </w:pPr>
          </w:p>
        </w:tc>
        <w:tc>
          <w:tcPr>
            <w:tcW w:w="410" w:type="dxa"/>
            <w:vAlign w:val="center"/>
          </w:tcPr>
          <w:p w14:paraId="35464DC8" w14:textId="77777777" w:rsidR="001F4923" w:rsidRPr="00577845" w:rsidRDefault="001F4923" w:rsidP="001F4923">
            <w:pPr>
              <w:jc w:val="center"/>
              <w:rPr>
                <w:b/>
                <w:i/>
                <w:szCs w:val="18"/>
              </w:rPr>
            </w:pPr>
          </w:p>
        </w:tc>
        <w:tc>
          <w:tcPr>
            <w:tcW w:w="1554" w:type="dxa"/>
            <w:vAlign w:val="center"/>
          </w:tcPr>
          <w:p w14:paraId="6522C054" w14:textId="77777777" w:rsidR="001F4923" w:rsidRPr="00577845" w:rsidRDefault="001F4923" w:rsidP="001F4923">
            <w:pPr>
              <w:tabs>
                <w:tab w:val="decimal" w:pos="1140"/>
              </w:tabs>
              <w:rPr>
                <w:szCs w:val="18"/>
              </w:rPr>
            </w:pPr>
          </w:p>
        </w:tc>
        <w:tc>
          <w:tcPr>
            <w:tcW w:w="1569" w:type="dxa"/>
            <w:vAlign w:val="center"/>
          </w:tcPr>
          <w:p w14:paraId="01394C15" w14:textId="77777777" w:rsidR="001F4923" w:rsidRPr="00577845" w:rsidRDefault="001F4923" w:rsidP="001F4923">
            <w:pPr>
              <w:tabs>
                <w:tab w:val="decimal" w:pos="1155"/>
              </w:tabs>
              <w:rPr>
                <w:b/>
                <w:bCs/>
                <w:i/>
                <w:iCs/>
                <w:szCs w:val="18"/>
              </w:rPr>
            </w:pPr>
          </w:p>
        </w:tc>
        <w:tc>
          <w:tcPr>
            <w:tcW w:w="1584" w:type="dxa"/>
            <w:vAlign w:val="center"/>
          </w:tcPr>
          <w:p w14:paraId="0E2874E2" w14:textId="77777777" w:rsidR="001F4923" w:rsidRPr="00577845" w:rsidRDefault="001F4923" w:rsidP="005F0E7F">
            <w:pPr>
              <w:tabs>
                <w:tab w:val="decimal" w:pos="1170"/>
              </w:tabs>
              <w:jc w:val="center"/>
              <w:rPr>
                <w:szCs w:val="18"/>
              </w:rPr>
            </w:pPr>
          </w:p>
        </w:tc>
      </w:tr>
      <w:tr w:rsidR="00376214" w14:paraId="52FD3332" w14:textId="77777777" w:rsidTr="005F0E7F">
        <w:trPr>
          <w:gridAfter w:val="1"/>
          <w:wAfter w:w="95" w:type="dxa"/>
        </w:trPr>
        <w:tc>
          <w:tcPr>
            <w:tcW w:w="4993" w:type="dxa"/>
            <w:vAlign w:val="center"/>
          </w:tcPr>
          <w:p w14:paraId="6D5F3BE6" w14:textId="75B161C6" w:rsidR="00376214" w:rsidRPr="00577845" w:rsidRDefault="00376214" w:rsidP="00376214">
            <w:pPr>
              <w:rPr>
                <w:b/>
                <w:bCs/>
                <w:i/>
                <w:iCs/>
                <w:szCs w:val="18"/>
              </w:rPr>
            </w:pPr>
            <w:r w:rsidRPr="00577845">
              <w:rPr>
                <w:szCs w:val="18"/>
              </w:rPr>
              <w:t>Management fees (page 12)</w:t>
            </w:r>
          </w:p>
        </w:tc>
        <w:tc>
          <w:tcPr>
            <w:tcW w:w="410" w:type="dxa"/>
            <w:vAlign w:val="center"/>
          </w:tcPr>
          <w:p w14:paraId="7989E8A1" w14:textId="77777777" w:rsidR="00376214" w:rsidRPr="00577845" w:rsidRDefault="00376214" w:rsidP="00376214">
            <w:pPr>
              <w:jc w:val="center"/>
              <w:rPr>
                <w:b/>
                <w:i/>
                <w:szCs w:val="18"/>
              </w:rPr>
            </w:pPr>
          </w:p>
        </w:tc>
        <w:tc>
          <w:tcPr>
            <w:tcW w:w="1554" w:type="dxa"/>
            <w:vAlign w:val="center"/>
          </w:tcPr>
          <w:p w14:paraId="3AAE4EEA" w14:textId="2093801C" w:rsidR="00376214" w:rsidRPr="00577845" w:rsidRDefault="0056451F" w:rsidP="00376214">
            <w:pPr>
              <w:tabs>
                <w:tab w:val="decimal" w:pos="1140"/>
              </w:tabs>
              <w:rPr>
                <w:szCs w:val="18"/>
              </w:rPr>
            </w:pPr>
            <w:r w:rsidRPr="00577845">
              <w:rPr>
                <w:szCs w:val="18"/>
              </w:rPr>
              <w:t>187.5</w:t>
            </w:r>
          </w:p>
        </w:tc>
        <w:tc>
          <w:tcPr>
            <w:tcW w:w="1569" w:type="dxa"/>
            <w:vAlign w:val="center"/>
          </w:tcPr>
          <w:p w14:paraId="4C164C89" w14:textId="636D26E6" w:rsidR="00376214" w:rsidRPr="00577845" w:rsidRDefault="00376214" w:rsidP="00376214">
            <w:pPr>
              <w:tabs>
                <w:tab w:val="decimal" w:pos="1155"/>
              </w:tabs>
              <w:rPr>
                <w:b/>
                <w:bCs/>
                <w:i/>
                <w:iCs/>
                <w:szCs w:val="18"/>
              </w:rPr>
            </w:pPr>
            <w:r w:rsidRPr="00577845">
              <w:rPr>
                <w:szCs w:val="18"/>
              </w:rPr>
              <w:t>198.5</w:t>
            </w:r>
          </w:p>
        </w:tc>
        <w:tc>
          <w:tcPr>
            <w:tcW w:w="1584" w:type="dxa"/>
            <w:vAlign w:val="center"/>
          </w:tcPr>
          <w:p w14:paraId="0E830255" w14:textId="02EE4EE6" w:rsidR="00376214" w:rsidRPr="00577845" w:rsidRDefault="00376214" w:rsidP="005F0E7F">
            <w:pPr>
              <w:tabs>
                <w:tab w:val="decimal" w:pos="1170"/>
              </w:tabs>
              <w:jc w:val="center"/>
              <w:rPr>
                <w:szCs w:val="18"/>
              </w:rPr>
            </w:pPr>
            <w:r w:rsidRPr="00577845">
              <w:rPr>
                <w:szCs w:val="18"/>
              </w:rPr>
              <w:t>389.9</w:t>
            </w:r>
          </w:p>
        </w:tc>
      </w:tr>
      <w:tr w:rsidR="00376214" w14:paraId="39D08D3B" w14:textId="77777777" w:rsidTr="005F0E7F">
        <w:trPr>
          <w:gridAfter w:val="1"/>
          <w:wAfter w:w="95" w:type="dxa"/>
        </w:trPr>
        <w:tc>
          <w:tcPr>
            <w:tcW w:w="4993" w:type="dxa"/>
            <w:vAlign w:val="center"/>
          </w:tcPr>
          <w:p w14:paraId="56A1E778" w14:textId="3EA954ED" w:rsidR="00376214" w:rsidRPr="00577845" w:rsidRDefault="00376214" w:rsidP="00376214">
            <w:pPr>
              <w:rPr>
                <w:b/>
                <w:bCs/>
                <w:i/>
                <w:iCs/>
                <w:szCs w:val="18"/>
              </w:rPr>
            </w:pPr>
            <w:r w:rsidRPr="00577845">
              <w:rPr>
                <w:szCs w:val="18"/>
              </w:rPr>
              <w:t>Less: Fees and commissions relating to management fees (page 12)</w:t>
            </w:r>
          </w:p>
        </w:tc>
        <w:tc>
          <w:tcPr>
            <w:tcW w:w="410" w:type="dxa"/>
            <w:vAlign w:val="center"/>
          </w:tcPr>
          <w:p w14:paraId="1C39CC6C" w14:textId="77777777" w:rsidR="00376214" w:rsidRPr="00577845" w:rsidRDefault="00376214" w:rsidP="00376214">
            <w:pPr>
              <w:jc w:val="center"/>
              <w:rPr>
                <w:b/>
                <w:i/>
                <w:szCs w:val="18"/>
              </w:rPr>
            </w:pPr>
          </w:p>
        </w:tc>
        <w:tc>
          <w:tcPr>
            <w:tcW w:w="1554" w:type="dxa"/>
            <w:vAlign w:val="center"/>
          </w:tcPr>
          <w:p w14:paraId="70641F4D" w14:textId="7498954A" w:rsidR="00376214" w:rsidRPr="00577845" w:rsidRDefault="0056451F" w:rsidP="005F0E7F">
            <w:pPr>
              <w:tabs>
                <w:tab w:val="decimal" w:pos="1140"/>
              </w:tabs>
              <w:rPr>
                <w:szCs w:val="18"/>
              </w:rPr>
            </w:pPr>
            <w:r w:rsidRPr="00577845">
              <w:rPr>
                <w:szCs w:val="18"/>
              </w:rPr>
              <w:t>(18.5)</w:t>
            </w:r>
          </w:p>
        </w:tc>
        <w:tc>
          <w:tcPr>
            <w:tcW w:w="1569" w:type="dxa"/>
            <w:vAlign w:val="center"/>
          </w:tcPr>
          <w:p w14:paraId="4C11C588" w14:textId="048E4F47" w:rsidR="00376214" w:rsidRPr="00577845" w:rsidRDefault="00376214" w:rsidP="00376214">
            <w:pPr>
              <w:tabs>
                <w:tab w:val="decimal" w:pos="1155"/>
              </w:tabs>
              <w:rPr>
                <w:b/>
                <w:bCs/>
                <w:i/>
                <w:iCs/>
                <w:szCs w:val="18"/>
              </w:rPr>
            </w:pPr>
            <w:r w:rsidRPr="00577845">
              <w:rPr>
                <w:szCs w:val="18"/>
              </w:rPr>
              <w:t>(18.7)</w:t>
            </w:r>
          </w:p>
        </w:tc>
        <w:tc>
          <w:tcPr>
            <w:tcW w:w="1584" w:type="dxa"/>
            <w:vAlign w:val="center"/>
          </w:tcPr>
          <w:p w14:paraId="60D3D649" w14:textId="6755A355" w:rsidR="00376214" w:rsidRPr="00577845" w:rsidRDefault="00376214" w:rsidP="005F0E7F">
            <w:pPr>
              <w:tabs>
                <w:tab w:val="decimal" w:pos="1170"/>
              </w:tabs>
              <w:jc w:val="center"/>
              <w:rPr>
                <w:szCs w:val="18"/>
              </w:rPr>
            </w:pPr>
            <w:r w:rsidRPr="00577845">
              <w:rPr>
                <w:szCs w:val="18"/>
              </w:rPr>
              <w:t>(35.9)</w:t>
            </w:r>
          </w:p>
        </w:tc>
      </w:tr>
      <w:tr w:rsidR="00376214" w14:paraId="280BE345" w14:textId="77777777" w:rsidTr="005F0E7F">
        <w:trPr>
          <w:gridAfter w:val="1"/>
          <w:wAfter w:w="95" w:type="dxa"/>
        </w:trPr>
        <w:tc>
          <w:tcPr>
            <w:tcW w:w="4993" w:type="dxa"/>
            <w:vAlign w:val="center"/>
          </w:tcPr>
          <w:p w14:paraId="10C6DAB1" w14:textId="4B139462" w:rsidR="00376214" w:rsidRPr="00577845" w:rsidRDefault="00376214" w:rsidP="00376214">
            <w:pPr>
              <w:rPr>
                <w:b/>
                <w:bCs/>
                <w:i/>
                <w:iCs/>
                <w:szCs w:val="18"/>
              </w:rPr>
            </w:pPr>
            <w:r w:rsidRPr="00577845">
              <w:rPr>
                <w:b/>
                <w:bCs/>
                <w:szCs w:val="18"/>
              </w:rPr>
              <w:t>Net management fees</w:t>
            </w:r>
          </w:p>
        </w:tc>
        <w:tc>
          <w:tcPr>
            <w:tcW w:w="410" w:type="dxa"/>
            <w:vAlign w:val="center"/>
          </w:tcPr>
          <w:p w14:paraId="37C06C01" w14:textId="77777777" w:rsidR="00376214" w:rsidRPr="00577845" w:rsidRDefault="00376214" w:rsidP="00376214">
            <w:pPr>
              <w:jc w:val="center"/>
              <w:rPr>
                <w:b/>
                <w:i/>
                <w:szCs w:val="18"/>
              </w:rPr>
            </w:pPr>
          </w:p>
        </w:tc>
        <w:tc>
          <w:tcPr>
            <w:tcW w:w="1554" w:type="dxa"/>
            <w:vAlign w:val="center"/>
          </w:tcPr>
          <w:p w14:paraId="6BFC2293" w14:textId="0318ADE2" w:rsidR="00376214" w:rsidRPr="00577845" w:rsidRDefault="002D251C" w:rsidP="00376214">
            <w:pPr>
              <w:tabs>
                <w:tab w:val="decimal" w:pos="1140"/>
              </w:tabs>
              <w:rPr>
                <w:b/>
                <w:bCs/>
                <w:szCs w:val="18"/>
              </w:rPr>
            </w:pPr>
            <w:r w:rsidRPr="00577845">
              <w:rPr>
                <w:b/>
                <w:bCs/>
                <w:szCs w:val="18"/>
              </w:rPr>
              <w:t>169.0</w:t>
            </w:r>
          </w:p>
        </w:tc>
        <w:tc>
          <w:tcPr>
            <w:tcW w:w="1569" w:type="dxa"/>
            <w:vAlign w:val="center"/>
          </w:tcPr>
          <w:p w14:paraId="42C754CB" w14:textId="7CBEDF6D" w:rsidR="00376214" w:rsidRPr="00577845" w:rsidRDefault="00376214" w:rsidP="00376214">
            <w:pPr>
              <w:tabs>
                <w:tab w:val="decimal" w:pos="1155"/>
              </w:tabs>
              <w:rPr>
                <w:b/>
                <w:bCs/>
                <w:i/>
                <w:iCs/>
                <w:szCs w:val="18"/>
              </w:rPr>
            </w:pPr>
            <w:r w:rsidRPr="00577845">
              <w:rPr>
                <w:b/>
                <w:szCs w:val="18"/>
              </w:rPr>
              <w:t>179.8</w:t>
            </w:r>
          </w:p>
        </w:tc>
        <w:tc>
          <w:tcPr>
            <w:tcW w:w="1584" w:type="dxa"/>
            <w:vAlign w:val="center"/>
          </w:tcPr>
          <w:p w14:paraId="740CBF18" w14:textId="3BE3581F" w:rsidR="00376214" w:rsidRPr="00577845" w:rsidRDefault="00376214" w:rsidP="005F0E7F">
            <w:pPr>
              <w:tabs>
                <w:tab w:val="decimal" w:pos="1170"/>
              </w:tabs>
              <w:jc w:val="center"/>
              <w:rPr>
                <w:b/>
                <w:bCs/>
                <w:szCs w:val="18"/>
              </w:rPr>
            </w:pPr>
            <w:r w:rsidRPr="00577845">
              <w:rPr>
                <w:b/>
                <w:bCs/>
                <w:szCs w:val="18"/>
              </w:rPr>
              <w:t>354.0</w:t>
            </w:r>
          </w:p>
        </w:tc>
      </w:tr>
      <w:tr w:rsidR="00376214" w14:paraId="1788048A" w14:textId="77777777" w:rsidTr="005F0E7F">
        <w:trPr>
          <w:gridAfter w:val="1"/>
          <w:wAfter w:w="95" w:type="dxa"/>
        </w:trPr>
        <w:tc>
          <w:tcPr>
            <w:tcW w:w="4993" w:type="dxa"/>
            <w:vAlign w:val="center"/>
          </w:tcPr>
          <w:p w14:paraId="52EFB23D" w14:textId="7EA82D1B" w:rsidR="00376214" w:rsidRPr="00577845" w:rsidRDefault="00376214" w:rsidP="00376214">
            <w:pPr>
              <w:rPr>
                <w:b/>
                <w:bCs/>
                <w:i/>
                <w:iCs/>
                <w:szCs w:val="18"/>
              </w:rPr>
            </w:pPr>
            <w:r w:rsidRPr="00577845">
              <w:rPr>
                <w:b/>
                <w:szCs w:val="18"/>
              </w:rPr>
              <w:t>Average AUM (£bn) (page 4)</w:t>
            </w:r>
          </w:p>
        </w:tc>
        <w:tc>
          <w:tcPr>
            <w:tcW w:w="410" w:type="dxa"/>
            <w:vAlign w:val="center"/>
          </w:tcPr>
          <w:p w14:paraId="5095A0A8" w14:textId="77777777" w:rsidR="00376214" w:rsidRPr="00577845" w:rsidRDefault="00376214" w:rsidP="00376214">
            <w:pPr>
              <w:jc w:val="center"/>
              <w:rPr>
                <w:b/>
                <w:i/>
                <w:szCs w:val="18"/>
              </w:rPr>
            </w:pPr>
          </w:p>
        </w:tc>
        <w:tc>
          <w:tcPr>
            <w:tcW w:w="1554" w:type="dxa"/>
            <w:vAlign w:val="center"/>
          </w:tcPr>
          <w:p w14:paraId="17412659" w14:textId="34B9E81B" w:rsidR="00376214" w:rsidRPr="00577845" w:rsidRDefault="002D251C" w:rsidP="00376214">
            <w:pPr>
              <w:tabs>
                <w:tab w:val="decimal" w:pos="1140"/>
              </w:tabs>
              <w:rPr>
                <w:b/>
                <w:bCs/>
                <w:szCs w:val="18"/>
              </w:rPr>
            </w:pPr>
            <w:r w:rsidRPr="00577845">
              <w:rPr>
                <w:b/>
                <w:bCs/>
                <w:szCs w:val="18"/>
              </w:rPr>
              <w:t>5</w:t>
            </w:r>
            <w:r w:rsidR="006E21A5" w:rsidRPr="00577845">
              <w:rPr>
                <w:b/>
                <w:bCs/>
                <w:szCs w:val="18"/>
              </w:rPr>
              <w:t>2.</w:t>
            </w:r>
            <w:r w:rsidRPr="00577845">
              <w:rPr>
                <w:b/>
                <w:bCs/>
                <w:szCs w:val="18"/>
              </w:rPr>
              <w:t>1</w:t>
            </w:r>
          </w:p>
        </w:tc>
        <w:tc>
          <w:tcPr>
            <w:tcW w:w="1569" w:type="dxa"/>
            <w:vAlign w:val="center"/>
          </w:tcPr>
          <w:p w14:paraId="3968EB97" w14:textId="0DF43695" w:rsidR="00376214" w:rsidRPr="00577845" w:rsidRDefault="00376214" w:rsidP="00376214">
            <w:pPr>
              <w:tabs>
                <w:tab w:val="decimal" w:pos="1155"/>
              </w:tabs>
              <w:rPr>
                <w:b/>
                <w:bCs/>
                <w:i/>
                <w:iCs/>
                <w:szCs w:val="18"/>
              </w:rPr>
            </w:pPr>
            <w:r w:rsidRPr="00577845">
              <w:rPr>
                <w:b/>
                <w:bCs/>
                <w:szCs w:val="18"/>
              </w:rPr>
              <w:t>50.9</w:t>
            </w:r>
          </w:p>
        </w:tc>
        <w:tc>
          <w:tcPr>
            <w:tcW w:w="1584" w:type="dxa"/>
            <w:vAlign w:val="center"/>
          </w:tcPr>
          <w:p w14:paraId="0922CFBC" w14:textId="0C344F59" w:rsidR="00376214" w:rsidRPr="00577845" w:rsidRDefault="00376214" w:rsidP="005F0E7F">
            <w:pPr>
              <w:tabs>
                <w:tab w:val="decimal" w:pos="1170"/>
              </w:tabs>
              <w:jc w:val="center"/>
              <w:rPr>
                <w:b/>
                <w:bCs/>
                <w:szCs w:val="18"/>
              </w:rPr>
            </w:pPr>
            <w:r w:rsidRPr="00577845">
              <w:rPr>
                <w:b/>
                <w:bCs/>
                <w:szCs w:val="18"/>
              </w:rPr>
              <w:t>50.9</w:t>
            </w:r>
          </w:p>
        </w:tc>
      </w:tr>
      <w:tr w:rsidR="00376214" w14:paraId="35B1B4EA" w14:textId="77777777" w:rsidTr="005F0E7F">
        <w:trPr>
          <w:gridAfter w:val="1"/>
          <w:wAfter w:w="95" w:type="dxa"/>
        </w:trPr>
        <w:tc>
          <w:tcPr>
            <w:tcW w:w="4993" w:type="dxa"/>
            <w:shd w:val="clear" w:color="auto" w:fill="E4E8ED" w:themeFill="accent4" w:themeFillTint="33"/>
            <w:vAlign w:val="center"/>
          </w:tcPr>
          <w:p w14:paraId="5822E02C" w14:textId="126760E2" w:rsidR="00376214" w:rsidRPr="00577845" w:rsidRDefault="00376214" w:rsidP="00376214">
            <w:pPr>
              <w:rPr>
                <w:b/>
                <w:bCs/>
                <w:i/>
                <w:iCs/>
                <w:szCs w:val="18"/>
              </w:rPr>
            </w:pPr>
            <w:r w:rsidRPr="00577845">
              <w:rPr>
                <w:b/>
                <w:i/>
                <w:szCs w:val="18"/>
              </w:rPr>
              <w:t>Net management fee margin</w:t>
            </w:r>
          </w:p>
        </w:tc>
        <w:tc>
          <w:tcPr>
            <w:tcW w:w="410" w:type="dxa"/>
            <w:shd w:val="clear" w:color="auto" w:fill="E4E8ED" w:themeFill="accent4" w:themeFillTint="33"/>
            <w:vAlign w:val="center"/>
          </w:tcPr>
          <w:p w14:paraId="4CFEE11C" w14:textId="22FC770D" w:rsidR="00376214" w:rsidRPr="00577845" w:rsidRDefault="00376214" w:rsidP="00376214">
            <w:pPr>
              <w:jc w:val="center"/>
              <w:rPr>
                <w:b/>
                <w:i/>
                <w:szCs w:val="18"/>
              </w:rPr>
            </w:pPr>
            <w:r w:rsidRPr="00577845">
              <w:rPr>
                <w:b/>
                <w:i/>
                <w:szCs w:val="18"/>
              </w:rPr>
              <w:t>2</w:t>
            </w:r>
          </w:p>
        </w:tc>
        <w:tc>
          <w:tcPr>
            <w:tcW w:w="1554" w:type="dxa"/>
            <w:shd w:val="clear" w:color="auto" w:fill="E4E8ED" w:themeFill="accent4" w:themeFillTint="33"/>
            <w:vAlign w:val="center"/>
          </w:tcPr>
          <w:p w14:paraId="690EC2F1" w14:textId="5B0A234E" w:rsidR="00376214" w:rsidRPr="00577845" w:rsidRDefault="009944A0" w:rsidP="005F0E7F">
            <w:pPr>
              <w:tabs>
                <w:tab w:val="decimal" w:pos="1140"/>
              </w:tabs>
              <w:rPr>
                <w:b/>
                <w:bCs/>
                <w:i/>
                <w:iCs/>
                <w:szCs w:val="18"/>
              </w:rPr>
            </w:pPr>
            <w:r w:rsidRPr="00577845">
              <w:rPr>
                <w:b/>
                <w:bCs/>
                <w:i/>
                <w:iCs/>
                <w:szCs w:val="18"/>
              </w:rPr>
              <w:t>6</w:t>
            </w:r>
            <w:r w:rsidR="006E21A5" w:rsidRPr="00577845">
              <w:rPr>
                <w:b/>
                <w:bCs/>
                <w:i/>
                <w:iCs/>
                <w:szCs w:val="18"/>
              </w:rPr>
              <w:t>5</w:t>
            </w:r>
            <w:r w:rsidRPr="00577845">
              <w:rPr>
                <w:b/>
                <w:bCs/>
                <w:i/>
                <w:iCs/>
                <w:szCs w:val="18"/>
              </w:rPr>
              <w:t>bps</w:t>
            </w:r>
          </w:p>
        </w:tc>
        <w:tc>
          <w:tcPr>
            <w:tcW w:w="1569" w:type="dxa"/>
            <w:shd w:val="clear" w:color="auto" w:fill="E4E8ED" w:themeFill="accent4" w:themeFillTint="33"/>
            <w:vAlign w:val="center"/>
          </w:tcPr>
          <w:p w14:paraId="7659743C" w14:textId="2EF95CD3" w:rsidR="00376214" w:rsidRPr="00577845" w:rsidRDefault="00376214" w:rsidP="00376214">
            <w:pPr>
              <w:tabs>
                <w:tab w:val="decimal" w:pos="1155"/>
              </w:tabs>
              <w:ind w:right="15"/>
              <w:rPr>
                <w:b/>
                <w:bCs/>
                <w:i/>
                <w:iCs/>
                <w:szCs w:val="18"/>
              </w:rPr>
            </w:pPr>
            <w:r w:rsidRPr="00577845">
              <w:rPr>
                <w:b/>
                <w:i/>
                <w:iCs/>
                <w:szCs w:val="18"/>
              </w:rPr>
              <w:t>7</w:t>
            </w:r>
            <w:r w:rsidR="009602C8" w:rsidRPr="00577845">
              <w:rPr>
                <w:b/>
                <w:i/>
                <w:iCs/>
                <w:szCs w:val="18"/>
              </w:rPr>
              <w:t>1</w:t>
            </w:r>
            <w:r w:rsidRPr="00577845">
              <w:rPr>
                <w:b/>
                <w:i/>
                <w:iCs/>
                <w:szCs w:val="18"/>
              </w:rPr>
              <w:t>bps</w:t>
            </w:r>
          </w:p>
        </w:tc>
        <w:tc>
          <w:tcPr>
            <w:tcW w:w="1584" w:type="dxa"/>
            <w:shd w:val="clear" w:color="auto" w:fill="E4E8ED" w:themeFill="accent4" w:themeFillTint="33"/>
            <w:vAlign w:val="center"/>
          </w:tcPr>
          <w:p w14:paraId="60CD1615" w14:textId="31B893DD" w:rsidR="00376214" w:rsidRPr="00577845" w:rsidRDefault="002662AE" w:rsidP="005F0E7F">
            <w:pPr>
              <w:tabs>
                <w:tab w:val="decimal" w:pos="1170"/>
              </w:tabs>
              <w:jc w:val="center"/>
              <w:rPr>
                <w:b/>
                <w:bCs/>
                <w:i/>
                <w:iCs/>
                <w:szCs w:val="18"/>
              </w:rPr>
            </w:pPr>
            <w:r w:rsidRPr="00577845">
              <w:rPr>
                <w:b/>
                <w:bCs/>
                <w:i/>
                <w:iCs/>
                <w:szCs w:val="18"/>
              </w:rPr>
              <w:t>70</w:t>
            </w:r>
            <w:r w:rsidR="00376214" w:rsidRPr="00577845">
              <w:rPr>
                <w:b/>
                <w:bCs/>
                <w:i/>
                <w:iCs/>
                <w:szCs w:val="18"/>
              </w:rPr>
              <w:t>bps</w:t>
            </w:r>
          </w:p>
        </w:tc>
      </w:tr>
      <w:tr w:rsidR="001F4923" w14:paraId="798590A1" w14:textId="77777777" w:rsidTr="005F0E7F">
        <w:trPr>
          <w:gridAfter w:val="1"/>
          <w:wAfter w:w="95" w:type="dxa"/>
        </w:trPr>
        <w:tc>
          <w:tcPr>
            <w:tcW w:w="4993" w:type="dxa"/>
            <w:vAlign w:val="center"/>
          </w:tcPr>
          <w:p w14:paraId="29427A43" w14:textId="77777777" w:rsidR="001F4923" w:rsidRPr="00577845" w:rsidRDefault="001F4923" w:rsidP="001F4923">
            <w:pPr>
              <w:rPr>
                <w:b/>
                <w:bCs/>
                <w:i/>
                <w:iCs/>
                <w:szCs w:val="18"/>
              </w:rPr>
            </w:pPr>
          </w:p>
        </w:tc>
        <w:tc>
          <w:tcPr>
            <w:tcW w:w="410" w:type="dxa"/>
            <w:vAlign w:val="center"/>
          </w:tcPr>
          <w:p w14:paraId="7659155B" w14:textId="77777777" w:rsidR="001F4923" w:rsidRPr="00577845" w:rsidRDefault="001F4923" w:rsidP="001F4923">
            <w:pPr>
              <w:jc w:val="center"/>
              <w:rPr>
                <w:b/>
                <w:i/>
                <w:szCs w:val="18"/>
              </w:rPr>
            </w:pPr>
          </w:p>
        </w:tc>
        <w:tc>
          <w:tcPr>
            <w:tcW w:w="1554" w:type="dxa"/>
            <w:vAlign w:val="center"/>
          </w:tcPr>
          <w:p w14:paraId="52954D07" w14:textId="77777777" w:rsidR="001F4923" w:rsidRPr="00577845" w:rsidRDefault="001F4923" w:rsidP="001F4923">
            <w:pPr>
              <w:tabs>
                <w:tab w:val="decimal" w:pos="1140"/>
              </w:tabs>
              <w:rPr>
                <w:szCs w:val="18"/>
              </w:rPr>
            </w:pPr>
          </w:p>
        </w:tc>
        <w:tc>
          <w:tcPr>
            <w:tcW w:w="1569" w:type="dxa"/>
            <w:vAlign w:val="center"/>
          </w:tcPr>
          <w:p w14:paraId="44B8E0E1" w14:textId="77777777" w:rsidR="001F4923" w:rsidRPr="00577845" w:rsidRDefault="001F4923" w:rsidP="001F4923">
            <w:pPr>
              <w:tabs>
                <w:tab w:val="decimal" w:pos="1155"/>
              </w:tabs>
              <w:rPr>
                <w:b/>
                <w:bCs/>
                <w:i/>
                <w:iCs/>
                <w:szCs w:val="18"/>
              </w:rPr>
            </w:pPr>
          </w:p>
        </w:tc>
        <w:tc>
          <w:tcPr>
            <w:tcW w:w="1584" w:type="dxa"/>
            <w:vAlign w:val="center"/>
          </w:tcPr>
          <w:p w14:paraId="039801B1" w14:textId="77777777" w:rsidR="001F4923" w:rsidRPr="00577845" w:rsidRDefault="001F4923" w:rsidP="005F0E7F">
            <w:pPr>
              <w:tabs>
                <w:tab w:val="decimal" w:pos="1170"/>
              </w:tabs>
              <w:jc w:val="center"/>
              <w:rPr>
                <w:szCs w:val="18"/>
              </w:rPr>
            </w:pPr>
          </w:p>
        </w:tc>
      </w:tr>
      <w:tr w:rsidR="009949BF" w14:paraId="51667D89" w14:textId="77777777" w:rsidTr="005F0CDE">
        <w:trPr>
          <w:gridAfter w:val="1"/>
          <w:wAfter w:w="95" w:type="dxa"/>
        </w:trPr>
        <w:tc>
          <w:tcPr>
            <w:tcW w:w="4993" w:type="dxa"/>
            <w:vAlign w:val="center"/>
          </w:tcPr>
          <w:p w14:paraId="765932EC" w14:textId="6E132378" w:rsidR="009949BF" w:rsidRPr="00577845" w:rsidRDefault="005C3698" w:rsidP="009949BF">
            <w:pPr>
              <w:rPr>
                <w:b/>
                <w:bCs/>
                <w:szCs w:val="18"/>
              </w:rPr>
            </w:pPr>
            <w:r w:rsidRPr="00577845">
              <w:rPr>
                <w:b/>
                <w:bCs/>
                <w:szCs w:val="18"/>
              </w:rPr>
              <w:t>Compensation costs before exceptional items (page 5)</w:t>
            </w:r>
          </w:p>
        </w:tc>
        <w:tc>
          <w:tcPr>
            <w:tcW w:w="410" w:type="dxa"/>
            <w:vAlign w:val="center"/>
          </w:tcPr>
          <w:p w14:paraId="57037D12" w14:textId="77777777" w:rsidR="009949BF" w:rsidRPr="00577845" w:rsidRDefault="009949BF" w:rsidP="009949BF">
            <w:pPr>
              <w:jc w:val="center"/>
              <w:rPr>
                <w:b/>
                <w:bCs/>
                <w:i/>
                <w:szCs w:val="18"/>
              </w:rPr>
            </w:pPr>
          </w:p>
        </w:tc>
        <w:tc>
          <w:tcPr>
            <w:tcW w:w="1554" w:type="dxa"/>
            <w:vAlign w:val="center"/>
          </w:tcPr>
          <w:p w14:paraId="3BE206C3" w14:textId="446EFF4A" w:rsidR="009949BF" w:rsidRPr="00577845" w:rsidRDefault="009949BF" w:rsidP="009949BF">
            <w:pPr>
              <w:tabs>
                <w:tab w:val="decimal" w:pos="1140"/>
              </w:tabs>
              <w:rPr>
                <w:b/>
                <w:bCs/>
                <w:szCs w:val="18"/>
              </w:rPr>
            </w:pPr>
            <w:r w:rsidRPr="00577845">
              <w:rPr>
                <w:b/>
                <w:bCs/>
                <w:szCs w:val="18"/>
              </w:rPr>
              <w:t>7</w:t>
            </w:r>
            <w:r w:rsidR="00AB7BE4" w:rsidRPr="00577845">
              <w:rPr>
                <w:b/>
                <w:bCs/>
                <w:szCs w:val="18"/>
              </w:rPr>
              <w:t>9.8</w:t>
            </w:r>
          </w:p>
        </w:tc>
        <w:tc>
          <w:tcPr>
            <w:tcW w:w="1569" w:type="dxa"/>
            <w:vAlign w:val="center"/>
          </w:tcPr>
          <w:p w14:paraId="692A3DE8" w14:textId="7419AD6B" w:rsidR="009949BF" w:rsidRPr="00577845" w:rsidRDefault="009949BF" w:rsidP="009949BF">
            <w:pPr>
              <w:tabs>
                <w:tab w:val="decimal" w:pos="1155"/>
              </w:tabs>
              <w:rPr>
                <w:b/>
                <w:bCs/>
                <w:szCs w:val="18"/>
              </w:rPr>
            </w:pPr>
            <w:r w:rsidRPr="00577845">
              <w:rPr>
                <w:b/>
                <w:bCs/>
                <w:szCs w:val="18"/>
              </w:rPr>
              <w:t>7</w:t>
            </w:r>
            <w:r w:rsidR="00806868" w:rsidRPr="00577845">
              <w:rPr>
                <w:b/>
                <w:bCs/>
                <w:szCs w:val="18"/>
              </w:rPr>
              <w:t>8.</w:t>
            </w:r>
            <w:r w:rsidRPr="00577845">
              <w:rPr>
                <w:b/>
                <w:bCs/>
                <w:szCs w:val="18"/>
              </w:rPr>
              <w:t>4</w:t>
            </w:r>
          </w:p>
        </w:tc>
        <w:tc>
          <w:tcPr>
            <w:tcW w:w="1584" w:type="dxa"/>
            <w:vAlign w:val="center"/>
          </w:tcPr>
          <w:p w14:paraId="1495C9AC" w14:textId="68D00F5F" w:rsidR="009949BF" w:rsidRPr="00577845" w:rsidRDefault="009949BF" w:rsidP="009949BF">
            <w:pPr>
              <w:tabs>
                <w:tab w:val="decimal" w:pos="1170"/>
              </w:tabs>
              <w:jc w:val="center"/>
              <w:rPr>
                <w:b/>
                <w:bCs/>
                <w:szCs w:val="18"/>
              </w:rPr>
            </w:pPr>
            <w:r w:rsidRPr="00577845">
              <w:rPr>
                <w:b/>
                <w:bCs/>
                <w:szCs w:val="18"/>
              </w:rPr>
              <w:t>15</w:t>
            </w:r>
            <w:r w:rsidR="009A2403" w:rsidRPr="00577845">
              <w:rPr>
                <w:b/>
                <w:bCs/>
                <w:szCs w:val="18"/>
              </w:rPr>
              <w:t>7.3</w:t>
            </w:r>
          </w:p>
        </w:tc>
      </w:tr>
      <w:tr w:rsidR="009949BF" w14:paraId="41410B56" w14:textId="77777777" w:rsidTr="005F0CDE">
        <w:trPr>
          <w:gridAfter w:val="1"/>
          <w:wAfter w:w="95" w:type="dxa"/>
        </w:trPr>
        <w:tc>
          <w:tcPr>
            <w:tcW w:w="4993" w:type="dxa"/>
            <w:vAlign w:val="center"/>
          </w:tcPr>
          <w:p w14:paraId="63EAD77F" w14:textId="1C7C86C9" w:rsidR="009949BF" w:rsidRPr="00577845" w:rsidRDefault="009949BF" w:rsidP="009949BF">
            <w:pPr>
              <w:rPr>
                <w:szCs w:val="18"/>
              </w:rPr>
            </w:pPr>
            <w:r w:rsidRPr="00577845">
              <w:rPr>
                <w:b/>
                <w:szCs w:val="18"/>
              </w:rPr>
              <w:t>Net revenue (see above)</w:t>
            </w:r>
          </w:p>
        </w:tc>
        <w:tc>
          <w:tcPr>
            <w:tcW w:w="410" w:type="dxa"/>
            <w:vAlign w:val="center"/>
          </w:tcPr>
          <w:p w14:paraId="4359FE1A" w14:textId="77777777" w:rsidR="009949BF" w:rsidRPr="00577845" w:rsidRDefault="009949BF" w:rsidP="009949BF">
            <w:pPr>
              <w:jc w:val="center"/>
              <w:rPr>
                <w:b/>
                <w:i/>
                <w:szCs w:val="18"/>
              </w:rPr>
            </w:pPr>
          </w:p>
        </w:tc>
        <w:tc>
          <w:tcPr>
            <w:tcW w:w="1554" w:type="dxa"/>
            <w:vAlign w:val="center"/>
          </w:tcPr>
          <w:p w14:paraId="6E75F28D" w14:textId="0C4C4D90" w:rsidR="009949BF" w:rsidRPr="00577845" w:rsidRDefault="009949BF" w:rsidP="009949BF">
            <w:pPr>
              <w:tabs>
                <w:tab w:val="decimal" w:pos="1140"/>
              </w:tabs>
              <w:rPr>
                <w:szCs w:val="18"/>
              </w:rPr>
            </w:pPr>
            <w:r w:rsidRPr="00577845">
              <w:rPr>
                <w:b/>
                <w:bCs/>
                <w:szCs w:val="18"/>
              </w:rPr>
              <w:t>1</w:t>
            </w:r>
            <w:r w:rsidR="003351B4" w:rsidRPr="00577845">
              <w:rPr>
                <w:b/>
                <w:bCs/>
                <w:szCs w:val="18"/>
              </w:rPr>
              <w:t>73.7</w:t>
            </w:r>
          </w:p>
        </w:tc>
        <w:tc>
          <w:tcPr>
            <w:tcW w:w="1569" w:type="dxa"/>
            <w:vAlign w:val="center"/>
          </w:tcPr>
          <w:p w14:paraId="3DE6F386" w14:textId="30526F95" w:rsidR="009949BF" w:rsidRPr="00577845" w:rsidRDefault="009949BF" w:rsidP="009949BF">
            <w:pPr>
              <w:tabs>
                <w:tab w:val="decimal" w:pos="1155"/>
              </w:tabs>
              <w:rPr>
                <w:szCs w:val="18"/>
              </w:rPr>
            </w:pPr>
            <w:r w:rsidRPr="00577845">
              <w:rPr>
                <w:b/>
                <w:szCs w:val="18"/>
              </w:rPr>
              <w:t>18</w:t>
            </w:r>
            <w:r w:rsidR="00806868" w:rsidRPr="00577845">
              <w:rPr>
                <w:b/>
                <w:szCs w:val="18"/>
              </w:rPr>
              <w:t>1.</w:t>
            </w:r>
            <w:r w:rsidRPr="00577845">
              <w:rPr>
                <w:b/>
                <w:szCs w:val="18"/>
              </w:rPr>
              <w:t>0</w:t>
            </w:r>
          </w:p>
        </w:tc>
        <w:tc>
          <w:tcPr>
            <w:tcW w:w="1584" w:type="dxa"/>
            <w:vAlign w:val="center"/>
          </w:tcPr>
          <w:p w14:paraId="60192F86" w14:textId="2D2393F4" w:rsidR="009949BF" w:rsidRPr="00577845" w:rsidRDefault="009949BF" w:rsidP="009949BF">
            <w:pPr>
              <w:tabs>
                <w:tab w:val="decimal" w:pos="1170"/>
              </w:tabs>
              <w:jc w:val="center"/>
              <w:rPr>
                <w:szCs w:val="18"/>
              </w:rPr>
            </w:pPr>
            <w:r w:rsidRPr="00577845">
              <w:rPr>
                <w:b/>
                <w:bCs/>
                <w:szCs w:val="18"/>
              </w:rPr>
              <w:t>36</w:t>
            </w:r>
            <w:r w:rsidR="009A2403" w:rsidRPr="00577845">
              <w:rPr>
                <w:b/>
                <w:bCs/>
                <w:szCs w:val="18"/>
              </w:rPr>
              <w:t>8.8</w:t>
            </w:r>
          </w:p>
        </w:tc>
      </w:tr>
      <w:tr w:rsidR="009949BF" w14:paraId="18770E24" w14:textId="77777777" w:rsidTr="005F0E7F">
        <w:trPr>
          <w:gridAfter w:val="1"/>
          <w:wAfter w:w="95" w:type="dxa"/>
        </w:trPr>
        <w:tc>
          <w:tcPr>
            <w:tcW w:w="4993" w:type="dxa"/>
            <w:shd w:val="clear" w:color="auto" w:fill="E4E8ED" w:themeFill="accent4" w:themeFillTint="33"/>
            <w:vAlign w:val="center"/>
          </w:tcPr>
          <w:p w14:paraId="2402DA44" w14:textId="7AF6C823" w:rsidR="009949BF" w:rsidRPr="00577845" w:rsidRDefault="009949BF" w:rsidP="009949BF">
            <w:pPr>
              <w:rPr>
                <w:b/>
                <w:bCs/>
                <w:i/>
                <w:iCs/>
                <w:szCs w:val="18"/>
              </w:rPr>
            </w:pPr>
            <w:r w:rsidRPr="00577845">
              <w:rPr>
                <w:b/>
                <w:i/>
                <w:szCs w:val="18"/>
              </w:rPr>
              <w:t xml:space="preserve">Total compensation ratio </w:t>
            </w:r>
          </w:p>
        </w:tc>
        <w:tc>
          <w:tcPr>
            <w:tcW w:w="410" w:type="dxa"/>
            <w:shd w:val="clear" w:color="auto" w:fill="E4E8ED" w:themeFill="accent4" w:themeFillTint="33"/>
            <w:vAlign w:val="center"/>
          </w:tcPr>
          <w:p w14:paraId="1C7C308E" w14:textId="26FFB0D1" w:rsidR="009949BF" w:rsidRPr="00577845" w:rsidRDefault="009949BF" w:rsidP="009949BF">
            <w:pPr>
              <w:jc w:val="center"/>
              <w:rPr>
                <w:b/>
                <w:i/>
                <w:szCs w:val="18"/>
              </w:rPr>
            </w:pPr>
            <w:r w:rsidRPr="00577845">
              <w:rPr>
                <w:b/>
                <w:i/>
                <w:szCs w:val="18"/>
              </w:rPr>
              <w:t>3</w:t>
            </w:r>
          </w:p>
        </w:tc>
        <w:tc>
          <w:tcPr>
            <w:tcW w:w="1554" w:type="dxa"/>
            <w:shd w:val="clear" w:color="auto" w:fill="E4E8ED" w:themeFill="accent4" w:themeFillTint="33"/>
            <w:vAlign w:val="center"/>
          </w:tcPr>
          <w:p w14:paraId="635F86DC" w14:textId="199928B0" w:rsidR="009949BF" w:rsidRPr="00577845" w:rsidRDefault="009949BF" w:rsidP="009949BF">
            <w:pPr>
              <w:tabs>
                <w:tab w:val="decimal" w:pos="1140"/>
              </w:tabs>
              <w:rPr>
                <w:szCs w:val="18"/>
              </w:rPr>
            </w:pPr>
            <w:r w:rsidRPr="00577845">
              <w:rPr>
                <w:b/>
                <w:bCs/>
                <w:i/>
                <w:iCs/>
                <w:szCs w:val="18"/>
              </w:rPr>
              <w:t>4</w:t>
            </w:r>
            <w:r w:rsidR="003351B4" w:rsidRPr="00577845">
              <w:rPr>
                <w:b/>
                <w:bCs/>
                <w:i/>
                <w:iCs/>
                <w:szCs w:val="18"/>
              </w:rPr>
              <w:t>6</w:t>
            </w:r>
            <w:r w:rsidRPr="00577845">
              <w:rPr>
                <w:b/>
                <w:bCs/>
                <w:i/>
                <w:iCs/>
                <w:szCs w:val="18"/>
              </w:rPr>
              <w:t>%</w:t>
            </w:r>
          </w:p>
        </w:tc>
        <w:tc>
          <w:tcPr>
            <w:tcW w:w="1569" w:type="dxa"/>
            <w:shd w:val="clear" w:color="auto" w:fill="E4E8ED" w:themeFill="accent4" w:themeFillTint="33"/>
            <w:vAlign w:val="center"/>
          </w:tcPr>
          <w:p w14:paraId="62C58681" w14:textId="23BA94AC" w:rsidR="009949BF" w:rsidRPr="00577845" w:rsidRDefault="009949BF" w:rsidP="009949BF">
            <w:pPr>
              <w:tabs>
                <w:tab w:val="decimal" w:pos="1155"/>
              </w:tabs>
              <w:rPr>
                <w:b/>
                <w:bCs/>
                <w:i/>
                <w:iCs/>
                <w:szCs w:val="18"/>
              </w:rPr>
            </w:pPr>
            <w:r w:rsidRPr="00577845">
              <w:rPr>
                <w:b/>
                <w:bCs/>
                <w:i/>
                <w:iCs/>
                <w:szCs w:val="18"/>
              </w:rPr>
              <w:t>4</w:t>
            </w:r>
            <w:r w:rsidR="009A2403" w:rsidRPr="00577845">
              <w:rPr>
                <w:b/>
                <w:bCs/>
                <w:i/>
                <w:iCs/>
                <w:szCs w:val="18"/>
              </w:rPr>
              <w:t>3</w:t>
            </w:r>
            <w:r w:rsidRPr="00577845">
              <w:rPr>
                <w:b/>
                <w:bCs/>
                <w:i/>
                <w:iCs/>
                <w:szCs w:val="18"/>
              </w:rPr>
              <w:t>%</w:t>
            </w:r>
          </w:p>
        </w:tc>
        <w:tc>
          <w:tcPr>
            <w:tcW w:w="1584" w:type="dxa"/>
            <w:shd w:val="clear" w:color="auto" w:fill="E4E8ED" w:themeFill="accent4" w:themeFillTint="33"/>
            <w:vAlign w:val="center"/>
          </w:tcPr>
          <w:p w14:paraId="4EC5E1DF" w14:textId="47E64ED2" w:rsidR="009949BF" w:rsidRPr="00577845" w:rsidRDefault="009949BF" w:rsidP="005F0E7F">
            <w:pPr>
              <w:tabs>
                <w:tab w:val="decimal" w:pos="1170"/>
              </w:tabs>
              <w:jc w:val="center"/>
              <w:rPr>
                <w:szCs w:val="18"/>
              </w:rPr>
            </w:pPr>
            <w:r w:rsidRPr="00577845">
              <w:rPr>
                <w:b/>
                <w:bCs/>
                <w:i/>
                <w:iCs/>
                <w:szCs w:val="18"/>
              </w:rPr>
              <w:t>4</w:t>
            </w:r>
            <w:r w:rsidR="009A2403" w:rsidRPr="00577845">
              <w:rPr>
                <w:b/>
                <w:bCs/>
                <w:i/>
                <w:iCs/>
                <w:szCs w:val="18"/>
              </w:rPr>
              <w:t>3</w:t>
            </w:r>
            <w:r w:rsidRPr="00577845">
              <w:rPr>
                <w:b/>
                <w:bCs/>
                <w:i/>
                <w:iCs/>
                <w:szCs w:val="18"/>
              </w:rPr>
              <w:t>%</w:t>
            </w:r>
          </w:p>
        </w:tc>
      </w:tr>
      <w:tr w:rsidR="009949BF" w14:paraId="064E448E" w14:textId="77777777" w:rsidTr="005F0CDE">
        <w:trPr>
          <w:gridAfter w:val="1"/>
          <w:wAfter w:w="95" w:type="dxa"/>
        </w:trPr>
        <w:tc>
          <w:tcPr>
            <w:tcW w:w="4993" w:type="dxa"/>
            <w:vAlign w:val="center"/>
          </w:tcPr>
          <w:p w14:paraId="5C65D23D" w14:textId="77777777" w:rsidR="009949BF" w:rsidRPr="00577845" w:rsidRDefault="009949BF" w:rsidP="009949BF">
            <w:pPr>
              <w:rPr>
                <w:b/>
                <w:i/>
                <w:szCs w:val="18"/>
              </w:rPr>
            </w:pPr>
          </w:p>
        </w:tc>
        <w:tc>
          <w:tcPr>
            <w:tcW w:w="410" w:type="dxa"/>
            <w:vAlign w:val="center"/>
          </w:tcPr>
          <w:p w14:paraId="493F5E1A" w14:textId="77777777" w:rsidR="009949BF" w:rsidRPr="00577845" w:rsidRDefault="009949BF" w:rsidP="009949BF">
            <w:pPr>
              <w:jc w:val="center"/>
              <w:rPr>
                <w:b/>
                <w:i/>
                <w:szCs w:val="18"/>
              </w:rPr>
            </w:pPr>
          </w:p>
        </w:tc>
        <w:tc>
          <w:tcPr>
            <w:tcW w:w="1554" w:type="dxa"/>
            <w:vAlign w:val="center"/>
          </w:tcPr>
          <w:p w14:paraId="1F09F386" w14:textId="77777777" w:rsidR="009949BF" w:rsidRPr="00577845" w:rsidRDefault="009949BF" w:rsidP="009949BF">
            <w:pPr>
              <w:tabs>
                <w:tab w:val="decimal" w:pos="1140"/>
              </w:tabs>
              <w:rPr>
                <w:b/>
                <w:bCs/>
                <w:i/>
                <w:iCs/>
                <w:szCs w:val="18"/>
              </w:rPr>
            </w:pPr>
          </w:p>
        </w:tc>
        <w:tc>
          <w:tcPr>
            <w:tcW w:w="1569" w:type="dxa"/>
            <w:vAlign w:val="center"/>
          </w:tcPr>
          <w:p w14:paraId="5BD01A9E" w14:textId="77777777" w:rsidR="009949BF" w:rsidRPr="00577845" w:rsidRDefault="009949BF" w:rsidP="009949BF">
            <w:pPr>
              <w:tabs>
                <w:tab w:val="decimal" w:pos="1155"/>
              </w:tabs>
              <w:rPr>
                <w:b/>
                <w:bCs/>
                <w:i/>
                <w:iCs/>
                <w:szCs w:val="18"/>
              </w:rPr>
            </w:pPr>
          </w:p>
        </w:tc>
        <w:tc>
          <w:tcPr>
            <w:tcW w:w="1584" w:type="dxa"/>
            <w:vAlign w:val="center"/>
          </w:tcPr>
          <w:p w14:paraId="599A0F6A" w14:textId="77777777" w:rsidR="009949BF" w:rsidRPr="00577845" w:rsidRDefault="009949BF" w:rsidP="009949BF">
            <w:pPr>
              <w:tabs>
                <w:tab w:val="decimal" w:pos="1170"/>
              </w:tabs>
              <w:jc w:val="center"/>
              <w:rPr>
                <w:b/>
                <w:bCs/>
                <w:i/>
                <w:iCs/>
                <w:szCs w:val="18"/>
              </w:rPr>
            </w:pPr>
          </w:p>
        </w:tc>
      </w:tr>
      <w:tr w:rsidR="009949BF" w14:paraId="074AA8E8" w14:textId="77777777" w:rsidTr="005F0E7F">
        <w:trPr>
          <w:gridAfter w:val="1"/>
          <w:wAfter w:w="95" w:type="dxa"/>
        </w:trPr>
        <w:tc>
          <w:tcPr>
            <w:tcW w:w="4993" w:type="dxa"/>
            <w:vAlign w:val="center"/>
          </w:tcPr>
          <w:p w14:paraId="025061AF" w14:textId="6868EEA2" w:rsidR="009949BF" w:rsidRPr="00577845" w:rsidRDefault="00F77D47" w:rsidP="009949BF">
            <w:pPr>
              <w:rPr>
                <w:b/>
                <w:bCs/>
                <w:i/>
                <w:iCs/>
                <w:szCs w:val="18"/>
              </w:rPr>
            </w:pPr>
            <w:r w:rsidRPr="00577845">
              <w:rPr>
                <w:b/>
                <w:szCs w:val="18"/>
              </w:rPr>
              <w:t>Compensation costs before exceptional items and performance fee</w:t>
            </w:r>
            <w:r w:rsidR="00D569F6" w:rsidRPr="00577845">
              <w:rPr>
                <w:b/>
                <w:szCs w:val="18"/>
              </w:rPr>
              <w:t xml:space="preserve"> costs</w:t>
            </w:r>
            <w:r w:rsidRPr="00577845">
              <w:rPr>
                <w:b/>
                <w:szCs w:val="18"/>
              </w:rPr>
              <w:t xml:space="preserve"> (page </w:t>
            </w:r>
            <w:r w:rsidRPr="00577845" w:rsidDel="00333AB5">
              <w:rPr>
                <w:b/>
                <w:szCs w:val="18"/>
              </w:rPr>
              <w:t>5</w:t>
            </w:r>
            <w:r w:rsidRPr="00577845">
              <w:rPr>
                <w:b/>
                <w:szCs w:val="18"/>
              </w:rPr>
              <w:t>)</w:t>
            </w:r>
          </w:p>
        </w:tc>
        <w:tc>
          <w:tcPr>
            <w:tcW w:w="410" w:type="dxa"/>
            <w:vAlign w:val="center"/>
          </w:tcPr>
          <w:p w14:paraId="60C0155E" w14:textId="77777777" w:rsidR="009949BF" w:rsidRPr="00577845" w:rsidRDefault="009949BF" w:rsidP="009949BF">
            <w:pPr>
              <w:jc w:val="center"/>
              <w:rPr>
                <w:b/>
                <w:i/>
                <w:szCs w:val="18"/>
              </w:rPr>
            </w:pPr>
          </w:p>
        </w:tc>
        <w:tc>
          <w:tcPr>
            <w:tcW w:w="1554" w:type="dxa"/>
            <w:vAlign w:val="center"/>
          </w:tcPr>
          <w:p w14:paraId="4400AA17" w14:textId="54C47DBA" w:rsidR="009949BF" w:rsidRPr="00577845" w:rsidRDefault="009949BF" w:rsidP="009949BF">
            <w:pPr>
              <w:tabs>
                <w:tab w:val="decimal" w:pos="1140"/>
              </w:tabs>
              <w:rPr>
                <w:b/>
                <w:szCs w:val="18"/>
              </w:rPr>
            </w:pPr>
            <w:r w:rsidRPr="00577845">
              <w:rPr>
                <w:b/>
                <w:szCs w:val="18"/>
              </w:rPr>
              <w:t>77.2</w:t>
            </w:r>
          </w:p>
        </w:tc>
        <w:tc>
          <w:tcPr>
            <w:tcW w:w="1569" w:type="dxa"/>
            <w:vAlign w:val="center"/>
          </w:tcPr>
          <w:p w14:paraId="688A1742" w14:textId="35D07E90" w:rsidR="009949BF" w:rsidRPr="00577845" w:rsidRDefault="009949BF" w:rsidP="009949BF">
            <w:pPr>
              <w:tabs>
                <w:tab w:val="decimal" w:pos="1155"/>
              </w:tabs>
              <w:rPr>
                <w:b/>
                <w:i/>
                <w:szCs w:val="18"/>
              </w:rPr>
            </w:pPr>
            <w:r w:rsidRPr="00577845">
              <w:rPr>
                <w:b/>
                <w:szCs w:val="18"/>
              </w:rPr>
              <w:t>74.9</w:t>
            </w:r>
          </w:p>
        </w:tc>
        <w:tc>
          <w:tcPr>
            <w:tcW w:w="1584" w:type="dxa"/>
            <w:vAlign w:val="center"/>
          </w:tcPr>
          <w:p w14:paraId="14AB3631" w14:textId="51CFD735" w:rsidR="009949BF" w:rsidRPr="00577845" w:rsidRDefault="009949BF" w:rsidP="005F0E7F">
            <w:pPr>
              <w:tabs>
                <w:tab w:val="decimal" w:pos="1170"/>
              </w:tabs>
              <w:jc w:val="center"/>
              <w:rPr>
                <w:b/>
                <w:szCs w:val="18"/>
              </w:rPr>
            </w:pPr>
            <w:r w:rsidRPr="00577845">
              <w:rPr>
                <w:b/>
                <w:szCs w:val="18"/>
              </w:rPr>
              <w:t>150.9</w:t>
            </w:r>
          </w:p>
        </w:tc>
      </w:tr>
      <w:tr w:rsidR="009949BF" w14:paraId="76CAEA06" w14:textId="77777777" w:rsidTr="005F0E7F">
        <w:trPr>
          <w:gridAfter w:val="1"/>
          <w:wAfter w:w="95" w:type="dxa"/>
        </w:trPr>
        <w:tc>
          <w:tcPr>
            <w:tcW w:w="4993" w:type="dxa"/>
            <w:vAlign w:val="center"/>
          </w:tcPr>
          <w:p w14:paraId="4D3BF718" w14:textId="5A159D2A" w:rsidR="009949BF" w:rsidRPr="00577845" w:rsidRDefault="009949BF" w:rsidP="009949BF">
            <w:pPr>
              <w:rPr>
                <w:b/>
                <w:bCs/>
                <w:i/>
                <w:iCs/>
                <w:szCs w:val="18"/>
              </w:rPr>
            </w:pPr>
            <w:r w:rsidRPr="00577845">
              <w:rPr>
                <w:b/>
                <w:szCs w:val="18"/>
              </w:rPr>
              <w:t>Net revenue before performance fees (see above)</w:t>
            </w:r>
          </w:p>
        </w:tc>
        <w:tc>
          <w:tcPr>
            <w:tcW w:w="410" w:type="dxa"/>
            <w:vAlign w:val="center"/>
          </w:tcPr>
          <w:p w14:paraId="10834264" w14:textId="77777777" w:rsidR="009949BF" w:rsidRPr="00577845" w:rsidRDefault="009949BF" w:rsidP="009949BF">
            <w:pPr>
              <w:jc w:val="center"/>
              <w:rPr>
                <w:b/>
                <w:i/>
                <w:szCs w:val="18"/>
              </w:rPr>
            </w:pPr>
          </w:p>
        </w:tc>
        <w:tc>
          <w:tcPr>
            <w:tcW w:w="1554" w:type="dxa"/>
            <w:vAlign w:val="center"/>
          </w:tcPr>
          <w:p w14:paraId="1696B4AC" w14:textId="32F6E902" w:rsidR="009949BF" w:rsidRPr="00577845" w:rsidRDefault="009949BF" w:rsidP="009949BF">
            <w:pPr>
              <w:tabs>
                <w:tab w:val="decimal" w:pos="1140"/>
              </w:tabs>
              <w:rPr>
                <w:b/>
                <w:bCs/>
                <w:szCs w:val="18"/>
              </w:rPr>
            </w:pPr>
            <w:r w:rsidRPr="00577845">
              <w:rPr>
                <w:b/>
                <w:bCs/>
                <w:szCs w:val="18"/>
              </w:rPr>
              <w:t>169.8</w:t>
            </w:r>
          </w:p>
        </w:tc>
        <w:tc>
          <w:tcPr>
            <w:tcW w:w="1569" w:type="dxa"/>
            <w:vAlign w:val="center"/>
          </w:tcPr>
          <w:p w14:paraId="2E9DE2C2" w14:textId="403789A5" w:rsidR="009949BF" w:rsidRPr="00577845" w:rsidRDefault="009949BF" w:rsidP="009949BF">
            <w:pPr>
              <w:tabs>
                <w:tab w:val="decimal" w:pos="1155"/>
              </w:tabs>
              <w:rPr>
                <w:b/>
                <w:bCs/>
                <w:i/>
                <w:iCs/>
                <w:szCs w:val="18"/>
              </w:rPr>
            </w:pPr>
            <w:r w:rsidRPr="00577845">
              <w:rPr>
                <w:b/>
                <w:szCs w:val="18"/>
              </w:rPr>
              <w:t>180.6</w:t>
            </w:r>
          </w:p>
        </w:tc>
        <w:tc>
          <w:tcPr>
            <w:tcW w:w="1584" w:type="dxa"/>
            <w:vAlign w:val="center"/>
          </w:tcPr>
          <w:p w14:paraId="7A10EFC2" w14:textId="2076E3B3" w:rsidR="009949BF" w:rsidRPr="00577845" w:rsidRDefault="009949BF" w:rsidP="005F0E7F">
            <w:pPr>
              <w:tabs>
                <w:tab w:val="decimal" w:pos="1170"/>
              </w:tabs>
              <w:jc w:val="center"/>
              <w:rPr>
                <w:b/>
                <w:bCs/>
                <w:szCs w:val="18"/>
              </w:rPr>
            </w:pPr>
            <w:r w:rsidRPr="00577845">
              <w:rPr>
                <w:b/>
                <w:bCs/>
                <w:szCs w:val="18"/>
              </w:rPr>
              <w:t>355.6</w:t>
            </w:r>
          </w:p>
        </w:tc>
      </w:tr>
      <w:tr w:rsidR="009949BF" w:rsidRPr="009944A0" w14:paraId="4D617979" w14:textId="77777777" w:rsidTr="005F0E7F">
        <w:trPr>
          <w:gridAfter w:val="1"/>
          <w:wAfter w:w="95" w:type="dxa"/>
        </w:trPr>
        <w:tc>
          <w:tcPr>
            <w:tcW w:w="4993" w:type="dxa"/>
            <w:shd w:val="clear" w:color="auto" w:fill="E4E8ED" w:themeFill="accent4" w:themeFillTint="33"/>
            <w:vAlign w:val="center"/>
          </w:tcPr>
          <w:p w14:paraId="6180CE75" w14:textId="7D9A15A5" w:rsidR="009949BF" w:rsidRPr="00577845" w:rsidRDefault="009949BF" w:rsidP="009949BF">
            <w:pPr>
              <w:rPr>
                <w:b/>
                <w:bCs/>
                <w:i/>
                <w:iCs/>
                <w:szCs w:val="18"/>
              </w:rPr>
            </w:pPr>
            <w:r w:rsidRPr="00577845">
              <w:rPr>
                <w:b/>
                <w:i/>
                <w:szCs w:val="18"/>
              </w:rPr>
              <w:t>Total compensation ratio before performance fees</w:t>
            </w:r>
          </w:p>
        </w:tc>
        <w:tc>
          <w:tcPr>
            <w:tcW w:w="410" w:type="dxa"/>
            <w:shd w:val="clear" w:color="auto" w:fill="E4E8ED" w:themeFill="accent4" w:themeFillTint="33"/>
            <w:vAlign w:val="center"/>
          </w:tcPr>
          <w:p w14:paraId="257D3619" w14:textId="5A55E0DB" w:rsidR="009949BF" w:rsidRPr="00577845" w:rsidRDefault="003351B4" w:rsidP="009949BF">
            <w:pPr>
              <w:jc w:val="center"/>
              <w:rPr>
                <w:b/>
                <w:i/>
                <w:szCs w:val="18"/>
              </w:rPr>
            </w:pPr>
            <w:r w:rsidRPr="00577845">
              <w:rPr>
                <w:b/>
                <w:i/>
                <w:szCs w:val="18"/>
              </w:rPr>
              <w:t>4</w:t>
            </w:r>
          </w:p>
        </w:tc>
        <w:tc>
          <w:tcPr>
            <w:tcW w:w="1554" w:type="dxa"/>
            <w:shd w:val="clear" w:color="auto" w:fill="E4E8ED" w:themeFill="accent4" w:themeFillTint="33"/>
            <w:vAlign w:val="center"/>
          </w:tcPr>
          <w:p w14:paraId="4F911D85" w14:textId="06AE62BA" w:rsidR="009949BF" w:rsidRPr="00577845" w:rsidRDefault="009949BF" w:rsidP="009949BF">
            <w:pPr>
              <w:tabs>
                <w:tab w:val="decimal" w:pos="1140"/>
              </w:tabs>
              <w:rPr>
                <w:b/>
                <w:bCs/>
                <w:i/>
                <w:iCs/>
                <w:szCs w:val="18"/>
              </w:rPr>
            </w:pPr>
            <w:r w:rsidRPr="00577845">
              <w:rPr>
                <w:b/>
                <w:bCs/>
                <w:i/>
                <w:iCs/>
                <w:szCs w:val="18"/>
              </w:rPr>
              <w:t>45%</w:t>
            </w:r>
          </w:p>
        </w:tc>
        <w:tc>
          <w:tcPr>
            <w:tcW w:w="1569" w:type="dxa"/>
            <w:shd w:val="clear" w:color="auto" w:fill="E4E8ED" w:themeFill="accent4" w:themeFillTint="33"/>
            <w:vAlign w:val="center"/>
          </w:tcPr>
          <w:p w14:paraId="0D265940" w14:textId="2EDE5CC5" w:rsidR="009949BF" w:rsidRPr="00577845" w:rsidRDefault="009949BF" w:rsidP="009949BF">
            <w:pPr>
              <w:tabs>
                <w:tab w:val="decimal" w:pos="1155"/>
              </w:tabs>
              <w:rPr>
                <w:b/>
                <w:bCs/>
                <w:i/>
                <w:iCs/>
                <w:szCs w:val="18"/>
              </w:rPr>
            </w:pPr>
            <w:r w:rsidRPr="00577845">
              <w:rPr>
                <w:b/>
                <w:bCs/>
                <w:i/>
                <w:iCs/>
                <w:szCs w:val="18"/>
              </w:rPr>
              <w:t>41%</w:t>
            </w:r>
          </w:p>
        </w:tc>
        <w:tc>
          <w:tcPr>
            <w:tcW w:w="1584" w:type="dxa"/>
            <w:shd w:val="clear" w:color="auto" w:fill="E4E8ED" w:themeFill="accent4" w:themeFillTint="33"/>
            <w:vAlign w:val="center"/>
          </w:tcPr>
          <w:p w14:paraId="133AAF3D" w14:textId="7AE99A82" w:rsidR="009949BF" w:rsidRPr="00577845" w:rsidRDefault="009949BF" w:rsidP="005F0E7F">
            <w:pPr>
              <w:tabs>
                <w:tab w:val="decimal" w:pos="1170"/>
              </w:tabs>
              <w:jc w:val="center"/>
              <w:rPr>
                <w:b/>
                <w:bCs/>
                <w:i/>
                <w:iCs/>
                <w:szCs w:val="18"/>
              </w:rPr>
            </w:pPr>
            <w:r w:rsidRPr="00577845">
              <w:rPr>
                <w:b/>
                <w:bCs/>
                <w:i/>
                <w:iCs/>
                <w:szCs w:val="18"/>
              </w:rPr>
              <w:t>42%</w:t>
            </w:r>
          </w:p>
        </w:tc>
      </w:tr>
      <w:tr w:rsidR="009949BF" w14:paraId="5DB680BF" w14:textId="77777777" w:rsidTr="005F0E7F">
        <w:trPr>
          <w:gridAfter w:val="1"/>
          <w:wAfter w:w="95" w:type="dxa"/>
        </w:trPr>
        <w:tc>
          <w:tcPr>
            <w:tcW w:w="4993" w:type="dxa"/>
            <w:vAlign w:val="center"/>
          </w:tcPr>
          <w:p w14:paraId="2F7DE748" w14:textId="77777777" w:rsidR="009949BF" w:rsidRPr="00577845" w:rsidRDefault="009949BF" w:rsidP="009949BF">
            <w:pPr>
              <w:rPr>
                <w:b/>
                <w:bCs/>
                <w:i/>
                <w:iCs/>
                <w:szCs w:val="18"/>
              </w:rPr>
            </w:pPr>
          </w:p>
        </w:tc>
        <w:tc>
          <w:tcPr>
            <w:tcW w:w="410" w:type="dxa"/>
            <w:vAlign w:val="center"/>
          </w:tcPr>
          <w:p w14:paraId="0C1E8436" w14:textId="77777777" w:rsidR="009949BF" w:rsidRPr="00577845" w:rsidRDefault="009949BF" w:rsidP="009949BF">
            <w:pPr>
              <w:jc w:val="center"/>
              <w:rPr>
                <w:b/>
                <w:i/>
                <w:szCs w:val="18"/>
              </w:rPr>
            </w:pPr>
          </w:p>
        </w:tc>
        <w:tc>
          <w:tcPr>
            <w:tcW w:w="1554" w:type="dxa"/>
            <w:vAlign w:val="center"/>
          </w:tcPr>
          <w:p w14:paraId="09C2B0EF" w14:textId="77777777" w:rsidR="009949BF" w:rsidRPr="00577845" w:rsidRDefault="009949BF" w:rsidP="009949BF">
            <w:pPr>
              <w:tabs>
                <w:tab w:val="decimal" w:pos="1140"/>
              </w:tabs>
              <w:rPr>
                <w:szCs w:val="18"/>
              </w:rPr>
            </w:pPr>
          </w:p>
        </w:tc>
        <w:tc>
          <w:tcPr>
            <w:tcW w:w="1569" w:type="dxa"/>
            <w:vAlign w:val="center"/>
          </w:tcPr>
          <w:p w14:paraId="0D0A85D6" w14:textId="77777777" w:rsidR="009949BF" w:rsidRPr="00577845" w:rsidRDefault="009949BF" w:rsidP="009949BF">
            <w:pPr>
              <w:tabs>
                <w:tab w:val="decimal" w:pos="1155"/>
              </w:tabs>
              <w:rPr>
                <w:b/>
                <w:bCs/>
                <w:i/>
                <w:iCs/>
                <w:szCs w:val="18"/>
              </w:rPr>
            </w:pPr>
          </w:p>
        </w:tc>
        <w:tc>
          <w:tcPr>
            <w:tcW w:w="1584" w:type="dxa"/>
            <w:vAlign w:val="center"/>
          </w:tcPr>
          <w:p w14:paraId="67BD2161" w14:textId="77777777" w:rsidR="009949BF" w:rsidRPr="00577845" w:rsidRDefault="009949BF" w:rsidP="005F0E7F">
            <w:pPr>
              <w:tabs>
                <w:tab w:val="decimal" w:pos="1170"/>
              </w:tabs>
              <w:jc w:val="center"/>
              <w:rPr>
                <w:szCs w:val="18"/>
              </w:rPr>
            </w:pPr>
          </w:p>
        </w:tc>
      </w:tr>
      <w:tr w:rsidR="009949BF" w14:paraId="1D24C7BA" w14:textId="77777777" w:rsidTr="005F0E7F">
        <w:trPr>
          <w:gridAfter w:val="1"/>
          <w:wAfter w:w="95" w:type="dxa"/>
        </w:trPr>
        <w:tc>
          <w:tcPr>
            <w:tcW w:w="4993" w:type="dxa"/>
            <w:vAlign w:val="center"/>
          </w:tcPr>
          <w:p w14:paraId="5E8CCC46" w14:textId="7EA2B26A" w:rsidR="009949BF" w:rsidRPr="00577845" w:rsidRDefault="009949BF" w:rsidP="009949BF">
            <w:pPr>
              <w:rPr>
                <w:b/>
                <w:bCs/>
                <w:i/>
                <w:iCs/>
                <w:szCs w:val="18"/>
              </w:rPr>
            </w:pPr>
            <w:r w:rsidRPr="00577845">
              <w:rPr>
                <w:szCs w:val="18"/>
              </w:rPr>
              <w:t>Statutory profit before tax (page 7)</w:t>
            </w:r>
          </w:p>
        </w:tc>
        <w:tc>
          <w:tcPr>
            <w:tcW w:w="410" w:type="dxa"/>
            <w:vAlign w:val="center"/>
          </w:tcPr>
          <w:p w14:paraId="5A8575D1" w14:textId="77777777" w:rsidR="009949BF" w:rsidRPr="00577845" w:rsidRDefault="009949BF" w:rsidP="009949BF">
            <w:pPr>
              <w:jc w:val="center"/>
              <w:rPr>
                <w:b/>
                <w:i/>
                <w:szCs w:val="18"/>
              </w:rPr>
            </w:pPr>
          </w:p>
        </w:tc>
        <w:tc>
          <w:tcPr>
            <w:tcW w:w="1554" w:type="dxa"/>
            <w:vAlign w:val="center"/>
          </w:tcPr>
          <w:p w14:paraId="4D05AB57" w14:textId="50CC6AF7" w:rsidR="009949BF" w:rsidRPr="00577845" w:rsidRDefault="009949BF" w:rsidP="009949BF">
            <w:pPr>
              <w:tabs>
                <w:tab w:val="decimal" w:pos="1140"/>
              </w:tabs>
              <w:rPr>
                <w:szCs w:val="18"/>
              </w:rPr>
            </w:pPr>
            <w:r w:rsidRPr="00577845">
              <w:rPr>
                <w:szCs w:val="18"/>
              </w:rPr>
              <w:t>38.7</w:t>
            </w:r>
          </w:p>
        </w:tc>
        <w:tc>
          <w:tcPr>
            <w:tcW w:w="1569" w:type="dxa"/>
            <w:vAlign w:val="center"/>
          </w:tcPr>
          <w:p w14:paraId="6D8B0F54" w14:textId="5A7CB039" w:rsidR="009949BF" w:rsidRPr="00577845" w:rsidRDefault="009949BF" w:rsidP="009949BF">
            <w:pPr>
              <w:tabs>
                <w:tab w:val="decimal" w:pos="1155"/>
              </w:tabs>
              <w:rPr>
                <w:b/>
                <w:bCs/>
                <w:i/>
                <w:iCs/>
                <w:szCs w:val="18"/>
              </w:rPr>
            </w:pPr>
            <w:r w:rsidRPr="00577845">
              <w:rPr>
                <w:szCs w:val="18"/>
              </w:rPr>
              <w:t>34.8</w:t>
            </w:r>
          </w:p>
        </w:tc>
        <w:tc>
          <w:tcPr>
            <w:tcW w:w="1584" w:type="dxa"/>
            <w:vAlign w:val="center"/>
          </w:tcPr>
          <w:p w14:paraId="0AD80AD8" w14:textId="672716EE" w:rsidR="009949BF" w:rsidRPr="00577845" w:rsidRDefault="009949BF" w:rsidP="005F0E7F">
            <w:pPr>
              <w:tabs>
                <w:tab w:val="decimal" w:pos="1170"/>
              </w:tabs>
              <w:jc w:val="center"/>
              <w:rPr>
                <w:szCs w:val="18"/>
              </w:rPr>
            </w:pPr>
            <w:r w:rsidRPr="00577845">
              <w:rPr>
                <w:szCs w:val="18"/>
              </w:rPr>
              <w:t>9.4</w:t>
            </w:r>
          </w:p>
        </w:tc>
      </w:tr>
      <w:tr w:rsidR="009949BF" w14:paraId="18BD63A8" w14:textId="77777777" w:rsidTr="005F0E7F">
        <w:trPr>
          <w:gridAfter w:val="1"/>
          <w:wAfter w:w="95" w:type="dxa"/>
        </w:trPr>
        <w:tc>
          <w:tcPr>
            <w:tcW w:w="4993" w:type="dxa"/>
            <w:vAlign w:val="center"/>
          </w:tcPr>
          <w:p w14:paraId="270EFA72" w14:textId="15AE0EF8" w:rsidR="009949BF" w:rsidRPr="00577845" w:rsidRDefault="009949BF" w:rsidP="009949BF">
            <w:pPr>
              <w:rPr>
                <w:b/>
                <w:bCs/>
                <w:i/>
                <w:iCs/>
                <w:szCs w:val="18"/>
              </w:rPr>
            </w:pPr>
            <w:r w:rsidRPr="00577845">
              <w:rPr>
                <w:szCs w:val="18"/>
              </w:rPr>
              <w:t>Exceptional items (page 5)</w:t>
            </w:r>
          </w:p>
        </w:tc>
        <w:tc>
          <w:tcPr>
            <w:tcW w:w="410" w:type="dxa"/>
            <w:vAlign w:val="center"/>
          </w:tcPr>
          <w:p w14:paraId="04AAB305" w14:textId="77777777" w:rsidR="009949BF" w:rsidRPr="00577845" w:rsidRDefault="009949BF" w:rsidP="009949BF">
            <w:pPr>
              <w:jc w:val="center"/>
              <w:rPr>
                <w:b/>
                <w:i/>
                <w:szCs w:val="18"/>
              </w:rPr>
            </w:pPr>
          </w:p>
        </w:tc>
        <w:tc>
          <w:tcPr>
            <w:tcW w:w="1554" w:type="dxa"/>
            <w:vAlign w:val="center"/>
          </w:tcPr>
          <w:p w14:paraId="23A284DC" w14:textId="1F058810" w:rsidR="009949BF" w:rsidRPr="00577845" w:rsidRDefault="009949BF" w:rsidP="009949BF">
            <w:pPr>
              <w:tabs>
                <w:tab w:val="decimal" w:pos="1140"/>
              </w:tabs>
              <w:rPr>
                <w:szCs w:val="18"/>
              </w:rPr>
            </w:pPr>
            <w:r w:rsidRPr="00577845">
              <w:rPr>
                <w:szCs w:val="18"/>
              </w:rPr>
              <w:t>9.2</w:t>
            </w:r>
          </w:p>
        </w:tc>
        <w:tc>
          <w:tcPr>
            <w:tcW w:w="1569" w:type="dxa"/>
            <w:vAlign w:val="center"/>
          </w:tcPr>
          <w:p w14:paraId="2CCFAEAF" w14:textId="0C864324" w:rsidR="009949BF" w:rsidRPr="00577845" w:rsidRDefault="009949BF" w:rsidP="009949BF">
            <w:pPr>
              <w:tabs>
                <w:tab w:val="decimal" w:pos="1155"/>
              </w:tabs>
              <w:rPr>
                <w:b/>
                <w:bCs/>
                <w:i/>
                <w:iCs/>
                <w:szCs w:val="18"/>
              </w:rPr>
            </w:pPr>
            <w:r w:rsidRPr="00577845">
              <w:rPr>
                <w:szCs w:val="18"/>
              </w:rPr>
              <w:t>11.6</w:t>
            </w:r>
          </w:p>
        </w:tc>
        <w:tc>
          <w:tcPr>
            <w:tcW w:w="1584" w:type="dxa"/>
            <w:vAlign w:val="center"/>
          </w:tcPr>
          <w:p w14:paraId="366D4358" w14:textId="7377E78C" w:rsidR="009949BF" w:rsidRPr="00577845" w:rsidRDefault="009949BF" w:rsidP="005F0E7F">
            <w:pPr>
              <w:tabs>
                <w:tab w:val="decimal" w:pos="1170"/>
              </w:tabs>
              <w:jc w:val="center"/>
              <w:rPr>
                <w:szCs w:val="18"/>
              </w:rPr>
            </w:pPr>
            <w:r w:rsidRPr="00577845">
              <w:rPr>
                <w:szCs w:val="18"/>
              </w:rPr>
              <w:t>95.8</w:t>
            </w:r>
          </w:p>
        </w:tc>
      </w:tr>
      <w:tr w:rsidR="009949BF" w14:paraId="79993254" w14:textId="77777777" w:rsidTr="005F0E7F">
        <w:trPr>
          <w:gridAfter w:val="1"/>
          <w:wAfter w:w="95" w:type="dxa"/>
        </w:trPr>
        <w:tc>
          <w:tcPr>
            <w:tcW w:w="4993" w:type="dxa"/>
            <w:vAlign w:val="center"/>
          </w:tcPr>
          <w:p w14:paraId="34A4F1F5" w14:textId="231524F4" w:rsidR="009949BF" w:rsidRPr="00577845" w:rsidRDefault="009949BF" w:rsidP="009949BF">
            <w:pPr>
              <w:rPr>
                <w:b/>
                <w:bCs/>
                <w:i/>
                <w:iCs/>
                <w:szCs w:val="18"/>
              </w:rPr>
            </w:pPr>
            <w:r w:rsidRPr="00577845">
              <w:rPr>
                <w:b/>
                <w:szCs w:val="18"/>
              </w:rPr>
              <w:t>Underlying profit before tax</w:t>
            </w:r>
          </w:p>
        </w:tc>
        <w:tc>
          <w:tcPr>
            <w:tcW w:w="410" w:type="dxa"/>
            <w:vAlign w:val="center"/>
          </w:tcPr>
          <w:p w14:paraId="36E31A3F" w14:textId="77777777" w:rsidR="009949BF" w:rsidRPr="00577845" w:rsidRDefault="009949BF" w:rsidP="009949BF">
            <w:pPr>
              <w:jc w:val="center"/>
              <w:rPr>
                <w:b/>
                <w:i/>
                <w:szCs w:val="18"/>
              </w:rPr>
            </w:pPr>
          </w:p>
        </w:tc>
        <w:tc>
          <w:tcPr>
            <w:tcW w:w="1554" w:type="dxa"/>
            <w:vAlign w:val="center"/>
          </w:tcPr>
          <w:p w14:paraId="4172BF59" w14:textId="300002B7" w:rsidR="009949BF" w:rsidRPr="00577845" w:rsidRDefault="009949BF" w:rsidP="009949BF">
            <w:pPr>
              <w:tabs>
                <w:tab w:val="decimal" w:pos="1140"/>
              </w:tabs>
              <w:rPr>
                <w:b/>
                <w:bCs/>
                <w:szCs w:val="18"/>
              </w:rPr>
            </w:pPr>
            <w:r w:rsidRPr="00577845">
              <w:rPr>
                <w:b/>
                <w:bCs/>
                <w:szCs w:val="18"/>
              </w:rPr>
              <w:t>47.9</w:t>
            </w:r>
          </w:p>
        </w:tc>
        <w:tc>
          <w:tcPr>
            <w:tcW w:w="1569" w:type="dxa"/>
            <w:vAlign w:val="center"/>
          </w:tcPr>
          <w:p w14:paraId="6A2398B7" w14:textId="13CA1961" w:rsidR="009949BF" w:rsidRPr="00577845" w:rsidRDefault="009949BF" w:rsidP="009949BF">
            <w:pPr>
              <w:tabs>
                <w:tab w:val="decimal" w:pos="1155"/>
              </w:tabs>
              <w:rPr>
                <w:b/>
                <w:bCs/>
                <w:i/>
                <w:iCs/>
                <w:szCs w:val="18"/>
              </w:rPr>
            </w:pPr>
            <w:r w:rsidRPr="00577845">
              <w:rPr>
                <w:b/>
                <w:szCs w:val="18"/>
              </w:rPr>
              <w:t>46.4</w:t>
            </w:r>
          </w:p>
        </w:tc>
        <w:tc>
          <w:tcPr>
            <w:tcW w:w="1584" w:type="dxa"/>
            <w:vAlign w:val="center"/>
          </w:tcPr>
          <w:p w14:paraId="72A68715" w14:textId="0534155C" w:rsidR="009949BF" w:rsidRPr="00577845" w:rsidRDefault="009949BF" w:rsidP="005F0E7F">
            <w:pPr>
              <w:tabs>
                <w:tab w:val="decimal" w:pos="1170"/>
              </w:tabs>
              <w:jc w:val="center"/>
              <w:rPr>
                <w:b/>
                <w:bCs/>
                <w:szCs w:val="18"/>
              </w:rPr>
            </w:pPr>
            <w:r w:rsidRPr="00577845">
              <w:rPr>
                <w:b/>
                <w:bCs/>
                <w:szCs w:val="18"/>
              </w:rPr>
              <w:t>105.2</w:t>
            </w:r>
          </w:p>
        </w:tc>
      </w:tr>
      <w:tr w:rsidR="009949BF" w14:paraId="4811B135" w14:textId="77777777" w:rsidTr="005F0E7F">
        <w:trPr>
          <w:gridAfter w:val="1"/>
          <w:wAfter w:w="95" w:type="dxa"/>
        </w:trPr>
        <w:tc>
          <w:tcPr>
            <w:tcW w:w="4993" w:type="dxa"/>
            <w:vAlign w:val="center"/>
          </w:tcPr>
          <w:p w14:paraId="3D9C7AFF" w14:textId="351BC2A7" w:rsidR="009949BF" w:rsidRPr="00577845" w:rsidRDefault="009949BF" w:rsidP="009949BF">
            <w:pPr>
              <w:rPr>
                <w:b/>
                <w:szCs w:val="18"/>
              </w:rPr>
            </w:pPr>
            <w:r w:rsidRPr="00577845">
              <w:rPr>
                <w:szCs w:val="18"/>
              </w:rPr>
              <w:t>Tax at average statutory rate of 25.0% (2023 H1: 22.0% and 2023 FY: 23.5%)</w:t>
            </w:r>
            <w:r w:rsidRPr="00577845">
              <w:rPr>
                <w:szCs w:val="18"/>
                <w:vertAlign w:val="superscript"/>
              </w:rPr>
              <w:t>1</w:t>
            </w:r>
          </w:p>
        </w:tc>
        <w:tc>
          <w:tcPr>
            <w:tcW w:w="410" w:type="dxa"/>
            <w:vAlign w:val="center"/>
          </w:tcPr>
          <w:p w14:paraId="3727536B" w14:textId="77777777" w:rsidR="009949BF" w:rsidRPr="00577845" w:rsidRDefault="009949BF" w:rsidP="009949BF">
            <w:pPr>
              <w:jc w:val="center"/>
              <w:rPr>
                <w:b/>
                <w:i/>
                <w:szCs w:val="18"/>
              </w:rPr>
            </w:pPr>
          </w:p>
        </w:tc>
        <w:tc>
          <w:tcPr>
            <w:tcW w:w="1554" w:type="dxa"/>
            <w:vAlign w:val="center"/>
          </w:tcPr>
          <w:p w14:paraId="7AB7EDFC" w14:textId="493F4B42" w:rsidR="009949BF" w:rsidRPr="00577845" w:rsidRDefault="009949BF" w:rsidP="005F0E7F">
            <w:pPr>
              <w:tabs>
                <w:tab w:val="decimal" w:pos="1140"/>
              </w:tabs>
              <w:rPr>
                <w:szCs w:val="18"/>
              </w:rPr>
            </w:pPr>
            <w:r w:rsidRPr="00577845">
              <w:rPr>
                <w:szCs w:val="18"/>
              </w:rPr>
              <w:t>(12.0)</w:t>
            </w:r>
          </w:p>
        </w:tc>
        <w:tc>
          <w:tcPr>
            <w:tcW w:w="1569" w:type="dxa"/>
            <w:vAlign w:val="center"/>
          </w:tcPr>
          <w:p w14:paraId="7D31CCA3" w14:textId="65D816FA" w:rsidR="009949BF" w:rsidRPr="00577845" w:rsidRDefault="009949BF" w:rsidP="009949BF">
            <w:pPr>
              <w:tabs>
                <w:tab w:val="decimal" w:pos="1155"/>
              </w:tabs>
              <w:rPr>
                <w:b/>
                <w:szCs w:val="18"/>
              </w:rPr>
            </w:pPr>
            <w:r w:rsidRPr="00577845">
              <w:rPr>
                <w:szCs w:val="18"/>
              </w:rPr>
              <w:t>(10.2)</w:t>
            </w:r>
          </w:p>
        </w:tc>
        <w:tc>
          <w:tcPr>
            <w:tcW w:w="1584" w:type="dxa"/>
            <w:vAlign w:val="center"/>
          </w:tcPr>
          <w:p w14:paraId="7A847F39" w14:textId="168D72E0" w:rsidR="009949BF" w:rsidRPr="00577845" w:rsidRDefault="009949BF" w:rsidP="005F0E7F">
            <w:pPr>
              <w:tabs>
                <w:tab w:val="decimal" w:pos="1170"/>
              </w:tabs>
              <w:jc w:val="center"/>
              <w:rPr>
                <w:szCs w:val="18"/>
              </w:rPr>
            </w:pPr>
            <w:r w:rsidRPr="00577845">
              <w:rPr>
                <w:szCs w:val="18"/>
              </w:rPr>
              <w:t>(24.7)</w:t>
            </w:r>
          </w:p>
        </w:tc>
      </w:tr>
      <w:tr w:rsidR="009949BF" w14:paraId="4CC2FF0C" w14:textId="77777777" w:rsidTr="005F0E7F">
        <w:trPr>
          <w:gridAfter w:val="1"/>
          <w:wAfter w:w="95" w:type="dxa"/>
        </w:trPr>
        <w:tc>
          <w:tcPr>
            <w:tcW w:w="4993" w:type="dxa"/>
            <w:vAlign w:val="center"/>
          </w:tcPr>
          <w:p w14:paraId="65FEE326" w14:textId="6FBF4812" w:rsidR="009949BF" w:rsidRPr="00577845" w:rsidRDefault="009949BF" w:rsidP="009949BF">
            <w:pPr>
              <w:rPr>
                <w:szCs w:val="18"/>
              </w:rPr>
            </w:pPr>
            <w:r w:rsidRPr="00577845">
              <w:rPr>
                <w:b/>
                <w:szCs w:val="18"/>
              </w:rPr>
              <w:t>Underlying profit after tax</w:t>
            </w:r>
          </w:p>
        </w:tc>
        <w:tc>
          <w:tcPr>
            <w:tcW w:w="410" w:type="dxa"/>
            <w:vAlign w:val="center"/>
          </w:tcPr>
          <w:p w14:paraId="7E5D03FD" w14:textId="77777777" w:rsidR="009949BF" w:rsidRPr="00577845" w:rsidRDefault="009949BF" w:rsidP="009949BF">
            <w:pPr>
              <w:jc w:val="center"/>
              <w:rPr>
                <w:b/>
                <w:i/>
                <w:szCs w:val="18"/>
              </w:rPr>
            </w:pPr>
          </w:p>
        </w:tc>
        <w:tc>
          <w:tcPr>
            <w:tcW w:w="1554" w:type="dxa"/>
            <w:vAlign w:val="center"/>
          </w:tcPr>
          <w:p w14:paraId="516F0349" w14:textId="50391587" w:rsidR="009949BF" w:rsidRPr="00577845" w:rsidRDefault="009949BF" w:rsidP="009949BF">
            <w:pPr>
              <w:tabs>
                <w:tab w:val="decimal" w:pos="1140"/>
              </w:tabs>
              <w:rPr>
                <w:b/>
                <w:bCs/>
                <w:szCs w:val="18"/>
              </w:rPr>
            </w:pPr>
            <w:r w:rsidRPr="00577845">
              <w:rPr>
                <w:b/>
                <w:bCs/>
                <w:szCs w:val="18"/>
              </w:rPr>
              <w:t>35.9</w:t>
            </w:r>
          </w:p>
        </w:tc>
        <w:tc>
          <w:tcPr>
            <w:tcW w:w="1569" w:type="dxa"/>
            <w:vAlign w:val="center"/>
          </w:tcPr>
          <w:p w14:paraId="2ADDE375" w14:textId="5E87ABCE" w:rsidR="009949BF" w:rsidRPr="00577845" w:rsidRDefault="009949BF" w:rsidP="009949BF">
            <w:pPr>
              <w:tabs>
                <w:tab w:val="decimal" w:pos="1155"/>
              </w:tabs>
              <w:rPr>
                <w:szCs w:val="18"/>
              </w:rPr>
            </w:pPr>
            <w:r w:rsidRPr="00577845">
              <w:rPr>
                <w:b/>
                <w:szCs w:val="18"/>
              </w:rPr>
              <w:t>36.2</w:t>
            </w:r>
          </w:p>
        </w:tc>
        <w:tc>
          <w:tcPr>
            <w:tcW w:w="1584" w:type="dxa"/>
            <w:vAlign w:val="center"/>
          </w:tcPr>
          <w:p w14:paraId="1D6BD47A" w14:textId="0C51F015" w:rsidR="009949BF" w:rsidRPr="00577845" w:rsidRDefault="009949BF" w:rsidP="005F0E7F">
            <w:pPr>
              <w:tabs>
                <w:tab w:val="decimal" w:pos="1170"/>
              </w:tabs>
              <w:jc w:val="center"/>
              <w:rPr>
                <w:b/>
                <w:bCs/>
                <w:szCs w:val="18"/>
              </w:rPr>
            </w:pPr>
            <w:r w:rsidRPr="00577845">
              <w:rPr>
                <w:b/>
                <w:bCs/>
                <w:szCs w:val="18"/>
              </w:rPr>
              <w:t>80.5</w:t>
            </w:r>
          </w:p>
        </w:tc>
      </w:tr>
      <w:tr w:rsidR="009949BF" w14:paraId="48729B3A" w14:textId="77777777" w:rsidTr="005F0E7F">
        <w:trPr>
          <w:trHeight w:val="87"/>
        </w:trPr>
        <w:tc>
          <w:tcPr>
            <w:tcW w:w="4993" w:type="dxa"/>
            <w:vAlign w:val="center"/>
          </w:tcPr>
          <w:p w14:paraId="0108698E" w14:textId="08F99A84" w:rsidR="009949BF" w:rsidRPr="00577845" w:rsidRDefault="009949BF" w:rsidP="009949BF">
            <w:pPr>
              <w:rPr>
                <w:b/>
                <w:szCs w:val="18"/>
              </w:rPr>
            </w:pPr>
            <w:r w:rsidRPr="00577845">
              <w:rPr>
                <w:szCs w:val="18"/>
              </w:rPr>
              <w:t>Loss attributable to non-controlling interests (page 9)</w:t>
            </w:r>
          </w:p>
        </w:tc>
        <w:tc>
          <w:tcPr>
            <w:tcW w:w="410" w:type="dxa"/>
            <w:vAlign w:val="center"/>
          </w:tcPr>
          <w:p w14:paraId="3AC62BAD" w14:textId="77777777" w:rsidR="009949BF" w:rsidRPr="00577845" w:rsidRDefault="009949BF" w:rsidP="009949BF">
            <w:pPr>
              <w:jc w:val="center"/>
              <w:rPr>
                <w:b/>
                <w:i/>
                <w:szCs w:val="18"/>
              </w:rPr>
            </w:pPr>
          </w:p>
        </w:tc>
        <w:tc>
          <w:tcPr>
            <w:tcW w:w="1554" w:type="dxa"/>
            <w:vAlign w:val="center"/>
          </w:tcPr>
          <w:p w14:paraId="5F866370" w14:textId="3DE50FFD" w:rsidR="009949BF" w:rsidRPr="00577845" w:rsidRDefault="009949BF" w:rsidP="009949BF">
            <w:pPr>
              <w:tabs>
                <w:tab w:val="decimal" w:pos="1140"/>
              </w:tabs>
              <w:rPr>
                <w:szCs w:val="18"/>
              </w:rPr>
            </w:pPr>
            <w:r w:rsidRPr="00577845">
              <w:rPr>
                <w:szCs w:val="18"/>
              </w:rPr>
              <w:t>–</w:t>
            </w:r>
          </w:p>
        </w:tc>
        <w:tc>
          <w:tcPr>
            <w:tcW w:w="1569" w:type="dxa"/>
            <w:vAlign w:val="center"/>
          </w:tcPr>
          <w:p w14:paraId="41A1B1F4" w14:textId="6FE8C4D3" w:rsidR="009949BF" w:rsidRPr="00577845" w:rsidRDefault="009949BF" w:rsidP="009949BF">
            <w:pPr>
              <w:tabs>
                <w:tab w:val="decimal" w:pos="1155"/>
              </w:tabs>
              <w:rPr>
                <w:b/>
                <w:szCs w:val="18"/>
              </w:rPr>
            </w:pPr>
            <w:r w:rsidRPr="00577845">
              <w:rPr>
                <w:szCs w:val="18"/>
              </w:rPr>
              <w:t>0.1</w:t>
            </w:r>
          </w:p>
        </w:tc>
        <w:tc>
          <w:tcPr>
            <w:tcW w:w="1679" w:type="dxa"/>
            <w:gridSpan w:val="2"/>
            <w:vAlign w:val="center"/>
          </w:tcPr>
          <w:p w14:paraId="7334B78D" w14:textId="05153C68" w:rsidR="009949BF" w:rsidRPr="00577845" w:rsidRDefault="009949BF" w:rsidP="005F0E7F">
            <w:pPr>
              <w:tabs>
                <w:tab w:val="decimal" w:pos="1170"/>
              </w:tabs>
              <w:jc w:val="center"/>
              <w:rPr>
                <w:szCs w:val="18"/>
              </w:rPr>
            </w:pPr>
            <w:r w:rsidRPr="00577845">
              <w:rPr>
                <w:szCs w:val="18"/>
              </w:rPr>
              <w:t>–</w:t>
            </w:r>
          </w:p>
        </w:tc>
      </w:tr>
      <w:tr w:rsidR="009949BF" w14:paraId="3B6F2625" w14:textId="77777777" w:rsidTr="005F0E7F">
        <w:trPr>
          <w:gridAfter w:val="1"/>
          <w:wAfter w:w="95" w:type="dxa"/>
        </w:trPr>
        <w:tc>
          <w:tcPr>
            <w:tcW w:w="4993" w:type="dxa"/>
            <w:vAlign w:val="center"/>
          </w:tcPr>
          <w:p w14:paraId="7A8BA856" w14:textId="32173D52" w:rsidR="009949BF" w:rsidRPr="00577845" w:rsidRDefault="009949BF" w:rsidP="009949BF">
            <w:pPr>
              <w:rPr>
                <w:szCs w:val="18"/>
              </w:rPr>
            </w:pPr>
            <w:r w:rsidRPr="00577845">
              <w:rPr>
                <w:b/>
                <w:szCs w:val="18"/>
              </w:rPr>
              <w:t>Underlying profit after tax attributable to equity shareholders of the parent</w:t>
            </w:r>
          </w:p>
        </w:tc>
        <w:tc>
          <w:tcPr>
            <w:tcW w:w="410" w:type="dxa"/>
            <w:vAlign w:val="center"/>
          </w:tcPr>
          <w:p w14:paraId="5AC5DFE7" w14:textId="77777777" w:rsidR="009949BF" w:rsidRPr="00577845" w:rsidRDefault="009949BF" w:rsidP="009949BF">
            <w:pPr>
              <w:jc w:val="center"/>
              <w:rPr>
                <w:b/>
                <w:i/>
                <w:szCs w:val="18"/>
              </w:rPr>
            </w:pPr>
          </w:p>
        </w:tc>
        <w:tc>
          <w:tcPr>
            <w:tcW w:w="1554" w:type="dxa"/>
            <w:vAlign w:val="center"/>
          </w:tcPr>
          <w:p w14:paraId="742B9A13" w14:textId="19E5A404" w:rsidR="009949BF" w:rsidRPr="00577845" w:rsidRDefault="009949BF" w:rsidP="009949BF">
            <w:pPr>
              <w:tabs>
                <w:tab w:val="decimal" w:pos="1140"/>
              </w:tabs>
              <w:rPr>
                <w:b/>
                <w:bCs/>
                <w:szCs w:val="18"/>
              </w:rPr>
            </w:pPr>
            <w:r w:rsidRPr="00577845">
              <w:rPr>
                <w:b/>
                <w:bCs/>
                <w:szCs w:val="18"/>
              </w:rPr>
              <w:t>35.9</w:t>
            </w:r>
          </w:p>
        </w:tc>
        <w:tc>
          <w:tcPr>
            <w:tcW w:w="1569" w:type="dxa"/>
            <w:vAlign w:val="center"/>
          </w:tcPr>
          <w:p w14:paraId="47C2C017" w14:textId="0B27BA80" w:rsidR="009949BF" w:rsidRPr="00577845" w:rsidRDefault="009949BF" w:rsidP="009949BF">
            <w:pPr>
              <w:tabs>
                <w:tab w:val="decimal" w:pos="1155"/>
              </w:tabs>
              <w:rPr>
                <w:szCs w:val="18"/>
              </w:rPr>
            </w:pPr>
            <w:r w:rsidRPr="00577845">
              <w:rPr>
                <w:b/>
                <w:szCs w:val="18"/>
              </w:rPr>
              <w:t>36.</w:t>
            </w:r>
            <w:r w:rsidRPr="00577845">
              <w:rPr>
                <w:b/>
                <w:bCs/>
                <w:szCs w:val="18"/>
              </w:rPr>
              <w:t>3</w:t>
            </w:r>
          </w:p>
        </w:tc>
        <w:tc>
          <w:tcPr>
            <w:tcW w:w="1584" w:type="dxa"/>
            <w:vAlign w:val="center"/>
          </w:tcPr>
          <w:p w14:paraId="15500F7F" w14:textId="15D23AA9" w:rsidR="009949BF" w:rsidRPr="00577845" w:rsidRDefault="009949BF" w:rsidP="005F0E7F">
            <w:pPr>
              <w:tabs>
                <w:tab w:val="decimal" w:pos="1170"/>
              </w:tabs>
              <w:jc w:val="center"/>
              <w:rPr>
                <w:b/>
                <w:bCs/>
                <w:szCs w:val="18"/>
              </w:rPr>
            </w:pPr>
            <w:r w:rsidRPr="00577845">
              <w:rPr>
                <w:b/>
                <w:bCs/>
                <w:szCs w:val="18"/>
              </w:rPr>
              <w:t>80.5</w:t>
            </w:r>
          </w:p>
        </w:tc>
      </w:tr>
      <w:tr w:rsidR="009949BF" w14:paraId="399A506E" w14:textId="77777777" w:rsidTr="005F0E7F">
        <w:trPr>
          <w:gridAfter w:val="1"/>
          <w:wAfter w:w="95" w:type="dxa"/>
        </w:trPr>
        <w:tc>
          <w:tcPr>
            <w:tcW w:w="4993" w:type="dxa"/>
            <w:vAlign w:val="center"/>
          </w:tcPr>
          <w:p w14:paraId="21ED165A" w14:textId="3AC33332" w:rsidR="009949BF" w:rsidRPr="00577845" w:rsidRDefault="009949BF" w:rsidP="009949BF">
            <w:pPr>
              <w:rPr>
                <w:b/>
                <w:szCs w:val="18"/>
              </w:rPr>
            </w:pPr>
            <w:r w:rsidRPr="00577845">
              <w:rPr>
                <w:b/>
                <w:szCs w:val="18"/>
              </w:rPr>
              <w:t>Average issued share capital (m) (page 15)</w:t>
            </w:r>
          </w:p>
        </w:tc>
        <w:tc>
          <w:tcPr>
            <w:tcW w:w="410" w:type="dxa"/>
            <w:vAlign w:val="center"/>
          </w:tcPr>
          <w:p w14:paraId="1F7F41A8" w14:textId="77777777" w:rsidR="009949BF" w:rsidRPr="00577845" w:rsidRDefault="009949BF" w:rsidP="009949BF">
            <w:pPr>
              <w:jc w:val="center"/>
              <w:rPr>
                <w:b/>
                <w:i/>
                <w:szCs w:val="18"/>
              </w:rPr>
            </w:pPr>
          </w:p>
        </w:tc>
        <w:tc>
          <w:tcPr>
            <w:tcW w:w="1554" w:type="dxa"/>
            <w:vAlign w:val="center"/>
          </w:tcPr>
          <w:p w14:paraId="70067E07" w14:textId="29AB48F7" w:rsidR="009949BF" w:rsidRPr="00577845" w:rsidRDefault="009949BF" w:rsidP="009949BF">
            <w:pPr>
              <w:tabs>
                <w:tab w:val="decimal" w:pos="1140"/>
              </w:tabs>
              <w:rPr>
                <w:b/>
                <w:bCs/>
                <w:szCs w:val="18"/>
              </w:rPr>
            </w:pPr>
            <w:r w:rsidRPr="00577845">
              <w:rPr>
                <w:b/>
                <w:bCs/>
                <w:szCs w:val="18"/>
              </w:rPr>
              <w:t>545.0</w:t>
            </w:r>
          </w:p>
        </w:tc>
        <w:tc>
          <w:tcPr>
            <w:tcW w:w="1569" w:type="dxa"/>
            <w:vAlign w:val="center"/>
          </w:tcPr>
          <w:p w14:paraId="441DD4FE" w14:textId="0E6AE717" w:rsidR="009949BF" w:rsidRPr="00577845" w:rsidRDefault="009949BF" w:rsidP="009949BF">
            <w:pPr>
              <w:tabs>
                <w:tab w:val="decimal" w:pos="1155"/>
              </w:tabs>
              <w:rPr>
                <w:b/>
                <w:bCs/>
                <w:szCs w:val="18"/>
              </w:rPr>
            </w:pPr>
            <w:r w:rsidRPr="00577845">
              <w:rPr>
                <w:b/>
                <w:bCs/>
                <w:szCs w:val="18"/>
              </w:rPr>
              <w:t>545.1</w:t>
            </w:r>
          </w:p>
        </w:tc>
        <w:tc>
          <w:tcPr>
            <w:tcW w:w="1584" w:type="dxa"/>
            <w:vAlign w:val="center"/>
          </w:tcPr>
          <w:p w14:paraId="4780F741" w14:textId="3B987F9B" w:rsidR="009949BF" w:rsidRPr="00577845" w:rsidRDefault="009949BF" w:rsidP="005F0E7F">
            <w:pPr>
              <w:tabs>
                <w:tab w:val="decimal" w:pos="1170"/>
              </w:tabs>
              <w:jc w:val="center"/>
              <w:rPr>
                <w:b/>
                <w:bCs/>
                <w:szCs w:val="18"/>
              </w:rPr>
            </w:pPr>
            <w:r w:rsidRPr="00577845">
              <w:rPr>
                <w:b/>
                <w:bCs/>
                <w:szCs w:val="18"/>
              </w:rPr>
              <w:t>545.0</w:t>
            </w:r>
          </w:p>
        </w:tc>
      </w:tr>
      <w:tr w:rsidR="009949BF" w:rsidRPr="009944A0" w14:paraId="63F8A913" w14:textId="77777777" w:rsidTr="005F0E7F">
        <w:trPr>
          <w:gridAfter w:val="1"/>
          <w:wAfter w:w="95" w:type="dxa"/>
        </w:trPr>
        <w:tc>
          <w:tcPr>
            <w:tcW w:w="4993" w:type="dxa"/>
            <w:shd w:val="clear" w:color="auto" w:fill="E4E8ED" w:themeFill="accent4" w:themeFillTint="33"/>
            <w:vAlign w:val="center"/>
          </w:tcPr>
          <w:p w14:paraId="43D18880" w14:textId="7FFFC328" w:rsidR="009949BF" w:rsidRPr="00577845" w:rsidRDefault="009949BF" w:rsidP="009949BF">
            <w:pPr>
              <w:rPr>
                <w:b/>
                <w:i/>
                <w:szCs w:val="18"/>
              </w:rPr>
            </w:pPr>
            <w:r w:rsidRPr="00577845">
              <w:rPr>
                <w:b/>
                <w:i/>
                <w:szCs w:val="18"/>
              </w:rPr>
              <w:t>Underlying EPS</w:t>
            </w:r>
          </w:p>
        </w:tc>
        <w:tc>
          <w:tcPr>
            <w:tcW w:w="410" w:type="dxa"/>
            <w:shd w:val="clear" w:color="auto" w:fill="E4E8ED" w:themeFill="accent4" w:themeFillTint="33"/>
            <w:vAlign w:val="center"/>
          </w:tcPr>
          <w:p w14:paraId="586E6B51" w14:textId="6AA961E4" w:rsidR="009949BF" w:rsidRPr="00577845" w:rsidRDefault="003351B4" w:rsidP="009949BF">
            <w:pPr>
              <w:jc w:val="center"/>
              <w:rPr>
                <w:b/>
                <w:i/>
                <w:szCs w:val="18"/>
              </w:rPr>
            </w:pPr>
            <w:r w:rsidRPr="00577845">
              <w:rPr>
                <w:b/>
                <w:i/>
                <w:szCs w:val="18"/>
              </w:rPr>
              <w:t>5</w:t>
            </w:r>
          </w:p>
        </w:tc>
        <w:tc>
          <w:tcPr>
            <w:tcW w:w="1554" w:type="dxa"/>
            <w:shd w:val="clear" w:color="auto" w:fill="E4E8ED" w:themeFill="accent4" w:themeFillTint="33"/>
            <w:vAlign w:val="center"/>
          </w:tcPr>
          <w:p w14:paraId="1F17F3F2" w14:textId="6D49FA16" w:rsidR="009949BF" w:rsidRPr="00577845" w:rsidRDefault="009949BF" w:rsidP="005F0E7F">
            <w:pPr>
              <w:tabs>
                <w:tab w:val="decimal" w:pos="1140"/>
              </w:tabs>
              <w:rPr>
                <w:b/>
                <w:bCs/>
                <w:i/>
                <w:iCs/>
                <w:szCs w:val="18"/>
              </w:rPr>
            </w:pPr>
            <w:r w:rsidRPr="00577845">
              <w:rPr>
                <w:b/>
                <w:bCs/>
                <w:i/>
                <w:iCs/>
                <w:szCs w:val="18"/>
              </w:rPr>
              <w:t>6.6p</w:t>
            </w:r>
          </w:p>
        </w:tc>
        <w:tc>
          <w:tcPr>
            <w:tcW w:w="1569" w:type="dxa"/>
            <w:shd w:val="clear" w:color="auto" w:fill="E4E8ED" w:themeFill="accent4" w:themeFillTint="33"/>
            <w:vAlign w:val="center"/>
          </w:tcPr>
          <w:p w14:paraId="74F64581" w14:textId="6D0B2CA9" w:rsidR="009949BF" w:rsidRPr="00577845" w:rsidRDefault="009949BF" w:rsidP="009949BF">
            <w:pPr>
              <w:tabs>
                <w:tab w:val="decimal" w:pos="1155"/>
              </w:tabs>
              <w:ind w:right="15"/>
              <w:rPr>
                <w:b/>
                <w:i/>
                <w:szCs w:val="18"/>
              </w:rPr>
            </w:pPr>
            <w:r w:rsidRPr="00577845">
              <w:rPr>
                <w:b/>
                <w:i/>
                <w:szCs w:val="18"/>
              </w:rPr>
              <w:t>6.7p</w:t>
            </w:r>
          </w:p>
        </w:tc>
        <w:tc>
          <w:tcPr>
            <w:tcW w:w="1584" w:type="dxa"/>
            <w:shd w:val="clear" w:color="auto" w:fill="E4E8ED" w:themeFill="accent4" w:themeFillTint="33"/>
            <w:vAlign w:val="center"/>
          </w:tcPr>
          <w:p w14:paraId="26D567B7" w14:textId="70A50101" w:rsidR="009949BF" w:rsidRPr="00577845" w:rsidRDefault="009949BF" w:rsidP="005F0E7F">
            <w:pPr>
              <w:tabs>
                <w:tab w:val="decimal" w:pos="1170"/>
              </w:tabs>
              <w:jc w:val="center"/>
              <w:rPr>
                <w:b/>
                <w:bCs/>
                <w:i/>
                <w:iCs/>
                <w:szCs w:val="18"/>
              </w:rPr>
            </w:pPr>
            <w:r w:rsidRPr="00577845">
              <w:rPr>
                <w:b/>
                <w:bCs/>
                <w:i/>
                <w:iCs/>
                <w:szCs w:val="18"/>
              </w:rPr>
              <w:t>14.8p</w:t>
            </w:r>
          </w:p>
        </w:tc>
      </w:tr>
      <w:tr w:rsidR="005F0CDE" w:rsidRPr="009944A0" w14:paraId="541C94B3" w14:textId="77777777" w:rsidTr="005F0E7F">
        <w:trPr>
          <w:gridAfter w:val="1"/>
          <w:wAfter w:w="95" w:type="dxa"/>
          <w:trHeight w:val="210"/>
        </w:trPr>
        <w:tc>
          <w:tcPr>
            <w:tcW w:w="10110" w:type="dxa"/>
            <w:gridSpan w:val="5"/>
            <w:shd w:val="clear" w:color="auto" w:fill="auto"/>
            <w:vAlign w:val="center"/>
          </w:tcPr>
          <w:p w14:paraId="670C0B5B" w14:textId="015CB4DF" w:rsidR="005F0CDE" w:rsidRPr="00577845" w:rsidRDefault="005F0CDE" w:rsidP="005F0E7F">
            <w:pPr>
              <w:pStyle w:val="Footnote"/>
              <w:rPr>
                <w:b/>
                <w:bCs/>
                <w:i/>
                <w:iCs/>
                <w:sz w:val="18"/>
                <w:szCs w:val="18"/>
              </w:rPr>
            </w:pPr>
            <w:r w:rsidRPr="00577845">
              <w:rPr>
                <w:sz w:val="18"/>
                <w:szCs w:val="18"/>
                <w:vertAlign w:val="superscript"/>
              </w:rPr>
              <w:t>1</w:t>
            </w:r>
            <w:r w:rsidRPr="00577845">
              <w:rPr>
                <w:sz w:val="18"/>
                <w:szCs w:val="18"/>
              </w:rPr>
              <w:t xml:space="preserve">Actual effective tax rates applicable to underlying profit before tax were </w:t>
            </w:r>
            <w:r w:rsidR="00535FC5" w:rsidRPr="00577845">
              <w:rPr>
                <w:sz w:val="18"/>
                <w:szCs w:val="18"/>
              </w:rPr>
              <w:t>26.7</w:t>
            </w:r>
            <w:r w:rsidRPr="00577845">
              <w:rPr>
                <w:sz w:val="18"/>
                <w:szCs w:val="18"/>
              </w:rPr>
              <w:t>% in 2024 H1, 29.9% in 2023 H1 and 25.6% in 2023 FY.</w:t>
            </w:r>
          </w:p>
        </w:tc>
      </w:tr>
      <w:tr w:rsidR="005F0CDE" w:rsidRPr="009944A0" w14:paraId="58ACBD8E" w14:textId="77777777" w:rsidTr="005F0E7F">
        <w:trPr>
          <w:gridAfter w:val="1"/>
          <w:wAfter w:w="95" w:type="dxa"/>
        </w:trPr>
        <w:tc>
          <w:tcPr>
            <w:tcW w:w="4993" w:type="dxa"/>
            <w:shd w:val="clear" w:color="auto" w:fill="auto"/>
            <w:vAlign w:val="center"/>
          </w:tcPr>
          <w:p w14:paraId="2DF2B9EB" w14:textId="77777777" w:rsidR="005F0CDE" w:rsidRPr="00577845" w:rsidRDefault="005F0CDE" w:rsidP="009949BF">
            <w:pPr>
              <w:rPr>
                <w:b/>
                <w:i/>
                <w:szCs w:val="18"/>
              </w:rPr>
            </w:pPr>
          </w:p>
        </w:tc>
        <w:tc>
          <w:tcPr>
            <w:tcW w:w="410" w:type="dxa"/>
            <w:shd w:val="clear" w:color="auto" w:fill="auto"/>
            <w:vAlign w:val="center"/>
          </w:tcPr>
          <w:p w14:paraId="53D32611" w14:textId="77777777" w:rsidR="005F0CDE" w:rsidRPr="00577845" w:rsidRDefault="005F0CDE" w:rsidP="009949BF">
            <w:pPr>
              <w:jc w:val="center"/>
              <w:rPr>
                <w:b/>
                <w:i/>
                <w:szCs w:val="18"/>
              </w:rPr>
            </w:pPr>
          </w:p>
        </w:tc>
        <w:tc>
          <w:tcPr>
            <w:tcW w:w="1554" w:type="dxa"/>
            <w:shd w:val="clear" w:color="auto" w:fill="auto"/>
            <w:vAlign w:val="center"/>
          </w:tcPr>
          <w:p w14:paraId="66683A45" w14:textId="77777777" w:rsidR="005F0CDE" w:rsidRPr="00577845" w:rsidRDefault="005F0CDE" w:rsidP="009949BF">
            <w:pPr>
              <w:tabs>
                <w:tab w:val="decimal" w:pos="1140"/>
              </w:tabs>
              <w:rPr>
                <w:b/>
                <w:bCs/>
                <w:i/>
                <w:iCs/>
                <w:szCs w:val="18"/>
              </w:rPr>
            </w:pPr>
          </w:p>
        </w:tc>
        <w:tc>
          <w:tcPr>
            <w:tcW w:w="1569" w:type="dxa"/>
            <w:shd w:val="clear" w:color="auto" w:fill="auto"/>
            <w:vAlign w:val="center"/>
          </w:tcPr>
          <w:p w14:paraId="4790545D" w14:textId="77777777" w:rsidR="005F0CDE" w:rsidRPr="00577845" w:rsidRDefault="005F0CDE" w:rsidP="009949BF">
            <w:pPr>
              <w:tabs>
                <w:tab w:val="decimal" w:pos="1155"/>
              </w:tabs>
              <w:ind w:right="15"/>
              <w:rPr>
                <w:b/>
                <w:i/>
                <w:szCs w:val="18"/>
              </w:rPr>
            </w:pPr>
          </w:p>
        </w:tc>
        <w:tc>
          <w:tcPr>
            <w:tcW w:w="1584" w:type="dxa"/>
            <w:shd w:val="clear" w:color="auto" w:fill="auto"/>
            <w:vAlign w:val="center"/>
          </w:tcPr>
          <w:p w14:paraId="070151D3" w14:textId="77777777" w:rsidR="005F0CDE" w:rsidRPr="00577845" w:rsidRDefault="005F0CDE" w:rsidP="009949BF">
            <w:pPr>
              <w:tabs>
                <w:tab w:val="decimal" w:pos="1170"/>
              </w:tabs>
              <w:jc w:val="center"/>
              <w:rPr>
                <w:b/>
                <w:bCs/>
                <w:i/>
                <w:iCs/>
                <w:szCs w:val="18"/>
              </w:rPr>
            </w:pPr>
          </w:p>
        </w:tc>
      </w:tr>
      <w:tr w:rsidR="00C12F36" w:rsidRPr="009944A0" w14:paraId="26B548C7" w14:textId="77777777" w:rsidTr="005F0E7F">
        <w:trPr>
          <w:gridAfter w:val="1"/>
          <w:wAfter w:w="95" w:type="dxa"/>
        </w:trPr>
        <w:tc>
          <w:tcPr>
            <w:tcW w:w="4993" w:type="dxa"/>
            <w:shd w:val="clear" w:color="auto" w:fill="auto"/>
            <w:vAlign w:val="center"/>
          </w:tcPr>
          <w:p w14:paraId="6DC009AF" w14:textId="645BED43" w:rsidR="00C12F36" w:rsidRPr="00577845" w:rsidRDefault="00C12F36" w:rsidP="00C12F36">
            <w:pPr>
              <w:rPr>
                <w:bCs/>
                <w:szCs w:val="18"/>
              </w:rPr>
            </w:pPr>
            <w:r w:rsidRPr="00577845">
              <w:rPr>
                <w:bCs/>
                <w:szCs w:val="18"/>
              </w:rPr>
              <w:t xml:space="preserve">Underlying profit before tax </w:t>
            </w:r>
            <w:r w:rsidR="00C04C8D" w:rsidRPr="00577845">
              <w:rPr>
                <w:bCs/>
                <w:szCs w:val="18"/>
              </w:rPr>
              <w:t>(</w:t>
            </w:r>
            <w:r w:rsidR="00006DBC" w:rsidRPr="00577845">
              <w:rPr>
                <w:bCs/>
                <w:szCs w:val="18"/>
              </w:rPr>
              <w:t>see above</w:t>
            </w:r>
            <w:r w:rsidR="00C04C8D" w:rsidRPr="00577845">
              <w:rPr>
                <w:bCs/>
                <w:szCs w:val="18"/>
              </w:rPr>
              <w:t>)</w:t>
            </w:r>
          </w:p>
        </w:tc>
        <w:tc>
          <w:tcPr>
            <w:tcW w:w="410" w:type="dxa"/>
            <w:shd w:val="clear" w:color="auto" w:fill="auto"/>
            <w:vAlign w:val="center"/>
          </w:tcPr>
          <w:p w14:paraId="7B407389" w14:textId="77777777" w:rsidR="00C12F36" w:rsidRPr="00577845" w:rsidRDefault="00C12F36" w:rsidP="00C12F36">
            <w:pPr>
              <w:jc w:val="center"/>
              <w:rPr>
                <w:bCs/>
                <w:szCs w:val="18"/>
              </w:rPr>
            </w:pPr>
          </w:p>
        </w:tc>
        <w:tc>
          <w:tcPr>
            <w:tcW w:w="1554" w:type="dxa"/>
            <w:shd w:val="clear" w:color="auto" w:fill="auto"/>
            <w:vAlign w:val="center"/>
          </w:tcPr>
          <w:p w14:paraId="729D3D70" w14:textId="642419AC" w:rsidR="00C12F36" w:rsidRPr="00577845" w:rsidRDefault="00AB3AF6" w:rsidP="00C12F36">
            <w:pPr>
              <w:tabs>
                <w:tab w:val="decimal" w:pos="1140"/>
              </w:tabs>
              <w:rPr>
                <w:bCs/>
                <w:szCs w:val="18"/>
              </w:rPr>
            </w:pPr>
            <w:r w:rsidRPr="00577845">
              <w:rPr>
                <w:bCs/>
                <w:szCs w:val="18"/>
              </w:rPr>
              <w:t>47.9</w:t>
            </w:r>
          </w:p>
        </w:tc>
        <w:tc>
          <w:tcPr>
            <w:tcW w:w="1569" w:type="dxa"/>
            <w:shd w:val="clear" w:color="auto" w:fill="auto"/>
            <w:vAlign w:val="center"/>
          </w:tcPr>
          <w:p w14:paraId="154AD678" w14:textId="203EAC97" w:rsidR="00C12F36" w:rsidRPr="00577845" w:rsidRDefault="00AB3AF6" w:rsidP="00C12F36">
            <w:pPr>
              <w:tabs>
                <w:tab w:val="decimal" w:pos="1155"/>
              </w:tabs>
              <w:ind w:right="15"/>
              <w:rPr>
                <w:bCs/>
                <w:szCs w:val="18"/>
              </w:rPr>
            </w:pPr>
            <w:r w:rsidRPr="00577845">
              <w:rPr>
                <w:bCs/>
                <w:szCs w:val="18"/>
              </w:rPr>
              <w:t>46.4</w:t>
            </w:r>
          </w:p>
        </w:tc>
        <w:tc>
          <w:tcPr>
            <w:tcW w:w="1584" w:type="dxa"/>
            <w:shd w:val="clear" w:color="auto" w:fill="auto"/>
            <w:vAlign w:val="center"/>
          </w:tcPr>
          <w:p w14:paraId="731278E8" w14:textId="54B5B390" w:rsidR="00C12F36" w:rsidRPr="00577845" w:rsidRDefault="00AB3AF6" w:rsidP="00C12F36">
            <w:pPr>
              <w:tabs>
                <w:tab w:val="decimal" w:pos="1170"/>
              </w:tabs>
              <w:jc w:val="center"/>
              <w:rPr>
                <w:bCs/>
                <w:szCs w:val="18"/>
              </w:rPr>
            </w:pPr>
            <w:r w:rsidRPr="00577845">
              <w:rPr>
                <w:bCs/>
                <w:szCs w:val="18"/>
              </w:rPr>
              <w:t>105.2</w:t>
            </w:r>
          </w:p>
        </w:tc>
      </w:tr>
      <w:tr w:rsidR="00AB3AF6" w:rsidRPr="009944A0" w14:paraId="6704B168" w14:textId="77777777" w:rsidTr="005F0CDE">
        <w:trPr>
          <w:gridAfter w:val="1"/>
          <w:wAfter w:w="95" w:type="dxa"/>
        </w:trPr>
        <w:tc>
          <w:tcPr>
            <w:tcW w:w="4993" w:type="dxa"/>
            <w:shd w:val="clear" w:color="auto" w:fill="auto"/>
            <w:vAlign w:val="center"/>
          </w:tcPr>
          <w:p w14:paraId="0E6D00B8" w14:textId="2C33B5E1" w:rsidR="00AB3AF6" w:rsidRPr="00577845" w:rsidRDefault="00135B89" w:rsidP="00C12F36">
            <w:pPr>
              <w:rPr>
                <w:bCs/>
                <w:szCs w:val="18"/>
              </w:rPr>
            </w:pPr>
            <w:r w:rsidRPr="00577845">
              <w:rPr>
                <w:bCs/>
                <w:szCs w:val="18"/>
              </w:rPr>
              <w:t xml:space="preserve">Less: </w:t>
            </w:r>
            <w:r w:rsidR="00AB3AF6" w:rsidRPr="00577845">
              <w:rPr>
                <w:bCs/>
                <w:szCs w:val="18"/>
              </w:rPr>
              <w:t>Performance fee</w:t>
            </w:r>
            <w:r w:rsidR="005C0A82" w:rsidRPr="00577845">
              <w:rPr>
                <w:bCs/>
                <w:szCs w:val="18"/>
              </w:rPr>
              <w:t xml:space="preserve"> (profit</w:t>
            </w:r>
            <w:r w:rsidR="00AB3AF6" w:rsidRPr="00577845">
              <w:rPr>
                <w:bCs/>
                <w:szCs w:val="18"/>
              </w:rPr>
              <w:t>s</w:t>
            </w:r>
            <w:r w:rsidR="005C0A82" w:rsidRPr="00577845">
              <w:rPr>
                <w:bCs/>
                <w:szCs w:val="18"/>
              </w:rPr>
              <w:t>)/losses</w:t>
            </w:r>
            <w:r w:rsidR="006C209C">
              <w:rPr>
                <w:bCs/>
                <w:szCs w:val="18"/>
              </w:rPr>
              <w:t xml:space="preserve"> (page 5)</w:t>
            </w:r>
          </w:p>
        </w:tc>
        <w:tc>
          <w:tcPr>
            <w:tcW w:w="410" w:type="dxa"/>
            <w:shd w:val="clear" w:color="auto" w:fill="auto"/>
            <w:vAlign w:val="center"/>
          </w:tcPr>
          <w:p w14:paraId="06C14307" w14:textId="77777777" w:rsidR="00AB3AF6" w:rsidRPr="00577845" w:rsidRDefault="00AB3AF6" w:rsidP="00C12F36">
            <w:pPr>
              <w:jc w:val="center"/>
              <w:rPr>
                <w:bCs/>
                <w:szCs w:val="18"/>
              </w:rPr>
            </w:pPr>
          </w:p>
        </w:tc>
        <w:tc>
          <w:tcPr>
            <w:tcW w:w="1554" w:type="dxa"/>
            <w:shd w:val="clear" w:color="auto" w:fill="auto"/>
            <w:vAlign w:val="center"/>
          </w:tcPr>
          <w:p w14:paraId="3F350F27" w14:textId="6B8E9CD2" w:rsidR="00AB3AF6" w:rsidRPr="00577845" w:rsidRDefault="00135B89" w:rsidP="00C12F36">
            <w:pPr>
              <w:tabs>
                <w:tab w:val="decimal" w:pos="1140"/>
              </w:tabs>
              <w:rPr>
                <w:bCs/>
                <w:szCs w:val="18"/>
              </w:rPr>
            </w:pPr>
            <w:r w:rsidRPr="00577845">
              <w:rPr>
                <w:bCs/>
                <w:szCs w:val="18"/>
              </w:rPr>
              <w:t>(</w:t>
            </w:r>
            <w:r w:rsidR="009D65B8" w:rsidRPr="00577845">
              <w:rPr>
                <w:bCs/>
                <w:szCs w:val="18"/>
              </w:rPr>
              <w:t>1.3</w:t>
            </w:r>
            <w:r w:rsidRPr="00577845">
              <w:rPr>
                <w:bCs/>
                <w:szCs w:val="18"/>
              </w:rPr>
              <w:t>)</w:t>
            </w:r>
          </w:p>
        </w:tc>
        <w:tc>
          <w:tcPr>
            <w:tcW w:w="1569" w:type="dxa"/>
            <w:shd w:val="clear" w:color="auto" w:fill="auto"/>
            <w:vAlign w:val="center"/>
          </w:tcPr>
          <w:p w14:paraId="71931A11" w14:textId="4E53CFB8" w:rsidR="00AB3AF6" w:rsidRPr="00577845" w:rsidRDefault="00135B89" w:rsidP="00C12F36">
            <w:pPr>
              <w:tabs>
                <w:tab w:val="decimal" w:pos="1155"/>
              </w:tabs>
              <w:ind w:right="15"/>
              <w:rPr>
                <w:bCs/>
                <w:szCs w:val="18"/>
              </w:rPr>
            </w:pPr>
            <w:r w:rsidRPr="00577845">
              <w:rPr>
                <w:bCs/>
                <w:szCs w:val="18"/>
              </w:rPr>
              <w:t>3.1</w:t>
            </w:r>
          </w:p>
        </w:tc>
        <w:tc>
          <w:tcPr>
            <w:tcW w:w="1584" w:type="dxa"/>
            <w:shd w:val="clear" w:color="auto" w:fill="auto"/>
            <w:vAlign w:val="center"/>
          </w:tcPr>
          <w:p w14:paraId="335BE248" w14:textId="57C5F1C5" w:rsidR="00AB3AF6" w:rsidRPr="00577845" w:rsidRDefault="005C0A82" w:rsidP="00C12F36">
            <w:pPr>
              <w:tabs>
                <w:tab w:val="decimal" w:pos="1170"/>
              </w:tabs>
              <w:jc w:val="center"/>
              <w:rPr>
                <w:bCs/>
                <w:szCs w:val="18"/>
              </w:rPr>
            </w:pPr>
            <w:r w:rsidRPr="00577845">
              <w:rPr>
                <w:bCs/>
                <w:szCs w:val="18"/>
              </w:rPr>
              <w:t>(</w:t>
            </w:r>
            <w:r w:rsidR="00135B89" w:rsidRPr="00577845">
              <w:rPr>
                <w:bCs/>
                <w:szCs w:val="18"/>
              </w:rPr>
              <w:t>6.8</w:t>
            </w:r>
            <w:r w:rsidRPr="00577845">
              <w:rPr>
                <w:bCs/>
                <w:szCs w:val="18"/>
              </w:rPr>
              <w:t>)</w:t>
            </w:r>
          </w:p>
        </w:tc>
      </w:tr>
      <w:tr w:rsidR="00C12F36" w:rsidRPr="009944A0" w14:paraId="67B7DA68" w14:textId="77777777" w:rsidTr="005F0E7F">
        <w:trPr>
          <w:gridAfter w:val="1"/>
          <w:wAfter w:w="95" w:type="dxa"/>
        </w:trPr>
        <w:tc>
          <w:tcPr>
            <w:tcW w:w="4993" w:type="dxa"/>
            <w:shd w:val="clear" w:color="auto" w:fill="auto"/>
            <w:vAlign w:val="center"/>
          </w:tcPr>
          <w:p w14:paraId="4EE48955" w14:textId="45DBADEF" w:rsidR="00C12F36" w:rsidRPr="00577845" w:rsidRDefault="00C12F36" w:rsidP="00C12F36">
            <w:pPr>
              <w:rPr>
                <w:b/>
                <w:i/>
                <w:szCs w:val="18"/>
              </w:rPr>
            </w:pPr>
            <w:r w:rsidRPr="00577845">
              <w:rPr>
                <w:szCs w:val="18"/>
              </w:rPr>
              <w:t>Tax at average statutory rate of 25.0% (2023 H1: 22.0% and 2023 FY: 23.5%)</w:t>
            </w:r>
            <w:r w:rsidR="001A1373" w:rsidRPr="00577845">
              <w:rPr>
                <w:szCs w:val="18"/>
                <w:vertAlign w:val="superscript"/>
              </w:rPr>
              <w:t>2</w:t>
            </w:r>
          </w:p>
        </w:tc>
        <w:tc>
          <w:tcPr>
            <w:tcW w:w="410" w:type="dxa"/>
            <w:shd w:val="clear" w:color="auto" w:fill="auto"/>
            <w:vAlign w:val="center"/>
          </w:tcPr>
          <w:p w14:paraId="3075689C" w14:textId="77777777" w:rsidR="00C12F36" w:rsidRPr="00577845" w:rsidRDefault="00C12F36" w:rsidP="00C12F36">
            <w:pPr>
              <w:jc w:val="center"/>
              <w:rPr>
                <w:b/>
                <w:i/>
                <w:szCs w:val="18"/>
              </w:rPr>
            </w:pPr>
          </w:p>
        </w:tc>
        <w:tc>
          <w:tcPr>
            <w:tcW w:w="1554" w:type="dxa"/>
            <w:shd w:val="clear" w:color="auto" w:fill="auto"/>
            <w:vAlign w:val="center"/>
          </w:tcPr>
          <w:p w14:paraId="233AE8BD" w14:textId="01117380" w:rsidR="00C12F36" w:rsidRPr="00577845" w:rsidRDefault="00C12F36" w:rsidP="00C12F36">
            <w:pPr>
              <w:tabs>
                <w:tab w:val="decimal" w:pos="1140"/>
              </w:tabs>
              <w:rPr>
                <w:b/>
                <w:bCs/>
                <w:i/>
                <w:iCs/>
                <w:szCs w:val="18"/>
              </w:rPr>
            </w:pPr>
            <w:r w:rsidRPr="00577845">
              <w:rPr>
                <w:szCs w:val="18"/>
              </w:rPr>
              <w:t>(1</w:t>
            </w:r>
            <w:r w:rsidR="00102A45" w:rsidRPr="00577845">
              <w:rPr>
                <w:szCs w:val="18"/>
              </w:rPr>
              <w:t>1.7</w:t>
            </w:r>
            <w:r w:rsidRPr="00577845">
              <w:rPr>
                <w:szCs w:val="18"/>
              </w:rPr>
              <w:t>)</w:t>
            </w:r>
          </w:p>
        </w:tc>
        <w:tc>
          <w:tcPr>
            <w:tcW w:w="1569" w:type="dxa"/>
            <w:shd w:val="clear" w:color="auto" w:fill="auto"/>
            <w:vAlign w:val="center"/>
          </w:tcPr>
          <w:p w14:paraId="25FF59C0" w14:textId="6B3C45E1" w:rsidR="00C12F36" w:rsidRPr="00577845" w:rsidRDefault="00C12F36" w:rsidP="00C12F36">
            <w:pPr>
              <w:tabs>
                <w:tab w:val="decimal" w:pos="1155"/>
              </w:tabs>
              <w:ind w:right="15"/>
              <w:rPr>
                <w:b/>
                <w:i/>
                <w:szCs w:val="18"/>
              </w:rPr>
            </w:pPr>
            <w:r w:rsidRPr="00577845">
              <w:rPr>
                <w:szCs w:val="18"/>
              </w:rPr>
              <w:t>(10.</w:t>
            </w:r>
            <w:r w:rsidR="005947E5" w:rsidRPr="00577845">
              <w:rPr>
                <w:szCs w:val="18"/>
              </w:rPr>
              <w:t>9</w:t>
            </w:r>
            <w:r w:rsidRPr="00577845">
              <w:rPr>
                <w:szCs w:val="18"/>
              </w:rPr>
              <w:t>)</w:t>
            </w:r>
          </w:p>
        </w:tc>
        <w:tc>
          <w:tcPr>
            <w:tcW w:w="1584" w:type="dxa"/>
            <w:shd w:val="clear" w:color="auto" w:fill="auto"/>
            <w:vAlign w:val="center"/>
          </w:tcPr>
          <w:p w14:paraId="5022F257" w14:textId="11C14C33" w:rsidR="00C12F36" w:rsidRPr="00577845" w:rsidRDefault="00C12F36" w:rsidP="00C12F36">
            <w:pPr>
              <w:tabs>
                <w:tab w:val="decimal" w:pos="1170"/>
              </w:tabs>
              <w:jc w:val="center"/>
              <w:rPr>
                <w:b/>
                <w:bCs/>
                <w:i/>
                <w:iCs/>
                <w:szCs w:val="18"/>
              </w:rPr>
            </w:pPr>
            <w:r w:rsidRPr="00577845">
              <w:rPr>
                <w:szCs w:val="18"/>
              </w:rPr>
              <w:t>(2</w:t>
            </w:r>
            <w:r w:rsidR="00A1577B" w:rsidRPr="00577845">
              <w:rPr>
                <w:szCs w:val="18"/>
              </w:rPr>
              <w:t>3.1</w:t>
            </w:r>
            <w:r w:rsidRPr="00577845">
              <w:rPr>
                <w:szCs w:val="18"/>
              </w:rPr>
              <w:t>)</w:t>
            </w:r>
          </w:p>
        </w:tc>
      </w:tr>
      <w:tr w:rsidR="00C12F36" w:rsidRPr="009944A0" w14:paraId="76D7C2E0" w14:textId="77777777" w:rsidTr="005F0E7F">
        <w:trPr>
          <w:gridAfter w:val="1"/>
          <w:wAfter w:w="95" w:type="dxa"/>
        </w:trPr>
        <w:tc>
          <w:tcPr>
            <w:tcW w:w="4993" w:type="dxa"/>
            <w:shd w:val="clear" w:color="auto" w:fill="auto"/>
            <w:vAlign w:val="center"/>
          </w:tcPr>
          <w:p w14:paraId="47DDC9E0" w14:textId="58445908" w:rsidR="00C12F36" w:rsidRPr="00577845" w:rsidRDefault="00C12F36" w:rsidP="00C12F36">
            <w:pPr>
              <w:rPr>
                <w:b/>
                <w:i/>
                <w:szCs w:val="18"/>
              </w:rPr>
            </w:pPr>
            <w:r w:rsidRPr="00577845">
              <w:rPr>
                <w:b/>
                <w:szCs w:val="18"/>
              </w:rPr>
              <w:t>Underlying profit after tax</w:t>
            </w:r>
            <w:r w:rsidR="00E670CB" w:rsidRPr="00577845">
              <w:rPr>
                <w:b/>
                <w:szCs w:val="18"/>
              </w:rPr>
              <w:t xml:space="preserve"> before performance fees</w:t>
            </w:r>
          </w:p>
        </w:tc>
        <w:tc>
          <w:tcPr>
            <w:tcW w:w="410" w:type="dxa"/>
            <w:shd w:val="clear" w:color="auto" w:fill="auto"/>
            <w:vAlign w:val="center"/>
          </w:tcPr>
          <w:p w14:paraId="22967F80" w14:textId="77777777" w:rsidR="00C12F36" w:rsidRPr="00577845" w:rsidRDefault="00C12F36" w:rsidP="00C12F36">
            <w:pPr>
              <w:jc w:val="center"/>
              <w:rPr>
                <w:b/>
                <w:i/>
                <w:szCs w:val="18"/>
              </w:rPr>
            </w:pPr>
          </w:p>
        </w:tc>
        <w:tc>
          <w:tcPr>
            <w:tcW w:w="1554" w:type="dxa"/>
            <w:shd w:val="clear" w:color="auto" w:fill="auto"/>
            <w:vAlign w:val="center"/>
          </w:tcPr>
          <w:p w14:paraId="02A62546" w14:textId="19D828F5" w:rsidR="00C12F36" w:rsidRPr="00577845" w:rsidRDefault="00C12F36" w:rsidP="00C12F36">
            <w:pPr>
              <w:tabs>
                <w:tab w:val="decimal" w:pos="1140"/>
              </w:tabs>
              <w:rPr>
                <w:b/>
                <w:bCs/>
                <w:i/>
                <w:iCs/>
                <w:szCs w:val="18"/>
              </w:rPr>
            </w:pPr>
            <w:r w:rsidRPr="00577845">
              <w:rPr>
                <w:b/>
                <w:bCs/>
                <w:szCs w:val="18"/>
              </w:rPr>
              <w:t>3</w:t>
            </w:r>
            <w:r w:rsidR="005947E5" w:rsidRPr="00577845">
              <w:rPr>
                <w:b/>
                <w:bCs/>
                <w:szCs w:val="18"/>
              </w:rPr>
              <w:t>4</w:t>
            </w:r>
            <w:r w:rsidRPr="00577845">
              <w:rPr>
                <w:b/>
                <w:bCs/>
                <w:szCs w:val="18"/>
              </w:rPr>
              <w:t>.9</w:t>
            </w:r>
          </w:p>
        </w:tc>
        <w:tc>
          <w:tcPr>
            <w:tcW w:w="1569" w:type="dxa"/>
            <w:shd w:val="clear" w:color="auto" w:fill="auto"/>
            <w:vAlign w:val="center"/>
          </w:tcPr>
          <w:p w14:paraId="3AF0A4C1" w14:textId="619105AA" w:rsidR="00C12F36" w:rsidRPr="00577845" w:rsidRDefault="00C12F36" w:rsidP="00C12F36">
            <w:pPr>
              <w:tabs>
                <w:tab w:val="decimal" w:pos="1155"/>
              </w:tabs>
              <w:ind w:right="15"/>
              <w:rPr>
                <w:b/>
                <w:i/>
                <w:szCs w:val="18"/>
              </w:rPr>
            </w:pPr>
            <w:r w:rsidRPr="00577845">
              <w:rPr>
                <w:b/>
                <w:szCs w:val="18"/>
              </w:rPr>
              <w:t>3</w:t>
            </w:r>
            <w:r w:rsidR="005947E5" w:rsidRPr="00577845">
              <w:rPr>
                <w:b/>
                <w:szCs w:val="18"/>
              </w:rPr>
              <w:t>8.</w:t>
            </w:r>
            <w:r w:rsidR="00860256">
              <w:rPr>
                <w:b/>
                <w:szCs w:val="18"/>
              </w:rPr>
              <w:t>6</w:t>
            </w:r>
          </w:p>
        </w:tc>
        <w:tc>
          <w:tcPr>
            <w:tcW w:w="1584" w:type="dxa"/>
            <w:shd w:val="clear" w:color="auto" w:fill="auto"/>
            <w:vAlign w:val="center"/>
          </w:tcPr>
          <w:p w14:paraId="3CED4E0B" w14:textId="3B23A119" w:rsidR="00C12F36" w:rsidRPr="00577845" w:rsidRDefault="002B0125" w:rsidP="00C12F36">
            <w:pPr>
              <w:tabs>
                <w:tab w:val="decimal" w:pos="1170"/>
              </w:tabs>
              <w:jc w:val="center"/>
              <w:rPr>
                <w:b/>
                <w:bCs/>
                <w:i/>
                <w:iCs/>
                <w:szCs w:val="18"/>
              </w:rPr>
            </w:pPr>
            <w:r w:rsidRPr="00577845">
              <w:rPr>
                <w:b/>
                <w:bCs/>
                <w:szCs w:val="18"/>
              </w:rPr>
              <w:t>75.3</w:t>
            </w:r>
          </w:p>
        </w:tc>
      </w:tr>
      <w:tr w:rsidR="00C12F36" w:rsidRPr="009944A0" w14:paraId="58360B87" w14:textId="77777777" w:rsidTr="005F0E7F">
        <w:trPr>
          <w:gridAfter w:val="1"/>
          <w:wAfter w:w="95" w:type="dxa"/>
        </w:trPr>
        <w:tc>
          <w:tcPr>
            <w:tcW w:w="4993" w:type="dxa"/>
            <w:shd w:val="clear" w:color="auto" w:fill="auto"/>
            <w:vAlign w:val="center"/>
          </w:tcPr>
          <w:p w14:paraId="403DBE1C" w14:textId="13933E27" w:rsidR="00C12F36" w:rsidRPr="00577845" w:rsidRDefault="00C12F36" w:rsidP="00C12F36">
            <w:pPr>
              <w:rPr>
                <w:b/>
                <w:i/>
                <w:szCs w:val="18"/>
              </w:rPr>
            </w:pPr>
            <w:r w:rsidRPr="00577845">
              <w:rPr>
                <w:szCs w:val="18"/>
              </w:rPr>
              <w:t>Loss attributable to non-controlling interests (</w:t>
            </w:r>
            <w:r w:rsidR="00D84A3E">
              <w:rPr>
                <w:szCs w:val="18"/>
              </w:rPr>
              <w:t>see above</w:t>
            </w:r>
            <w:r w:rsidR="00EF5EE6">
              <w:rPr>
                <w:szCs w:val="18"/>
              </w:rPr>
              <w:t>)</w:t>
            </w:r>
          </w:p>
        </w:tc>
        <w:tc>
          <w:tcPr>
            <w:tcW w:w="410" w:type="dxa"/>
            <w:shd w:val="clear" w:color="auto" w:fill="auto"/>
            <w:vAlign w:val="center"/>
          </w:tcPr>
          <w:p w14:paraId="1BB31383" w14:textId="77777777" w:rsidR="00C12F36" w:rsidRPr="00577845" w:rsidRDefault="00C12F36" w:rsidP="00C12F36">
            <w:pPr>
              <w:jc w:val="center"/>
              <w:rPr>
                <w:b/>
                <w:i/>
                <w:szCs w:val="18"/>
              </w:rPr>
            </w:pPr>
          </w:p>
        </w:tc>
        <w:tc>
          <w:tcPr>
            <w:tcW w:w="1554" w:type="dxa"/>
            <w:shd w:val="clear" w:color="auto" w:fill="auto"/>
            <w:vAlign w:val="center"/>
          </w:tcPr>
          <w:p w14:paraId="40004C2D" w14:textId="0C80F159" w:rsidR="00C12F36" w:rsidRPr="00577845" w:rsidRDefault="00C12F36" w:rsidP="00C12F36">
            <w:pPr>
              <w:tabs>
                <w:tab w:val="decimal" w:pos="1140"/>
              </w:tabs>
              <w:rPr>
                <w:b/>
                <w:bCs/>
                <w:i/>
                <w:iCs/>
                <w:szCs w:val="18"/>
              </w:rPr>
            </w:pPr>
            <w:r w:rsidRPr="00577845">
              <w:rPr>
                <w:szCs w:val="18"/>
              </w:rPr>
              <w:t>–</w:t>
            </w:r>
          </w:p>
        </w:tc>
        <w:tc>
          <w:tcPr>
            <w:tcW w:w="1569" w:type="dxa"/>
            <w:shd w:val="clear" w:color="auto" w:fill="auto"/>
            <w:vAlign w:val="center"/>
          </w:tcPr>
          <w:p w14:paraId="66772E0A" w14:textId="49B7ACE9" w:rsidR="00C12F36" w:rsidRPr="00577845" w:rsidRDefault="00C12F36" w:rsidP="00C12F36">
            <w:pPr>
              <w:tabs>
                <w:tab w:val="decimal" w:pos="1155"/>
              </w:tabs>
              <w:ind w:right="15"/>
              <w:rPr>
                <w:b/>
                <w:i/>
                <w:szCs w:val="18"/>
              </w:rPr>
            </w:pPr>
            <w:r w:rsidRPr="00577845">
              <w:rPr>
                <w:szCs w:val="18"/>
              </w:rPr>
              <w:t>0.1</w:t>
            </w:r>
          </w:p>
        </w:tc>
        <w:tc>
          <w:tcPr>
            <w:tcW w:w="1584" w:type="dxa"/>
            <w:shd w:val="clear" w:color="auto" w:fill="auto"/>
            <w:vAlign w:val="center"/>
          </w:tcPr>
          <w:p w14:paraId="052E31B8" w14:textId="26714EB9" w:rsidR="00C12F36" w:rsidRPr="00577845" w:rsidRDefault="00C12F36" w:rsidP="00C12F36">
            <w:pPr>
              <w:tabs>
                <w:tab w:val="decimal" w:pos="1170"/>
              </w:tabs>
              <w:jc w:val="center"/>
              <w:rPr>
                <w:b/>
                <w:bCs/>
                <w:i/>
                <w:iCs/>
                <w:szCs w:val="18"/>
              </w:rPr>
            </w:pPr>
            <w:r w:rsidRPr="00577845">
              <w:rPr>
                <w:szCs w:val="18"/>
              </w:rPr>
              <w:t>–</w:t>
            </w:r>
          </w:p>
        </w:tc>
      </w:tr>
      <w:tr w:rsidR="00C12F36" w:rsidRPr="009944A0" w14:paraId="1A767908" w14:textId="77777777" w:rsidTr="005F0E7F">
        <w:trPr>
          <w:gridAfter w:val="1"/>
          <w:wAfter w:w="95" w:type="dxa"/>
        </w:trPr>
        <w:tc>
          <w:tcPr>
            <w:tcW w:w="4993" w:type="dxa"/>
            <w:shd w:val="clear" w:color="auto" w:fill="auto"/>
            <w:vAlign w:val="center"/>
          </w:tcPr>
          <w:p w14:paraId="18FC924A" w14:textId="3C9EFB66" w:rsidR="00C12F36" w:rsidRPr="00577845" w:rsidRDefault="00C12F36" w:rsidP="00C12F36">
            <w:pPr>
              <w:rPr>
                <w:b/>
                <w:i/>
                <w:szCs w:val="18"/>
              </w:rPr>
            </w:pPr>
            <w:r w:rsidRPr="00577845">
              <w:rPr>
                <w:b/>
                <w:szCs w:val="18"/>
              </w:rPr>
              <w:t>Underlying profit after tax attributable to equity shareholders of the parent</w:t>
            </w:r>
            <w:r w:rsidR="00D83EF4" w:rsidRPr="00577845">
              <w:rPr>
                <w:b/>
                <w:szCs w:val="18"/>
              </w:rPr>
              <w:t xml:space="preserve"> before performance fees</w:t>
            </w:r>
          </w:p>
        </w:tc>
        <w:tc>
          <w:tcPr>
            <w:tcW w:w="410" w:type="dxa"/>
            <w:shd w:val="clear" w:color="auto" w:fill="auto"/>
            <w:vAlign w:val="center"/>
          </w:tcPr>
          <w:p w14:paraId="2C84F0D5" w14:textId="77777777" w:rsidR="00C12F36" w:rsidRPr="00577845" w:rsidRDefault="00C12F36" w:rsidP="00C12F36">
            <w:pPr>
              <w:jc w:val="center"/>
              <w:rPr>
                <w:b/>
                <w:i/>
                <w:szCs w:val="18"/>
              </w:rPr>
            </w:pPr>
          </w:p>
        </w:tc>
        <w:tc>
          <w:tcPr>
            <w:tcW w:w="1554" w:type="dxa"/>
            <w:shd w:val="clear" w:color="auto" w:fill="auto"/>
            <w:vAlign w:val="center"/>
          </w:tcPr>
          <w:p w14:paraId="0317EDF4" w14:textId="3CBB8115" w:rsidR="00C12F36" w:rsidRPr="00577845" w:rsidRDefault="00C12F36" w:rsidP="00C12F36">
            <w:pPr>
              <w:tabs>
                <w:tab w:val="decimal" w:pos="1140"/>
              </w:tabs>
              <w:rPr>
                <w:b/>
                <w:bCs/>
                <w:i/>
                <w:iCs/>
                <w:szCs w:val="18"/>
              </w:rPr>
            </w:pPr>
            <w:r w:rsidRPr="00577845">
              <w:rPr>
                <w:b/>
                <w:bCs/>
                <w:szCs w:val="18"/>
              </w:rPr>
              <w:t>3</w:t>
            </w:r>
            <w:r w:rsidR="00D83EF4" w:rsidRPr="00577845">
              <w:rPr>
                <w:b/>
                <w:bCs/>
                <w:szCs w:val="18"/>
              </w:rPr>
              <w:t>4</w:t>
            </w:r>
            <w:r w:rsidRPr="00577845">
              <w:rPr>
                <w:b/>
                <w:bCs/>
                <w:szCs w:val="18"/>
              </w:rPr>
              <w:t>.9</w:t>
            </w:r>
          </w:p>
        </w:tc>
        <w:tc>
          <w:tcPr>
            <w:tcW w:w="1569" w:type="dxa"/>
            <w:shd w:val="clear" w:color="auto" w:fill="auto"/>
            <w:vAlign w:val="center"/>
          </w:tcPr>
          <w:p w14:paraId="4810638F" w14:textId="12C40728" w:rsidR="00C12F36" w:rsidRPr="00577845" w:rsidRDefault="00C12F36" w:rsidP="00C12F36">
            <w:pPr>
              <w:tabs>
                <w:tab w:val="decimal" w:pos="1155"/>
              </w:tabs>
              <w:ind w:right="15"/>
              <w:rPr>
                <w:b/>
                <w:i/>
                <w:szCs w:val="18"/>
              </w:rPr>
            </w:pPr>
            <w:r w:rsidRPr="00577845">
              <w:rPr>
                <w:b/>
                <w:szCs w:val="18"/>
              </w:rPr>
              <w:t>3</w:t>
            </w:r>
            <w:r w:rsidR="00D83EF4" w:rsidRPr="00577845">
              <w:rPr>
                <w:b/>
                <w:szCs w:val="18"/>
              </w:rPr>
              <w:t>8.</w:t>
            </w:r>
            <w:r w:rsidR="00B72F27">
              <w:rPr>
                <w:b/>
                <w:szCs w:val="18"/>
              </w:rPr>
              <w:t>7</w:t>
            </w:r>
          </w:p>
        </w:tc>
        <w:tc>
          <w:tcPr>
            <w:tcW w:w="1584" w:type="dxa"/>
            <w:shd w:val="clear" w:color="auto" w:fill="auto"/>
            <w:vAlign w:val="center"/>
          </w:tcPr>
          <w:p w14:paraId="37C84E74" w14:textId="780C5D01" w:rsidR="00C12F36" w:rsidRPr="00577845" w:rsidRDefault="00D46831" w:rsidP="00C12F36">
            <w:pPr>
              <w:tabs>
                <w:tab w:val="decimal" w:pos="1170"/>
              </w:tabs>
              <w:jc w:val="center"/>
              <w:rPr>
                <w:b/>
                <w:bCs/>
                <w:i/>
                <w:iCs/>
                <w:szCs w:val="18"/>
              </w:rPr>
            </w:pPr>
            <w:r w:rsidRPr="00577845">
              <w:rPr>
                <w:b/>
                <w:bCs/>
                <w:szCs w:val="18"/>
              </w:rPr>
              <w:t>75.3</w:t>
            </w:r>
          </w:p>
        </w:tc>
      </w:tr>
      <w:tr w:rsidR="00C12F36" w:rsidRPr="009944A0" w14:paraId="1733579D" w14:textId="77777777" w:rsidTr="005F0E7F">
        <w:trPr>
          <w:gridAfter w:val="1"/>
          <w:wAfter w:w="95" w:type="dxa"/>
        </w:trPr>
        <w:tc>
          <w:tcPr>
            <w:tcW w:w="4993" w:type="dxa"/>
            <w:shd w:val="clear" w:color="auto" w:fill="auto"/>
            <w:vAlign w:val="center"/>
          </w:tcPr>
          <w:p w14:paraId="427987A1" w14:textId="5B0D9F6F" w:rsidR="00C12F36" w:rsidRPr="00577845" w:rsidRDefault="00C12F36" w:rsidP="00C12F36">
            <w:pPr>
              <w:rPr>
                <w:b/>
                <w:i/>
                <w:szCs w:val="18"/>
              </w:rPr>
            </w:pPr>
            <w:r w:rsidRPr="00577845">
              <w:rPr>
                <w:b/>
                <w:szCs w:val="18"/>
              </w:rPr>
              <w:t>Average issued share capital (m) (</w:t>
            </w:r>
            <w:r w:rsidR="00854FF6">
              <w:rPr>
                <w:b/>
                <w:szCs w:val="18"/>
              </w:rPr>
              <w:t>see above</w:t>
            </w:r>
            <w:r w:rsidRPr="00577845">
              <w:rPr>
                <w:b/>
                <w:szCs w:val="18"/>
              </w:rPr>
              <w:t>)</w:t>
            </w:r>
          </w:p>
        </w:tc>
        <w:tc>
          <w:tcPr>
            <w:tcW w:w="410" w:type="dxa"/>
            <w:shd w:val="clear" w:color="auto" w:fill="auto"/>
            <w:vAlign w:val="center"/>
          </w:tcPr>
          <w:p w14:paraId="4B550122" w14:textId="77777777" w:rsidR="00C12F36" w:rsidRPr="00577845" w:rsidRDefault="00C12F36" w:rsidP="00C12F36">
            <w:pPr>
              <w:jc w:val="center"/>
              <w:rPr>
                <w:b/>
                <w:i/>
                <w:szCs w:val="18"/>
              </w:rPr>
            </w:pPr>
          </w:p>
        </w:tc>
        <w:tc>
          <w:tcPr>
            <w:tcW w:w="1554" w:type="dxa"/>
            <w:shd w:val="clear" w:color="auto" w:fill="auto"/>
            <w:vAlign w:val="center"/>
          </w:tcPr>
          <w:p w14:paraId="1719406F" w14:textId="1E8C2A13" w:rsidR="00C12F36" w:rsidRPr="00577845" w:rsidRDefault="00C12F36" w:rsidP="00C12F36">
            <w:pPr>
              <w:tabs>
                <w:tab w:val="decimal" w:pos="1140"/>
              </w:tabs>
              <w:rPr>
                <w:b/>
                <w:bCs/>
                <w:i/>
                <w:iCs/>
                <w:szCs w:val="18"/>
              </w:rPr>
            </w:pPr>
            <w:r w:rsidRPr="00577845">
              <w:rPr>
                <w:b/>
                <w:bCs/>
                <w:szCs w:val="18"/>
              </w:rPr>
              <w:t>545.0</w:t>
            </w:r>
          </w:p>
        </w:tc>
        <w:tc>
          <w:tcPr>
            <w:tcW w:w="1569" w:type="dxa"/>
            <w:shd w:val="clear" w:color="auto" w:fill="auto"/>
            <w:vAlign w:val="center"/>
          </w:tcPr>
          <w:p w14:paraId="3EC995F3" w14:textId="0236EF47" w:rsidR="00C12F36" w:rsidRPr="00577845" w:rsidRDefault="00C12F36" w:rsidP="00C12F36">
            <w:pPr>
              <w:tabs>
                <w:tab w:val="decimal" w:pos="1155"/>
              </w:tabs>
              <w:ind w:right="15"/>
              <w:rPr>
                <w:b/>
                <w:i/>
                <w:szCs w:val="18"/>
              </w:rPr>
            </w:pPr>
            <w:r w:rsidRPr="00577845">
              <w:rPr>
                <w:b/>
                <w:bCs/>
                <w:szCs w:val="18"/>
              </w:rPr>
              <w:t>545.1</w:t>
            </w:r>
          </w:p>
        </w:tc>
        <w:tc>
          <w:tcPr>
            <w:tcW w:w="1584" w:type="dxa"/>
            <w:shd w:val="clear" w:color="auto" w:fill="auto"/>
            <w:vAlign w:val="center"/>
          </w:tcPr>
          <w:p w14:paraId="568A6AE3" w14:textId="10861824" w:rsidR="00C12F36" w:rsidRPr="00577845" w:rsidRDefault="00C12F36" w:rsidP="00C12F36">
            <w:pPr>
              <w:tabs>
                <w:tab w:val="decimal" w:pos="1170"/>
              </w:tabs>
              <w:jc w:val="center"/>
              <w:rPr>
                <w:b/>
                <w:bCs/>
                <w:i/>
                <w:iCs/>
                <w:szCs w:val="18"/>
              </w:rPr>
            </w:pPr>
            <w:r w:rsidRPr="00577845">
              <w:rPr>
                <w:b/>
                <w:bCs/>
                <w:szCs w:val="18"/>
              </w:rPr>
              <w:t>545.0</w:t>
            </w:r>
          </w:p>
        </w:tc>
      </w:tr>
      <w:tr w:rsidR="00006DBC" w:rsidRPr="009944A0" w14:paraId="51CF9827" w14:textId="77777777" w:rsidTr="005F0CDE">
        <w:trPr>
          <w:gridAfter w:val="1"/>
          <w:wAfter w:w="95" w:type="dxa"/>
        </w:trPr>
        <w:tc>
          <w:tcPr>
            <w:tcW w:w="4993" w:type="dxa"/>
            <w:shd w:val="clear" w:color="auto" w:fill="E4E8ED" w:themeFill="accent4" w:themeFillTint="33"/>
            <w:vAlign w:val="center"/>
          </w:tcPr>
          <w:p w14:paraId="5F5322F5" w14:textId="440E005D" w:rsidR="00006DBC" w:rsidRPr="00577845" w:rsidRDefault="006F4868" w:rsidP="00006DBC">
            <w:pPr>
              <w:rPr>
                <w:b/>
                <w:i/>
                <w:szCs w:val="18"/>
              </w:rPr>
            </w:pPr>
            <w:r w:rsidRPr="00577845">
              <w:rPr>
                <w:b/>
                <w:i/>
                <w:szCs w:val="18"/>
              </w:rPr>
              <w:t>Underlying EPS before performance fee (profits)/losses</w:t>
            </w:r>
          </w:p>
        </w:tc>
        <w:tc>
          <w:tcPr>
            <w:tcW w:w="410" w:type="dxa"/>
            <w:shd w:val="clear" w:color="auto" w:fill="E4E8ED" w:themeFill="accent4" w:themeFillTint="33"/>
            <w:vAlign w:val="center"/>
          </w:tcPr>
          <w:p w14:paraId="1370EBE5" w14:textId="180C0A2F" w:rsidR="00006DBC" w:rsidRPr="00577845" w:rsidRDefault="001A1373" w:rsidP="00006DBC">
            <w:pPr>
              <w:jc w:val="center"/>
              <w:rPr>
                <w:b/>
                <w:i/>
                <w:szCs w:val="18"/>
              </w:rPr>
            </w:pPr>
            <w:r w:rsidRPr="00577845">
              <w:rPr>
                <w:b/>
                <w:i/>
                <w:szCs w:val="18"/>
              </w:rPr>
              <w:t>6</w:t>
            </w:r>
          </w:p>
        </w:tc>
        <w:tc>
          <w:tcPr>
            <w:tcW w:w="1554" w:type="dxa"/>
            <w:shd w:val="clear" w:color="auto" w:fill="E4E8ED" w:themeFill="accent4" w:themeFillTint="33"/>
            <w:vAlign w:val="center"/>
          </w:tcPr>
          <w:p w14:paraId="6E167054" w14:textId="25E5A85B" w:rsidR="00006DBC" w:rsidRPr="00577845" w:rsidRDefault="001A1373" w:rsidP="00006DBC">
            <w:pPr>
              <w:tabs>
                <w:tab w:val="decimal" w:pos="1140"/>
              </w:tabs>
              <w:rPr>
                <w:b/>
                <w:bCs/>
                <w:i/>
                <w:iCs/>
                <w:szCs w:val="18"/>
              </w:rPr>
            </w:pPr>
            <w:r w:rsidRPr="00577845">
              <w:rPr>
                <w:b/>
                <w:bCs/>
                <w:i/>
                <w:iCs/>
                <w:szCs w:val="18"/>
              </w:rPr>
              <w:t>6.4p</w:t>
            </w:r>
          </w:p>
        </w:tc>
        <w:tc>
          <w:tcPr>
            <w:tcW w:w="1569" w:type="dxa"/>
            <w:shd w:val="clear" w:color="auto" w:fill="E4E8ED" w:themeFill="accent4" w:themeFillTint="33"/>
            <w:vAlign w:val="center"/>
          </w:tcPr>
          <w:p w14:paraId="6DE032EF" w14:textId="0EC26091" w:rsidR="00006DBC" w:rsidRPr="00577845" w:rsidRDefault="003E11F8" w:rsidP="00006DBC">
            <w:pPr>
              <w:tabs>
                <w:tab w:val="decimal" w:pos="1155"/>
              </w:tabs>
              <w:ind w:right="15"/>
              <w:rPr>
                <w:b/>
                <w:i/>
                <w:szCs w:val="18"/>
              </w:rPr>
            </w:pPr>
            <w:r w:rsidRPr="00577845">
              <w:rPr>
                <w:b/>
                <w:i/>
                <w:szCs w:val="18"/>
              </w:rPr>
              <w:t>7.1p</w:t>
            </w:r>
          </w:p>
        </w:tc>
        <w:tc>
          <w:tcPr>
            <w:tcW w:w="1584" w:type="dxa"/>
            <w:shd w:val="clear" w:color="auto" w:fill="E4E8ED" w:themeFill="accent4" w:themeFillTint="33"/>
            <w:vAlign w:val="center"/>
          </w:tcPr>
          <w:p w14:paraId="4D0EF4BB" w14:textId="33CF9979" w:rsidR="00006DBC" w:rsidRPr="00577845" w:rsidRDefault="003E11F8" w:rsidP="00006DBC">
            <w:pPr>
              <w:tabs>
                <w:tab w:val="decimal" w:pos="1170"/>
              </w:tabs>
              <w:jc w:val="center"/>
              <w:rPr>
                <w:b/>
                <w:bCs/>
                <w:i/>
                <w:iCs/>
                <w:szCs w:val="18"/>
              </w:rPr>
            </w:pPr>
            <w:r w:rsidRPr="00577845">
              <w:rPr>
                <w:b/>
                <w:bCs/>
                <w:i/>
                <w:iCs/>
                <w:szCs w:val="18"/>
              </w:rPr>
              <w:t>13.8p</w:t>
            </w:r>
          </w:p>
        </w:tc>
      </w:tr>
      <w:tr w:rsidR="00FF1616" w:rsidRPr="009944A0" w14:paraId="2D9FE40F" w14:textId="77777777" w:rsidTr="005F0E7F">
        <w:trPr>
          <w:gridAfter w:val="1"/>
          <w:wAfter w:w="95" w:type="dxa"/>
        </w:trPr>
        <w:tc>
          <w:tcPr>
            <w:tcW w:w="10110" w:type="dxa"/>
            <w:gridSpan w:val="5"/>
            <w:shd w:val="clear" w:color="auto" w:fill="auto"/>
            <w:vAlign w:val="center"/>
          </w:tcPr>
          <w:p w14:paraId="448496F4" w14:textId="6DA52721" w:rsidR="00FF1616" w:rsidRPr="00577845" w:rsidRDefault="00DC2562" w:rsidP="005F0E7F">
            <w:pPr>
              <w:rPr>
                <w:rFonts w:ascii="Source Sans Pro Light" w:hAnsi="Source Sans Pro Light"/>
                <w:b/>
                <w:bCs/>
                <w:i/>
                <w:iCs/>
                <w:szCs w:val="18"/>
              </w:rPr>
            </w:pPr>
            <w:r w:rsidRPr="00577845">
              <w:rPr>
                <w:rFonts w:ascii="Source Sans Pro Light" w:hAnsi="Source Sans Pro Light"/>
                <w:szCs w:val="18"/>
                <w:vertAlign w:val="superscript"/>
              </w:rPr>
              <w:t>2</w:t>
            </w:r>
            <w:r w:rsidR="00FF1616" w:rsidRPr="00577845">
              <w:rPr>
                <w:rFonts w:ascii="Source Sans Pro Light" w:hAnsi="Source Sans Pro Light"/>
                <w:szCs w:val="18"/>
              </w:rPr>
              <w:t xml:space="preserve">Actual effective tax rates applicable to underlying profit before tax were </w:t>
            </w:r>
            <w:r w:rsidR="00535FC5" w:rsidRPr="00577845">
              <w:rPr>
                <w:rFonts w:ascii="Source Sans Pro Light" w:hAnsi="Source Sans Pro Light"/>
                <w:szCs w:val="18"/>
              </w:rPr>
              <w:t>26.6</w:t>
            </w:r>
            <w:r w:rsidR="00FF1616" w:rsidRPr="00577845">
              <w:rPr>
                <w:rFonts w:ascii="Source Sans Pro Light" w:hAnsi="Source Sans Pro Light"/>
                <w:szCs w:val="18"/>
              </w:rPr>
              <w:t xml:space="preserve">% in 2024 H1, </w:t>
            </w:r>
            <w:r w:rsidR="00535FC5" w:rsidRPr="00577845">
              <w:rPr>
                <w:rFonts w:ascii="Source Sans Pro Light" w:hAnsi="Source Sans Pro Light"/>
                <w:szCs w:val="18"/>
              </w:rPr>
              <w:t>29.5</w:t>
            </w:r>
            <w:r w:rsidR="00FF1616" w:rsidRPr="00577845">
              <w:rPr>
                <w:rFonts w:ascii="Source Sans Pro Light" w:hAnsi="Source Sans Pro Light"/>
                <w:szCs w:val="18"/>
              </w:rPr>
              <w:t>% in 2023 H1 and 25.</w:t>
            </w:r>
            <w:r w:rsidR="003126F3" w:rsidRPr="00577845">
              <w:rPr>
                <w:rFonts w:ascii="Source Sans Pro Light" w:hAnsi="Source Sans Pro Light"/>
                <w:szCs w:val="18"/>
              </w:rPr>
              <w:t>7</w:t>
            </w:r>
            <w:r w:rsidR="00FF1616" w:rsidRPr="00577845">
              <w:rPr>
                <w:rFonts w:ascii="Source Sans Pro Light" w:hAnsi="Source Sans Pro Light"/>
                <w:szCs w:val="18"/>
              </w:rPr>
              <w:t>% in 2023 FY.</w:t>
            </w:r>
          </w:p>
        </w:tc>
      </w:tr>
      <w:tr w:rsidR="008E610D" w:rsidRPr="00C00BD0" w14:paraId="0DA670F2" w14:textId="77777777" w:rsidTr="001A1373">
        <w:trPr>
          <w:gridAfter w:val="1"/>
          <w:wAfter w:w="95" w:type="dxa"/>
        </w:trPr>
        <w:tc>
          <w:tcPr>
            <w:tcW w:w="10110" w:type="dxa"/>
            <w:gridSpan w:val="5"/>
            <w:shd w:val="clear" w:color="auto" w:fill="auto"/>
            <w:vAlign w:val="center"/>
          </w:tcPr>
          <w:p w14:paraId="5BC41D57" w14:textId="77777777" w:rsidR="008E610D" w:rsidRDefault="008E610D" w:rsidP="008E610D">
            <w:pPr>
              <w:tabs>
                <w:tab w:val="decimal" w:pos="1170"/>
              </w:tabs>
              <w:rPr>
                <w:rFonts w:ascii="Source Sans Pro Light" w:eastAsiaTheme="minorHAnsi" w:hAnsi="Source Sans Pro Light"/>
                <w:sz w:val="16"/>
                <w:szCs w:val="20"/>
                <w:vertAlign w:val="superscript"/>
                <w:lang w:val="en-GB" w:eastAsia="en-US"/>
              </w:rPr>
            </w:pPr>
          </w:p>
        </w:tc>
      </w:tr>
      <w:tr w:rsidR="008E610D" w:rsidRPr="00C00BD0" w14:paraId="261E1A46" w14:textId="77777777" w:rsidTr="001A1373">
        <w:trPr>
          <w:gridAfter w:val="1"/>
          <w:wAfter w:w="95" w:type="dxa"/>
        </w:trPr>
        <w:tc>
          <w:tcPr>
            <w:tcW w:w="10110" w:type="dxa"/>
            <w:gridSpan w:val="5"/>
            <w:shd w:val="clear" w:color="auto" w:fill="auto"/>
            <w:vAlign w:val="center"/>
          </w:tcPr>
          <w:p w14:paraId="21ED4288" w14:textId="77777777" w:rsidR="008E610D" w:rsidRDefault="008E610D" w:rsidP="008E610D">
            <w:pPr>
              <w:tabs>
                <w:tab w:val="decimal" w:pos="1170"/>
              </w:tabs>
              <w:rPr>
                <w:rFonts w:ascii="Source Sans Pro Light" w:eastAsiaTheme="minorHAnsi" w:hAnsi="Source Sans Pro Light"/>
                <w:sz w:val="16"/>
                <w:szCs w:val="20"/>
                <w:vertAlign w:val="superscript"/>
                <w:lang w:val="en-GB" w:eastAsia="en-US"/>
              </w:rPr>
            </w:pPr>
          </w:p>
        </w:tc>
      </w:tr>
      <w:tr w:rsidR="008E610D" w:rsidRPr="00C00BD0" w14:paraId="52C4B630" w14:textId="77777777" w:rsidTr="001A1373">
        <w:trPr>
          <w:gridAfter w:val="1"/>
          <w:wAfter w:w="95" w:type="dxa"/>
        </w:trPr>
        <w:tc>
          <w:tcPr>
            <w:tcW w:w="10110" w:type="dxa"/>
            <w:gridSpan w:val="5"/>
            <w:shd w:val="clear" w:color="auto" w:fill="auto"/>
            <w:vAlign w:val="center"/>
          </w:tcPr>
          <w:p w14:paraId="0B6F9571" w14:textId="77777777" w:rsidR="008E610D" w:rsidRDefault="008E610D" w:rsidP="008E610D">
            <w:pPr>
              <w:tabs>
                <w:tab w:val="decimal" w:pos="1170"/>
              </w:tabs>
              <w:rPr>
                <w:rFonts w:ascii="Source Sans Pro Light" w:eastAsiaTheme="minorHAnsi" w:hAnsi="Source Sans Pro Light"/>
                <w:sz w:val="16"/>
                <w:szCs w:val="20"/>
                <w:vertAlign w:val="superscript"/>
                <w:lang w:val="en-GB" w:eastAsia="en-US"/>
              </w:rPr>
            </w:pPr>
          </w:p>
        </w:tc>
      </w:tr>
    </w:tbl>
    <w:p w14:paraId="5075D455" w14:textId="77777777" w:rsidR="001A1373" w:rsidRDefault="001A1373" w:rsidP="005C0CF2">
      <w:pPr>
        <w:rPr>
          <w:vertAlign w:val="superscript"/>
        </w:rPr>
      </w:pPr>
    </w:p>
    <w:p w14:paraId="592BAFAC" w14:textId="6ACD165B" w:rsidR="00A46C49" w:rsidRPr="004F6EE6" w:rsidRDefault="001A1373" w:rsidP="005F0E7F">
      <w:pPr>
        <w:rPr>
          <w:rFonts w:ascii="Source Sans Pro Semibold" w:eastAsiaTheme="minorHAnsi" w:hAnsi="Source Sans Pro Semibold"/>
          <w:color w:val="3E5772"/>
          <w:sz w:val="20"/>
          <w:lang w:val="en-GB" w:eastAsia="en-US"/>
        </w:rPr>
      </w:pPr>
      <w:r>
        <w:rPr>
          <w:vertAlign w:val="superscript"/>
        </w:rPr>
        <w:br w:type="page"/>
      </w:r>
      <w:r w:rsidR="00A46C49" w:rsidRPr="004F6EE6">
        <w:rPr>
          <w:rFonts w:ascii="Source Sans Pro Semibold" w:eastAsiaTheme="minorHAnsi" w:hAnsi="Source Sans Pro Semibold"/>
          <w:color w:val="3E5772"/>
          <w:sz w:val="20"/>
          <w:lang w:val="en-GB" w:eastAsia="en-US"/>
        </w:rPr>
        <w:lastRenderedPageBreak/>
        <w:t>Revenue, expense and profit-related measures</w:t>
      </w:r>
    </w:p>
    <w:p w14:paraId="7BFF2F59" w14:textId="77777777" w:rsidR="00A46C49" w:rsidRPr="004F6EE6" w:rsidRDefault="00A46C49" w:rsidP="00F2575A">
      <w:pPr>
        <w:pStyle w:val="Bullet1"/>
        <w:numPr>
          <w:ilvl w:val="0"/>
          <w:numId w:val="13"/>
        </w:numPr>
      </w:pPr>
      <w:r w:rsidRPr="004F6EE6">
        <w:t>Asset managers commonly draw out subtotals of revenues less cost of sales, taking into account items such as fee expenses, including commissions payable, without which a proportion of the revenues would not have been earned. Such net subtotals can also be presented after deducting non-recurring exceptional items.</w:t>
      </w:r>
    </w:p>
    <w:p w14:paraId="07C86FAF" w14:textId="462DB572" w:rsidR="00A46C49" w:rsidRDefault="00A46C49" w:rsidP="00F2575A">
      <w:pPr>
        <w:pStyle w:val="Bullet1"/>
        <w:numPr>
          <w:ilvl w:val="0"/>
          <w:numId w:val="13"/>
        </w:numPr>
      </w:pPr>
      <w:r w:rsidRPr="004F6EE6">
        <w:t>The Group uses expense-based APMs to identify and separate out non-recurring exceptional items or recurring items that are of significant size in order to provide useful information for users of the accounts who wish to determine the underlying cost base of the Group. To further assist in this, we also provide breakdowns of administrative expenses below the level required to be disclosed in the statutory accounts, for example, distinguishing between compensation</w:t>
      </w:r>
      <w:r w:rsidR="00461270">
        <w:t xml:space="preserve"> and</w:t>
      </w:r>
      <w:r w:rsidRPr="004F6EE6">
        <w:t xml:space="preserve"> non-compensation expenditure. These subdivisions of expenditure are also presented before and after exceptional items and after accounting for the impact of performance fee pay-aways to fund managers. </w:t>
      </w:r>
    </w:p>
    <w:p w14:paraId="44C8F30B" w14:textId="5FF19B12" w:rsidR="00A46C49" w:rsidRPr="004F6EE6" w:rsidRDefault="00A46C49" w:rsidP="00F2575A">
      <w:pPr>
        <w:pStyle w:val="Bullet1"/>
        <w:numPr>
          <w:ilvl w:val="0"/>
          <w:numId w:val="13"/>
        </w:numPr>
      </w:pPr>
      <w:r w:rsidRPr="004F6EE6">
        <w:t xml:space="preserve">Profitability-based APMs are effectively the sum of the above revenue and expense-based APMs and are provided for the same purpose </w:t>
      </w:r>
      <w:r w:rsidR="000529D5">
        <w:t>–</w:t>
      </w:r>
      <w:r w:rsidRPr="004F6EE6">
        <w:t xml:space="preserve"> to separate out non-recurring exceptional items or recurring items that are of significant size in order to provide useful information for users of the accounts who wish to determine the underlying profitability of the Group. </w:t>
      </w:r>
    </w:p>
    <w:p w14:paraId="6C20CCAD" w14:textId="77777777" w:rsidR="00A46C49" w:rsidRPr="004F6EE6" w:rsidRDefault="00A46C49" w:rsidP="00F2575A">
      <w:pPr>
        <w:pStyle w:val="Bullet1"/>
        <w:numPr>
          <w:ilvl w:val="0"/>
          <w:numId w:val="13"/>
        </w:numPr>
      </w:pPr>
      <w:r w:rsidRPr="004F6EE6">
        <w:t>Underlying profit after tax is, in addition, used to calculate underlying EPS which determines the Group’s ordinary dividend per share and is used in one of the criteria for measuring the vesting rates of share-based awards that have performance conditions attached.</w:t>
      </w:r>
    </w:p>
    <w:p w14:paraId="41590754" w14:textId="77777777" w:rsidR="00A46C49" w:rsidRDefault="00A46C49" w:rsidP="00A46C49">
      <w:pPr>
        <w:pStyle w:val="Bodytext-alphanumbering"/>
        <w:numPr>
          <w:ilvl w:val="0"/>
          <w:numId w:val="0"/>
        </w:numPr>
      </w:pPr>
      <w:r w:rsidRPr="004F6EE6">
        <w:t>In th</w:t>
      </w:r>
      <w:r>
        <w:t>is document</w:t>
      </w:r>
      <w:r w:rsidRPr="004F6EE6">
        <w:t>, we have used the following measures which are reconciled or cross-referenced in table 1:</w:t>
      </w:r>
    </w:p>
    <w:p w14:paraId="0F7AEC5F" w14:textId="77777777" w:rsidR="00A46C49" w:rsidRDefault="00A46C49" w:rsidP="00A46C49">
      <w:pPr>
        <w:pStyle w:val="ListParagraph"/>
        <w:ind w:left="0"/>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3625"/>
      </w:tblGrid>
      <w:tr w:rsidR="002042C7" w:rsidRPr="000834EB" w14:paraId="7B5E9D3A" w14:textId="77777777" w:rsidTr="00A97AF6">
        <w:tc>
          <w:tcPr>
            <w:tcW w:w="6014" w:type="dxa"/>
          </w:tcPr>
          <w:p w14:paraId="79CABD98" w14:textId="77777777" w:rsidR="00A46C49" w:rsidRPr="000834EB" w:rsidRDefault="00A46C49" w:rsidP="00A97AF6">
            <w:pPr>
              <w:rPr>
                <w:rFonts w:eastAsiaTheme="minorHAnsi"/>
                <w:b/>
                <w:color w:val="003D7F" w:themeColor="accent2" w:themeShade="BF"/>
                <w:sz w:val="20"/>
                <w:lang w:val="en-GB" w:eastAsia="en-US"/>
              </w:rPr>
            </w:pPr>
            <w:r w:rsidRPr="000834EB">
              <w:rPr>
                <w:rFonts w:eastAsiaTheme="minorHAnsi"/>
                <w:b/>
                <w:color w:val="003D7F" w:themeColor="accent2" w:themeShade="BF"/>
                <w:sz w:val="20"/>
                <w:lang w:val="en-GB" w:eastAsia="en-US"/>
              </w:rPr>
              <w:t>Measure</w:t>
            </w:r>
          </w:p>
        </w:tc>
        <w:tc>
          <w:tcPr>
            <w:tcW w:w="3625" w:type="dxa"/>
          </w:tcPr>
          <w:p w14:paraId="71D85C30" w14:textId="77777777" w:rsidR="00A46C49" w:rsidRPr="000834EB" w:rsidRDefault="00A46C49" w:rsidP="00A97AF6">
            <w:pPr>
              <w:jc w:val="center"/>
              <w:rPr>
                <w:rFonts w:eastAsiaTheme="minorHAnsi"/>
                <w:b/>
                <w:color w:val="003D7F" w:themeColor="accent2" w:themeShade="BF"/>
                <w:sz w:val="20"/>
                <w:lang w:val="en-GB" w:eastAsia="en-US"/>
              </w:rPr>
            </w:pPr>
            <w:r w:rsidRPr="000834EB">
              <w:rPr>
                <w:rFonts w:eastAsiaTheme="minorHAnsi"/>
                <w:b/>
                <w:color w:val="003D7F" w:themeColor="accent2" w:themeShade="BF"/>
                <w:sz w:val="20"/>
                <w:lang w:val="en-GB" w:eastAsia="en-US"/>
              </w:rPr>
              <w:t>Rationale for use of measure</w:t>
            </w:r>
          </w:p>
        </w:tc>
      </w:tr>
      <w:tr w:rsidR="002042C7" w:rsidRPr="00247E6D" w14:paraId="3A309399" w14:textId="77777777" w:rsidTr="00A97AF6">
        <w:tc>
          <w:tcPr>
            <w:tcW w:w="6014" w:type="dxa"/>
          </w:tcPr>
          <w:p w14:paraId="3217BF23" w14:textId="7B607EE8" w:rsidR="00A46C49" w:rsidRPr="004F6EE6" w:rsidRDefault="00230753" w:rsidP="00A97AF6">
            <w:pPr>
              <w:rPr>
                <w:rFonts w:eastAsiaTheme="minorHAnsi"/>
                <w:sz w:val="20"/>
                <w:lang w:val="en-GB" w:eastAsia="en-US"/>
              </w:rPr>
            </w:pPr>
            <w:r w:rsidRPr="00230753">
              <w:rPr>
                <w:rFonts w:eastAsiaTheme="minorHAnsi"/>
                <w:sz w:val="20"/>
                <w:lang w:val="en-GB" w:eastAsia="en-US"/>
              </w:rPr>
              <w:t xml:space="preserve">Net </w:t>
            </w:r>
            <w:r w:rsidR="00654424">
              <w:rPr>
                <w:rFonts w:eastAsiaTheme="minorHAnsi"/>
                <w:sz w:val="20"/>
                <w:lang w:val="en-GB" w:eastAsia="en-US"/>
              </w:rPr>
              <w:t>management fees</w:t>
            </w:r>
          </w:p>
        </w:tc>
        <w:tc>
          <w:tcPr>
            <w:tcW w:w="3625" w:type="dxa"/>
          </w:tcPr>
          <w:p w14:paraId="540C80B9" w14:textId="77777777" w:rsidR="00A46C49" w:rsidRPr="004F6EE6" w:rsidRDefault="00A46C49" w:rsidP="00A97AF6">
            <w:pPr>
              <w:jc w:val="center"/>
              <w:rPr>
                <w:rFonts w:eastAsiaTheme="minorHAnsi"/>
                <w:sz w:val="20"/>
                <w:lang w:val="en-GB" w:eastAsia="en-US"/>
              </w:rPr>
            </w:pPr>
            <w:r>
              <w:rPr>
                <w:rFonts w:eastAsiaTheme="minorHAnsi"/>
                <w:sz w:val="20"/>
                <w:lang w:val="en-GB" w:eastAsia="en-US"/>
              </w:rPr>
              <w:t>1</w:t>
            </w:r>
          </w:p>
        </w:tc>
      </w:tr>
      <w:tr w:rsidR="002042C7" w:rsidRPr="00247E6D" w14:paraId="29E19FF8" w14:textId="77777777" w:rsidTr="00A97AF6">
        <w:tc>
          <w:tcPr>
            <w:tcW w:w="6014" w:type="dxa"/>
          </w:tcPr>
          <w:p w14:paraId="40477BCB" w14:textId="77777777" w:rsidR="00A46C49" w:rsidRPr="004F6EE6" w:rsidRDefault="00A46C49" w:rsidP="00A97AF6">
            <w:pPr>
              <w:rPr>
                <w:rFonts w:eastAsiaTheme="minorHAnsi"/>
                <w:sz w:val="20"/>
                <w:lang w:val="en-GB" w:eastAsia="en-US"/>
              </w:rPr>
            </w:pPr>
            <w:r w:rsidRPr="004F6EE6">
              <w:rPr>
                <w:rFonts w:eastAsiaTheme="minorHAnsi"/>
                <w:sz w:val="20"/>
                <w:lang w:val="en-GB" w:eastAsia="en-US"/>
              </w:rPr>
              <w:t>Exceptional items</w:t>
            </w:r>
            <w:r w:rsidRPr="00B2347D">
              <w:rPr>
                <w:rFonts w:eastAsiaTheme="minorHAnsi"/>
                <w:sz w:val="20"/>
                <w:vertAlign w:val="superscript"/>
                <w:lang w:val="en-GB" w:eastAsia="en-US"/>
              </w:rPr>
              <w:t>1</w:t>
            </w:r>
          </w:p>
        </w:tc>
        <w:tc>
          <w:tcPr>
            <w:tcW w:w="3625" w:type="dxa"/>
          </w:tcPr>
          <w:p w14:paraId="1164E42E" w14:textId="49095F1C" w:rsidR="00A46C49" w:rsidRPr="004F6EE6" w:rsidRDefault="00A46C49" w:rsidP="00A97AF6">
            <w:pPr>
              <w:jc w:val="center"/>
              <w:rPr>
                <w:rFonts w:eastAsiaTheme="minorHAnsi"/>
                <w:sz w:val="20"/>
                <w:lang w:val="en-GB" w:eastAsia="en-US"/>
              </w:rPr>
            </w:pPr>
            <w:r w:rsidRPr="000D3696">
              <w:rPr>
                <w:rFonts w:eastAsiaTheme="minorHAnsi"/>
                <w:sz w:val="20"/>
                <w:lang w:val="en-GB" w:eastAsia="en-US"/>
              </w:rPr>
              <w:t>2</w:t>
            </w:r>
          </w:p>
        </w:tc>
      </w:tr>
      <w:tr w:rsidR="002042C7" w:rsidRPr="00247E6D" w14:paraId="4283EF3A" w14:textId="77777777" w:rsidTr="00A97AF6">
        <w:tc>
          <w:tcPr>
            <w:tcW w:w="6014" w:type="dxa"/>
          </w:tcPr>
          <w:p w14:paraId="1A58BE98" w14:textId="77777777" w:rsidR="00A46C49" w:rsidRPr="004F6EE6" w:rsidRDefault="00A46C49" w:rsidP="00A97AF6">
            <w:pPr>
              <w:rPr>
                <w:rFonts w:eastAsiaTheme="minorHAnsi"/>
                <w:sz w:val="20"/>
                <w:lang w:val="en-GB" w:eastAsia="en-US"/>
              </w:rPr>
            </w:pPr>
            <w:r w:rsidRPr="004F6EE6">
              <w:rPr>
                <w:rFonts w:eastAsiaTheme="minorHAnsi"/>
                <w:sz w:val="20"/>
                <w:lang w:val="en-GB" w:eastAsia="en-US"/>
              </w:rPr>
              <w:t>Net revenue</w:t>
            </w:r>
          </w:p>
        </w:tc>
        <w:tc>
          <w:tcPr>
            <w:tcW w:w="3625" w:type="dxa"/>
          </w:tcPr>
          <w:p w14:paraId="5994961F" w14:textId="77777777" w:rsidR="00A46C49" w:rsidRPr="004F6EE6" w:rsidRDefault="00A46C49" w:rsidP="00A97AF6">
            <w:pPr>
              <w:jc w:val="center"/>
              <w:rPr>
                <w:rFonts w:eastAsiaTheme="minorHAnsi"/>
                <w:sz w:val="20"/>
                <w:lang w:val="en-GB" w:eastAsia="en-US"/>
              </w:rPr>
            </w:pPr>
            <w:r>
              <w:rPr>
                <w:rFonts w:eastAsiaTheme="minorHAnsi"/>
                <w:sz w:val="20"/>
                <w:lang w:val="en-GB" w:eastAsia="en-US"/>
              </w:rPr>
              <w:t>1</w:t>
            </w:r>
          </w:p>
        </w:tc>
      </w:tr>
      <w:tr w:rsidR="002042C7" w:rsidRPr="00247E6D" w14:paraId="6B73022D" w14:textId="77777777" w:rsidTr="00A97AF6">
        <w:tc>
          <w:tcPr>
            <w:tcW w:w="6014" w:type="dxa"/>
          </w:tcPr>
          <w:p w14:paraId="679A50C6" w14:textId="079283DA" w:rsidR="00A46C49" w:rsidRPr="004F6EE6" w:rsidRDefault="00A46C49" w:rsidP="00A97AF6">
            <w:pPr>
              <w:rPr>
                <w:rFonts w:eastAsiaTheme="minorHAnsi"/>
                <w:sz w:val="20"/>
                <w:lang w:val="en-GB" w:eastAsia="en-US"/>
              </w:rPr>
            </w:pPr>
            <w:r w:rsidRPr="004F6EE6">
              <w:rPr>
                <w:rFonts w:eastAsiaTheme="minorHAnsi"/>
                <w:sz w:val="20"/>
                <w:lang w:val="en-GB" w:eastAsia="en-US"/>
              </w:rPr>
              <w:t>Performance fees</w:t>
            </w:r>
          </w:p>
        </w:tc>
        <w:tc>
          <w:tcPr>
            <w:tcW w:w="3625" w:type="dxa"/>
          </w:tcPr>
          <w:p w14:paraId="2619B996" w14:textId="1AD8EB09" w:rsidR="00A46C49" w:rsidRPr="004F6EE6" w:rsidRDefault="00654424" w:rsidP="00A97AF6">
            <w:pPr>
              <w:jc w:val="center"/>
              <w:rPr>
                <w:rFonts w:eastAsiaTheme="minorHAnsi"/>
                <w:sz w:val="20"/>
                <w:lang w:val="en-GB" w:eastAsia="en-US"/>
              </w:rPr>
            </w:pPr>
            <w:r>
              <w:rPr>
                <w:rFonts w:eastAsiaTheme="minorHAnsi"/>
                <w:sz w:val="20"/>
                <w:lang w:val="en-GB" w:eastAsia="en-US"/>
              </w:rPr>
              <w:t>2</w:t>
            </w:r>
          </w:p>
        </w:tc>
      </w:tr>
      <w:tr w:rsidR="002042C7" w:rsidRPr="00247E6D" w14:paraId="17D22332" w14:textId="77777777" w:rsidTr="00A97AF6">
        <w:tc>
          <w:tcPr>
            <w:tcW w:w="6014" w:type="dxa"/>
          </w:tcPr>
          <w:p w14:paraId="21F24D4A" w14:textId="6296C322" w:rsidR="00A46C49" w:rsidRPr="004F6EE6" w:rsidRDefault="0004413D" w:rsidP="00A97AF6">
            <w:pPr>
              <w:rPr>
                <w:rFonts w:eastAsiaTheme="minorHAnsi"/>
                <w:sz w:val="20"/>
                <w:lang w:val="en-GB" w:eastAsia="en-US"/>
              </w:rPr>
            </w:pPr>
            <w:r>
              <w:rPr>
                <w:rFonts w:eastAsiaTheme="minorHAnsi"/>
                <w:sz w:val="20"/>
                <w:lang w:val="en-GB" w:eastAsia="en-US"/>
              </w:rPr>
              <w:t>Compensation</w:t>
            </w:r>
            <w:r w:rsidR="00A46C49" w:rsidRPr="004F6EE6">
              <w:rPr>
                <w:rFonts w:eastAsiaTheme="minorHAnsi"/>
                <w:sz w:val="20"/>
                <w:lang w:val="en-GB" w:eastAsia="en-US"/>
              </w:rPr>
              <w:t xml:space="preserve"> costs before exceptional items</w:t>
            </w:r>
          </w:p>
        </w:tc>
        <w:tc>
          <w:tcPr>
            <w:tcW w:w="3625" w:type="dxa"/>
          </w:tcPr>
          <w:p w14:paraId="678BD15E" w14:textId="77777777" w:rsidR="00A46C49" w:rsidRPr="004F6EE6" w:rsidRDefault="00A46C49" w:rsidP="00A97AF6">
            <w:pPr>
              <w:jc w:val="center"/>
              <w:rPr>
                <w:rFonts w:eastAsiaTheme="minorHAnsi"/>
                <w:sz w:val="20"/>
                <w:lang w:val="en-GB" w:eastAsia="en-US"/>
              </w:rPr>
            </w:pPr>
            <w:r>
              <w:rPr>
                <w:rFonts w:eastAsiaTheme="minorHAnsi"/>
                <w:sz w:val="20"/>
                <w:lang w:val="en-GB" w:eastAsia="en-US"/>
              </w:rPr>
              <w:t>2</w:t>
            </w:r>
          </w:p>
        </w:tc>
      </w:tr>
      <w:tr w:rsidR="002042C7" w:rsidRPr="00247E6D" w14:paraId="463443D1" w14:textId="77777777" w:rsidTr="00A97AF6">
        <w:tc>
          <w:tcPr>
            <w:tcW w:w="6014" w:type="dxa"/>
          </w:tcPr>
          <w:p w14:paraId="6475208D" w14:textId="0EBD6B86" w:rsidR="00A46C49" w:rsidRPr="004F6EE6" w:rsidRDefault="00A46C49" w:rsidP="00A97AF6">
            <w:pPr>
              <w:rPr>
                <w:rFonts w:eastAsiaTheme="minorHAnsi"/>
                <w:sz w:val="20"/>
                <w:lang w:val="en-GB" w:eastAsia="en-US"/>
              </w:rPr>
            </w:pPr>
            <w:r w:rsidRPr="004F6EE6">
              <w:rPr>
                <w:rFonts w:eastAsiaTheme="minorHAnsi"/>
                <w:sz w:val="20"/>
                <w:lang w:val="en-GB" w:eastAsia="en-US"/>
              </w:rPr>
              <w:t xml:space="preserve">Underlying profit </w:t>
            </w:r>
            <w:r w:rsidRPr="000D3696">
              <w:rPr>
                <w:rFonts w:eastAsiaTheme="minorHAnsi"/>
                <w:sz w:val="20"/>
                <w:lang w:val="en-GB" w:eastAsia="en-US"/>
              </w:rPr>
              <w:t>before</w:t>
            </w:r>
            <w:r w:rsidRPr="004F6EE6">
              <w:rPr>
                <w:rFonts w:eastAsiaTheme="minorHAnsi"/>
                <w:sz w:val="20"/>
                <w:lang w:val="en-GB" w:eastAsia="en-US"/>
              </w:rPr>
              <w:t xml:space="preserve"> tax</w:t>
            </w:r>
            <w:r w:rsidR="00654424">
              <w:rPr>
                <w:rFonts w:eastAsiaTheme="minorHAnsi"/>
                <w:sz w:val="20"/>
                <w:vertAlign w:val="superscript"/>
                <w:lang w:val="en-GB" w:eastAsia="en-US"/>
              </w:rPr>
              <w:t>2</w:t>
            </w:r>
          </w:p>
        </w:tc>
        <w:tc>
          <w:tcPr>
            <w:tcW w:w="3625" w:type="dxa"/>
          </w:tcPr>
          <w:p w14:paraId="7C6EA327" w14:textId="77777777" w:rsidR="00A46C49" w:rsidRPr="004F6EE6" w:rsidRDefault="00A46C49" w:rsidP="00A97AF6">
            <w:pPr>
              <w:jc w:val="center"/>
              <w:rPr>
                <w:rFonts w:eastAsiaTheme="minorHAnsi"/>
                <w:sz w:val="20"/>
                <w:lang w:val="en-GB" w:eastAsia="en-US"/>
              </w:rPr>
            </w:pPr>
            <w:r>
              <w:rPr>
                <w:rFonts w:eastAsiaTheme="minorHAnsi"/>
                <w:sz w:val="20"/>
                <w:lang w:val="en-GB" w:eastAsia="en-US"/>
              </w:rPr>
              <w:t>3</w:t>
            </w:r>
          </w:p>
        </w:tc>
      </w:tr>
      <w:tr w:rsidR="002042C7" w:rsidRPr="00247E6D" w14:paraId="0A11DC7C" w14:textId="77777777" w:rsidTr="00A97AF6">
        <w:tc>
          <w:tcPr>
            <w:tcW w:w="6014" w:type="dxa"/>
          </w:tcPr>
          <w:p w14:paraId="37CBC8C7" w14:textId="13D2B073" w:rsidR="00A46C49" w:rsidRPr="004F6EE6" w:rsidRDefault="00A46C49" w:rsidP="00A97AF6">
            <w:pPr>
              <w:rPr>
                <w:rFonts w:eastAsiaTheme="minorHAnsi"/>
                <w:sz w:val="20"/>
                <w:lang w:val="en-GB" w:eastAsia="en-US"/>
              </w:rPr>
            </w:pPr>
            <w:r>
              <w:rPr>
                <w:rFonts w:eastAsiaTheme="minorHAnsi"/>
                <w:sz w:val="20"/>
                <w:lang w:val="en-GB" w:eastAsia="en-US"/>
              </w:rPr>
              <w:t xml:space="preserve">Underlying profit </w:t>
            </w:r>
            <w:r w:rsidRPr="000D3696">
              <w:rPr>
                <w:rFonts w:eastAsiaTheme="minorHAnsi"/>
                <w:sz w:val="20"/>
                <w:lang w:val="en-GB" w:eastAsia="en-US"/>
              </w:rPr>
              <w:t>after</w:t>
            </w:r>
            <w:r>
              <w:rPr>
                <w:rFonts w:eastAsiaTheme="minorHAnsi"/>
                <w:sz w:val="20"/>
                <w:lang w:val="en-GB" w:eastAsia="en-US"/>
              </w:rPr>
              <w:t xml:space="preserve"> tax</w:t>
            </w:r>
            <w:r w:rsidR="00654424">
              <w:rPr>
                <w:rFonts w:eastAsiaTheme="minorHAnsi"/>
                <w:sz w:val="20"/>
                <w:vertAlign w:val="superscript"/>
                <w:lang w:val="en-GB" w:eastAsia="en-US"/>
              </w:rPr>
              <w:t>2</w:t>
            </w:r>
          </w:p>
        </w:tc>
        <w:tc>
          <w:tcPr>
            <w:tcW w:w="3625" w:type="dxa"/>
          </w:tcPr>
          <w:p w14:paraId="1FE2588E" w14:textId="18182500" w:rsidR="00A46C49" w:rsidRPr="004F6EE6" w:rsidRDefault="00A46C49" w:rsidP="00A97AF6">
            <w:pPr>
              <w:jc w:val="center"/>
              <w:rPr>
                <w:rFonts w:eastAsiaTheme="minorHAnsi"/>
                <w:sz w:val="20"/>
                <w:lang w:val="en-GB" w:eastAsia="en-US"/>
              </w:rPr>
            </w:pPr>
            <w:r>
              <w:rPr>
                <w:rFonts w:eastAsiaTheme="minorHAnsi"/>
                <w:sz w:val="20"/>
                <w:lang w:val="en-GB" w:eastAsia="en-US"/>
              </w:rPr>
              <w:t>3</w:t>
            </w:r>
            <w:r w:rsidRPr="00632714">
              <w:rPr>
                <w:rFonts w:eastAsiaTheme="minorHAnsi"/>
                <w:sz w:val="20"/>
                <w:lang w:val="en-GB" w:eastAsia="en-US"/>
              </w:rPr>
              <w:t xml:space="preserve">, </w:t>
            </w:r>
            <w:r w:rsidRPr="000D3696" w:rsidDel="005A3083">
              <w:rPr>
                <w:rFonts w:eastAsiaTheme="minorHAnsi"/>
                <w:sz w:val="20"/>
                <w:lang w:val="en-GB" w:eastAsia="en-US"/>
              </w:rPr>
              <w:t>4</w:t>
            </w:r>
          </w:p>
        </w:tc>
      </w:tr>
    </w:tbl>
    <w:p w14:paraId="503E1D1E" w14:textId="06C369C3" w:rsidR="00A46C49" w:rsidRDefault="00A46C49" w:rsidP="00957B0D">
      <w:pPr>
        <w:pStyle w:val="Footnote"/>
      </w:pPr>
      <w:r w:rsidRPr="004F6EE6">
        <w:rPr>
          <w:vertAlign w:val="superscript"/>
        </w:rPr>
        <w:t>1</w:t>
      </w:r>
      <w:r>
        <w:rPr>
          <w:vertAlign w:val="superscript"/>
        </w:rPr>
        <w:t xml:space="preserve"> </w:t>
      </w:r>
      <w:r w:rsidR="00957B0D">
        <w:rPr>
          <w:vertAlign w:val="superscript"/>
        </w:rPr>
        <w:t xml:space="preserve"> </w:t>
      </w:r>
      <w:r>
        <w:t>Defined as items of income or expenditure that are significant in size and which are not expected to repeat over the short to medium term.</w:t>
      </w:r>
    </w:p>
    <w:p w14:paraId="79EFEC39" w14:textId="14A50B66" w:rsidR="00A46C49" w:rsidRDefault="00A46C49" w:rsidP="00A46C49">
      <w:pPr>
        <w:spacing w:before="120" w:after="0" w:line="260" w:lineRule="exact"/>
      </w:pPr>
      <w:r>
        <w:rPr>
          <w:rFonts w:eastAsiaTheme="minorHAnsi"/>
          <w:sz w:val="20"/>
          <w:lang w:val="en-GB" w:eastAsia="en-US"/>
        </w:rPr>
        <w:t xml:space="preserve">As stated in 2 above, the Group presents a </w:t>
      </w:r>
      <w:r w:rsidRPr="004A74CC">
        <w:rPr>
          <w:rFonts w:eastAsiaTheme="minorHAnsi"/>
          <w:sz w:val="20"/>
          <w:lang w:val="en-GB" w:eastAsia="en-US"/>
        </w:rPr>
        <w:t>breakdown of administrative expenses below the level required to be disclosed in the statutory accounts, distinguishing between compensation</w:t>
      </w:r>
      <w:r w:rsidR="00D76021">
        <w:rPr>
          <w:rFonts w:eastAsiaTheme="minorHAnsi"/>
          <w:sz w:val="20"/>
          <w:lang w:val="en-GB" w:eastAsia="en-US"/>
        </w:rPr>
        <w:t xml:space="preserve"> and</w:t>
      </w:r>
      <w:r w:rsidRPr="004A74CC">
        <w:rPr>
          <w:rFonts w:eastAsiaTheme="minorHAnsi"/>
          <w:sz w:val="20"/>
          <w:lang w:val="en-GB" w:eastAsia="en-US"/>
        </w:rPr>
        <w:t xml:space="preserve"> non-compensation expenditure</w:t>
      </w:r>
      <w:r>
        <w:rPr>
          <w:rFonts w:eastAsiaTheme="minorHAnsi"/>
          <w:sz w:val="20"/>
          <w:lang w:val="en-GB" w:eastAsia="en-US"/>
        </w:rPr>
        <w:t>. The relevant amounts are set out in</w:t>
      </w:r>
      <w:r w:rsidRPr="004A74CC">
        <w:rPr>
          <w:rFonts w:eastAsiaTheme="minorHAnsi"/>
          <w:sz w:val="20"/>
          <w:lang w:val="en-GB" w:eastAsia="en-US"/>
        </w:rPr>
        <w:t xml:space="preserve"> the table on </w:t>
      </w:r>
      <w:r w:rsidRPr="00D432D8">
        <w:rPr>
          <w:rFonts w:eastAsiaTheme="minorHAnsi"/>
          <w:sz w:val="20"/>
          <w:lang w:val="en-GB" w:eastAsia="en-US"/>
        </w:rPr>
        <w:t xml:space="preserve">page </w:t>
      </w:r>
      <w:r w:rsidRPr="00577845">
        <w:rPr>
          <w:rFonts w:eastAsiaTheme="minorHAnsi"/>
          <w:sz w:val="20"/>
          <w:lang w:val="en-GB" w:eastAsia="en-US"/>
        </w:rPr>
        <w:t>5</w:t>
      </w:r>
      <w:r w:rsidRPr="00D432D8">
        <w:rPr>
          <w:rFonts w:eastAsiaTheme="minorHAnsi"/>
          <w:sz w:val="20"/>
          <w:lang w:val="en-GB" w:eastAsia="en-US"/>
        </w:rPr>
        <w:t>.</w:t>
      </w:r>
      <w:r w:rsidRPr="004F6EE6">
        <w:t xml:space="preserve"> </w:t>
      </w:r>
    </w:p>
    <w:p w14:paraId="14B0DA92" w14:textId="77777777" w:rsidR="00715D57" w:rsidRPr="00423552" w:rsidRDefault="00715D57" w:rsidP="00423552">
      <w:pPr>
        <w:pStyle w:val="Subheading"/>
        <w:spacing w:before="180"/>
        <w:rPr>
          <w:color w:val="3E5772"/>
          <w:sz w:val="20"/>
        </w:rPr>
      </w:pPr>
      <w:bookmarkStart w:id="12" w:name="_Hlk74150333"/>
      <w:bookmarkStart w:id="13" w:name="_Hlk74227951"/>
      <w:r w:rsidRPr="00423552">
        <w:rPr>
          <w:color w:val="3E5772"/>
          <w:sz w:val="20"/>
        </w:rPr>
        <w:t xml:space="preserve">The impact of exceptional items on the financial statements </w:t>
      </w:r>
    </w:p>
    <w:p w14:paraId="5FBDDE7E" w14:textId="1AE1BD15" w:rsidR="00715D57" w:rsidRPr="005C7634" w:rsidRDefault="00715D57" w:rsidP="005C7634">
      <w:pPr>
        <w:pStyle w:val="Bodytext0"/>
      </w:pPr>
      <w:r w:rsidRPr="005C7634">
        <w:t xml:space="preserve">The Group has presented certain items as exceptional across all periods. </w:t>
      </w:r>
      <w:r w:rsidR="001B2AEB" w:rsidRPr="005C7634">
        <w:t xml:space="preserve">Exceptional items are defined </w:t>
      </w:r>
      <w:r w:rsidR="00910371" w:rsidRPr="005C7634">
        <w:t>above</w:t>
      </w:r>
      <w:r w:rsidR="001B2AEB" w:rsidRPr="005C7634">
        <w:t>.</w:t>
      </w:r>
      <w:r w:rsidR="006E06DB" w:rsidRPr="005C7634">
        <w:t xml:space="preserve"> </w:t>
      </w:r>
      <w:r w:rsidRPr="005C7634">
        <w:t xml:space="preserve">These items principally relate to the Merian Global Investors Limited (Merian) acquisition in 2020. Further details of all items that are deemed exceptional are explained below, as well as within the relevant notes to the accounts and in the Management </w:t>
      </w:r>
      <w:r w:rsidR="008E520F" w:rsidRPr="005C7634">
        <w:t>S</w:t>
      </w:r>
      <w:r w:rsidRPr="005C7634">
        <w:t xml:space="preserve">tatement. </w:t>
      </w:r>
    </w:p>
    <w:p w14:paraId="120D5E3E" w14:textId="77777777" w:rsidR="00715D57" w:rsidRPr="00423552" w:rsidRDefault="00715D57" w:rsidP="00423552">
      <w:pPr>
        <w:pStyle w:val="Subheading"/>
        <w:spacing w:before="180"/>
        <w:rPr>
          <w:color w:val="3E5772"/>
          <w:sz w:val="20"/>
        </w:rPr>
      </w:pPr>
      <w:r w:rsidRPr="00423552">
        <w:rPr>
          <w:color w:val="3E5772"/>
          <w:sz w:val="20"/>
        </w:rPr>
        <w:t>The use of exceptional items and underlying profit measures</w:t>
      </w:r>
    </w:p>
    <w:p w14:paraId="25E53B87" w14:textId="1C27CB8B" w:rsidR="00715D57" w:rsidRPr="005C7634" w:rsidRDefault="00715D57" w:rsidP="005C7634">
      <w:pPr>
        <w:pStyle w:val="Bodytext0"/>
      </w:pPr>
      <w:r w:rsidRPr="005C7634">
        <w:t xml:space="preserve">In the Management </w:t>
      </w:r>
      <w:r w:rsidR="00F62D13" w:rsidRPr="005C7634">
        <w:t>S</w:t>
      </w:r>
      <w:r w:rsidRPr="005C7634">
        <w:t xml:space="preserve">tatement of this document, the Group makes use of a number of APMs, including ‘Underlying profit before tax’. The use of such measures means that financial results referred to in that section of this document may not be equal to the statutory results reported in the financial statements. Guidelines issued by the Financial Reporting Council require such differences to be reconciled. </w:t>
      </w:r>
    </w:p>
    <w:p w14:paraId="6C61C1B8" w14:textId="77777777" w:rsidR="006535C7" w:rsidRDefault="006535C7">
      <w:pPr>
        <w:rPr>
          <w:rFonts w:eastAsiaTheme="minorHAnsi"/>
          <w:sz w:val="20"/>
          <w:lang w:val="en-GB" w:eastAsia="en-US"/>
        </w:rPr>
      </w:pPr>
      <w:r>
        <w:br w:type="page"/>
      </w:r>
    </w:p>
    <w:p w14:paraId="66297D10" w14:textId="1DF6AA33" w:rsidR="00715D57" w:rsidRDefault="00715D57" w:rsidP="00715D57">
      <w:pPr>
        <w:pStyle w:val="Bodytext0"/>
      </w:pPr>
      <w:r w:rsidRPr="00927500">
        <w:lastRenderedPageBreak/>
        <w:t xml:space="preserve">‘Underlying profit before tax’ is equal to the statutory profit before tax </w:t>
      </w:r>
      <w:r>
        <w:t>aft</w:t>
      </w:r>
      <w:r w:rsidRPr="00927500">
        <w:t>e</w:t>
      </w:r>
      <w:r>
        <w:t>r</w:t>
      </w:r>
      <w:r w:rsidRPr="00927500">
        <w:t xml:space="preserve"> exceptional items. The financial statements do not refer to or use such measures, but the table below provides a reconciliation, indicating in which notes the exceptional items are recorded.</w:t>
      </w:r>
      <w:r w:rsidRPr="003256A3">
        <w:t xml:space="preserve"> </w:t>
      </w:r>
    </w:p>
    <w:p w14:paraId="60AFB28A" w14:textId="77777777" w:rsidR="00715D57" w:rsidRDefault="00715D57" w:rsidP="00715D57">
      <w:pPr>
        <w:pStyle w:val="Bodytext0"/>
      </w:pPr>
    </w:p>
    <w:tbl>
      <w:tblPr>
        <w:tblStyle w:val="TableGrid"/>
        <w:tblW w:w="10363" w:type="dxa"/>
        <w:tblBorders>
          <w:bottom w:val="single" w:sz="2" w:space="0" w:color="16293F" w:themeColor="accent1"/>
          <w:insideH w:val="single" w:sz="2" w:space="0" w:color="16293F" w:themeColor="accent1"/>
        </w:tblBorders>
        <w:tblLayout w:type="fixed"/>
        <w:tblCellMar>
          <w:top w:w="28" w:type="dxa"/>
          <w:left w:w="57" w:type="dxa"/>
          <w:bottom w:w="28" w:type="dxa"/>
          <w:right w:w="57" w:type="dxa"/>
        </w:tblCellMar>
        <w:tblLook w:val="04A0" w:firstRow="1" w:lastRow="0" w:firstColumn="1" w:lastColumn="0" w:noHBand="0" w:noVBand="1"/>
      </w:tblPr>
      <w:tblGrid>
        <w:gridCol w:w="3302"/>
        <w:gridCol w:w="633"/>
        <w:gridCol w:w="2016"/>
        <w:gridCol w:w="190"/>
        <w:gridCol w:w="2016"/>
        <w:gridCol w:w="190"/>
        <w:gridCol w:w="2016"/>
      </w:tblGrid>
      <w:tr w:rsidR="00715D57" w:rsidRPr="00972C83" w14:paraId="7E607AA6" w14:textId="77777777" w:rsidTr="00957B0D">
        <w:trPr>
          <w:trHeight w:val="570"/>
        </w:trPr>
        <w:tc>
          <w:tcPr>
            <w:tcW w:w="3302" w:type="dxa"/>
            <w:tcBorders>
              <w:bottom w:val="nil"/>
            </w:tcBorders>
            <w:vAlign w:val="bottom"/>
          </w:tcPr>
          <w:p w14:paraId="4F614F45" w14:textId="77777777" w:rsidR="00715D57" w:rsidRPr="005405BA" w:rsidRDefault="00715D57" w:rsidP="00957B0D">
            <w:pPr>
              <w:pStyle w:val="Tableheading"/>
              <w:jc w:val="right"/>
            </w:pPr>
          </w:p>
        </w:tc>
        <w:tc>
          <w:tcPr>
            <w:tcW w:w="633" w:type="dxa"/>
            <w:tcBorders>
              <w:bottom w:val="nil"/>
            </w:tcBorders>
            <w:vAlign w:val="bottom"/>
          </w:tcPr>
          <w:p w14:paraId="632ADC90" w14:textId="77777777" w:rsidR="00715D57" w:rsidRDefault="00715D57" w:rsidP="00957B0D">
            <w:pPr>
              <w:pStyle w:val="Tableheading"/>
              <w:jc w:val="right"/>
            </w:pPr>
          </w:p>
          <w:p w14:paraId="7E5C59A0" w14:textId="77777777" w:rsidR="00715D57" w:rsidRDefault="00715D57" w:rsidP="00957B0D">
            <w:pPr>
              <w:pStyle w:val="Tableheading"/>
              <w:jc w:val="right"/>
            </w:pPr>
          </w:p>
          <w:p w14:paraId="37E73CBF" w14:textId="77777777" w:rsidR="00715D57" w:rsidRPr="00193C53" w:rsidRDefault="00715D57" w:rsidP="00957B0D">
            <w:pPr>
              <w:pStyle w:val="Tableheading"/>
              <w:jc w:val="right"/>
            </w:pPr>
            <w:r w:rsidRPr="00193C53">
              <w:t>Notes</w:t>
            </w:r>
          </w:p>
        </w:tc>
        <w:tc>
          <w:tcPr>
            <w:tcW w:w="2016" w:type="dxa"/>
            <w:tcBorders>
              <w:top w:val="nil"/>
              <w:bottom w:val="nil"/>
            </w:tcBorders>
            <w:vAlign w:val="bottom"/>
          </w:tcPr>
          <w:p w14:paraId="3D123B56" w14:textId="77777777" w:rsidR="00715D57" w:rsidRDefault="00715D57" w:rsidP="00957B0D">
            <w:pPr>
              <w:pStyle w:val="Tableheading"/>
              <w:jc w:val="right"/>
            </w:pPr>
            <w:r>
              <w:t xml:space="preserve">Six months ended </w:t>
            </w:r>
          </w:p>
          <w:p w14:paraId="7F7B24CF" w14:textId="1C3FEF00" w:rsidR="00715D57" w:rsidRDefault="00715D57" w:rsidP="00957B0D">
            <w:pPr>
              <w:pStyle w:val="Tableheading"/>
              <w:jc w:val="right"/>
            </w:pPr>
            <w:r>
              <w:tab/>
              <w:t xml:space="preserve">30 June </w:t>
            </w:r>
            <w:r w:rsidR="00E85F7E">
              <w:t>2024</w:t>
            </w:r>
          </w:p>
          <w:p w14:paraId="32401FD9" w14:textId="77777777" w:rsidR="00715D57" w:rsidRPr="005405BA" w:rsidRDefault="00715D57" w:rsidP="00957B0D">
            <w:pPr>
              <w:pStyle w:val="Tableheading"/>
              <w:jc w:val="right"/>
            </w:pPr>
            <w:r>
              <w:t>£m</w:t>
            </w:r>
          </w:p>
        </w:tc>
        <w:tc>
          <w:tcPr>
            <w:tcW w:w="190" w:type="dxa"/>
            <w:tcBorders>
              <w:top w:val="nil"/>
              <w:bottom w:val="nil"/>
            </w:tcBorders>
            <w:vAlign w:val="bottom"/>
          </w:tcPr>
          <w:p w14:paraId="61128B0B" w14:textId="77777777" w:rsidR="00715D57" w:rsidRPr="00955F6B" w:rsidRDefault="00715D57" w:rsidP="00957B0D">
            <w:pPr>
              <w:pStyle w:val="Tableheading"/>
              <w:jc w:val="right"/>
            </w:pPr>
          </w:p>
        </w:tc>
        <w:tc>
          <w:tcPr>
            <w:tcW w:w="2016" w:type="dxa"/>
            <w:tcBorders>
              <w:top w:val="nil"/>
              <w:bottom w:val="nil"/>
            </w:tcBorders>
            <w:vAlign w:val="bottom"/>
          </w:tcPr>
          <w:p w14:paraId="1F6CFC37" w14:textId="77777777" w:rsidR="00715D57" w:rsidRPr="002E7F22" w:rsidRDefault="00715D57" w:rsidP="00957B0D">
            <w:pPr>
              <w:pStyle w:val="Tableheading"/>
              <w:jc w:val="right"/>
            </w:pPr>
            <w:r w:rsidRPr="002E7F22">
              <w:t xml:space="preserve">Six months ended </w:t>
            </w:r>
          </w:p>
          <w:p w14:paraId="33148DF1" w14:textId="0D38272F" w:rsidR="00715D57" w:rsidRPr="002E7F22" w:rsidRDefault="00715D57" w:rsidP="00957B0D">
            <w:pPr>
              <w:pStyle w:val="Tableheading"/>
              <w:jc w:val="right"/>
            </w:pPr>
            <w:r w:rsidRPr="002E7F22">
              <w:tab/>
              <w:t xml:space="preserve">30 June </w:t>
            </w:r>
            <w:r w:rsidR="00E85F7E">
              <w:t>2023</w:t>
            </w:r>
          </w:p>
          <w:p w14:paraId="369626BA" w14:textId="77777777" w:rsidR="00715D57" w:rsidRPr="002E7F22" w:rsidRDefault="00715D57" w:rsidP="00957B0D">
            <w:pPr>
              <w:pStyle w:val="Tableheading"/>
              <w:jc w:val="right"/>
            </w:pPr>
            <w:r w:rsidRPr="002E7F22">
              <w:t>£m</w:t>
            </w:r>
          </w:p>
        </w:tc>
        <w:tc>
          <w:tcPr>
            <w:tcW w:w="190" w:type="dxa"/>
            <w:tcBorders>
              <w:top w:val="nil"/>
              <w:bottom w:val="nil"/>
            </w:tcBorders>
            <w:vAlign w:val="bottom"/>
          </w:tcPr>
          <w:p w14:paraId="39586EAF" w14:textId="77777777" w:rsidR="00715D57" w:rsidRPr="002E7F22" w:rsidRDefault="00715D57" w:rsidP="00957B0D">
            <w:pPr>
              <w:pStyle w:val="Tableheading"/>
              <w:jc w:val="right"/>
            </w:pPr>
          </w:p>
        </w:tc>
        <w:tc>
          <w:tcPr>
            <w:tcW w:w="2016" w:type="dxa"/>
            <w:tcBorders>
              <w:top w:val="nil"/>
              <w:bottom w:val="nil"/>
            </w:tcBorders>
            <w:vAlign w:val="bottom"/>
          </w:tcPr>
          <w:p w14:paraId="109B037F" w14:textId="77777777" w:rsidR="00715D57" w:rsidRPr="002E7F22" w:rsidRDefault="00715D57" w:rsidP="00957B0D">
            <w:pPr>
              <w:pStyle w:val="Tableheading"/>
              <w:jc w:val="right"/>
            </w:pPr>
            <w:r w:rsidRPr="002E7F22">
              <w:t xml:space="preserve">Year ended </w:t>
            </w:r>
          </w:p>
          <w:p w14:paraId="25E1E366" w14:textId="4D9A60F2" w:rsidR="00715D57" w:rsidRPr="002E7F22" w:rsidRDefault="00715D57" w:rsidP="00957B0D">
            <w:pPr>
              <w:pStyle w:val="Tableheading"/>
              <w:jc w:val="right"/>
            </w:pPr>
            <w:r w:rsidRPr="002E7F22">
              <w:t xml:space="preserve">31 December </w:t>
            </w:r>
            <w:r w:rsidR="00E85F7E">
              <w:t>2023</w:t>
            </w:r>
          </w:p>
          <w:p w14:paraId="65DD85BC" w14:textId="77777777" w:rsidR="00715D57" w:rsidRPr="002E7F22" w:rsidRDefault="00715D57" w:rsidP="00957B0D">
            <w:pPr>
              <w:pStyle w:val="Tableheading"/>
              <w:jc w:val="right"/>
            </w:pPr>
            <w:r w:rsidRPr="002E7F22">
              <w:t>£m</w:t>
            </w:r>
          </w:p>
        </w:tc>
      </w:tr>
      <w:tr w:rsidR="001F4923" w:rsidRPr="00E36C8E" w14:paraId="5653959B" w14:textId="77777777">
        <w:trPr>
          <w:trHeight w:val="285"/>
        </w:trPr>
        <w:tc>
          <w:tcPr>
            <w:tcW w:w="3302" w:type="dxa"/>
            <w:tcBorders>
              <w:top w:val="nil"/>
              <w:bottom w:val="nil"/>
            </w:tcBorders>
            <w:shd w:val="clear" w:color="auto" w:fill="auto"/>
            <w:vAlign w:val="center"/>
          </w:tcPr>
          <w:p w14:paraId="564E2E16" w14:textId="77777777" w:rsidR="001F4923" w:rsidRPr="00927500" w:rsidRDefault="001F4923" w:rsidP="001F4923">
            <w:pPr>
              <w:pStyle w:val="Tabletext"/>
              <w:rPr>
                <w:b/>
                <w:bCs/>
              </w:rPr>
            </w:pPr>
            <w:r w:rsidRPr="00927500">
              <w:rPr>
                <w:b/>
                <w:bCs/>
              </w:rPr>
              <w:t xml:space="preserve">Underlying profit before tax (page </w:t>
            </w:r>
            <w:r>
              <w:rPr>
                <w:b/>
                <w:bCs/>
              </w:rPr>
              <w:t>1</w:t>
            </w:r>
            <w:r w:rsidRPr="00927500">
              <w:rPr>
                <w:b/>
                <w:bCs/>
              </w:rPr>
              <w:t>)</w:t>
            </w:r>
          </w:p>
        </w:tc>
        <w:tc>
          <w:tcPr>
            <w:tcW w:w="633" w:type="dxa"/>
            <w:tcBorders>
              <w:top w:val="nil"/>
              <w:bottom w:val="nil"/>
            </w:tcBorders>
          </w:tcPr>
          <w:p w14:paraId="104ADE88" w14:textId="77777777" w:rsidR="001F4923" w:rsidRPr="00671A41" w:rsidRDefault="001F4923" w:rsidP="001F4923">
            <w:pPr>
              <w:pStyle w:val="Tabletext"/>
              <w:jc w:val="right"/>
            </w:pPr>
          </w:p>
        </w:tc>
        <w:tc>
          <w:tcPr>
            <w:tcW w:w="2016" w:type="dxa"/>
            <w:tcBorders>
              <w:top w:val="nil"/>
              <w:bottom w:val="nil"/>
            </w:tcBorders>
            <w:shd w:val="clear" w:color="auto" w:fill="auto"/>
            <w:vAlign w:val="center"/>
          </w:tcPr>
          <w:p w14:paraId="2347C766" w14:textId="788EA56D" w:rsidR="001F4923" w:rsidRPr="005F0E7F" w:rsidRDefault="00CE69C8" w:rsidP="00577845">
            <w:pPr>
              <w:pStyle w:val="Tabletext"/>
              <w:tabs>
                <w:tab w:val="decimal" w:pos="1683"/>
              </w:tabs>
              <w:rPr>
                <w:b/>
                <w:bCs/>
              </w:rPr>
            </w:pPr>
            <w:r w:rsidRPr="005F0E7F">
              <w:rPr>
                <w:b/>
                <w:bCs/>
              </w:rPr>
              <w:t>47.9</w:t>
            </w:r>
          </w:p>
        </w:tc>
        <w:tc>
          <w:tcPr>
            <w:tcW w:w="190" w:type="dxa"/>
            <w:tcBorders>
              <w:top w:val="nil"/>
              <w:bottom w:val="nil"/>
            </w:tcBorders>
          </w:tcPr>
          <w:p w14:paraId="13B94C2E" w14:textId="77777777" w:rsidR="001F4923" w:rsidRPr="00CF007D" w:rsidRDefault="001F4923" w:rsidP="001F4923">
            <w:pPr>
              <w:pStyle w:val="Tabletext"/>
              <w:jc w:val="right"/>
              <w:rPr>
                <w:b/>
                <w:bCs/>
              </w:rPr>
            </w:pPr>
          </w:p>
        </w:tc>
        <w:tc>
          <w:tcPr>
            <w:tcW w:w="2016" w:type="dxa"/>
            <w:tcBorders>
              <w:top w:val="nil"/>
              <w:bottom w:val="nil"/>
            </w:tcBorders>
            <w:shd w:val="clear" w:color="auto" w:fill="auto"/>
            <w:vAlign w:val="center"/>
          </w:tcPr>
          <w:p w14:paraId="46AC360F" w14:textId="3E64B14C" w:rsidR="001F4923" w:rsidRPr="00E36C8E" w:rsidRDefault="001F4923" w:rsidP="001F4923">
            <w:pPr>
              <w:pStyle w:val="Tabletext"/>
              <w:tabs>
                <w:tab w:val="decimal" w:pos="1671"/>
              </w:tabs>
            </w:pPr>
            <w:r w:rsidRPr="00F2575A">
              <w:rPr>
                <w:b/>
                <w:bCs/>
              </w:rPr>
              <w:t>46.4</w:t>
            </w:r>
          </w:p>
        </w:tc>
        <w:tc>
          <w:tcPr>
            <w:tcW w:w="190" w:type="dxa"/>
            <w:tcBorders>
              <w:top w:val="nil"/>
              <w:bottom w:val="nil"/>
            </w:tcBorders>
          </w:tcPr>
          <w:p w14:paraId="57A2C3E0" w14:textId="77777777" w:rsidR="001F4923" w:rsidRDefault="001F4923" w:rsidP="001F4923">
            <w:pPr>
              <w:pStyle w:val="Tabletext"/>
              <w:jc w:val="right"/>
            </w:pPr>
          </w:p>
        </w:tc>
        <w:tc>
          <w:tcPr>
            <w:tcW w:w="2016" w:type="dxa"/>
            <w:tcBorders>
              <w:top w:val="nil"/>
              <w:bottom w:val="nil"/>
            </w:tcBorders>
            <w:shd w:val="clear" w:color="auto" w:fill="auto"/>
            <w:vAlign w:val="center"/>
          </w:tcPr>
          <w:p w14:paraId="1A414DD5" w14:textId="057681DB" w:rsidR="001F4923" w:rsidRPr="007F738B" w:rsidRDefault="007F738B" w:rsidP="001F4923">
            <w:pPr>
              <w:pStyle w:val="Tabletext"/>
              <w:tabs>
                <w:tab w:val="decimal" w:pos="1694"/>
              </w:tabs>
              <w:rPr>
                <w:b/>
                <w:bCs/>
              </w:rPr>
            </w:pPr>
            <w:r w:rsidRPr="007F738B">
              <w:rPr>
                <w:b/>
                <w:bCs/>
              </w:rPr>
              <w:t>105.2</w:t>
            </w:r>
          </w:p>
        </w:tc>
      </w:tr>
      <w:tr w:rsidR="001F4923" w:rsidRPr="00E36C8E" w14:paraId="433FE4F6" w14:textId="77777777">
        <w:trPr>
          <w:trHeight w:val="285"/>
        </w:trPr>
        <w:tc>
          <w:tcPr>
            <w:tcW w:w="3302" w:type="dxa"/>
            <w:tcBorders>
              <w:top w:val="nil"/>
              <w:bottom w:val="nil"/>
            </w:tcBorders>
            <w:shd w:val="clear" w:color="auto" w:fill="auto"/>
            <w:vAlign w:val="center"/>
          </w:tcPr>
          <w:p w14:paraId="5F9F421C" w14:textId="77777777" w:rsidR="001F4923" w:rsidRPr="009A0E69" w:rsidRDefault="001F4923" w:rsidP="001F4923">
            <w:pPr>
              <w:pStyle w:val="Tabletext"/>
            </w:pPr>
            <w:r>
              <w:t xml:space="preserve">Administrative expenses </w:t>
            </w:r>
          </w:p>
        </w:tc>
        <w:tc>
          <w:tcPr>
            <w:tcW w:w="633" w:type="dxa"/>
            <w:tcBorders>
              <w:top w:val="nil"/>
              <w:bottom w:val="nil"/>
            </w:tcBorders>
          </w:tcPr>
          <w:p w14:paraId="7BB80E1A" w14:textId="77777777" w:rsidR="001F4923" w:rsidRPr="00671A41" w:rsidRDefault="001F4923" w:rsidP="001F4923">
            <w:pPr>
              <w:pStyle w:val="Tabletext"/>
              <w:jc w:val="right"/>
            </w:pPr>
            <w:r>
              <w:t>3</w:t>
            </w:r>
          </w:p>
        </w:tc>
        <w:tc>
          <w:tcPr>
            <w:tcW w:w="2016" w:type="dxa"/>
            <w:tcBorders>
              <w:top w:val="nil"/>
              <w:bottom w:val="nil"/>
            </w:tcBorders>
            <w:shd w:val="clear" w:color="auto" w:fill="auto"/>
          </w:tcPr>
          <w:p w14:paraId="5F01E4CB" w14:textId="7CE9F109" w:rsidR="001F4923" w:rsidRPr="005F0E7F" w:rsidRDefault="00B0477B" w:rsidP="00577845">
            <w:pPr>
              <w:pStyle w:val="Tabletext"/>
              <w:tabs>
                <w:tab w:val="decimal" w:pos="1683"/>
              </w:tabs>
            </w:pPr>
            <w:r w:rsidRPr="005F0E7F">
              <w:t>-</w:t>
            </w:r>
          </w:p>
        </w:tc>
        <w:tc>
          <w:tcPr>
            <w:tcW w:w="190" w:type="dxa"/>
            <w:tcBorders>
              <w:top w:val="nil"/>
              <w:bottom w:val="nil"/>
            </w:tcBorders>
          </w:tcPr>
          <w:p w14:paraId="66B32892" w14:textId="77777777" w:rsidR="001F4923" w:rsidRDefault="001F4923" w:rsidP="001F4923">
            <w:pPr>
              <w:pStyle w:val="Tabletext"/>
              <w:jc w:val="right"/>
            </w:pPr>
          </w:p>
        </w:tc>
        <w:tc>
          <w:tcPr>
            <w:tcW w:w="2016" w:type="dxa"/>
            <w:tcBorders>
              <w:top w:val="nil"/>
              <w:bottom w:val="nil"/>
            </w:tcBorders>
            <w:shd w:val="clear" w:color="auto" w:fill="auto"/>
          </w:tcPr>
          <w:p w14:paraId="0228474E" w14:textId="6DE458E3" w:rsidR="001F4923" w:rsidRPr="00E36C8E" w:rsidRDefault="001F4923" w:rsidP="001F4923">
            <w:pPr>
              <w:pStyle w:val="Tabletext"/>
              <w:tabs>
                <w:tab w:val="decimal" w:pos="1671"/>
              </w:tabs>
            </w:pPr>
            <w:r w:rsidRPr="00692B9C">
              <w:t>(2.2)</w:t>
            </w:r>
          </w:p>
        </w:tc>
        <w:tc>
          <w:tcPr>
            <w:tcW w:w="190" w:type="dxa"/>
            <w:tcBorders>
              <w:top w:val="nil"/>
              <w:bottom w:val="nil"/>
            </w:tcBorders>
          </w:tcPr>
          <w:p w14:paraId="5E441BC7" w14:textId="77777777" w:rsidR="001F4923" w:rsidRDefault="001F4923" w:rsidP="001F4923">
            <w:pPr>
              <w:pStyle w:val="Tabletext"/>
              <w:jc w:val="right"/>
            </w:pPr>
          </w:p>
        </w:tc>
        <w:tc>
          <w:tcPr>
            <w:tcW w:w="2016" w:type="dxa"/>
            <w:tcBorders>
              <w:top w:val="nil"/>
              <w:bottom w:val="nil"/>
            </w:tcBorders>
            <w:shd w:val="clear" w:color="auto" w:fill="auto"/>
            <w:vAlign w:val="center"/>
          </w:tcPr>
          <w:p w14:paraId="75EA9415" w14:textId="1AEC2120" w:rsidR="001F4923" w:rsidRPr="007F738B" w:rsidRDefault="001F4923" w:rsidP="001F4923">
            <w:pPr>
              <w:pStyle w:val="Tabletext"/>
              <w:tabs>
                <w:tab w:val="decimal" w:pos="1694"/>
              </w:tabs>
            </w:pPr>
            <w:r w:rsidRPr="007F738B">
              <w:t>(</w:t>
            </w:r>
            <w:r w:rsidR="00E31725">
              <w:t>0.8</w:t>
            </w:r>
            <w:r w:rsidRPr="007F738B">
              <w:t>)</w:t>
            </w:r>
          </w:p>
        </w:tc>
      </w:tr>
      <w:tr w:rsidR="00E31725" w:rsidRPr="00E36C8E" w14:paraId="55A53CC5" w14:textId="77777777">
        <w:trPr>
          <w:trHeight w:val="285"/>
        </w:trPr>
        <w:tc>
          <w:tcPr>
            <w:tcW w:w="3302" w:type="dxa"/>
            <w:tcBorders>
              <w:top w:val="nil"/>
              <w:bottom w:val="nil"/>
            </w:tcBorders>
            <w:shd w:val="clear" w:color="auto" w:fill="auto"/>
            <w:vAlign w:val="center"/>
          </w:tcPr>
          <w:p w14:paraId="7417B972" w14:textId="34324574" w:rsidR="00E31725" w:rsidRDefault="00E31725" w:rsidP="001F4923">
            <w:pPr>
              <w:pStyle w:val="Tabletext"/>
            </w:pPr>
            <w:r>
              <w:t>Impairment of goodwill</w:t>
            </w:r>
          </w:p>
        </w:tc>
        <w:tc>
          <w:tcPr>
            <w:tcW w:w="633" w:type="dxa"/>
            <w:tcBorders>
              <w:top w:val="nil"/>
              <w:bottom w:val="nil"/>
            </w:tcBorders>
          </w:tcPr>
          <w:p w14:paraId="4D3230EA" w14:textId="633D320E" w:rsidR="00E31725" w:rsidRDefault="00E31725" w:rsidP="001F4923">
            <w:pPr>
              <w:pStyle w:val="Tabletext"/>
              <w:jc w:val="right"/>
            </w:pPr>
            <w:r>
              <w:t>8</w:t>
            </w:r>
          </w:p>
        </w:tc>
        <w:tc>
          <w:tcPr>
            <w:tcW w:w="2016" w:type="dxa"/>
            <w:tcBorders>
              <w:top w:val="nil"/>
              <w:bottom w:val="nil"/>
            </w:tcBorders>
            <w:shd w:val="clear" w:color="auto" w:fill="auto"/>
          </w:tcPr>
          <w:p w14:paraId="198B6D6F" w14:textId="20FDFD83" w:rsidR="00E31725" w:rsidRPr="005F0E7F" w:rsidRDefault="00B0477B" w:rsidP="00577845">
            <w:pPr>
              <w:pStyle w:val="Tabletext"/>
              <w:tabs>
                <w:tab w:val="decimal" w:pos="1683"/>
              </w:tabs>
            </w:pPr>
            <w:r w:rsidRPr="005F0E7F">
              <w:t>-</w:t>
            </w:r>
          </w:p>
        </w:tc>
        <w:tc>
          <w:tcPr>
            <w:tcW w:w="190" w:type="dxa"/>
            <w:tcBorders>
              <w:top w:val="nil"/>
              <w:bottom w:val="nil"/>
            </w:tcBorders>
          </w:tcPr>
          <w:p w14:paraId="14F1E86F" w14:textId="77777777" w:rsidR="00E31725" w:rsidRDefault="00E31725" w:rsidP="001F4923">
            <w:pPr>
              <w:pStyle w:val="Tabletext"/>
              <w:jc w:val="right"/>
            </w:pPr>
          </w:p>
        </w:tc>
        <w:tc>
          <w:tcPr>
            <w:tcW w:w="2016" w:type="dxa"/>
            <w:tcBorders>
              <w:top w:val="nil"/>
              <w:bottom w:val="nil"/>
            </w:tcBorders>
            <w:shd w:val="clear" w:color="auto" w:fill="auto"/>
          </w:tcPr>
          <w:p w14:paraId="1F6EAB24" w14:textId="4432BB26" w:rsidR="00E31725" w:rsidRPr="00692B9C" w:rsidRDefault="00E31725" w:rsidP="001F4923">
            <w:pPr>
              <w:pStyle w:val="Tabletext"/>
              <w:tabs>
                <w:tab w:val="decimal" w:pos="1671"/>
              </w:tabs>
            </w:pPr>
            <w:r>
              <w:t>-</w:t>
            </w:r>
          </w:p>
        </w:tc>
        <w:tc>
          <w:tcPr>
            <w:tcW w:w="190" w:type="dxa"/>
            <w:tcBorders>
              <w:top w:val="nil"/>
              <w:bottom w:val="nil"/>
            </w:tcBorders>
          </w:tcPr>
          <w:p w14:paraId="73A83C1F" w14:textId="77777777" w:rsidR="00E31725" w:rsidRDefault="00E31725" w:rsidP="001F4923">
            <w:pPr>
              <w:pStyle w:val="Tabletext"/>
              <w:jc w:val="right"/>
            </w:pPr>
          </w:p>
        </w:tc>
        <w:tc>
          <w:tcPr>
            <w:tcW w:w="2016" w:type="dxa"/>
            <w:tcBorders>
              <w:top w:val="nil"/>
              <w:bottom w:val="nil"/>
            </w:tcBorders>
            <w:shd w:val="clear" w:color="auto" w:fill="auto"/>
            <w:vAlign w:val="center"/>
          </w:tcPr>
          <w:p w14:paraId="18176C5F" w14:textId="2483F1B9" w:rsidR="00E31725" w:rsidRPr="007F738B" w:rsidRDefault="00E31725" w:rsidP="001F4923">
            <w:pPr>
              <w:pStyle w:val="Tabletext"/>
              <w:tabs>
                <w:tab w:val="decimal" w:pos="1694"/>
              </w:tabs>
            </w:pPr>
            <w:r>
              <w:t>(76.2)</w:t>
            </w:r>
          </w:p>
        </w:tc>
      </w:tr>
      <w:tr w:rsidR="001F4923" w:rsidRPr="00E36C8E" w14:paraId="29BF63BD" w14:textId="77777777">
        <w:trPr>
          <w:trHeight w:val="285"/>
        </w:trPr>
        <w:tc>
          <w:tcPr>
            <w:tcW w:w="3302" w:type="dxa"/>
            <w:tcBorders>
              <w:top w:val="nil"/>
              <w:bottom w:val="nil"/>
            </w:tcBorders>
            <w:shd w:val="clear" w:color="auto" w:fill="auto"/>
            <w:vAlign w:val="center"/>
          </w:tcPr>
          <w:p w14:paraId="053F8A9C" w14:textId="77777777" w:rsidR="001F4923" w:rsidRDefault="001F4923" w:rsidP="001F4923">
            <w:pPr>
              <w:pStyle w:val="Tabletext"/>
            </w:pPr>
            <w:r>
              <w:t xml:space="preserve">Amortisation of intangible assets </w:t>
            </w:r>
          </w:p>
        </w:tc>
        <w:tc>
          <w:tcPr>
            <w:tcW w:w="633" w:type="dxa"/>
            <w:tcBorders>
              <w:top w:val="nil"/>
              <w:bottom w:val="nil"/>
            </w:tcBorders>
          </w:tcPr>
          <w:p w14:paraId="71B542F5" w14:textId="77777777" w:rsidR="001F4923" w:rsidRPr="00671A41" w:rsidRDefault="001F4923" w:rsidP="001F4923">
            <w:pPr>
              <w:pStyle w:val="Tabletext"/>
              <w:jc w:val="right"/>
            </w:pPr>
            <w:r>
              <w:t>9</w:t>
            </w:r>
          </w:p>
        </w:tc>
        <w:tc>
          <w:tcPr>
            <w:tcW w:w="2016" w:type="dxa"/>
            <w:tcBorders>
              <w:top w:val="nil"/>
              <w:bottom w:val="nil"/>
            </w:tcBorders>
            <w:shd w:val="clear" w:color="auto" w:fill="auto"/>
          </w:tcPr>
          <w:p w14:paraId="51D6AB5C" w14:textId="08C7DED3" w:rsidR="001F4923" w:rsidRPr="005F0E7F" w:rsidRDefault="00B0477B" w:rsidP="00577845">
            <w:pPr>
              <w:pStyle w:val="Tabletext"/>
              <w:tabs>
                <w:tab w:val="decimal" w:pos="1683"/>
              </w:tabs>
            </w:pPr>
            <w:r w:rsidRPr="005F0E7F">
              <w:t>(9.2)</w:t>
            </w:r>
          </w:p>
        </w:tc>
        <w:tc>
          <w:tcPr>
            <w:tcW w:w="190" w:type="dxa"/>
            <w:tcBorders>
              <w:top w:val="nil"/>
              <w:bottom w:val="nil"/>
            </w:tcBorders>
          </w:tcPr>
          <w:p w14:paraId="3378DA17" w14:textId="77777777" w:rsidR="001F4923" w:rsidRDefault="001F4923" w:rsidP="001F4923">
            <w:pPr>
              <w:pStyle w:val="Tabletext"/>
              <w:jc w:val="right"/>
            </w:pPr>
          </w:p>
        </w:tc>
        <w:tc>
          <w:tcPr>
            <w:tcW w:w="2016" w:type="dxa"/>
            <w:tcBorders>
              <w:top w:val="nil"/>
              <w:bottom w:val="nil"/>
            </w:tcBorders>
            <w:shd w:val="clear" w:color="auto" w:fill="auto"/>
          </w:tcPr>
          <w:p w14:paraId="3E536CE3" w14:textId="7A19E90B" w:rsidR="001F4923" w:rsidRDefault="001F4923" w:rsidP="001F4923">
            <w:pPr>
              <w:pStyle w:val="Tabletext"/>
              <w:tabs>
                <w:tab w:val="decimal" w:pos="1671"/>
              </w:tabs>
            </w:pPr>
            <w:r w:rsidRPr="00692B9C">
              <w:t>(9.4)</w:t>
            </w:r>
          </w:p>
        </w:tc>
        <w:tc>
          <w:tcPr>
            <w:tcW w:w="190" w:type="dxa"/>
            <w:tcBorders>
              <w:top w:val="nil"/>
              <w:bottom w:val="nil"/>
            </w:tcBorders>
          </w:tcPr>
          <w:p w14:paraId="218513B6" w14:textId="77777777" w:rsidR="001F4923" w:rsidRDefault="001F4923" w:rsidP="001F4923">
            <w:pPr>
              <w:pStyle w:val="Tabletext"/>
              <w:jc w:val="right"/>
            </w:pPr>
          </w:p>
        </w:tc>
        <w:tc>
          <w:tcPr>
            <w:tcW w:w="2016" w:type="dxa"/>
            <w:tcBorders>
              <w:top w:val="nil"/>
              <w:bottom w:val="nil"/>
            </w:tcBorders>
            <w:shd w:val="clear" w:color="auto" w:fill="auto"/>
            <w:vAlign w:val="center"/>
          </w:tcPr>
          <w:p w14:paraId="0951FF64" w14:textId="77777777" w:rsidR="001F4923" w:rsidRPr="007F738B" w:rsidRDefault="001F4923" w:rsidP="001F4923">
            <w:pPr>
              <w:pStyle w:val="Tabletext"/>
              <w:tabs>
                <w:tab w:val="decimal" w:pos="1694"/>
              </w:tabs>
            </w:pPr>
            <w:r w:rsidRPr="007F738B">
              <w:t>(18.8)</w:t>
            </w:r>
          </w:p>
        </w:tc>
      </w:tr>
      <w:tr w:rsidR="001F4923" w:rsidRPr="00E36C8E" w14:paraId="5E28D67D" w14:textId="77777777">
        <w:trPr>
          <w:trHeight w:val="299"/>
        </w:trPr>
        <w:tc>
          <w:tcPr>
            <w:tcW w:w="3302" w:type="dxa"/>
            <w:tcBorders>
              <w:top w:val="nil"/>
              <w:bottom w:val="nil"/>
            </w:tcBorders>
            <w:shd w:val="clear" w:color="auto" w:fill="auto"/>
            <w:vAlign w:val="center"/>
          </w:tcPr>
          <w:p w14:paraId="2E621D48" w14:textId="77777777" w:rsidR="001F4923" w:rsidRPr="00BB77D1" w:rsidRDefault="001F4923" w:rsidP="001F4923">
            <w:pPr>
              <w:pStyle w:val="Tabletext"/>
              <w:rPr>
                <w:b/>
                <w:bCs/>
              </w:rPr>
            </w:pPr>
            <w:r>
              <w:rPr>
                <w:b/>
                <w:bCs/>
              </w:rPr>
              <w:t xml:space="preserve">Statutory profit before tax </w:t>
            </w:r>
          </w:p>
        </w:tc>
        <w:tc>
          <w:tcPr>
            <w:tcW w:w="633" w:type="dxa"/>
            <w:tcBorders>
              <w:top w:val="nil"/>
              <w:bottom w:val="nil"/>
            </w:tcBorders>
          </w:tcPr>
          <w:p w14:paraId="050A21E9" w14:textId="77777777" w:rsidR="001F4923" w:rsidRPr="00671A41" w:rsidRDefault="001F4923" w:rsidP="001F4923">
            <w:pPr>
              <w:pStyle w:val="Tabletext"/>
              <w:jc w:val="right"/>
            </w:pPr>
          </w:p>
        </w:tc>
        <w:tc>
          <w:tcPr>
            <w:tcW w:w="2016" w:type="dxa"/>
            <w:tcBorders>
              <w:top w:val="single" w:sz="4" w:space="0" w:color="auto"/>
              <w:bottom w:val="double" w:sz="4" w:space="0" w:color="auto"/>
            </w:tcBorders>
            <w:shd w:val="clear" w:color="auto" w:fill="auto"/>
          </w:tcPr>
          <w:p w14:paraId="70C39772" w14:textId="3AE5464A" w:rsidR="001F4923" w:rsidRPr="005F0E7F" w:rsidRDefault="00B0477B" w:rsidP="00577845">
            <w:pPr>
              <w:pStyle w:val="Tabletext"/>
              <w:tabs>
                <w:tab w:val="decimal" w:pos="1683"/>
              </w:tabs>
              <w:rPr>
                <w:b/>
                <w:bCs/>
              </w:rPr>
            </w:pPr>
            <w:r w:rsidRPr="005F0E7F">
              <w:rPr>
                <w:b/>
                <w:bCs/>
              </w:rPr>
              <w:t>38.7</w:t>
            </w:r>
          </w:p>
        </w:tc>
        <w:tc>
          <w:tcPr>
            <w:tcW w:w="190" w:type="dxa"/>
            <w:tcBorders>
              <w:top w:val="nil"/>
              <w:bottom w:val="nil"/>
            </w:tcBorders>
          </w:tcPr>
          <w:p w14:paraId="1A95EC46" w14:textId="77777777" w:rsidR="001F4923" w:rsidRPr="00CF007D" w:rsidRDefault="001F4923" w:rsidP="001F4923">
            <w:pPr>
              <w:pStyle w:val="Tabletext"/>
              <w:jc w:val="right"/>
              <w:rPr>
                <w:b/>
                <w:bCs/>
              </w:rPr>
            </w:pPr>
          </w:p>
        </w:tc>
        <w:tc>
          <w:tcPr>
            <w:tcW w:w="2016" w:type="dxa"/>
            <w:tcBorders>
              <w:top w:val="single" w:sz="4" w:space="0" w:color="auto"/>
              <w:bottom w:val="double" w:sz="4" w:space="0" w:color="auto"/>
            </w:tcBorders>
            <w:shd w:val="clear" w:color="auto" w:fill="auto"/>
          </w:tcPr>
          <w:p w14:paraId="0495F6A6" w14:textId="6E96613E" w:rsidR="001F4923" w:rsidRPr="00E36C8E" w:rsidRDefault="001F4923" w:rsidP="001F4923">
            <w:pPr>
              <w:pStyle w:val="Tabletext"/>
              <w:tabs>
                <w:tab w:val="decimal" w:pos="1671"/>
              </w:tabs>
            </w:pPr>
            <w:r w:rsidRPr="00F2575A">
              <w:rPr>
                <w:b/>
                <w:bCs/>
              </w:rPr>
              <w:t>34.8</w:t>
            </w:r>
          </w:p>
        </w:tc>
        <w:tc>
          <w:tcPr>
            <w:tcW w:w="190" w:type="dxa"/>
            <w:tcBorders>
              <w:top w:val="nil"/>
              <w:bottom w:val="nil"/>
            </w:tcBorders>
          </w:tcPr>
          <w:p w14:paraId="08240125" w14:textId="77777777" w:rsidR="001F4923" w:rsidRDefault="001F4923" w:rsidP="001F4923">
            <w:pPr>
              <w:pStyle w:val="Tabletext"/>
              <w:jc w:val="right"/>
            </w:pPr>
          </w:p>
        </w:tc>
        <w:tc>
          <w:tcPr>
            <w:tcW w:w="2016" w:type="dxa"/>
            <w:tcBorders>
              <w:top w:val="single" w:sz="4" w:space="0" w:color="auto"/>
              <w:bottom w:val="double" w:sz="4" w:space="0" w:color="auto"/>
            </w:tcBorders>
            <w:shd w:val="clear" w:color="auto" w:fill="auto"/>
            <w:vAlign w:val="center"/>
          </w:tcPr>
          <w:p w14:paraId="684C9CD0" w14:textId="6D1098B0" w:rsidR="001F4923" w:rsidRPr="007F738B" w:rsidRDefault="007F738B" w:rsidP="001F4923">
            <w:pPr>
              <w:pStyle w:val="Tabletext"/>
              <w:tabs>
                <w:tab w:val="decimal" w:pos="1694"/>
              </w:tabs>
              <w:rPr>
                <w:b/>
                <w:bCs/>
              </w:rPr>
            </w:pPr>
            <w:r w:rsidRPr="007F738B">
              <w:rPr>
                <w:b/>
                <w:bCs/>
              </w:rPr>
              <w:t>9.4</w:t>
            </w:r>
          </w:p>
        </w:tc>
      </w:tr>
    </w:tbl>
    <w:p w14:paraId="27E4B9ED" w14:textId="77777777" w:rsidR="003A1F53" w:rsidRPr="004C5302" w:rsidRDefault="003A1F53" w:rsidP="003A1F53">
      <w:pPr>
        <w:pStyle w:val="Subheading2"/>
      </w:pPr>
      <w:r w:rsidRPr="004C5302">
        <w:t>Changes in the use of APMs</w:t>
      </w:r>
    </w:p>
    <w:p w14:paraId="33F8E28B" w14:textId="2A4A48F7" w:rsidR="00EE3191" w:rsidRPr="005F0E7F" w:rsidRDefault="001C0EB7" w:rsidP="00DF0484">
      <w:pPr>
        <w:pStyle w:val="Subheading"/>
        <w:rPr>
          <w:rFonts w:ascii="Source Sans Pro" w:hAnsi="Source Sans Pro"/>
          <w:color w:val="444444"/>
          <w:sz w:val="20"/>
        </w:rPr>
      </w:pPr>
      <w:r>
        <w:rPr>
          <w:rFonts w:ascii="Source Sans Pro" w:hAnsi="Source Sans Pro"/>
          <w:color w:val="444444"/>
          <w:sz w:val="20"/>
        </w:rPr>
        <w:t>In previous periods</w:t>
      </w:r>
      <w:r w:rsidR="004B1FAC">
        <w:rPr>
          <w:rFonts w:ascii="Source Sans Pro" w:hAnsi="Source Sans Pro"/>
          <w:color w:val="444444"/>
          <w:sz w:val="20"/>
        </w:rPr>
        <w:t xml:space="preserve">, the Group had disclosed </w:t>
      </w:r>
      <w:r w:rsidR="00DF5354">
        <w:rPr>
          <w:rFonts w:ascii="Source Sans Pro" w:hAnsi="Source Sans Pro"/>
          <w:color w:val="444444"/>
          <w:sz w:val="20"/>
        </w:rPr>
        <w:t xml:space="preserve">fixed </w:t>
      </w:r>
      <w:r w:rsidR="002D6CB7">
        <w:rPr>
          <w:rFonts w:ascii="Source Sans Pro" w:hAnsi="Source Sans Pro"/>
          <w:color w:val="444444"/>
          <w:sz w:val="20"/>
        </w:rPr>
        <w:t>staff costs and variable staff costs</w:t>
      </w:r>
      <w:r w:rsidR="00323CCC">
        <w:rPr>
          <w:rFonts w:ascii="Source Sans Pro" w:hAnsi="Source Sans Pro"/>
          <w:color w:val="444444"/>
          <w:sz w:val="20"/>
        </w:rPr>
        <w:t xml:space="preserve"> as separate </w:t>
      </w:r>
      <w:r w:rsidR="005E105B">
        <w:rPr>
          <w:rFonts w:ascii="Source Sans Pro" w:hAnsi="Source Sans Pro"/>
          <w:color w:val="444444"/>
          <w:sz w:val="20"/>
        </w:rPr>
        <w:t xml:space="preserve">line items </w:t>
      </w:r>
      <w:r w:rsidR="00CB726C">
        <w:rPr>
          <w:rFonts w:ascii="Source Sans Pro" w:hAnsi="Source Sans Pro"/>
          <w:color w:val="444444"/>
          <w:sz w:val="20"/>
        </w:rPr>
        <w:t>with</w:t>
      </w:r>
      <w:r w:rsidR="00110C17">
        <w:rPr>
          <w:rFonts w:ascii="Source Sans Pro" w:hAnsi="Source Sans Pro"/>
          <w:color w:val="444444"/>
          <w:sz w:val="20"/>
        </w:rPr>
        <w:t>in the</w:t>
      </w:r>
      <w:r w:rsidR="00CB726C">
        <w:rPr>
          <w:rFonts w:ascii="Source Sans Pro" w:hAnsi="Source Sans Pro"/>
          <w:color w:val="444444"/>
          <w:sz w:val="20"/>
        </w:rPr>
        <w:t xml:space="preserve"> management statement</w:t>
      </w:r>
      <w:r w:rsidR="0031069F">
        <w:rPr>
          <w:rFonts w:ascii="Source Sans Pro" w:hAnsi="Source Sans Pro"/>
          <w:color w:val="444444"/>
          <w:sz w:val="20"/>
        </w:rPr>
        <w:t>.</w:t>
      </w:r>
      <w:r w:rsidR="00CB726C">
        <w:rPr>
          <w:rFonts w:ascii="Source Sans Pro" w:hAnsi="Source Sans Pro"/>
          <w:color w:val="444444"/>
          <w:sz w:val="20"/>
        </w:rPr>
        <w:t xml:space="preserve"> </w:t>
      </w:r>
      <w:r w:rsidR="000368C8" w:rsidRPr="005F0E7F">
        <w:rPr>
          <w:rFonts w:ascii="Source Sans Pro" w:hAnsi="Source Sans Pro"/>
          <w:color w:val="444444"/>
          <w:sz w:val="20"/>
        </w:rPr>
        <w:t>Within this document, we have</w:t>
      </w:r>
      <w:r w:rsidR="00C80292" w:rsidRPr="005F0E7F">
        <w:rPr>
          <w:rFonts w:ascii="Source Sans Pro" w:hAnsi="Source Sans Pro"/>
          <w:color w:val="444444"/>
          <w:sz w:val="20"/>
        </w:rPr>
        <w:t xml:space="preserve"> presented</w:t>
      </w:r>
      <w:r w:rsidR="00B21861">
        <w:rPr>
          <w:rFonts w:ascii="Source Sans Pro" w:hAnsi="Source Sans Pro"/>
          <w:color w:val="444444"/>
          <w:sz w:val="20"/>
        </w:rPr>
        <w:t xml:space="preserve"> </w:t>
      </w:r>
      <w:r w:rsidR="00ED0C8E">
        <w:rPr>
          <w:rFonts w:ascii="Source Sans Pro" w:hAnsi="Source Sans Pro"/>
          <w:color w:val="444444"/>
          <w:sz w:val="20"/>
        </w:rPr>
        <w:t xml:space="preserve">these two amounts as a </w:t>
      </w:r>
      <w:r w:rsidR="00B21861">
        <w:rPr>
          <w:rFonts w:ascii="Source Sans Pro" w:hAnsi="Source Sans Pro"/>
          <w:color w:val="444444"/>
          <w:sz w:val="20"/>
        </w:rPr>
        <w:t>single</w:t>
      </w:r>
      <w:r w:rsidR="00C80292" w:rsidRPr="005F0E7F">
        <w:rPr>
          <w:rFonts w:ascii="Source Sans Pro" w:hAnsi="Source Sans Pro"/>
          <w:color w:val="444444"/>
          <w:sz w:val="20"/>
        </w:rPr>
        <w:t xml:space="preserve"> line item </w:t>
      </w:r>
      <w:r w:rsidR="00D523A2" w:rsidRPr="005F0E7F">
        <w:rPr>
          <w:rFonts w:ascii="Source Sans Pro" w:hAnsi="Source Sans Pro"/>
          <w:color w:val="444444"/>
          <w:sz w:val="20"/>
        </w:rPr>
        <w:t xml:space="preserve">on page </w:t>
      </w:r>
      <w:r w:rsidR="004F689D" w:rsidRPr="005F0E7F">
        <w:rPr>
          <w:rFonts w:ascii="Source Sans Pro" w:hAnsi="Source Sans Pro"/>
          <w:color w:val="444444"/>
          <w:sz w:val="20"/>
        </w:rPr>
        <w:t>5</w:t>
      </w:r>
      <w:r w:rsidR="0005132B">
        <w:rPr>
          <w:rFonts w:ascii="Source Sans Pro" w:hAnsi="Source Sans Pro"/>
          <w:color w:val="444444"/>
          <w:sz w:val="20"/>
        </w:rPr>
        <w:t xml:space="preserve"> as </w:t>
      </w:r>
      <w:r w:rsidR="00266243">
        <w:rPr>
          <w:rFonts w:ascii="Source Sans Pro" w:hAnsi="Source Sans Pro"/>
          <w:color w:val="444444"/>
          <w:sz w:val="20"/>
        </w:rPr>
        <w:t>‘Compensation costs’</w:t>
      </w:r>
      <w:r w:rsidR="004F689D" w:rsidRPr="005F0E7F">
        <w:rPr>
          <w:rFonts w:ascii="Source Sans Pro" w:hAnsi="Source Sans Pro"/>
          <w:color w:val="444444"/>
          <w:sz w:val="20"/>
        </w:rPr>
        <w:t xml:space="preserve"> and</w:t>
      </w:r>
      <w:r w:rsidR="00C8407D">
        <w:rPr>
          <w:rFonts w:ascii="Source Sans Pro" w:hAnsi="Source Sans Pro"/>
          <w:color w:val="444444"/>
          <w:sz w:val="20"/>
        </w:rPr>
        <w:t xml:space="preserve"> consequently on page</w:t>
      </w:r>
      <w:r w:rsidR="004F689D" w:rsidRPr="005F0E7F">
        <w:rPr>
          <w:rFonts w:ascii="Source Sans Pro" w:hAnsi="Source Sans Pro"/>
          <w:color w:val="444444"/>
          <w:sz w:val="20"/>
        </w:rPr>
        <w:t xml:space="preserve"> 2</w:t>
      </w:r>
      <w:r w:rsidR="00742E9E">
        <w:rPr>
          <w:rFonts w:ascii="Source Sans Pro" w:hAnsi="Source Sans Pro"/>
          <w:color w:val="444444"/>
          <w:sz w:val="20"/>
        </w:rPr>
        <w:t>6</w:t>
      </w:r>
      <w:r w:rsidR="00C8407D">
        <w:rPr>
          <w:rFonts w:ascii="Source Sans Pro" w:hAnsi="Source Sans Pro"/>
          <w:color w:val="444444"/>
          <w:sz w:val="20"/>
        </w:rPr>
        <w:t xml:space="preserve">, </w:t>
      </w:r>
      <w:r w:rsidR="00091E67">
        <w:rPr>
          <w:rFonts w:ascii="Source Sans Pro" w:hAnsi="Source Sans Pro"/>
          <w:color w:val="444444"/>
          <w:sz w:val="20"/>
        </w:rPr>
        <w:t xml:space="preserve">where it is used before and after </w:t>
      </w:r>
      <w:r w:rsidR="00251FFF">
        <w:rPr>
          <w:rFonts w:ascii="Source Sans Pro" w:hAnsi="Source Sans Pro"/>
          <w:color w:val="444444"/>
          <w:sz w:val="20"/>
        </w:rPr>
        <w:t xml:space="preserve">performance fee costs </w:t>
      </w:r>
      <w:r w:rsidR="00F2186C">
        <w:rPr>
          <w:rFonts w:ascii="Source Sans Pro" w:hAnsi="Source Sans Pro"/>
          <w:color w:val="444444"/>
          <w:sz w:val="20"/>
        </w:rPr>
        <w:t>as part of the Group’s reconciliation of APMs.</w:t>
      </w:r>
      <w:r w:rsidR="00FD6E72">
        <w:rPr>
          <w:rFonts w:ascii="Source Sans Pro" w:hAnsi="Source Sans Pro"/>
          <w:color w:val="444444"/>
          <w:sz w:val="20"/>
        </w:rPr>
        <w:t xml:space="preserve"> This change has been made in order to </w:t>
      </w:r>
      <w:r w:rsidR="005865FF">
        <w:rPr>
          <w:rFonts w:ascii="Source Sans Pro" w:hAnsi="Source Sans Pro"/>
          <w:color w:val="444444"/>
          <w:sz w:val="20"/>
        </w:rPr>
        <w:t>simplify the presentation.</w:t>
      </w:r>
    </w:p>
    <w:p w14:paraId="3440EED2" w14:textId="77777777" w:rsidR="0018507D" w:rsidRDefault="0018507D">
      <w:r>
        <w:br w:type="page"/>
      </w:r>
    </w:p>
    <w:tbl>
      <w:tblPr>
        <w:tblStyle w:val="TableGrid"/>
        <w:tblW w:w="10348" w:type="dxa"/>
        <w:tblLook w:val="04A0" w:firstRow="1" w:lastRow="0" w:firstColumn="1" w:lastColumn="0" w:noHBand="0" w:noVBand="1"/>
      </w:tblPr>
      <w:tblGrid>
        <w:gridCol w:w="10348"/>
      </w:tblGrid>
      <w:tr w:rsidR="00EE3191" w:rsidRPr="001520AE" w14:paraId="221F94E6" w14:textId="77777777">
        <w:trPr>
          <w:trHeight w:val="708"/>
        </w:trPr>
        <w:tc>
          <w:tcPr>
            <w:tcW w:w="10348" w:type="dxa"/>
          </w:tcPr>
          <w:p w14:paraId="6E17CCFA" w14:textId="5B32CA9B" w:rsidR="00EE3191" w:rsidRPr="001520AE" w:rsidRDefault="0018507D">
            <w:pPr>
              <w:pStyle w:val="Heading"/>
              <w:spacing w:after="120"/>
              <w:rPr>
                <w:sz w:val="52"/>
                <w:szCs w:val="40"/>
              </w:rPr>
            </w:pPr>
            <w:r>
              <w:rPr>
                <w:sz w:val="52"/>
                <w:szCs w:val="40"/>
              </w:rPr>
              <w:lastRenderedPageBreak/>
              <w:t>Independent Review Report</w:t>
            </w:r>
            <w:r w:rsidR="00012875">
              <w:rPr>
                <w:sz w:val="52"/>
                <w:szCs w:val="40"/>
              </w:rPr>
              <w:t xml:space="preserve"> to Jupiter Fund Management plc</w:t>
            </w:r>
          </w:p>
        </w:tc>
      </w:tr>
      <w:tr w:rsidR="00EE3191" w:rsidRPr="00A517F6" w14:paraId="0484C1DB" w14:textId="77777777">
        <w:trPr>
          <w:trHeight w:hRule="exact" w:val="284"/>
        </w:trPr>
        <w:tc>
          <w:tcPr>
            <w:tcW w:w="10348" w:type="dxa"/>
            <w:shd w:val="clear" w:color="auto" w:fill="16293F" w:themeFill="text1"/>
          </w:tcPr>
          <w:p w14:paraId="309FFB9F" w14:textId="77777777" w:rsidR="00EE3191" w:rsidRPr="00A517F6" w:rsidRDefault="00EE3191">
            <w:pPr>
              <w:pStyle w:val="Bodytext0"/>
              <w:spacing w:before="0" w:line="240" w:lineRule="auto"/>
              <w:rPr>
                <w:sz w:val="16"/>
                <w:szCs w:val="18"/>
              </w:rPr>
            </w:pPr>
          </w:p>
        </w:tc>
      </w:tr>
    </w:tbl>
    <w:p w14:paraId="0ED68566" w14:textId="77777777" w:rsidR="00FA3A0D" w:rsidRPr="00111C05" w:rsidRDefault="00FA3A0D" w:rsidP="00FA3A0D">
      <w:pPr>
        <w:pStyle w:val="Subheading"/>
      </w:pPr>
      <w:r w:rsidRPr="00111C05">
        <w:t>Report on the condensed consolidated interim financial statements</w:t>
      </w:r>
    </w:p>
    <w:p w14:paraId="56C85446" w14:textId="77777777" w:rsidR="00FA3A0D" w:rsidRPr="00111C05" w:rsidRDefault="00FA3A0D" w:rsidP="00FA3A0D">
      <w:pPr>
        <w:pStyle w:val="Subheading"/>
      </w:pPr>
      <w:r w:rsidRPr="00111C05">
        <w:rPr>
          <w:color w:val="3E5772"/>
          <w:sz w:val="20"/>
        </w:rPr>
        <w:t>Conclusion</w:t>
      </w:r>
    </w:p>
    <w:p w14:paraId="5E55E070"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 xml:space="preserve">We have been engaged by Jupiter Fund Management plc (the ‘Company’) to review the condensed consolidated financial statements in the Interim Report and Accounts for the six months ended 30 June 2024 which comprise the Consolidated income statement, Consolidated statement of comprehensive income, Consolidated balance sheet, Consolidated statement of changes in equity, Consolidated statement of cash flows and explanatory notes 1 to 20. We have read the other information contained in the Interim Report and Accounts and considered whether it contains any apparent misstatements or material inconsistencies with the information in the condensed consolidated set of financial statements. </w:t>
      </w:r>
    </w:p>
    <w:p w14:paraId="1F900ED1"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Based on our review, nothing has come to our attention that causes us to believe that the condensed consolidated set of financial statements in the Interim Report and Accounts for the six months ended 30 June 2024 is not prepared, in all material respects, in accordance with UK-adopted International Accounting Standard 34, “Interim Financial Reporting”, and the Disclosure Guidance and Transparency Rules of the United Kingdom’s Financial Conduct Authority.</w:t>
      </w:r>
    </w:p>
    <w:p w14:paraId="74953181" w14:textId="77777777" w:rsidR="00FA3A0D" w:rsidRPr="00111C05" w:rsidRDefault="00FA3A0D" w:rsidP="00FA3A0D">
      <w:pPr>
        <w:pStyle w:val="Subheading2"/>
      </w:pPr>
      <w:r w:rsidRPr="00111C05">
        <w:t>Basis for conclusion</w:t>
      </w:r>
    </w:p>
    <w:p w14:paraId="1A9909F1"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We conducted our review in accordance with International Standard on Review Engagements 2410 (UK) "Review of Interim Financial Information Performed by the Independent Auditor of the Entity" issued by the Financial Reporting Council.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7C1F2190"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As disclosed in the Statement of Directors’ responsibilities for the Interim Report and Accounts, the annual financial statements of the Company are prepared in accordance with UK-adopted international accounting standards. The condensed consolidated set of financial statements included in the Interim Report and Accounts has been prepared in accordance with UK-adopted International Accounting Standard 34, “Interim Financial Reporting”.</w:t>
      </w:r>
    </w:p>
    <w:p w14:paraId="5157884C" w14:textId="77777777" w:rsidR="00FA3A0D" w:rsidRPr="00111C05" w:rsidRDefault="00FA3A0D" w:rsidP="00FA3A0D">
      <w:pPr>
        <w:pStyle w:val="Subheading2"/>
      </w:pPr>
      <w:r w:rsidRPr="00111C05">
        <w:t>Conclusions relating to going concern</w:t>
      </w:r>
    </w:p>
    <w:p w14:paraId="2614B689"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 xml:space="preserve">Based on our review procedures, which are less extensive than those performed in an audit as described in the Basis for Conclusion section of this report, nothing has come to our attention to suggest that management have inappropriately adopted the going concern basis of accounting or that management have identified material uncertainties relating to going concern that are not appropriately disclosed. </w:t>
      </w:r>
    </w:p>
    <w:p w14:paraId="03AB60F8" w14:textId="77777777" w:rsidR="00FA3A0D" w:rsidRPr="00F9093F" w:rsidRDefault="00FA3A0D" w:rsidP="00FA3A0D">
      <w:pPr>
        <w:rPr>
          <w:highlight w:val="yellow"/>
        </w:rPr>
      </w:pPr>
      <w:r w:rsidRPr="00111C05">
        <w:rPr>
          <w:rFonts w:eastAsiaTheme="minorHAnsi"/>
          <w:sz w:val="20"/>
          <w:lang w:val="en-GB" w:eastAsia="en-US"/>
        </w:rPr>
        <w:t>This conclusion is based on the review procedures performed in accordance with this ISRE, however future events or conditions may cause the entity to cease to continue as a going concern.</w:t>
      </w:r>
    </w:p>
    <w:p w14:paraId="60B3AA3C" w14:textId="77777777" w:rsidR="00FA3A0D" w:rsidRPr="00111C05" w:rsidRDefault="00FA3A0D" w:rsidP="00FA3A0D">
      <w:pPr>
        <w:pStyle w:val="Subheading2"/>
      </w:pPr>
      <w:r w:rsidRPr="00111C05">
        <w:t>Responsibilities of the directors</w:t>
      </w:r>
    </w:p>
    <w:p w14:paraId="6796BD13"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 xml:space="preserve">The directors are responsible for preparing the Interim Report and Accounts in accordance with the Disclosure Guidance and Transparency Rules of the United Kingdom's Financial Conduct Authority. </w:t>
      </w:r>
    </w:p>
    <w:p w14:paraId="1CE076B8" w14:textId="77777777" w:rsidR="00FA3A0D" w:rsidRPr="00111C05" w:rsidRDefault="00FA3A0D" w:rsidP="00FA3A0D">
      <w:pPr>
        <w:rPr>
          <w:rFonts w:ascii="Source Sans Pro Semibold" w:eastAsiaTheme="minorHAnsi" w:hAnsi="Source Sans Pro Semibold"/>
          <w:color w:val="3E5772"/>
          <w:sz w:val="20"/>
          <w:lang w:val="en-GB" w:eastAsia="en-US"/>
        </w:rPr>
      </w:pPr>
      <w:r w:rsidRPr="00111C05">
        <w:rPr>
          <w:rFonts w:eastAsiaTheme="minorHAnsi"/>
          <w:sz w:val="20"/>
          <w:lang w:val="en-GB" w:eastAsia="en-US"/>
        </w:rPr>
        <w:t>In preparing the Interim Report and Accounts,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r w:rsidRPr="00111C05">
        <w:rPr>
          <w:rFonts w:ascii="Source Sans Pro Semibold" w:hAnsi="Source Sans Pro Semibold"/>
          <w:color w:val="3E5772"/>
        </w:rPr>
        <w:br w:type="page"/>
      </w:r>
    </w:p>
    <w:p w14:paraId="6A372B23" w14:textId="77777777" w:rsidR="00FA3A0D" w:rsidRPr="00111C05" w:rsidRDefault="00FA3A0D" w:rsidP="00FA3A0D">
      <w:pPr>
        <w:pStyle w:val="Bodytext0"/>
      </w:pPr>
      <w:r w:rsidRPr="00111C05">
        <w:rPr>
          <w:rFonts w:ascii="Source Sans Pro Semibold" w:hAnsi="Source Sans Pro Semibold"/>
          <w:color w:val="3E5772"/>
        </w:rPr>
        <w:lastRenderedPageBreak/>
        <w:t>Auditor’s responsibilities for the review of financial information</w:t>
      </w:r>
    </w:p>
    <w:p w14:paraId="617EC3B1"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 xml:space="preserve">In reviewing the half-yearly report, we are responsible for expressing to the Company a conclusion on the condensed consolidated set of financial statements in the half-yearly financial report. Our conclusion, including our Conclusions Relating to Going Concern, are based on procedures that are less extensive than audit procedures, as described in the Basis for Conclusion paragraph of this report. </w:t>
      </w:r>
    </w:p>
    <w:p w14:paraId="57263F4E" w14:textId="77777777" w:rsidR="00FA3A0D" w:rsidRPr="00111C05" w:rsidRDefault="00FA3A0D" w:rsidP="00FA3A0D">
      <w:pPr>
        <w:pStyle w:val="Subheading2"/>
      </w:pPr>
      <w:r w:rsidRPr="00111C05">
        <w:t>Use of our report</w:t>
      </w:r>
    </w:p>
    <w:p w14:paraId="715783A7" w14:textId="77777777" w:rsidR="00FA3A0D" w:rsidRPr="00111C05" w:rsidRDefault="00FA3A0D" w:rsidP="00FA3A0D">
      <w:pPr>
        <w:rPr>
          <w:rFonts w:eastAsiaTheme="minorHAnsi"/>
          <w:sz w:val="20"/>
          <w:lang w:val="en-GB" w:eastAsia="en-US"/>
        </w:rPr>
      </w:pPr>
      <w:r w:rsidRPr="00111C05">
        <w:rPr>
          <w:rFonts w:eastAsiaTheme="minorHAnsi"/>
          <w:sz w:val="20"/>
          <w:lang w:val="en-GB" w:eastAsia="en-US"/>
        </w:rPr>
        <w:t>This report is made solely to the Company in accordance with guidance contained in International Standard on Review Engagements 2410 (UK) "Review of Interim Financial Information Performed by the Independent Auditor of the Entity" issued by the Financial Reporting Council. To the fullest extent permitted by law, we do not accept or assume responsibility to anyone other than the Company, for our work, for this report, or for the conclusions we have formed.</w:t>
      </w:r>
    </w:p>
    <w:p w14:paraId="45628239" w14:textId="77777777" w:rsidR="00FA3A0D" w:rsidRPr="00111C05" w:rsidRDefault="00FA3A0D" w:rsidP="00FA3A0D">
      <w:pPr>
        <w:pStyle w:val="Bodytext0"/>
        <w:spacing w:before="0"/>
        <w:rPr>
          <w:rFonts w:eastAsia="Source Sans Pro" w:cs="Source Sans Pro"/>
          <w:lang w:val="en-US"/>
        </w:rPr>
      </w:pPr>
    </w:p>
    <w:p w14:paraId="6F2A958D" w14:textId="77777777" w:rsidR="00FA3A0D" w:rsidRPr="00111C05" w:rsidRDefault="00FA3A0D" w:rsidP="00FA3A0D">
      <w:pPr>
        <w:pStyle w:val="Bodytext0"/>
        <w:spacing w:before="0"/>
        <w:rPr>
          <w:rFonts w:eastAsia="Source Sans Pro" w:cs="Source Sans Pro"/>
          <w:lang w:val="en-US"/>
        </w:rPr>
      </w:pPr>
    </w:p>
    <w:p w14:paraId="4FB8420D" w14:textId="77777777" w:rsidR="00FA3A0D" w:rsidRPr="00111C05" w:rsidRDefault="00FA3A0D" w:rsidP="00FA3A0D">
      <w:pPr>
        <w:pStyle w:val="Bodytext0"/>
        <w:spacing w:before="0"/>
        <w:rPr>
          <w:rFonts w:eastAsia="Source Sans Pro" w:cs="Source Sans Pro"/>
          <w:lang w:val="en-US"/>
        </w:rPr>
      </w:pPr>
    </w:p>
    <w:p w14:paraId="6ACAC210" w14:textId="77777777" w:rsidR="00FA3A0D" w:rsidRPr="00111C05" w:rsidRDefault="00FA3A0D" w:rsidP="00FA3A0D">
      <w:pPr>
        <w:pStyle w:val="Bodytext0"/>
        <w:spacing w:before="0"/>
        <w:rPr>
          <w:rFonts w:eastAsia="Source Sans Pro" w:cs="Source Sans Pro"/>
          <w:lang w:val="en-US"/>
        </w:rPr>
      </w:pPr>
    </w:p>
    <w:p w14:paraId="7F83DBBE" w14:textId="77777777" w:rsidR="00FA3A0D" w:rsidRPr="00111C05" w:rsidRDefault="00FA3A0D" w:rsidP="00FA3A0D">
      <w:pPr>
        <w:pStyle w:val="Bodytext0"/>
        <w:spacing w:before="0"/>
      </w:pPr>
    </w:p>
    <w:p w14:paraId="0091F2A7" w14:textId="77777777" w:rsidR="00FA3A0D" w:rsidRPr="00111C05" w:rsidRDefault="00FA3A0D" w:rsidP="00FA3A0D">
      <w:pPr>
        <w:pStyle w:val="Bodytext0"/>
        <w:spacing w:before="0"/>
      </w:pPr>
      <w:r w:rsidRPr="00111C05">
        <w:t>Ernst &amp; Young LLP</w:t>
      </w:r>
    </w:p>
    <w:p w14:paraId="7A16900F" w14:textId="77777777" w:rsidR="00FA3A0D" w:rsidRPr="00111C05" w:rsidRDefault="00FA3A0D" w:rsidP="00FA3A0D">
      <w:pPr>
        <w:pStyle w:val="Bodytext0"/>
        <w:spacing w:before="0"/>
      </w:pPr>
      <w:r w:rsidRPr="00111C05">
        <w:t>London</w:t>
      </w:r>
    </w:p>
    <w:p w14:paraId="4EA193C6" w14:textId="77777777" w:rsidR="00FA3A0D" w:rsidRPr="00DF0484" w:rsidRDefault="00FA3A0D" w:rsidP="00FA3A0D">
      <w:pPr>
        <w:pStyle w:val="Bodytext0"/>
      </w:pPr>
      <w:r w:rsidRPr="00111C05">
        <w:t>25 July 2024</w:t>
      </w:r>
    </w:p>
    <w:p w14:paraId="402667C7" w14:textId="106FC4B3" w:rsidR="00DF0484" w:rsidRPr="00DF0484" w:rsidRDefault="00DF0484" w:rsidP="00DF0484">
      <w:pPr>
        <w:pStyle w:val="Bodytext0"/>
      </w:pPr>
      <w:bookmarkStart w:id="14" w:name="bookmark-name-97_●"/>
      <w:bookmarkStart w:id="15" w:name="bookmark-name-103_●"/>
      <w:bookmarkStart w:id="16" w:name="bookmark-name-108_●"/>
      <w:bookmarkStart w:id="17" w:name="bookmark-name-113_●"/>
      <w:bookmarkStart w:id="18" w:name="bookmark-name-121_●"/>
      <w:bookmarkEnd w:id="12"/>
      <w:bookmarkEnd w:id="13"/>
      <w:bookmarkEnd w:id="14"/>
      <w:bookmarkEnd w:id="15"/>
      <w:bookmarkEnd w:id="16"/>
      <w:bookmarkEnd w:id="17"/>
      <w:bookmarkEnd w:id="18"/>
      <w:r>
        <w:tab/>
      </w:r>
    </w:p>
    <w:sectPr w:rsidR="00DF0484" w:rsidRPr="00DF0484" w:rsidSect="004C3D0F">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247" w:left="851" w:header="68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3FEA6" w14:textId="77777777" w:rsidR="00E87038" w:rsidRDefault="00E87038">
      <w:pPr>
        <w:spacing w:after="0"/>
      </w:pPr>
      <w:r>
        <w:separator/>
      </w:r>
    </w:p>
  </w:endnote>
  <w:endnote w:type="continuationSeparator" w:id="0">
    <w:p w14:paraId="01BB37C2" w14:textId="77777777" w:rsidR="00E87038" w:rsidRDefault="00E87038">
      <w:pPr>
        <w:spacing w:after="0"/>
      </w:pPr>
      <w:r>
        <w:continuationSeparator/>
      </w:r>
    </w:p>
  </w:endnote>
  <w:endnote w:type="continuationNotice" w:id="1">
    <w:p w14:paraId="49E19A8E" w14:textId="77777777" w:rsidR="00E87038" w:rsidRDefault="00E87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enda-Semibold">
    <w:altName w:val="Calibri"/>
    <w:panose1 w:val="020006030400000200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51EE" w14:textId="77777777" w:rsidR="00DC213D" w:rsidRDefault="00DC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372038"/>
      <w:docPartObj>
        <w:docPartGallery w:val="Page Numbers (Bottom of Page)"/>
        <w:docPartUnique/>
      </w:docPartObj>
    </w:sdtPr>
    <w:sdtEndPr>
      <w:rPr>
        <w:noProof/>
      </w:rPr>
    </w:sdtEndPr>
    <w:sdtContent>
      <w:p w14:paraId="2C0DD8D6" w14:textId="35FC6413" w:rsidR="002805A4" w:rsidRDefault="00280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16718" w14:textId="77777777" w:rsidR="00DC213D" w:rsidRDefault="00DC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4DA4F" w14:textId="77777777" w:rsidR="00360D73" w:rsidRPr="004C3D0F" w:rsidRDefault="004C3D0F" w:rsidP="00E459B8">
    <w:pPr>
      <w:pStyle w:val="Footer"/>
      <w:rPr>
        <w:sz w:val="10"/>
        <w:szCs w:val="10"/>
      </w:rPr>
    </w:pPr>
    <w:r>
      <w:rPr>
        <w:noProof/>
        <w:sz w:val="10"/>
        <w:szCs w:val="10"/>
      </w:rPr>
      <mc:AlternateContent>
        <mc:Choice Requires="wpg">
          <w:drawing>
            <wp:anchor distT="0" distB="0" distL="114300" distR="114300" simplePos="0" relativeHeight="251658240" behindDoc="0" locked="0" layoutInCell="1" allowOverlap="1" wp14:anchorId="6CC0AA34" wp14:editId="364E75CB">
              <wp:simplePos x="0" y="0"/>
              <wp:positionH relativeFrom="page">
                <wp:posOffset>5843270</wp:posOffset>
              </wp:positionH>
              <wp:positionV relativeFrom="page">
                <wp:posOffset>9923145</wp:posOffset>
              </wp:positionV>
              <wp:extent cx="1447200" cy="752400"/>
              <wp:effectExtent l="0" t="0" r="635" b="29210"/>
              <wp:wrapNone/>
              <wp:docPr id="1" name="Group 1"/>
              <wp:cNvGraphicFramePr/>
              <a:graphic xmlns:a="http://schemas.openxmlformats.org/drawingml/2006/main">
                <a:graphicData uri="http://schemas.microsoft.com/office/word/2010/wordprocessingGroup">
                  <wpg:wgp>
                    <wpg:cNvGrpSpPr/>
                    <wpg:grpSpPr>
                      <a:xfrm>
                        <a:off x="0" y="0"/>
                        <a:ext cx="1447200" cy="752400"/>
                        <a:chOff x="0" y="0"/>
                        <a:chExt cx="1446793" cy="752400"/>
                      </a:xfrm>
                    </wpg:grpSpPr>
                    <pic:pic xmlns:pic="http://schemas.openxmlformats.org/drawingml/2006/picture">
                      <pic:nvPicPr>
                        <pic:cNvPr id="11" name="Graphic 11"/>
                        <pic:cNvPicPr>
                          <a:picLocks noChangeAspect="1"/>
                        </pic:cNvPicPr>
                      </pic:nvPicPr>
                      <pic:blipFill rotWithShape="1">
                        <a:blip r:embed="rId1">
                          <a:extLst>
                            <a:ext uri="{96DAC541-7B7A-43D3-8B79-37D633B846F1}">
                              <asvg:svgBlip xmlns:asvg="http://schemas.microsoft.com/office/drawing/2016/SVG/main" r:embed="rId2"/>
                            </a:ext>
                          </a:extLst>
                        </a:blip>
                        <a:srcRect b="-3148"/>
                        <a:stretch/>
                      </pic:blipFill>
                      <pic:spPr bwMode="auto">
                        <a:xfrm>
                          <a:off x="0" y="7951"/>
                          <a:ext cx="1076325" cy="410210"/>
                        </a:xfrm>
                        <a:prstGeom prst="rect">
                          <a:avLst/>
                        </a:prstGeom>
                        <a:ln>
                          <a:noFill/>
                        </a:ln>
                        <a:extLst>
                          <a:ext uri="{53640926-AAD7-44D8-BBD7-CCE9431645EC}">
                            <a14:shadowObscured xmlns:a14="http://schemas.microsoft.com/office/drawing/2010/main"/>
                          </a:ext>
                        </a:extLst>
                      </pic:spPr>
                    </pic:pic>
                    <wps:wsp>
                      <wps:cNvPr id="8" name="Text Box 8"/>
                      <wps:cNvSpPr txBox="1"/>
                      <wps:spPr>
                        <a:xfrm>
                          <a:off x="1176793" y="206734"/>
                          <a:ext cx="270000" cy="205200"/>
                        </a:xfrm>
                        <a:prstGeom prst="rect">
                          <a:avLst/>
                        </a:prstGeom>
                        <a:noFill/>
                        <a:ln w="6350">
                          <a:noFill/>
                        </a:ln>
                      </wps:spPr>
                      <wps:txbx>
                        <w:txbxContent>
                          <w:p w14:paraId="2D034E29" w14:textId="77777777" w:rsidR="000B12A2" w:rsidRPr="009020FB" w:rsidRDefault="000B12A2" w:rsidP="000B12A2">
                            <w:pPr>
                              <w:spacing w:after="0"/>
                              <w:jc w:val="right"/>
                              <w:rPr>
                                <w:rFonts w:cs="Segoe UI"/>
                                <w:color w:val="16293F" w:themeColor="text1"/>
                                <w:szCs w:val="24"/>
                                <w:lang w:val="en-GB"/>
                              </w:rPr>
                            </w:pPr>
                            <w:r w:rsidRPr="009020FB">
                              <w:rPr>
                                <w:rFonts w:cs="Segoe UI"/>
                                <w:color w:val="16293F" w:themeColor="text1"/>
                                <w:szCs w:val="24"/>
                              </w:rPr>
                              <w:fldChar w:fldCharType="begin"/>
                            </w:r>
                            <w:r w:rsidRPr="009020FB">
                              <w:rPr>
                                <w:rFonts w:cs="Segoe UI"/>
                                <w:color w:val="16293F" w:themeColor="text1"/>
                                <w:szCs w:val="24"/>
                              </w:rPr>
                              <w:instrText xml:space="preserve"> PAGE   \* MERGEFORMAT </w:instrText>
                            </w:r>
                            <w:r w:rsidRPr="009020FB">
                              <w:rPr>
                                <w:rFonts w:cs="Segoe UI"/>
                                <w:color w:val="16293F" w:themeColor="text1"/>
                                <w:szCs w:val="24"/>
                              </w:rPr>
                              <w:fldChar w:fldCharType="separate"/>
                            </w:r>
                            <w:r w:rsidRPr="009020FB">
                              <w:rPr>
                                <w:rFonts w:cs="Segoe UI"/>
                                <w:noProof/>
                                <w:color w:val="16293F" w:themeColor="text1"/>
                                <w:szCs w:val="24"/>
                              </w:rPr>
                              <w:t>1</w:t>
                            </w:r>
                            <w:r w:rsidRPr="009020FB">
                              <w:rPr>
                                <w:rFonts w:cs="Segoe UI"/>
                                <w:noProof/>
                                <w:color w:val="16293F" w:themeColor="text1"/>
                                <w:szCs w:val="2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Straight Connector 9"/>
                      <wps:cNvCnPr/>
                      <wps:spPr>
                        <a:xfrm>
                          <a:off x="1176793" y="0"/>
                          <a:ext cx="0" cy="752400"/>
                        </a:xfrm>
                        <a:prstGeom prst="line">
                          <a:avLst/>
                        </a:prstGeom>
                        <a:ln w="31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C0AA34" id="Group 1" o:spid="_x0000_s1026" style="position:absolute;margin-left:460.1pt;margin-top:781.35pt;width:113.95pt;height:59.25pt;z-index:251658240;mso-position-horizontal-relative:page;mso-position-vertical-relative:page;mso-width-relative:margin;mso-height-relative:margin" coordsize="14467,75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7" type="#_x0000_t75" style="position:absolute;top:79;width:10763;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">
                <v:imagedata r:id="rId3" o:title="" cropbottom="-2063f"/>
              </v:shape>
              <v:shapetype id="_x0000_t202" coordsize="21600,21600" o:spt="202" path="m,l,21600r21600,l21600,xe">
                <v:stroke joinstyle="miter"/>
                <v:path gradientshapeok="t" o:connecttype="rect"/>
              </v:shapetype>
              <v:shape id="Text Box 8" o:spid="_x0000_s1028" type="#_x0000_t202" style="position:absolute;left:11767;top:2067;width:2700;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" filled="f" stroked="f" strokeweight=".5pt">
                <v:textbox inset="0,0,0,0">
                  <w:txbxContent>
                    <w:p w14:paraId="2D034E29" w14:textId="77777777" w:rsidR="000B12A2" w:rsidRPr="009020FB" w:rsidRDefault="000B12A2" w:rsidP="000B12A2">
                      <w:pPr>
                        <w:spacing w:after="0"/>
                        <w:jc w:val="right"/>
                        <w:rPr>
                          <w:rFonts w:cs="Segoe UI"/>
                          <w:color w:val="16293F" w:themeColor="text1"/>
                          <w:szCs w:val="24"/>
                          <w:lang w:val="en-GB"/>
                        </w:rPr>
                      </w:pPr>
                      <w:r w:rsidRPr="009020FB">
                        <w:rPr>
                          <w:rFonts w:cs="Segoe UI"/>
                          <w:color w:val="16293F" w:themeColor="text1"/>
                          <w:szCs w:val="24"/>
                        </w:rPr>
                        <w:fldChar w:fldCharType="begin"/>
                      </w:r>
                      <w:r w:rsidRPr="009020FB">
                        <w:rPr>
                          <w:rFonts w:cs="Segoe UI"/>
                          <w:color w:val="16293F" w:themeColor="text1"/>
                          <w:szCs w:val="24"/>
                        </w:rPr>
                        <w:instrText xml:space="preserve"> PAGE   \* MERGEFORMAT </w:instrText>
                      </w:r>
                      <w:r w:rsidRPr="009020FB">
                        <w:rPr>
                          <w:rFonts w:cs="Segoe UI"/>
                          <w:color w:val="16293F" w:themeColor="text1"/>
                          <w:szCs w:val="24"/>
                        </w:rPr>
                        <w:fldChar w:fldCharType="separate"/>
                      </w:r>
                      <w:r w:rsidRPr="009020FB">
                        <w:rPr>
                          <w:rFonts w:cs="Segoe UI"/>
                          <w:noProof/>
                          <w:color w:val="16293F" w:themeColor="text1"/>
                          <w:szCs w:val="24"/>
                        </w:rPr>
                        <w:t>1</w:t>
                      </w:r>
                      <w:r w:rsidRPr="009020FB">
                        <w:rPr>
                          <w:rFonts w:cs="Segoe UI"/>
                          <w:noProof/>
                          <w:color w:val="16293F" w:themeColor="text1"/>
                          <w:szCs w:val="24"/>
                        </w:rPr>
                        <w:fldChar w:fldCharType="end"/>
                      </w:r>
                    </w:p>
                  </w:txbxContent>
                </v:textbox>
              </v:shape>
              <v:line id="Straight Connector 9" o:spid="_x0000_s1029" style="position:absolute;visibility:visible;mso-wrap-style:square" from="11767,0" to="11767,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" strokecolor="#16293f [3204]" strokeweight=".25pt">
                <v:stroke joinstyle="miter"/>
              </v:lin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CC78A" w14:textId="77777777" w:rsidR="00E87038" w:rsidRDefault="00E87038">
      <w:pPr>
        <w:spacing w:after="0"/>
      </w:pPr>
      <w:r>
        <w:separator/>
      </w:r>
    </w:p>
  </w:footnote>
  <w:footnote w:type="continuationSeparator" w:id="0">
    <w:p w14:paraId="369AEDAF" w14:textId="77777777" w:rsidR="00E87038" w:rsidRDefault="00E87038">
      <w:pPr>
        <w:spacing w:after="0"/>
      </w:pPr>
      <w:r>
        <w:continuationSeparator/>
      </w:r>
    </w:p>
  </w:footnote>
  <w:footnote w:type="continuationNotice" w:id="1">
    <w:p w14:paraId="54962007" w14:textId="77777777" w:rsidR="00E87038" w:rsidRDefault="00E870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53C0" w14:textId="77777777" w:rsidR="00DC213D" w:rsidRDefault="00DC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596A" w14:textId="2FA7A94B" w:rsidR="00762AE3" w:rsidRPr="004C5302" w:rsidRDefault="00F21541" w:rsidP="00F21541">
    <w:pPr>
      <w:spacing w:after="360"/>
      <w:rPr>
        <w:rFonts w:ascii="Source Sans Pro Light" w:hAnsi="Source Sans Pro Light"/>
        <w:sz w:val="16"/>
        <w:lang w:val="en-GB"/>
      </w:rPr>
    </w:pPr>
    <w:r w:rsidRPr="004C5302">
      <w:rPr>
        <w:rFonts w:ascii="Source Sans Pro Semibold" w:hAnsi="Source Sans Pro Semibold"/>
        <w:sz w:val="16"/>
        <w:lang w:val="en-GB"/>
      </w:rPr>
      <w:t>Jupiter Fund Management plc</w:t>
    </w:r>
    <w:r w:rsidRPr="004C5302">
      <w:rPr>
        <w:color w:val="E97412" w:themeColor="text2"/>
        <w:sz w:val="16"/>
        <w:lang w:val="en-GB"/>
      </w:rPr>
      <w:t>|</w:t>
    </w:r>
    <w:r w:rsidRPr="004C5302">
      <w:rPr>
        <w:rFonts w:ascii="Source Sans Pro Light" w:hAnsi="Source Sans Pro Light"/>
        <w:sz w:val="16"/>
        <w:lang w:val="en-GB"/>
      </w:rPr>
      <w:t xml:space="preserve"> </w:t>
    </w:r>
    <w:r w:rsidRPr="004C5302">
      <w:rPr>
        <w:sz w:val="16"/>
        <w:lang w:val="en-GB"/>
      </w:rPr>
      <w:t xml:space="preserve">Interim Report and Accounts </w:t>
    </w:r>
    <w:r w:rsidR="00E85F7E">
      <w:rPr>
        <w:sz w:val="16"/>
        <w:lang w:val="en-GB"/>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01FF" w14:textId="4B33BCBF" w:rsidR="00752200" w:rsidRPr="00400423" w:rsidRDefault="00F21541" w:rsidP="001520AE">
    <w:pPr>
      <w:spacing w:after="360"/>
      <w:rPr>
        <w:rFonts w:ascii="Source Sans Pro Light" w:hAnsi="Source Sans Pro Light"/>
        <w:sz w:val="24"/>
        <w:szCs w:val="24"/>
        <w:lang w:val="en-GB"/>
      </w:rPr>
    </w:pPr>
    <w:r w:rsidRPr="00400423">
      <w:rPr>
        <w:rFonts w:ascii="Source Sans Pro Semibold" w:hAnsi="Source Sans Pro Semibold"/>
        <w:sz w:val="24"/>
        <w:szCs w:val="24"/>
        <w:lang w:val="en-GB"/>
      </w:rPr>
      <w:t>Jupiter Fund Management plc</w:t>
    </w:r>
    <w:r w:rsidR="0033715D" w:rsidRPr="00400423">
      <w:rPr>
        <w:color w:val="E97412" w:themeColor="text2"/>
        <w:sz w:val="24"/>
        <w:szCs w:val="24"/>
        <w:lang w:val="en-GB"/>
      </w:rPr>
      <w:t>|</w:t>
    </w:r>
    <w:r w:rsidR="001520AE" w:rsidRPr="00400423">
      <w:rPr>
        <w:rFonts w:ascii="Source Sans Pro Light" w:hAnsi="Source Sans Pro Light"/>
        <w:sz w:val="24"/>
        <w:szCs w:val="24"/>
        <w:lang w:val="en-GB"/>
      </w:rPr>
      <w:t xml:space="preserve"> </w:t>
    </w:r>
    <w:r w:rsidR="001520AE" w:rsidRPr="00400423">
      <w:rPr>
        <w:sz w:val="24"/>
        <w:szCs w:val="24"/>
        <w:lang w:val="en-GB"/>
      </w:rPr>
      <w:t>In</w:t>
    </w:r>
    <w:r w:rsidRPr="00400423">
      <w:rPr>
        <w:sz w:val="24"/>
        <w:szCs w:val="24"/>
        <w:lang w:val="en-GB"/>
      </w:rPr>
      <w:t xml:space="preserve">terim Report and Accounts </w:t>
    </w:r>
    <w:r w:rsidR="00E85F7E">
      <w:rPr>
        <w:sz w:val="24"/>
        <w:szCs w:val="24"/>
        <w:lang w:val="en-GB"/>
      </w:rPr>
      <w:t>2024</w:t>
    </w:r>
  </w:p>
</w:hdr>
</file>

<file path=word/intelligence.xml><?xml version="1.0" encoding="utf-8"?>
<int:Intelligence xmlns:int="http://schemas.microsoft.com/office/intelligence/2019/intelligence">
  <int:IntelligenceSettings/>
  <int:Manifest>
    <int:WordHash hashCode="yoWLYdbcDGqPlu" id="riLCRC75"/>
    <int:WordHash hashCode="ni8UUdXdlt6RIo" id="K+B+aPre"/>
  </int:Manifest>
  <int:Observations>
    <int:Content id="riLCRC75">
      <int:Rejection type="LegacyProofing"/>
    </int:Content>
    <int:Content id="K+B+aPr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4253E"/>
    <w:multiLevelType w:val="hybridMultilevel"/>
    <w:tmpl w:val="CDB2A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AD1C8E"/>
    <w:multiLevelType w:val="hybridMultilevel"/>
    <w:tmpl w:val="4F0C0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92EAC"/>
    <w:multiLevelType w:val="multilevel"/>
    <w:tmpl w:val="0809001D"/>
    <w:lvl w:ilvl="0">
      <w:start w:val="1"/>
      <w:numFmt w:val="decimal"/>
      <w:lvlText w:val="%1)"/>
      <w:lvlJc w:val="left"/>
      <w:pPr>
        <w:ind w:left="360" w:hanging="360"/>
      </w:pPr>
      <w:rPr>
        <w:rFonts w:hint="default"/>
        <w:color w:val="16293F" w:themeColor="accent1"/>
        <w:sz w:val="18"/>
        <w:szCs w:val="20"/>
      </w:rPr>
    </w:lvl>
    <w:lvl w:ilvl="1">
      <w:start w:val="1"/>
      <w:numFmt w:val="lowerLetter"/>
      <w:lvlText w:val="%2)"/>
      <w:lvlJc w:val="left"/>
      <w:pPr>
        <w:ind w:left="720" w:hanging="360"/>
      </w:pPr>
      <w:rPr>
        <w:rFonts w:hint="default"/>
        <w:color w:val="3E5772"/>
        <w:sz w:val="18"/>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2753A9"/>
    <w:multiLevelType w:val="hybridMultilevel"/>
    <w:tmpl w:val="FC362D2C"/>
    <w:lvl w:ilvl="0" w:tplc="55785E78">
      <w:start w:val="1"/>
      <w:numFmt w:val="bullet"/>
      <w:pStyle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4" w:hanging="284"/>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008D8"/>
    <w:multiLevelType w:val="multilevel"/>
    <w:tmpl w:val="73924B02"/>
    <w:lvl w:ilvl="0">
      <w:numFmt w:val="none"/>
      <w:pStyle w:val="Bodytext-alphanumbering"/>
      <w:lvlText w:val=""/>
      <w:lvlJc w:val="left"/>
      <w:pPr>
        <w:tabs>
          <w:tab w:val="num" w:pos="360"/>
        </w:tabs>
      </w:pPr>
    </w:lvl>
    <w:lvl w:ilvl="1">
      <w:numFmt w:val="decimal"/>
      <w:pStyle w:val="Bodytext-alphanumbering-level2"/>
      <w:lvlText w:val=""/>
      <w:lvlJc w:val="left"/>
    </w:lvl>
    <w:lvl w:ilvl="2">
      <w:numFmt w:val="decimal"/>
      <w:pStyle w:val="Bodytext-alphanumbering-leve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rPr>
        <w:rFonts w:ascii="Symbol" w:hAnsi="Wingdings" w:cs="Courier New" w:hint="default"/>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15" w15:restartNumberingAfterBreak="0">
    <w:nsid w:val="186518E4"/>
    <w:multiLevelType w:val="multilevel"/>
    <w:tmpl w:val="4DD8E63A"/>
    <w:lvl w:ilvl="0">
      <w:numFmt w:val="decimal"/>
      <w:pStyle w:val="Bodytext-numbering"/>
      <w:lvlText w:val=""/>
      <w:lvlJc w:val="left"/>
    </w:lvl>
    <w:lvl w:ilvl="1">
      <w:numFmt w:val="none"/>
      <w:pStyle w:val="Bodytextnumbering-level2"/>
      <w:lvlText w:val=""/>
      <w:lvlJc w:val="left"/>
      <w:pPr>
        <w:tabs>
          <w:tab w:val="num" w:pos="360"/>
        </w:tabs>
      </w:pPr>
    </w:lvl>
    <w:lvl w:ilvl="2">
      <w:numFmt w:val="decimal"/>
      <w:pStyle w:val="Bodytextnumbering-level3"/>
      <w:lvlText w:val=""/>
      <w:lvlJc w:val="left"/>
    </w:lvl>
    <w:lvl w:ilvl="3">
      <w:numFmt w:val="decimal"/>
      <w:lvlText w:val=""/>
      <w:lvlJc w:val="left"/>
    </w:lvl>
    <w:lvl w:ilvl="4">
      <w:numFmt w:val="decimal"/>
      <w:lvlText w:val=""/>
      <w:lvlJc w:val="left"/>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9D53FE"/>
    <w:multiLevelType w:val="hybridMultilevel"/>
    <w:tmpl w:val="FAA6604C"/>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1E780A47"/>
    <w:multiLevelType w:val="hybridMultilevel"/>
    <w:tmpl w:val="F85EC7DA"/>
    <w:lvl w:ilvl="0" w:tplc="F718DC02">
      <w:start w:val="27"/>
      <w:numFmt w:val="bullet"/>
      <w:lvlText w:val="-"/>
      <w:lvlJc w:val="left"/>
      <w:pPr>
        <w:ind w:left="720" w:hanging="360"/>
      </w:pPr>
      <w:rPr>
        <w:rFonts w:ascii="Source Sans Pro" w:eastAsiaTheme="minorHAnsi" w:hAnsi="Sourc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0B0ACC"/>
    <w:multiLevelType w:val="hybridMultilevel"/>
    <w:tmpl w:val="E9343518"/>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211A5B3C"/>
    <w:multiLevelType w:val="hybridMultilevel"/>
    <w:tmpl w:val="1B304F4E"/>
    <w:lvl w:ilvl="0" w:tplc="CBCA968A">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6E2DB8"/>
    <w:multiLevelType w:val="hybridMultilevel"/>
    <w:tmpl w:val="EE84E05A"/>
    <w:lvl w:ilvl="0" w:tplc="1EC6E840">
      <w:start w:val="1"/>
      <w:numFmt w:val="bullet"/>
      <w:lvlText w:val=""/>
      <w:lvlJc w:val="left"/>
      <w:pPr>
        <w:ind w:left="720" w:hanging="360"/>
      </w:pPr>
      <w:rPr>
        <w:rFonts w:ascii="Wingdings" w:hAnsi="Wingdings" w:hint="default"/>
        <w:color w:val="00478F" w:themeColor="accent3"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3B19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363DE2"/>
    <w:multiLevelType w:val="hybridMultilevel"/>
    <w:tmpl w:val="6AD2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F5F2A"/>
    <w:multiLevelType w:val="hybridMultilevel"/>
    <w:tmpl w:val="476C802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2E5539C6"/>
    <w:multiLevelType w:val="hybridMultilevel"/>
    <w:tmpl w:val="1F32336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18751C3"/>
    <w:multiLevelType w:val="hybridMultilevel"/>
    <w:tmpl w:val="C7FA7714"/>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6" w15:restartNumberingAfterBreak="0">
    <w:nsid w:val="34A97F2C"/>
    <w:multiLevelType w:val="hybridMultilevel"/>
    <w:tmpl w:val="4168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C7772C"/>
    <w:multiLevelType w:val="multilevel"/>
    <w:tmpl w:val="32C4E86A"/>
    <w:lvl w:ilvl="0">
      <w:numFmt w:val="decimal"/>
      <w:pStyle w:val="Tablebullet"/>
      <w:lvlText w:val=""/>
      <w:lvlJc w:val="left"/>
    </w:lvl>
    <w:lvl w:ilvl="1">
      <w:numFmt w:val="decimal"/>
      <w:pStyle w:val="Tabl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9478CF"/>
    <w:multiLevelType w:val="hybridMultilevel"/>
    <w:tmpl w:val="022E16A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37FA26BB"/>
    <w:multiLevelType w:val="hybridMultilevel"/>
    <w:tmpl w:val="45F2C10E"/>
    <w:lvl w:ilvl="0" w:tplc="F9328EEA">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0" w15:restartNumberingAfterBreak="0">
    <w:nsid w:val="37FC7E62"/>
    <w:multiLevelType w:val="hybridMultilevel"/>
    <w:tmpl w:val="562E8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D7EA7"/>
    <w:multiLevelType w:val="hybridMultilevel"/>
    <w:tmpl w:val="3FDC584A"/>
    <w:lvl w:ilvl="0" w:tplc="1EC6E840">
      <w:start w:val="1"/>
      <w:numFmt w:val="bullet"/>
      <w:lvlText w:val=""/>
      <w:lvlJc w:val="left"/>
      <w:pPr>
        <w:ind w:left="720" w:hanging="360"/>
      </w:pPr>
      <w:rPr>
        <w:rFonts w:ascii="Wingdings" w:hAnsi="Wingdings" w:hint="default"/>
        <w:color w:val="00478F" w:themeColor="accent3"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EB7FAF"/>
    <w:multiLevelType w:val="hybridMultilevel"/>
    <w:tmpl w:val="F35CB7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01612C"/>
    <w:multiLevelType w:val="hybridMultilevel"/>
    <w:tmpl w:val="C8D04878"/>
    <w:lvl w:ilvl="0" w:tplc="08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0E0795"/>
    <w:multiLevelType w:val="hybridMultilevel"/>
    <w:tmpl w:val="15DCF4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1885AB5"/>
    <w:multiLevelType w:val="hybridMultilevel"/>
    <w:tmpl w:val="31C267FC"/>
    <w:lvl w:ilvl="0" w:tplc="1EC6E840">
      <w:start w:val="1"/>
      <w:numFmt w:val="bullet"/>
      <w:lvlText w:val=""/>
      <w:lvlJc w:val="left"/>
      <w:pPr>
        <w:ind w:left="765" w:hanging="360"/>
      </w:pPr>
      <w:rPr>
        <w:rFonts w:ascii="Wingdings" w:hAnsi="Wingdings" w:hint="default"/>
        <w:color w:val="00478F" w:themeColor="accent3" w:themeShade="8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6" w15:restartNumberingAfterBreak="0">
    <w:nsid w:val="61F8318C"/>
    <w:multiLevelType w:val="hybridMultilevel"/>
    <w:tmpl w:val="FFB0C79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E630C47"/>
    <w:multiLevelType w:val="hybridMultilevel"/>
    <w:tmpl w:val="39469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CF4D13"/>
    <w:multiLevelType w:val="hybridMultilevel"/>
    <w:tmpl w:val="2A8C8B28"/>
    <w:lvl w:ilvl="0" w:tplc="08090005">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6377801">
    <w:abstractNumId w:val="9"/>
  </w:num>
  <w:num w:numId="2" w16cid:durableId="1708334118">
    <w:abstractNumId w:val="7"/>
  </w:num>
  <w:num w:numId="3" w16cid:durableId="362093455">
    <w:abstractNumId w:val="6"/>
  </w:num>
  <w:num w:numId="4" w16cid:durableId="2043479945">
    <w:abstractNumId w:val="5"/>
  </w:num>
  <w:num w:numId="5" w16cid:durableId="923420489">
    <w:abstractNumId w:val="4"/>
  </w:num>
  <w:num w:numId="6" w16cid:durableId="2116635075">
    <w:abstractNumId w:val="8"/>
  </w:num>
  <w:num w:numId="7" w16cid:durableId="212083647">
    <w:abstractNumId w:val="3"/>
  </w:num>
  <w:num w:numId="8" w16cid:durableId="397172177">
    <w:abstractNumId w:val="2"/>
  </w:num>
  <w:num w:numId="9" w16cid:durableId="1757096735">
    <w:abstractNumId w:val="1"/>
  </w:num>
  <w:num w:numId="10" w16cid:durableId="2101095090">
    <w:abstractNumId w:val="0"/>
  </w:num>
  <w:num w:numId="11" w16cid:durableId="421027420">
    <w:abstractNumId w:val="14"/>
  </w:num>
  <w:num w:numId="12" w16cid:durableId="753549194">
    <w:abstractNumId w:val="15"/>
  </w:num>
  <w:num w:numId="13" w16cid:durableId="1195388834">
    <w:abstractNumId w:val="12"/>
  </w:num>
  <w:num w:numId="14" w16cid:durableId="410205294">
    <w:abstractNumId w:val="27"/>
  </w:num>
  <w:num w:numId="15" w16cid:durableId="2146193962">
    <w:abstractNumId w:val="19"/>
  </w:num>
  <w:num w:numId="16" w16cid:durableId="1823963842">
    <w:abstractNumId w:val="13"/>
  </w:num>
  <w:num w:numId="17" w16cid:durableId="852185055">
    <w:abstractNumId w:val="24"/>
  </w:num>
  <w:num w:numId="18" w16cid:durableId="1441605460">
    <w:abstractNumId w:val="38"/>
  </w:num>
  <w:num w:numId="19" w16cid:durableId="110636189">
    <w:abstractNumId w:val="10"/>
  </w:num>
  <w:num w:numId="20" w16cid:durableId="973873415">
    <w:abstractNumId w:val="25"/>
  </w:num>
  <w:num w:numId="21" w16cid:durableId="794720089">
    <w:abstractNumId w:val="11"/>
  </w:num>
  <w:num w:numId="22" w16cid:durableId="1961835673">
    <w:abstractNumId w:val="18"/>
  </w:num>
  <w:num w:numId="23" w16cid:durableId="118845204">
    <w:abstractNumId w:val="16"/>
  </w:num>
  <w:num w:numId="24" w16cid:durableId="838890045">
    <w:abstractNumId w:val="23"/>
  </w:num>
  <w:num w:numId="25" w16cid:durableId="1434284845">
    <w:abstractNumId w:val="29"/>
  </w:num>
  <w:num w:numId="26" w16cid:durableId="1601645630">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num>
  <w:num w:numId="27" w16cid:durableId="1946695607">
    <w:abstractNumId w:val="28"/>
  </w:num>
  <w:num w:numId="28" w16cid:durableId="860703851">
    <w:abstractNumId w:val="14"/>
  </w:num>
  <w:num w:numId="29" w16cid:durableId="1621909906">
    <w:abstractNumId w:val="33"/>
  </w:num>
  <w:num w:numId="30" w16cid:durableId="574318407">
    <w:abstractNumId w:val="36"/>
  </w:num>
  <w:num w:numId="31" w16cid:durableId="619728879">
    <w:abstractNumId w:val="30"/>
  </w:num>
  <w:num w:numId="32" w16cid:durableId="989560307">
    <w:abstractNumId w:val="21"/>
  </w:num>
  <w:num w:numId="33" w16cid:durableId="405685682">
    <w:abstractNumId w:val="32"/>
  </w:num>
  <w:num w:numId="34" w16cid:durableId="89742940">
    <w:abstractNumId w:val="17"/>
  </w:num>
  <w:num w:numId="35" w16cid:durableId="1146095190">
    <w:abstractNumId w:val="34"/>
  </w:num>
  <w:num w:numId="36" w16cid:durableId="1021931682">
    <w:abstractNumId w:val="26"/>
  </w:num>
  <w:num w:numId="37" w16cid:durableId="1009987360">
    <w:abstractNumId w:val="22"/>
  </w:num>
  <w:num w:numId="38" w16cid:durableId="746616476">
    <w:abstractNumId w:val="31"/>
  </w:num>
  <w:num w:numId="39" w16cid:durableId="593132568">
    <w:abstractNumId w:val="20"/>
  </w:num>
  <w:num w:numId="40" w16cid:durableId="433408028">
    <w:abstractNumId w:val="35"/>
  </w:num>
  <w:num w:numId="41" w16cid:durableId="175921187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41"/>
    <w:rsid w:val="00000286"/>
    <w:rsid w:val="00000AC9"/>
    <w:rsid w:val="00000D86"/>
    <w:rsid w:val="00000E93"/>
    <w:rsid w:val="00001038"/>
    <w:rsid w:val="000010D5"/>
    <w:rsid w:val="000012D8"/>
    <w:rsid w:val="000015BF"/>
    <w:rsid w:val="00001691"/>
    <w:rsid w:val="0000200A"/>
    <w:rsid w:val="00002326"/>
    <w:rsid w:val="00002336"/>
    <w:rsid w:val="00002387"/>
    <w:rsid w:val="000024E8"/>
    <w:rsid w:val="00002657"/>
    <w:rsid w:val="00002677"/>
    <w:rsid w:val="00002740"/>
    <w:rsid w:val="00003030"/>
    <w:rsid w:val="000030BD"/>
    <w:rsid w:val="00003114"/>
    <w:rsid w:val="00003402"/>
    <w:rsid w:val="0000367A"/>
    <w:rsid w:val="000036DB"/>
    <w:rsid w:val="00003D20"/>
    <w:rsid w:val="00003EE0"/>
    <w:rsid w:val="00003FF0"/>
    <w:rsid w:val="00004882"/>
    <w:rsid w:val="00004944"/>
    <w:rsid w:val="000049F9"/>
    <w:rsid w:val="00004B5E"/>
    <w:rsid w:val="00004C56"/>
    <w:rsid w:val="00005258"/>
    <w:rsid w:val="0000527F"/>
    <w:rsid w:val="0000537D"/>
    <w:rsid w:val="000055AC"/>
    <w:rsid w:val="000055D0"/>
    <w:rsid w:val="00005980"/>
    <w:rsid w:val="0000632B"/>
    <w:rsid w:val="00006559"/>
    <w:rsid w:val="00006816"/>
    <w:rsid w:val="00006862"/>
    <w:rsid w:val="0000696D"/>
    <w:rsid w:val="000069BD"/>
    <w:rsid w:val="00006A91"/>
    <w:rsid w:val="00006C72"/>
    <w:rsid w:val="00006CD9"/>
    <w:rsid w:val="00006D81"/>
    <w:rsid w:val="00006DBC"/>
    <w:rsid w:val="000070AF"/>
    <w:rsid w:val="00007198"/>
    <w:rsid w:val="00007234"/>
    <w:rsid w:val="000075A8"/>
    <w:rsid w:val="00007B1C"/>
    <w:rsid w:val="00007C7D"/>
    <w:rsid w:val="00010467"/>
    <w:rsid w:val="00010470"/>
    <w:rsid w:val="00010587"/>
    <w:rsid w:val="000106A7"/>
    <w:rsid w:val="000106C9"/>
    <w:rsid w:val="00010729"/>
    <w:rsid w:val="000109E8"/>
    <w:rsid w:val="00010B4A"/>
    <w:rsid w:val="00010BD6"/>
    <w:rsid w:val="00010C6C"/>
    <w:rsid w:val="0001100E"/>
    <w:rsid w:val="0001162A"/>
    <w:rsid w:val="00011A3C"/>
    <w:rsid w:val="00011AA1"/>
    <w:rsid w:val="00011BEF"/>
    <w:rsid w:val="00011FE0"/>
    <w:rsid w:val="000120ED"/>
    <w:rsid w:val="00012286"/>
    <w:rsid w:val="00012333"/>
    <w:rsid w:val="000123D5"/>
    <w:rsid w:val="0001250C"/>
    <w:rsid w:val="00012875"/>
    <w:rsid w:val="00012ECE"/>
    <w:rsid w:val="00012ED9"/>
    <w:rsid w:val="000131E9"/>
    <w:rsid w:val="000134AC"/>
    <w:rsid w:val="0001369C"/>
    <w:rsid w:val="00013818"/>
    <w:rsid w:val="000139FD"/>
    <w:rsid w:val="00013AA9"/>
    <w:rsid w:val="00013DC0"/>
    <w:rsid w:val="00013E12"/>
    <w:rsid w:val="000141E2"/>
    <w:rsid w:val="00014387"/>
    <w:rsid w:val="0001488E"/>
    <w:rsid w:val="0001492C"/>
    <w:rsid w:val="00014C05"/>
    <w:rsid w:val="00014F83"/>
    <w:rsid w:val="00015054"/>
    <w:rsid w:val="00015085"/>
    <w:rsid w:val="00015365"/>
    <w:rsid w:val="00015928"/>
    <w:rsid w:val="000159F0"/>
    <w:rsid w:val="00015B39"/>
    <w:rsid w:val="00015CD4"/>
    <w:rsid w:val="00015D99"/>
    <w:rsid w:val="00015E94"/>
    <w:rsid w:val="0001607A"/>
    <w:rsid w:val="00016095"/>
    <w:rsid w:val="000161AC"/>
    <w:rsid w:val="000165AA"/>
    <w:rsid w:val="000165DD"/>
    <w:rsid w:val="00016CB9"/>
    <w:rsid w:val="00016E44"/>
    <w:rsid w:val="0001714A"/>
    <w:rsid w:val="000171AB"/>
    <w:rsid w:val="000171BD"/>
    <w:rsid w:val="000178F3"/>
    <w:rsid w:val="00017F17"/>
    <w:rsid w:val="00020379"/>
    <w:rsid w:val="00020869"/>
    <w:rsid w:val="00020C2F"/>
    <w:rsid w:val="00020CC4"/>
    <w:rsid w:val="00020F5E"/>
    <w:rsid w:val="00021012"/>
    <w:rsid w:val="00021062"/>
    <w:rsid w:val="000210CC"/>
    <w:rsid w:val="00021374"/>
    <w:rsid w:val="000214A3"/>
    <w:rsid w:val="0002166D"/>
    <w:rsid w:val="000217C7"/>
    <w:rsid w:val="00021914"/>
    <w:rsid w:val="00021C23"/>
    <w:rsid w:val="00021CB4"/>
    <w:rsid w:val="00021DEC"/>
    <w:rsid w:val="000223EA"/>
    <w:rsid w:val="00022433"/>
    <w:rsid w:val="000226B0"/>
    <w:rsid w:val="000226FE"/>
    <w:rsid w:val="000227FF"/>
    <w:rsid w:val="00022950"/>
    <w:rsid w:val="00022A60"/>
    <w:rsid w:val="0002323F"/>
    <w:rsid w:val="000232AE"/>
    <w:rsid w:val="00023687"/>
    <w:rsid w:val="00023789"/>
    <w:rsid w:val="000237D5"/>
    <w:rsid w:val="000238D0"/>
    <w:rsid w:val="000238D6"/>
    <w:rsid w:val="00023997"/>
    <w:rsid w:val="00023A91"/>
    <w:rsid w:val="00023ACF"/>
    <w:rsid w:val="00023BD2"/>
    <w:rsid w:val="00023D30"/>
    <w:rsid w:val="00023F39"/>
    <w:rsid w:val="00023F67"/>
    <w:rsid w:val="00023FDE"/>
    <w:rsid w:val="000243D4"/>
    <w:rsid w:val="0002440E"/>
    <w:rsid w:val="000244FF"/>
    <w:rsid w:val="000249A1"/>
    <w:rsid w:val="00024AC8"/>
    <w:rsid w:val="00024AFF"/>
    <w:rsid w:val="00024B87"/>
    <w:rsid w:val="000251B1"/>
    <w:rsid w:val="00025350"/>
    <w:rsid w:val="0002586A"/>
    <w:rsid w:val="00025C5F"/>
    <w:rsid w:val="00025FCD"/>
    <w:rsid w:val="000262B7"/>
    <w:rsid w:val="00026605"/>
    <w:rsid w:val="0002680E"/>
    <w:rsid w:val="00026813"/>
    <w:rsid w:val="000268E4"/>
    <w:rsid w:val="00026BDA"/>
    <w:rsid w:val="00026F7C"/>
    <w:rsid w:val="00027359"/>
    <w:rsid w:val="000273C6"/>
    <w:rsid w:val="0002755C"/>
    <w:rsid w:val="00027576"/>
    <w:rsid w:val="000275FE"/>
    <w:rsid w:val="00027623"/>
    <w:rsid w:val="0002764C"/>
    <w:rsid w:val="00027692"/>
    <w:rsid w:val="00027749"/>
    <w:rsid w:val="00027952"/>
    <w:rsid w:val="00027ACB"/>
    <w:rsid w:val="00027C07"/>
    <w:rsid w:val="00030130"/>
    <w:rsid w:val="00030691"/>
    <w:rsid w:val="000308C0"/>
    <w:rsid w:val="000308F8"/>
    <w:rsid w:val="00030D50"/>
    <w:rsid w:val="00030E38"/>
    <w:rsid w:val="000310DD"/>
    <w:rsid w:val="00031137"/>
    <w:rsid w:val="00031181"/>
    <w:rsid w:val="00031663"/>
    <w:rsid w:val="0003197B"/>
    <w:rsid w:val="00031DD8"/>
    <w:rsid w:val="00032277"/>
    <w:rsid w:val="0003228B"/>
    <w:rsid w:val="0003233A"/>
    <w:rsid w:val="00032540"/>
    <w:rsid w:val="0003266D"/>
    <w:rsid w:val="00032D51"/>
    <w:rsid w:val="00032D6D"/>
    <w:rsid w:val="0003334C"/>
    <w:rsid w:val="0003339F"/>
    <w:rsid w:val="000335C9"/>
    <w:rsid w:val="000335F5"/>
    <w:rsid w:val="00033BEF"/>
    <w:rsid w:val="00033D11"/>
    <w:rsid w:val="00033EFA"/>
    <w:rsid w:val="00033FBF"/>
    <w:rsid w:val="000341E6"/>
    <w:rsid w:val="000343F1"/>
    <w:rsid w:val="00034569"/>
    <w:rsid w:val="000345EE"/>
    <w:rsid w:val="00034779"/>
    <w:rsid w:val="00034AF8"/>
    <w:rsid w:val="00034DD4"/>
    <w:rsid w:val="0003535C"/>
    <w:rsid w:val="00035424"/>
    <w:rsid w:val="00035634"/>
    <w:rsid w:val="00035644"/>
    <w:rsid w:val="000359A1"/>
    <w:rsid w:val="00035C1B"/>
    <w:rsid w:val="00035D6E"/>
    <w:rsid w:val="00036192"/>
    <w:rsid w:val="00036642"/>
    <w:rsid w:val="000368C8"/>
    <w:rsid w:val="00036903"/>
    <w:rsid w:val="00036AB8"/>
    <w:rsid w:val="00036D01"/>
    <w:rsid w:val="00036D7A"/>
    <w:rsid w:val="00036EC2"/>
    <w:rsid w:val="0003724C"/>
    <w:rsid w:val="00037673"/>
    <w:rsid w:val="000376D2"/>
    <w:rsid w:val="00037AEE"/>
    <w:rsid w:val="00037D27"/>
    <w:rsid w:val="00037E4C"/>
    <w:rsid w:val="00037E5F"/>
    <w:rsid w:val="0004002B"/>
    <w:rsid w:val="00040235"/>
    <w:rsid w:val="00040361"/>
    <w:rsid w:val="00040513"/>
    <w:rsid w:val="000405C8"/>
    <w:rsid w:val="00040695"/>
    <w:rsid w:val="0004086D"/>
    <w:rsid w:val="00040932"/>
    <w:rsid w:val="00040B78"/>
    <w:rsid w:val="00040C03"/>
    <w:rsid w:val="00040C13"/>
    <w:rsid w:val="00040F59"/>
    <w:rsid w:val="000412E2"/>
    <w:rsid w:val="00041605"/>
    <w:rsid w:val="00041B0C"/>
    <w:rsid w:val="00041CC6"/>
    <w:rsid w:val="0004200D"/>
    <w:rsid w:val="000427EE"/>
    <w:rsid w:val="000428C9"/>
    <w:rsid w:val="00042E84"/>
    <w:rsid w:val="00043167"/>
    <w:rsid w:val="0004317B"/>
    <w:rsid w:val="000431A9"/>
    <w:rsid w:val="0004353A"/>
    <w:rsid w:val="0004413D"/>
    <w:rsid w:val="000442DC"/>
    <w:rsid w:val="000448D3"/>
    <w:rsid w:val="000449F1"/>
    <w:rsid w:val="00044C8D"/>
    <w:rsid w:val="00045117"/>
    <w:rsid w:val="00045129"/>
    <w:rsid w:val="0004542D"/>
    <w:rsid w:val="000454F3"/>
    <w:rsid w:val="000455C0"/>
    <w:rsid w:val="0004578C"/>
    <w:rsid w:val="000457C5"/>
    <w:rsid w:val="0004582B"/>
    <w:rsid w:val="00045CCF"/>
    <w:rsid w:val="00045D09"/>
    <w:rsid w:val="000460B5"/>
    <w:rsid w:val="000461F3"/>
    <w:rsid w:val="000463C9"/>
    <w:rsid w:val="00046407"/>
    <w:rsid w:val="000464A5"/>
    <w:rsid w:val="00046564"/>
    <w:rsid w:val="00046C89"/>
    <w:rsid w:val="00046D09"/>
    <w:rsid w:val="0004738F"/>
    <w:rsid w:val="00047601"/>
    <w:rsid w:val="00047872"/>
    <w:rsid w:val="00047C30"/>
    <w:rsid w:val="00047CC8"/>
    <w:rsid w:val="00047CEC"/>
    <w:rsid w:val="00047FE2"/>
    <w:rsid w:val="00050322"/>
    <w:rsid w:val="0005051C"/>
    <w:rsid w:val="000505C5"/>
    <w:rsid w:val="00050867"/>
    <w:rsid w:val="0005098A"/>
    <w:rsid w:val="00050BFF"/>
    <w:rsid w:val="00050E61"/>
    <w:rsid w:val="0005132B"/>
    <w:rsid w:val="00051956"/>
    <w:rsid w:val="00051AD9"/>
    <w:rsid w:val="00051D26"/>
    <w:rsid w:val="00051F2D"/>
    <w:rsid w:val="00051F57"/>
    <w:rsid w:val="000522CB"/>
    <w:rsid w:val="0005261C"/>
    <w:rsid w:val="0005290D"/>
    <w:rsid w:val="000529D5"/>
    <w:rsid w:val="00053294"/>
    <w:rsid w:val="00053D39"/>
    <w:rsid w:val="00053F43"/>
    <w:rsid w:val="00053F54"/>
    <w:rsid w:val="00053F84"/>
    <w:rsid w:val="0005411D"/>
    <w:rsid w:val="000544F5"/>
    <w:rsid w:val="00054E9D"/>
    <w:rsid w:val="00054FED"/>
    <w:rsid w:val="0005521F"/>
    <w:rsid w:val="00055592"/>
    <w:rsid w:val="00055A9B"/>
    <w:rsid w:val="00055AF6"/>
    <w:rsid w:val="00055E80"/>
    <w:rsid w:val="000561C2"/>
    <w:rsid w:val="00056312"/>
    <w:rsid w:val="000564BC"/>
    <w:rsid w:val="000565D6"/>
    <w:rsid w:val="00056890"/>
    <w:rsid w:val="00056BC4"/>
    <w:rsid w:val="00057086"/>
    <w:rsid w:val="0005708D"/>
    <w:rsid w:val="00057092"/>
    <w:rsid w:val="000570E3"/>
    <w:rsid w:val="000574B0"/>
    <w:rsid w:val="000577D5"/>
    <w:rsid w:val="00057A10"/>
    <w:rsid w:val="00057B52"/>
    <w:rsid w:val="00057D73"/>
    <w:rsid w:val="00057D9D"/>
    <w:rsid w:val="00057F27"/>
    <w:rsid w:val="00060181"/>
    <w:rsid w:val="00060229"/>
    <w:rsid w:val="00060271"/>
    <w:rsid w:val="00060500"/>
    <w:rsid w:val="0006074B"/>
    <w:rsid w:val="00060A9A"/>
    <w:rsid w:val="00060FE9"/>
    <w:rsid w:val="000610FD"/>
    <w:rsid w:val="00061A1D"/>
    <w:rsid w:val="00061C07"/>
    <w:rsid w:val="00061D5D"/>
    <w:rsid w:val="00061E9D"/>
    <w:rsid w:val="0006231A"/>
    <w:rsid w:val="00062611"/>
    <w:rsid w:val="0006273C"/>
    <w:rsid w:val="0006289C"/>
    <w:rsid w:val="0006298C"/>
    <w:rsid w:val="00062A3D"/>
    <w:rsid w:val="00062B48"/>
    <w:rsid w:val="00062D91"/>
    <w:rsid w:val="00062DC8"/>
    <w:rsid w:val="000633B8"/>
    <w:rsid w:val="000634C5"/>
    <w:rsid w:val="000639E9"/>
    <w:rsid w:val="00063E40"/>
    <w:rsid w:val="000643E3"/>
    <w:rsid w:val="000649C0"/>
    <w:rsid w:val="00064D0D"/>
    <w:rsid w:val="000650F3"/>
    <w:rsid w:val="000651B3"/>
    <w:rsid w:val="00065305"/>
    <w:rsid w:val="000653AE"/>
    <w:rsid w:val="000653D5"/>
    <w:rsid w:val="00065815"/>
    <w:rsid w:val="000658D3"/>
    <w:rsid w:val="00065E36"/>
    <w:rsid w:val="00065E61"/>
    <w:rsid w:val="00065FD8"/>
    <w:rsid w:val="000664FF"/>
    <w:rsid w:val="000665DA"/>
    <w:rsid w:val="00066A40"/>
    <w:rsid w:val="00066AAF"/>
    <w:rsid w:val="00066C02"/>
    <w:rsid w:val="00067036"/>
    <w:rsid w:val="0006743D"/>
    <w:rsid w:val="00067867"/>
    <w:rsid w:val="000678D4"/>
    <w:rsid w:val="00067912"/>
    <w:rsid w:val="00067A59"/>
    <w:rsid w:val="00067B44"/>
    <w:rsid w:val="00067BBE"/>
    <w:rsid w:val="00067C39"/>
    <w:rsid w:val="00067C8A"/>
    <w:rsid w:val="00067D97"/>
    <w:rsid w:val="000700C8"/>
    <w:rsid w:val="00070141"/>
    <w:rsid w:val="000702BE"/>
    <w:rsid w:val="0007046B"/>
    <w:rsid w:val="00070516"/>
    <w:rsid w:val="00070F4E"/>
    <w:rsid w:val="00071251"/>
    <w:rsid w:val="00071335"/>
    <w:rsid w:val="0007141D"/>
    <w:rsid w:val="00071508"/>
    <w:rsid w:val="000715FD"/>
    <w:rsid w:val="00071808"/>
    <w:rsid w:val="00071A93"/>
    <w:rsid w:val="00071B6D"/>
    <w:rsid w:val="00072255"/>
    <w:rsid w:val="0007235E"/>
    <w:rsid w:val="00072404"/>
    <w:rsid w:val="000724AD"/>
    <w:rsid w:val="000724E8"/>
    <w:rsid w:val="000725A4"/>
    <w:rsid w:val="00072839"/>
    <w:rsid w:val="0007297B"/>
    <w:rsid w:val="00072B3A"/>
    <w:rsid w:val="00072F28"/>
    <w:rsid w:val="0007319A"/>
    <w:rsid w:val="00073294"/>
    <w:rsid w:val="000732E1"/>
    <w:rsid w:val="00073436"/>
    <w:rsid w:val="00073493"/>
    <w:rsid w:val="00073610"/>
    <w:rsid w:val="00073914"/>
    <w:rsid w:val="00073B1F"/>
    <w:rsid w:val="00073EF8"/>
    <w:rsid w:val="00074159"/>
    <w:rsid w:val="000742BD"/>
    <w:rsid w:val="000743D2"/>
    <w:rsid w:val="0007448F"/>
    <w:rsid w:val="00074667"/>
    <w:rsid w:val="00074F65"/>
    <w:rsid w:val="00074FAA"/>
    <w:rsid w:val="00075403"/>
    <w:rsid w:val="00075E55"/>
    <w:rsid w:val="00076037"/>
    <w:rsid w:val="000766BB"/>
    <w:rsid w:val="00077058"/>
    <w:rsid w:val="000771C6"/>
    <w:rsid w:val="000771F3"/>
    <w:rsid w:val="000776AC"/>
    <w:rsid w:val="000776F4"/>
    <w:rsid w:val="00077A91"/>
    <w:rsid w:val="00077CC5"/>
    <w:rsid w:val="00077E5C"/>
    <w:rsid w:val="00077E8E"/>
    <w:rsid w:val="000805A2"/>
    <w:rsid w:val="00080751"/>
    <w:rsid w:val="00080AC0"/>
    <w:rsid w:val="00080AC7"/>
    <w:rsid w:val="00080B1E"/>
    <w:rsid w:val="00080FE0"/>
    <w:rsid w:val="00081674"/>
    <w:rsid w:val="00081774"/>
    <w:rsid w:val="00081D7E"/>
    <w:rsid w:val="000820AE"/>
    <w:rsid w:val="00082384"/>
    <w:rsid w:val="000824A5"/>
    <w:rsid w:val="000828A3"/>
    <w:rsid w:val="00082926"/>
    <w:rsid w:val="000829FA"/>
    <w:rsid w:val="00082C40"/>
    <w:rsid w:val="00082C5A"/>
    <w:rsid w:val="00082C63"/>
    <w:rsid w:val="00082DED"/>
    <w:rsid w:val="0008315D"/>
    <w:rsid w:val="00083173"/>
    <w:rsid w:val="000832C3"/>
    <w:rsid w:val="0008348C"/>
    <w:rsid w:val="000834A5"/>
    <w:rsid w:val="0008350F"/>
    <w:rsid w:val="0008382B"/>
    <w:rsid w:val="000839EA"/>
    <w:rsid w:val="000839FB"/>
    <w:rsid w:val="00083A07"/>
    <w:rsid w:val="00083AB1"/>
    <w:rsid w:val="00083CF6"/>
    <w:rsid w:val="00084173"/>
    <w:rsid w:val="0008420B"/>
    <w:rsid w:val="000842E0"/>
    <w:rsid w:val="000844C0"/>
    <w:rsid w:val="00084A88"/>
    <w:rsid w:val="00084B9F"/>
    <w:rsid w:val="00084E74"/>
    <w:rsid w:val="00085090"/>
    <w:rsid w:val="000853AA"/>
    <w:rsid w:val="000853F9"/>
    <w:rsid w:val="00085436"/>
    <w:rsid w:val="00085731"/>
    <w:rsid w:val="0008587F"/>
    <w:rsid w:val="00085C6D"/>
    <w:rsid w:val="00085F71"/>
    <w:rsid w:val="00085FAA"/>
    <w:rsid w:val="000860AE"/>
    <w:rsid w:val="0008620D"/>
    <w:rsid w:val="0008637D"/>
    <w:rsid w:val="000865B4"/>
    <w:rsid w:val="000865FB"/>
    <w:rsid w:val="000866D4"/>
    <w:rsid w:val="000869DD"/>
    <w:rsid w:val="00086E82"/>
    <w:rsid w:val="00086EE8"/>
    <w:rsid w:val="000870A9"/>
    <w:rsid w:val="0008715A"/>
    <w:rsid w:val="00087188"/>
    <w:rsid w:val="0008729D"/>
    <w:rsid w:val="0008732B"/>
    <w:rsid w:val="000873A8"/>
    <w:rsid w:val="0008762F"/>
    <w:rsid w:val="00087691"/>
    <w:rsid w:val="00087A94"/>
    <w:rsid w:val="000900E6"/>
    <w:rsid w:val="000901A5"/>
    <w:rsid w:val="00090787"/>
    <w:rsid w:val="00090923"/>
    <w:rsid w:val="00090928"/>
    <w:rsid w:val="00090C92"/>
    <w:rsid w:val="00090EA3"/>
    <w:rsid w:val="00090F31"/>
    <w:rsid w:val="00090FBB"/>
    <w:rsid w:val="000912B7"/>
    <w:rsid w:val="00091570"/>
    <w:rsid w:val="000916B3"/>
    <w:rsid w:val="0009193B"/>
    <w:rsid w:val="00091953"/>
    <w:rsid w:val="00091C4A"/>
    <w:rsid w:val="00091E67"/>
    <w:rsid w:val="00092514"/>
    <w:rsid w:val="00092985"/>
    <w:rsid w:val="00092FD9"/>
    <w:rsid w:val="00093293"/>
    <w:rsid w:val="000937EE"/>
    <w:rsid w:val="00093C2A"/>
    <w:rsid w:val="00093EF6"/>
    <w:rsid w:val="0009405C"/>
    <w:rsid w:val="000940F0"/>
    <w:rsid w:val="00094283"/>
    <w:rsid w:val="000942B3"/>
    <w:rsid w:val="000945E8"/>
    <w:rsid w:val="000946C2"/>
    <w:rsid w:val="00094936"/>
    <w:rsid w:val="00094C40"/>
    <w:rsid w:val="00095119"/>
    <w:rsid w:val="0009517F"/>
    <w:rsid w:val="00095474"/>
    <w:rsid w:val="0009557C"/>
    <w:rsid w:val="0009557E"/>
    <w:rsid w:val="0009576B"/>
    <w:rsid w:val="00095A49"/>
    <w:rsid w:val="00095B96"/>
    <w:rsid w:val="00095CAF"/>
    <w:rsid w:val="00095E8B"/>
    <w:rsid w:val="000960CB"/>
    <w:rsid w:val="00096830"/>
    <w:rsid w:val="000968AC"/>
    <w:rsid w:val="00096A05"/>
    <w:rsid w:val="00096B3F"/>
    <w:rsid w:val="00096D05"/>
    <w:rsid w:val="0009704C"/>
    <w:rsid w:val="00097612"/>
    <w:rsid w:val="000976BB"/>
    <w:rsid w:val="00097750"/>
    <w:rsid w:val="000979B3"/>
    <w:rsid w:val="000A0329"/>
    <w:rsid w:val="000A0332"/>
    <w:rsid w:val="000A038E"/>
    <w:rsid w:val="000A092C"/>
    <w:rsid w:val="000A0AF7"/>
    <w:rsid w:val="000A0C62"/>
    <w:rsid w:val="000A0D67"/>
    <w:rsid w:val="000A0DDE"/>
    <w:rsid w:val="000A0E47"/>
    <w:rsid w:val="000A0FF9"/>
    <w:rsid w:val="000A1389"/>
    <w:rsid w:val="000A1391"/>
    <w:rsid w:val="000A14A8"/>
    <w:rsid w:val="000A182E"/>
    <w:rsid w:val="000A1ECC"/>
    <w:rsid w:val="000A1F20"/>
    <w:rsid w:val="000A1FEF"/>
    <w:rsid w:val="000A240F"/>
    <w:rsid w:val="000A26EF"/>
    <w:rsid w:val="000A290C"/>
    <w:rsid w:val="000A2A76"/>
    <w:rsid w:val="000A2BCF"/>
    <w:rsid w:val="000A2DC1"/>
    <w:rsid w:val="000A2E89"/>
    <w:rsid w:val="000A3018"/>
    <w:rsid w:val="000A310E"/>
    <w:rsid w:val="000A3193"/>
    <w:rsid w:val="000A3740"/>
    <w:rsid w:val="000A38F4"/>
    <w:rsid w:val="000A39F6"/>
    <w:rsid w:val="000A3C43"/>
    <w:rsid w:val="000A4117"/>
    <w:rsid w:val="000A4967"/>
    <w:rsid w:val="000A4984"/>
    <w:rsid w:val="000A49EE"/>
    <w:rsid w:val="000A5119"/>
    <w:rsid w:val="000A511B"/>
    <w:rsid w:val="000A561A"/>
    <w:rsid w:val="000A57D9"/>
    <w:rsid w:val="000A58D2"/>
    <w:rsid w:val="000A5ACD"/>
    <w:rsid w:val="000A5B3A"/>
    <w:rsid w:val="000A5D3E"/>
    <w:rsid w:val="000A5DA8"/>
    <w:rsid w:val="000A5DC9"/>
    <w:rsid w:val="000A5E9C"/>
    <w:rsid w:val="000A5FA0"/>
    <w:rsid w:val="000A63A7"/>
    <w:rsid w:val="000A6A13"/>
    <w:rsid w:val="000A74B8"/>
    <w:rsid w:val="000A7712"/>
    <w:rsid w:val="000A776A"/>
    <w:rsid w:val="000A784F"/>
    <w:rsid w:val="000A78D1"/>
    <w:rsid w:val="000A7E11"/>
    <w:rsid w:val="000B0001"/>
    <w:rsid w:val="000B0143"/>
    <w:rsid w:val="000B0275"/>
    <w:rsid w:val="000B06DB"/>
    <w:rsid w:val="000B0A6C"/>
    <w:rsid w:val="000B0B3C"/>
    <w:rsid w:val="000B0C5C"/>
    <w:rsid w:val="000B0CEE"/>
    <w:rsid w:val="000B0D55"/>
    <w:rsid w:val="000B0E19"/>
    <w:rsid w:val="000B1157"/>
    <w:rsid w:val="000B12A2"/>
    <w:rsid w:val="000B1832"/>
    <w:rsid w:val="000B1ABF"/>
    <w:rsid w:val="000B1C96"/>
    <w:rsid w:val="000B1E0D"/>
    <w:rsid w:val="000B1F21"/>
    <w:rsid w:val="000B1FBE"/>
    <w:rsid w:val="000B1FD9"/>
    <w:rsid w:val="000B25F7"/>
    <w:rsid w:val="000B29C3"/>
    <w:rsid w:val="000B2E72"/>
    <w:rsid w:val="000B3165"/>
    <w:rsid w:val="000B328F"/>
    <w:rsid w:val="000B34AA"/>
    <w:rsid w:val="000B3847"/>
    <w:rsid w:val="000B38E3"/>
    <w:rsid w:val="000B38FD"/>
    <w:rsid w:val="000B3925"/>
    <w:rsid w:val="000B395C"/>
    <w:rsid w:val="000B3996"/>
    <w:rsid w:val="000B3C75"/>
    <w:rsid w:val="000B416A"/>
    <w:rsid w:val="000B43BE"/>
    <w:rsid w:val="000B4667"/>
    <w:rsid w:val="000B4744"/>
    <w:rsid w:val="000B4A54"/>
    <w:rsid w:val="000B4B46"/>
    <w:rsid w:val="000B4F4E"/>
    <w:rsid w:val="000B5337"/>
    <w:rsid w:val="000B556B"/>
    <w:rsid w:val="000B558B"/>
    <w:rsid w:val="000B5BB3"/>
    <w:rsid w:val="000B5D7F"/>
    <w:rsid w:val="000B5F59"/>
    <w:rsid w:val="000B60B5"/>
    <w:rsid w:val="000B6122"/>
    <w:rsid w:val="000B63E5"/>
    <w:rsid w:val="000B648C"/>
    <w:rsid w:val="000B66CB"/>
    <w:rsid w:val="000B6799"/>
    <w:rsid w:val="000B6B85"/>
    <w:rsid w:val="000B6D48"/>
    <w:rsid w:val="000B7418"/>
    <w:rsid w:val="000B7A3A"/>
    <w:rsid w:val="000B7C8E"/>
    <w:rsid w:val="000B7E6E"/>
    <w:rsid w:val="000C00D1"/>
    <w:rsid w:val="000C0179"/>
    <w:rsid w:val="000C05AF"/>
    <w:rsid w:val="000C08BC"/>
    <w:rsid w:val="000C098A"/>
    <w:rsid w:val="000C0DE0"/>
    <w:rsid w:val="000C0EBB"/>
    <w:rsid w:val="000C12CC"/>
    <w:rsid w:val="000C12ED"/>
    <w:rsid w:val="000C141D"/>
    <w:rsid w:val="000C174B"/>
    <w:rsid w:val="000C1A0A"/>
    <w:rsid w:val="000C1AE7"/>
    <w:rsid w:val="000C2CB1"/>
    <w:rsid w:val="000C2DE9"/>
    <w:rsid w:val="000C2FD3"/>
    <w:rsid w:val="000C3112"/>
    <w:rsid w:val="000C3203"/>
    <w:rsid w:val="000C335D"/>
    <w:rsid w:val="000C3462"/>
    <w:rsid w:val="000C36E8"/>
    <w:rsid w:val="000C379A"/>
    <w:rsid w:val="000C3810"/>
    <w:rsid w:val="000C3826"/>
    <w:rsid w:val="000C3A7D"/>
    <w:rsid w:val="000C3BEA"/>
    <w:rsid w:val="000C4190"/>
    <w:rsid w:val="000C4404"/>
    <w:rsid w:val="000C442A"/>
    <w:rsid w:val="000C4472"/>
    <w:rsid w:val="000C45A6"/>
    <w:rsid w:val="000C47B7"/>
    <w:rsid w:val="000C4A05"/>
    <w:rsid w:val="000C4D04"/>
    <w:rsid w:val="000C4D44"/>
    <w:rsid w:val="000C4E03"/>
    <w:rsid w:val="000C4F4F"/>
    <w:rsid w:val="000C4FE6"/>
    <w:rsid w:val="000C5023"/>
    <w:rsid w:val="000C51F5"/>
    <w:rsid w:val="000C520B"/>
    <w:rsid w:val="000C5244"/>
    <w:rsid w:val="000C5373"/>
    <w:rsid w:val="000C5490"/>
    <w:rsid w:val="000C560E"/>
    <w:rsid w:val="000C5858"/>
    <w:rsid w:val="000C5A7C"/>
    <w:rsid w:val="000C5AF9"/>
    <w:rsid w:val="000C5E8B"/>
    <w:rsid w:val="000C6225"/>
    <w:rsid w:val="000C640E"/>
    <w:rsid w:val="000C676C"/>
    <w:rsid w:val="000C69FA"/>
    <w:rsid w:val="000C6E48"/>
    <w:rsid w:val="000C6E86"/>
    <w:rsid w:val="000C6ECC"/>
    <w:rsid w:val="000C744D"/>
    <w:rsid w:val="000C789F"/>
    <w:rsid w:val="000C7BA9"/>
    <w:rsid w:val="000C7F41"/>
    <w:rsid w:val="000C7F93"/>
    <w:rsid w:val="000D029F"/>
    <w:rsid w:val="000D075F"/>
    <w:rsid w:val="000D0A4F"/>
    <w:rsid w:val="000D0A7A"/>
    <w:rsid w:val="000D0B6E"/>
    <w:rsid w:val="000D0C48"/>
    <w:rsid w:val="000D0E19"/>
    <w:rsid w:val="000D0FCD"/>
    <w:rsid w:val="000D11E9"/>
    <w:rsid w:val="000D1300"/>
    <w:rsid w:val="000D17AF"/>
    <w:rsid w:val="000D1ADA"/>
    <w:rsid w:val="000D1CC7"/>
    <w:rsid w:val="000D25B3"/>
    <w:rsid w:val="000D2685"/>
    <w:rsid w:val="000D2893"/>
    <w:rsid w:val="000D31F7"/>
    <w:rsid w:val="000D3288"/>
    <w:rsid w:val="000D3466"/>
    <w:rsid w:val="000D3490"/>
    <w:rsid w:val="000D394A"/>
    <w:rsid w:val="000D3CA8"/>
    <w:rsid w:val="000D40F6"/>
    <w:rsid w:val="000D4103"/>
    <w:rsid w:val="000D42C6"/>
    <w:rsid w:val="000D4980"/>
    <w:rsid w:val="000D5206"/>
    <w:rsid w:val="000D53A7"/>
    <w:rsid w:val="000D5675"/>
    <w:rsid w:val="000D5727"/>
    <w:rsid w:val="000D5927"/>
    <w:rsid w:val="000D5AB0"/>
    <w:rsid w:val="000D5C2B"/>
    <w:rsid w:val="000D5D3E"/>
    <w:rsid w:val="000D5FEF"/>
    <w:rsid w:val="000D6262"/>
    <w:rsid w:val="000D6360"/>
    <w:rsid w:val="000D6761"/>
    <w:rsid w:val="000D6A04"/>
    <w:rsid w:val="000D73AC"/>
    <w:rsid w:val="000D7548"/>
    <w:rsid w:val="000D78E8"/>
    <w:rsid w:val="000D794C"/>
    <w:rsid w:val="000D7A98"/>
    <w:rsid w:val="000D7BBF"/>
    <w:rsid w:val="000D7D92"/>
    <w:rsid w:val="000E0087"/>
    <w:rsid w:val="000E0304"/>
    <w:rsid w:val="000E0313"/>
    <w:rsid w:val="000E04DB"/>
    <w:rsid w:val="000E0557"/>
    <w:rsid w:val="000E05F9"/>
    <w:rsid w:val="000E0841"/>
    <w:rsid w:val="000E0E25"/>
    <w:rsid w:val="000E1055"/>
    <w:rsid w:val="000E108E"/>
    <w:rsid w:val="000E11CA"/>
    <w:rsid w:val="000E1281"/>
    <w:rsid w:val="000E1323"/>
    <w:rsid w:val="000E149E"/>
    <w:rsid w:val="000E15B5"/>
    <w:rsid w:val="000E1A86"/>
    <w:rsid w:val="000E1AE8"/>
    <w:rsid w:val="000E24D4"/>
    <w:rsid w:val="000E24DE"/>
    <w:rsid w:val="000E274B"/>
    <w:rsid w:val="000E2C46"/>
    <w:rsid w:val="000E2CE4"/>
    <w:rsid w:val="000E2DCA"/>
    <w:rsid w:val="000E2F71"/>
    <w:rsid w:val="000E3216"/>
    <w:rsid w:val="000E33CC"/>
    <w:rsid w:val="000E36A7"/>
    <w:rsid w:val="000E38DD"/>
    <w:rsid w:val="000E3CA5"/>
    <w:rsid w:val="000E3CE2"/>
    <w:rsid w:val="000E40DD"/>
    <w:rsid w:val="000E41F6"/>
    <w:rsid w:val="000E4A6C"/>
    <w:rsid w:val="000E4A73"/>
    <w:rsid w:val="000E4CB9"/>
    <w:rsid w:val="000E4D9E"/>
    <w:rsid w:val="000E50D6"/>
    <w:rsid w:val="000E5110"/>
    <w:rsid w:val="000E5211"/>
    <w:rsid w:val="000E560D"/>
    <w:rsid w:val="000E561B"/>
    <w:rsid w:val="000E587C"/>
    <w:rsid w:val="000E58FC"/>
    <w:rsid w:val="000E5925"/>
    <w:rsid w:val="000E5A35"/>
    <w:rsid w:val="000E5FBA"/>
    <w:rsid w:val="000E60A3"/>
    <w:rsid w:val="000E619E"/>
    <w:rsid w:val="000E63A5"/>
    <w:rsid w:val="000E64DD"/>
    <w:rsid w:val="000E6A7D"/>
    <w:rsid w:val="000E6C4A"/>
    <w:rsid w:val="000E6DB7"/>
    <w:rsid w:val="000E6F6D"/>
    <w:rsid w:val="000E6F8E"/>
    <w:rsid w:val="000E73F0"/>
    <w:rsid w:val="000E7456"/>
    <w:rsid w:val="000E763D"/>
    <w:rsid w:val="000E771A"/>
    <w:rsid w:val="000E7865"/>
    <w:rsid w:val="000E78A4"/>
    <w:rsid w:val="000E79C2"/>
    <w:rsid w:val="000E7D8D"/>
    <w:rsid w:val="000E7E02"/>
    <w:rsid w:val="000E7E8D"/>
    <w:rsid w:val="000E7EA1"/>
    <w:rsid w:val="000E7F0A"/>
    <w:rsid w:val="000F001C"/>
    <w:rsid w:val="000F0598"/>
    <w:rsid w:val="000F06F2"/>
    <w:rsid w:val="000F07DC"/>
    <w:rsid w:val="000F0A5E"/>
    <w:rsid w:val="000F0C9A"/>
    <w:rsid w:val="000F0CAB"/>
    <w:rsid w:val="000F0D52"/>
    <w:rsid w:val="000F128A"/>
    <w:rsid w:val="000F12E6"/>
    <w:rsid w:val="000F12FC"/>
    <w:rsid w:val="000F16D3"/>
    <w:rsid w:val="000F1956"/>
    <w:rsid w:val="000F19E9"/>
    <w:rsid w:val="000F1D12"/>
    <w:rsid w:val="000F1E4E"/>
    <w:rsid w:val="000F1F96"/>
    <w:rsid w:val="000F1FC5"/>
    <w:rsid w:val="000F22F5"/>
    <w:rsid w:val="000F24B3"/>
    <w:rsid w:val="000F2697"/>
    <w:rsid w:val="000F2B80"/>
    <w:rsid w:val="000F2B8B"/>
    <w:rsid w:val="000F2CD0"/>
    <w:rsid w:val="000F2E9E"/>
    <w:rsid w:val="000F32B1"/>
    <w:rsid w:val="000F3676"/>
    <w:rsid w:val="000F3721"/>
    <w:rsid w:val="000F37D0"/>
    <w:rsid w:val="000F3AEA"/>
    <w:rsid w:val="000F3DC4"/>
    <w:rsid w:val="000F3F32"/>
    <w:rsid w:val="000F4BB3"/>
    <w:rsid w:val="000F4C2E"/>
    <w:rsid w:val="000F4DEC"/>
    <w:rsid w:val="000F4ED2"/>
    <w:rsid w:val="000F500A"/>
    <w:rsid w:val="000F5768"/>
    <w:rsid w:val="000F59B7"/>
    <w:rsid w:val="000F5A70"/>
    <w:rsid w:val="000F5BA7"/>
    <w:rsid w:val="000F5EFA"/>
    <w:rsid w:val="000F608D"/>
    <w:rsid w:val="000F60FD"/>
    <w:rsid w:val="000F6137"/>
    <w:rsid w:val="000F617D"/>
    <w:rsid w:val="000F6663"/>
    <w:rsid w:val="000F6B69"/>
    <w:rsid w:val="000F6DA0"/>
    <w:rsid w:val="000F701E"/>
    <w:rsid w:val="000F730F"/>
    <w:rsid w:val="000F7335"/>
    <w:rsid w:val="000F7423"/>
    <w:rsid w:val="000F743C"/>
    <w:rsid w:val="000F7596"/>
    <w:rsid w:val="000F75D2"/>
    <w:rsid w:val="000F7750"/>
    <w:rsid w:val="000F7761"/>
    <w:rsid w:val="000F7792"/>
    <w:rsid w:val="000F795E"/>
    <w:rsid w:val="000F7A70"/>
    <w:rsid w:val="000F7BE6"/>
    <w:rsid w:val="000F7DAA"/>
    <w:rsid w:val="00100186"/>
    <w:rsid w:val="00100432"/>
    <w:rsid w:val="0010046C"/>
    <w:rsid w:val="00100528"/>
    <w:rsid w:val="00100665"/>
    <w:rsid w:val="0010070C"/>
    <w:rsid w:val="00100A77"/>
    <w:rsid w:val="00100E87"/>
    <w:rsid w:val="00100EC8"/>
    <w:rsid w:val="00100FDC"/>
    <w:rsid w:val="0010122A"/>
    <w:rsid w:val="00101598"/>
    <w:rsid w:val="001019D2"/>
    <w:rsid w:val="00101B0B"/>
    <w:rsid w:val="00101CA7"/>
    <w:rsid w:val="00101E27"/>
    <w:rsid w:val="00101EF6"/>
    <w:rsid w:val="00101F9F"/>
    <w:rsid w:val="0010214F"/>
    <w:rsid w:val="00102302"/>
    <w:rsid w:val="001023D5"/>
    <w:rsid w:val="00102A45"/>
    <w:rsid w:val="00102AAC"/>
    <w:rsid w:val="00102AF5"/>
    <w:rsid w:val="00102D43"/>
    <w:rsid w:val="0010326C"/>
    <w:rsid w:val="00103567"/>
    <w:rsid w:val="001037C3"/>
    <w:rsid w:val="00103A37"/>
    <w:rsid w:val="00103E90"/>
    <w:rsid w:val="00103E97"/>
    <w:rsid w:val="00103FB7"/>
    <w:rsid w:val="00103FFB"/>
    <w:rsid w:val="0010424D"/>
    <w:rsid w:val="00104388"/>
    <w:rsid w:val="001046E1"/>
    <w:rsid w:val="001046FA"/>
    <w:rsid w:val="00104CEB"/>
    <w:rsid w:val="00104EBC"/>
    <w:rsid w:val="00105375"/>
    <w:rsid w:val="00105619"/>
    <w:rsid w:val="001057E1"/>
    <w:rsid w:val="001058F9"/>
    <w:rsid w:val="00105F31"/>
    <w:rsid w:val="00105FCD"/>
    <w:rsid w:val="0010602B"/>
    <w:rsid w:val="00106196"/>
    <w:rsid w:val="00106305"/>
    <w:rsid w:val="00106569"/>
    <w:rsid w:val="001065A0"/>
    <w:rsid w:val="0010688A"/>
    <w:rsid w:val="00106936"/>
    <w:rsid w:val="00106AD8"/>
    <w:rsid w:val="00106BED"/>
    <w:rsid w:val="00106FBF"/>
    <w:rsid w:val="001071F7"/>
    <w:rsid w:val="00107250"/>
    <w:rsid w:val="001074B5"/>
    <w:rsid w:val="00107863"/>
    <w:rsid w:val="00107936"/>
    <w:rsid w:val="0010799F"/>
    <w:rsid w:val="00107D19"/>
    <w:rsid w:val="0011059D"/>
    <w:rsid w:val="001109F6"/>
    <w:rsid w:val="00110BBB"/>
    <w:rsid w:val="00110C17"/>
    <w:rsid w:val="00110C4B"/>
    <w:rsid w:val="0011137E"/>
    <w:rsid w:val="0011143E"/>
    <w:rsid w:val="00111768"/>
    <w:rsid w:val="001117FD"/>
    <w:rsid w:val="00111933"/>
    <w:rsid w:val="00111BBE"/>
    <w:rsid w:val="00111C05"/>
    <w:rsid w:val="00111E50"/>
    <w:rsid w:val="00111E83"/>
    <w:rsid w:val="00111F94"/>
    <w:rsid w:val="00111F9C"/>
    <w:rsid w:val="0011209E"/>
    <w:rsid w:val="00112122"/>
    <w:rsid w:val="0011217C"/>
    <w:rsid w:val="001123AF"/>
    <w:rsid w:val="00112729"/>
    <w:rsid w:val="00112DEA"/>
    <w:rsid w:val="00112E9F"/>
    <w:rsid w:val="0011319F"/>
    <w:rsid w:val="00113367"/>
    <w:rsid w:val="001135E5"/>
    <w:rsid w:val="001137E7"/>
    <w:rsid w:val="00113E0A"/>
    <w:rsid w:val="00113E52"/>
    <w:rsid w:val="00113EEB"/>
    <w:rsid w:val="0011456B"/>
    <w:rsid w:val="00114B8B"/>
    <w:rsid w:val="00114D53"/>
    <w:rsid w:val="00114DB3"/>
    <w:rsid w:val="00115018"/>
    <w:rsid w:val="0011516F"/>
    <w:rsid w:val="0011520F"/>
    <w:rsid w:val="00115617"/>
    <w:rsid w:val="00115778"/>
    <w:rsid w:val="001157E6"/>
    <w:rsid w:val="00115B9F"/>
    <w:rsid w:val="00115CA3"/>
    <w:rsid w:val="00115E96"/>
    <w:rsid w:val="00116387"/>
    <w:rsid w:val="0011643A"/>
    <w:rsid w:val="00116481"/>
    <w:rsid w:val="0011657C"/>
    <w:rsid w:val="001166EC"/>
    <w:rsid w:val="00116763"/>
    <w:rsid w:val="00116A48"/>
    <w:rsid w:val="00116B46"/>
    <w:rsid w:val="00116CF1"/>
    <w:rsid w:val="00116DAF"/>
    <w:rsid w:val="00116DFC"/>
    <w:rsid w:val="00116EDB"/>
    <w:rsid w:val="00116F9C"/>
    <w:rsid w:val="001171B6"/>
    <w:rsid w:val="00117253"/>
    <w:rsid w:val="00117292"/>
    <w:rsid w:val="00117582"/>
    <w:rsid w:val="00117FA0"/>
    <w:rsid w:val="00120098"/>
    <w:rsid w:val="00120218"/>
    <w:rsid w:val="00120A07"/>
    <w:rsid w:val="00120A5A"/>
    <w:rsid w:val="00120BBB"/>
    <w:rsid w:val="00120BE3"/>
    <w:rsid w:val="00120D3A"/>
    <w:rsid w:val="00120E16"/>
    <w:rsid w:val="00121228"/>
    <w:rsid w:val="0012199C"/>
    <w:rsid w:val="00121B5F"/>
    <w:rsid w:val="00121CF3"/>
    <w:rsid w:val="00121FF6"/>
    <w:rsid w:val="00122253"/>
    <w:rsid w:val="00122399"/>
    <w:rsid w:val="0012268A"/>
    <w:rsid w:val="0012275E"/>
    <w:rsid w:val="00122827"/>
    <w:rsid w:val="00122A83"/>
    <w:rsid w:val="00122BBA"/>
    <w:rsid w:val="001234C3"/>
    <w:rsid w:val="001235A7"/>
    <w:rsid w:val="0012386B"/>
    <w:rsid w:val="00123CB6"/>
    <w:rsid w:val="00124084"/>
    <w:rsid w:val="00124445"/>
    <w:rsid w:val="001246EB"/>
    <w:rsid w:val="00124831"/>
    <w:rsid w:val="00124958"/>
    <w:rsid w:val="00124AF5"/>
    <w:rsid w:val="00124F24"/>
    <w:rsid w:val="00124FAA"/>
    <w:rsid w:val="001250FF"/>
    <w:rsid w:val="00125166"/>
    <w:rsid w:val="001251BD"/>
    <w:rsid w:val="0012542D"/>
    <w:rsid w:val="0012553C"/>
    <w:rsid w:val="00125A09"/>
    <w:rsid w:val="00125ADB"/>
    <w:rsid w:val="00125E7E"/>
    <w:rsid w:val="00125F3D"/>
    <w:rsid w:val="00125FA0"/>
    <w:rsid w:val="001262C9"/>
    <w:rsid w:val="0012630A"/>
    <w:rsid w:val="00126661"/>
    <w:rsid w:val="00126817"/>
    <w:rsid w:val="001268D6"/>
    <w:rsid w:val="0012699E"/>
    <w:rsid w:val="00126A24"/>
    <w:rsid w:val="00126BB6"/>
    <w:rsid w:val="00126BC7"/>
    <w:rsid w:val="00126DE5"/>
    <w:rsid w:val="00127351"/>
    <w:rsid w:val="00127838"/>
    <w:rsid w:val="0012785C"/>
    <w:rsid w:val="0012791B"/>
    <w:rsid w:val="00127CF0"/>
    <w:rsid w:val="00127E7F"/>
    <w:rsid w:val="00130302"/>
    <w:rsid w:val="00130335"/>
    <w:rsid w:val="001305D6"/>
    <w:rsid w:val="0013071B"/>
    <w:rsid w:val="00130B1F"/>
    <w:rsid w:val="00130B95"/>
    <w:rsid w:val="00130F71"/>
    <w:rsid w:val="00130FB4"/>
    <w:rsid w:val="00130FF4"/>
    <w:rsid w:val="00131422"/>
    <w:rsid w:val="0013163C"/>
    <w:rsid w:val="00131852"/>
    <w:rsid w:val="00131A82"/>
    <w:rsid w:val="00131C0C"/>
    <w:rsid w:val="00131E44"/>
    <w:rsid w:val="0013201A"/>
    <w:rsid w:val="00132585"/>
    <w:rsid w:val="0013264A"/>
    <w:rsid w:val="0013299A"/>
    <w:rsid w:val="00132C45"/>
    <w:rsid w:val="00132FDB"/>
    <w:rsid w:val="00133208"/>
    <w:rsid w:val="0013328A"/>
    <w:rsid w:val="0013331F"/>
    <w:rsid w:val="001333B8"/>
    <w:rsid w:val="001334DF"/>
    <w:rsid w:val="0013386A"/>
    <w:rsid w:val="00133FD9"/>
    <w:rsid w:val="001340A1"/>
    <w:rsid w:val="001340B1"/>
    <w:rsid w:val="001342C0"/>
    <w:rsid w:val="00134386"/>
    <w:rsid w:val="0013439B"/>
    <w:rsid w:val="001345EF"/>
    <w:rsid w:val="00134905"/>
    <w:rsid w:val="00134AA1"/>
    <w:rsid w:val="00134B4F"/>
    <w:rsid w:val="00134C01"/>
    <w:rsid w:val="00134D52"/>
    <w:rsid w:val="00134D80"/>
    <w:rsid w:val="00134DD5"/>
    <w:rsid w:val="00134E48"/>
    <w:rsid w:val="00134F55"/>
    <w:rsid w:val="0013507C"/>
    <w:rsid w:val="00135A7A"/>
    <w:rsid w:val="00135AB1"/>
    <w:rsid w:val="00135B89"/>
    <w:rsid w:val="00135BAD"/>
    <w:rsid w:val="00135C6E"/>
    <w:rsid w:val="001360C0"/>
    <w:rsid w:val="00136323"/>
    <w:rsid w:val="00136AFF"/>
    <w:rsid w:val="00136B2C"/>
    <w:rsid w:val="001370B3"/>
    <w:rsid w:val="001371F8"/>
    <w:rsid w:val="0013721E"/>
    <w:rsid w:val="0013728D"/>
    <w:rsid w:val="001378A4"/>
    <w:rsid w:val="00137E6C"/>
    <w:rsid w:val="0014007F"/>
    <w:rsid w:val="00140440"/>
    <w:rsid w:val="00140A65"/>
    <w:rsid w:val="00140B99"/>
    <w:rsid w:val="001410E2"/>
    <w:rsid w:val="00141383"/>
    <w:rsid w:val="001413F4"/>
    <w:rsid w:val="00141625"/>
    <w:rsid w:val="001418A0"/>
    <w:rsid w:val="00141A17"/>
    <w:rsid w:val="00142409"/>
    <w:rsid w:val="0014244C"/>
    <w:rsid w:val="001424F3"/>
    <w:rsid w:val="001426AE"/>
    <w:rsid w:val="001426B7"/>
    <w:rsid w:val="00142713"/>
    <w:rsid w:val="00142976"/>
    <w:rsid w:val="00142A0F"/>
    <w:rsid w:val="00142F6F"/>
    <w:rsid w:val="0014389B"/>
    <w:rsid w:val="0014393E"/>
    <w:rsid w:val="001439A3"/>
    <w:rsid w:val="00143C7E"/>
    <w:rsid w:val="001442CB"/>
    <w:rsid w:val="00144883"/>
    <w:rsid w:val="00144C4D"/>
    <w:rsid w:val="00144D52"/>
    <w:rsid w:val="00144F1D"/>
    <w:rsid w:val="00144F5F"/>
    <w:rsid w:val="001450DC"/>
    <w:rsid w:val="00145120"/>
    <w:rsid w:val="001453AC"/>
    <w:rsid w:val="00145871"/>
    <w:rsid w:val="00145915"/>
    <w:rsid w:val="001459D6"/>
    <w:rsid w:val="0014656D"/>
    <w:rsid w:val="00146648"/>
    <w:rsid w:val="00146715"/>
    <w:rsid w:val="001467EB"/>
    <w:rsid w:val="00146F65"/>
    <w:rsid w:val="0014717D"/>
    <w:rsid w:val="0014745B"/>
    <w:rsid w:val="0014748B"/>
    <w:rsid w:val="00147536"/>
    <w:rsid w:val="001477AA"/>
    <w:rsid w:val="00147A94"/>
    <w:rsid w:val="00147BCF"/>
    <w:rsid w:val="00147E55"/>
    <w:rsid w:val="00147EDA"/>
    <w:rsid w:val="0015014C"/>
    <w:rsid w:val="0015025B"/>
    <w:rsid w:val="0015031B"/>
    <w:rsid w:val="001504CD"/>
    <w:rsid w:val="0015075E"/>
    <w:rsid w:val="0015094B"/>
    <w:rsid w:val="00150C4E"/>
    <w:rsid w:val="0015107C"/>
    <w:rsid w:val="00151506"/>
    <w:rsid w:val="00151586"/>
    <w:rsid w:val="0015189C"/>
    <w:rsid w:val="00151983"/>
    <w:rsid w:val="00151B5E"/>
    <w:rsid w:val="00151FAB"/>
    <w:rsid w:val="001520AE"/>
    <w:rsid w:val="00152849"/>
    <w:rsid w:val="001528B4"/>
    <w:rsid w:val="0015296D"/>
    <w:rsid w:val="001529D2"/>
    <w:rsid w:val="00152C02"/>
    <w:rsid w:val="00152D23"/>
    <w:rsid w:val="001532F4"/>
    <w:rsid w:val="001534F4"/>
    <w:rsid w:val="001538A6"/>
    <w:rsid w:val="00153A3D"/>
    <w:rsid w:val="00153A51"/>
    <w:rsid w:val="001540C9"/>
    <w:rsid w:val="001542BA"/>
    <w:rsid w:val="001542CC"/>
    <w:rsid w:val="0015462F"/>
    <w:rsid w:val="001547AD"/>
    <w:rsid w:val="001547DA"/>
    <w:rsid w:val="0015480A"/>
    <w:rsid w:val="00154B57"/>
    <w:rsid w:val="00154F16"/>
    <w:rsid w:val="00155044"/>
    <w:rsid w:val="001552B9"/>
    <w:rsid w:val="001552C0"/>
    <w:rsid w:val="00155315"/>
    <w:rsid w:val="00155396"/>
    <w:rsid w:val="001554E3"/>
    <w:rsid w:val="001557D7"/>
    <w:rsid w:val="001558F5"/>
    <w:rsid w:val="001559A0"/>
    <w:rsid w:val="00155AF8"/>
    <w:rsid w:val="00155CD2"/>
    <w:rsid w:val="00155E67"/>
    <w:rsid w:val="0015665E"/>
    <w:rsid w:val="00156751"/>
    <w:rsid w:val="00156AA0"/>
    <w:rsid w:val="00156CBD"/>
    <w:rsid w:val="00156FA8"/>
    <w:rsid w:val="0015763F"/>
    <w:rsid w:val="001576B6"/>
    <w:rsid w:val="001577C0"/>
    <w:rsid w:val="00157989"/>
    <w:rsid w:val="00157AB6"/>
    <w:rsid w:val="00157CED"/>
    <w:rsid w:val="00157E07"/>
    <w:rsid w:val="00157E7D"/>
    <w:rsid w:val="00157EAD"/>
    <w:rsid w:val="00157F2B"/>
    <w:rsid w:val="00157FE8"/>
    <w:rsid w:val="00160223"/>
    <w:rsid w:val="001602A0"/>
    <w:rsid w:val="00160571"/>
    <w:rsid w:val="00160668"/>
    <w:rsid w:val="00160866"/>
    <w:rsid w:val="00160AE4"/>
    <w:rsid w:val="00160C76"/>
    <w:rsid w:val="00160FB2"/>
    <w:rsid w:val="00161368"/>
    <w:rsid w:val="001615CD"/>
    <w:rsid w:val="001616F3"/>
    <w:rsid w:val="001618FC"/>
    <w:rsid w:val="00161BCD"/>
    <w:rsid w:val="00161E32"/>
    <w:rsid w:val="001623F8"/>
    <w:rsid w:val="00162796"/>
    <w:rsid w:val="00162944"/>
    <w:rsid w:val="00162D66"/>
    <w:rsid w:val="00162DC0"/>
    <w:rsid w:val="00162E25"/>
    <w:rsid w:val="00162E62"/>
    <w:rsid w:val="0016303B"/>
    <w:rsid w:val="001634DB"/>
    <w:rsid w:val="00163597"/>
    <w:rsid w:val="00163949"/>
    <w:rsid w:val="00163D27"/>
    <w:rsid w:val="00163F21"/>
    <w:rsid w:val="00164031"/>
    <w:rsid w:val="001643BD"/>
    <w:rsid w:val="001643DE"/>
    <w:rsid w:val="00164694"/>
    <w:rsid w:val="00164970"/>
    <w:rsid w:val="00164A80"/>
    <w:rsid w:val="00164AA5"/>
    <w:rsid w:val="00164ACD"/>
    <w:rsid w:val="00164E84"/>
    <w:rsid w:val="0016541F"/>
    <w:rsid w:val="0016547C"/>
    <w:rsid w:val="001655C8"/>
    <w:rsid w:val="00165715"/>
    <w:rsid w:val="001659E1"/>
    <w:rsid w:val="00165BD0"/>
    <w:rsid w:val="00165E56"/>
    <w:rsid w:val="00165EE4"/>
    <w:rsid w:val="00165FD0"/>
    <w:rsid w:val="0016610E"/>
    <w:rsid w:val="001661B3"/>
    <w:rsid w:val="00166717"/>
    <w:rsid w:val="001669FF"/>
    <w:rsid w:val="00166C81"/>
    <w:rsid w:val="00167160"/>
    <w:rsid w:val="001674DD"/>
    <w:rsid w:val="001677B7"/>
    <w:rsid w:val="00167BA4"/>
    <w:rsid w:val="00167D52"/>
    <w:rsid w:val="00167EF7"/>
    <w:rsid w:val="00167F1C"/>
    <w:rsid w:val="00167FAC"/>
    <w:rsid w:val="00167FB9"/>
    <w:rsid w:val="001700DC"/>
    <w:rsid w:val="001705D5"/>
    <w:rsid w:val="001705FE"/>
    <w:rsid w:val="001706A4"/>
    <w:rsid w:val="00170749"/>
    <w:rsid w:val="00170B6D"/>
    <w:rsid w:val="00170DC4"/>
    <w:rsid w:val="00170DD4"/>
    <w:rsid w:val="00170F19"/>
    <w:rsid w:val="00171270"/>
    <w:rsid w:val="00171515"/>
    <w:rsid w:val="00171711"/>
    <w:rsid w:val="0017173E"/>
    <w:rsid w:val="001719EE"/>
    <w:rsid w:val="001719FF"/>
    <w:rsid w:val="00171CD4"/>
    <w:rsid w:val="001720F6"/>
    <w:rsid w:val="00172180"/>
    <w:rsid w:val="00172A10"/>
    <w:rsid w:val="00172EA7"/>
    <w:rsid w:val="00172FB6"/>
    <w:rsid w:val="0017308F"/>
    <w:rsid w:val="00173354"/>
    <w:rsid w:val="00173796"/>
    <w:rsid w:val="001737D9"/>
    <w:rsid w:val="001739C3"/>
    <w:rsid w:val="001739E7"/>
    <w:rsid w:val="00173DC8"/>
    <w:rsid w:val="00173E8A"/>
    <w:rsid w:val="0017431F"/>
    <w:rsid w:val="00174B56"/>
    <w:rsid w:val="0017502C"/>
    <w:rsid w:val="001750B8"/>
    <w:rsid w:val="001750D6"/>
    <w:rsid w:val="001751D8"/>
    <w:rsid w:val="00175397"/>
    <w:rsid w:val="001753EA"/>
    <w:rsid w:val="00175798"/>
    <w:rsid w:val="00175CB9"/>
    <w:rsid w:val="00175E07"/>
    <w:rsid w:val="00176195"/>
    <w:rsid w:val="00176484"/>
    <w:rsid w:val="00176553"/>
    <w:rsid w:val="001765B2"/>
    <w:rsid w:val="001766EE"/>
    <w:rsid w:val="001768C4"/>
    <w:rsid w:val="001768DA"/>
    <w:rsid w:val="00176BA3"/>
    <w:rsid w:val="00176CC8"/>
    <w:rsid w:val="00176DB3"/>
    <w:rsid w:val="00176EC3"/>
    <w:rsid w:val="001771E0"/>
    <w:rsid w:val="0017729C"/>
    <w:rsid w:val="00177318"/>
    <w:rsid w:val="001774F4"/>
    <w:rsid w:val="00177502"/>
    <w:rsid w:val="00177588"/>
    <w:rsid w:val="00177B6E"/>
    <w:rsid w:val="00177BB9"/>
    <w:rsid w:val="00177DD4"/>
    <w:rsid w:val="00177EFA"/>
    <w:rsid w:val="0018011B"/>
    <w:rsid w:val="001802A0"/>
    <w:rsid w:val="001802DA"/>
    <w:rsid w:val="00180342"/>
    <w:rsid w:val="0018048D"/>
    <w:rsid w:val="00180A9F"/>
    <w:rsid w:val="00180B48"/>
    <w:rsid w:val="00180D3A"/>
    <w:rsid w:val="00180D52"/>
    <w:rsid w:val="0018104A"/>
    <w:rsid w:val="00181191"/>
    <w:rsid w:val="00181227"/>
    <w:rsid w:val="001812F4"/>
    <w:rsid w:val="001813DF"/>
    <w:rsid w:val="00181C76"/>
    <w:rsid w:val="001824AE"/>
    <w:rsid w:val="00182510"/>
    <w:rsid w:val="00182697"/>
    <w:rsid w:val="001827EC"/>
    <w:rsid w:val="00182969"/>
    <w:rsid w:val="00182B41"/>
    <w:rsid w:val="00182B8F"/>
    <w:rsid w:val="001832C3"/>
    <w:rsid w:val="0018333F"/>
    <w:rsid w:val="0018342D"/>
    <w:rsid w:val="0018342E"/>
    <w:rsid w:val="0018375B"/>
    <w:rsid w:val="00183923"/>
    <w:rsid w:val="00183ED2"/>
    <w:rsid w:val="00183F2A"/>
    <w:rsid w:val="00184164"/>
    <w:rsid w:val="0018416D"/>
    <w:rsid w:val="00184541"/>
    <w:rsid w:val="00184961"/>
    <w:rsid w:val="00184C2D"/>
    <w:rsid w:val="00184ECF"/>
    <w:rsid w:val="00185025"/>
    <w:rsid w:val="0018507D"/>
    <w:rsid w:val="001852E8"/>
    <w:rsid w:val="00185325"/>
    <w:rsid w:val="0018539F"/>
    <w:rsid w:val="0018553A"/>
    <w:rsid w:val="00185900"/>
    <w:rsid w:val="001860EB"/>
    <w:rsid w:val="0018618B"/>
    <w:rsid w:val="00186478"/>
    <w:rsid w:val="00186615"/>
    <w:rsid w:val="00186679"/>
    <w:rsid w:val="0018667E"/>
    <w:rsid w:val="00186C60"/>
    <w:rsid w:val="00187315"/>
    <w:rsid w:val="00187683"/>
    <w:rsid w:val="001876FB"/>
    <w:rsid w:val="001900A3"/>
    <w:rsid w:val="001901A9"/>
    <w:rsid w:val="001904AD"/>
    <w:rsid w:val="00190534"/>
    <w:rsid w:val="00190594"/>
    <w:rsid w:val="001905BD"/>
    <w:rsid w:val="00190799"/>
    <w:rsid w:val="00190A69"/>
    <w:rsid w:val="00190D6D"/>
    <w:rsid w:val="00190DD4"/>
    <w:rsid w:val="00190F89"/>
    <w:rsid w:val="00190FD9"/>
    <w:rsid w:val="001911D9"/>
    <w:rsid w:val="00191641"/>
    <w:rsid w:val="00191783"/>
    <w:rsid w:val="001917CC"/>
    <w:rsid w:val="00191AAD"/>
    <w:rsid w:val="00191AE3"/>
    <w:rsid w:val="00191AF5"/>
    <w:rsid w:val="00191D7B"/>
    <w:rsid w:val="00191D90"/>
    <w:rsid w:val="00191ED6"/>
    <w:rsid w:val="00191F0E"/>
    <w:rsid w:val="001922DB"/>
    <w:rsid w:val="0019230A"/>
    <w:rsid w:val="001926A9"/>
    <w:rsid w:val="00192BDD"/>
    <w:rsid w:val="00192C82"/>
    <w:rsid w:val="00192CC0"/>
    <w:rsid w:val="0019308E"/>
    <w:rsid w:val="001939BD"/>
    <w:rsid w:val="001939CE"/>
    <w:rsid w:val="00193A5D"/>
    <w:rsid w:val="00193A99"/>
    <w:rsid w:val="00193C53"/>
    <w:rsid w:val="001942AE"/>
    <w:rsid w:val="00194536"/>
    <w:rsid w:val="00194B52"/>
    <w:rsid w:val="00194D2B"/>
    <w:rsid w:val="00194FC9"/>
    <w:rsid w:val="00195356"/>
    <w:rsid w:val="0019538D"/>
    <w:rsid w:val="00195507"/>
    <w:rsid w:val="0019581D"/>
    <w:rsid w:val="00195E17"/>
    <w:rsid w:val="00196003"/>
    <w:rsid w:val="001960ED"/>
    <w:rsid w:val="00196700"/>
    <w:rsid w:val="0019681F"/>
    <w:rsid w:val="001968AA"/>
    <w:rsid w:val="00196944"/>
    <w:rsid w:val="00196B1D"/>
    <w:rsid w:val="00196C53"/>
    <w:rsid w:val="00196E9C"/>
    <w:rsid w:val="00197048"/>
    <w:rsid w:val="00197252"/>
    <w:rsid w:val="001978DC"/>
    <w:rsid w:val="0019795B"/>
    <w:rsid w:val="00197B0D"/>
    <w:rsid w:val="001A0281"/>
    <w:rsid w:val="001A033E"/>
    <w:rsid w:val="001A0419"/>
    <w:rsid w:val="001A0613"/>
    <w:rsid w:val="001A06B1"/>
    <w:rsid w:val="001A08B6"/>
    <w:rsid w:val="001A0960"/>
    <w:rsid w:val="001A098F"/>
    <w:rsid w:val="001A0B39"/>
    <w:rsid w:val="001A0B4E"/>
    <w:rsid w:val="001A0CA9"/>
    <w:rsid w:val="001A10E2"/>
    <w:rsid w:val="001A1373"/>
    <w:rsid w:val="001A1A93"/>
    <w:rsid w:val="001A1C4D"/>
    <w:rsid w:val="001A1CAE"/>
    <w:rsid w:val="001A1E11"/>
    <w:rsid w:val="001A20D0"/>
    <w:rsid w:val="001A2140"/>
    <w:rsid w:val="001A219F"/>
    <w:rsid w:val="001A2408"/>
    <w:rsid w:val="001A24B6"/>
    <w:rsid w:val="001A24FA"/>
    <w:rsid w:val="001A2C08"/>
    <w:rsid w:val="001A30D8"/>
    <w:rsid w:val="001A3598"/>
    <w:rsid w:val="001A37ED"/>
    <w:rsid w:val="001A3916"/>
    <w:rsid w:val="001A39B3"/>
    <w:rsid w:val="001A3A65"/>
    <w:rsid w:val="001A3BDC"/>
    <w:rsid w:val="001A3CDD"/>
    <w:rsid w:val="001A3D7A"/>
    <w:rsid w:val="001A3EA1"/>
    <w:rsid w:val="001A3EED"/>
    <w:rsid w:val="001A44F0"/>
    <w:rsid w:val="001A45B4"/>
    <w:rsid w:val="001A4883"/>
    <w:rsid w:val="001A493E"/>
    <w:rsid w:val="001A4FF9"/>
    <w:rsid w:val="001A519C"/>
    <w:rsid w:val="001A53F4"/>
    <w:rsid w:val="001A572A"/>
    <w:rsid w:val="001A57B0"/>
    <w:rsid w:val="001A5854"/>
    <w:rsid w:val="001A5AF6"/>
    <w:rsid w:val="001A5B9A"/>
    <w:rsid w:val="001A5EBC"/>
    <w:rsid w:val="001A6054"/>
    <w:rsid w:val="001A617C"/>
    <w:rsid w:val="001A6207"/>
    <w:rsid w:val="001A636F"/>
    <w:rsid w:val="001A63C9"/>
    <w:rsid w:val="001A64DC"/>
    <w:rsid w:val="001A658B"/>
    <w:rsid w:val="001A6998"/>
    <w:rsid w:val="001A6BB7"/>
    <w:rsid w:val="001A6D97"/>
    <w:rsid w:val="001A734A"/>
    <w:rsid w:val="001A787F"/>
    <w:rsid w:val="001A78FD"/>
    <w:rsid w:val="001A7B7D"/>
    <w:rsid w:val="001A7C48"/>
    <w:rsid w:val="001A7CF0"/>
    <w:rsid w:val="001A7E7E"/>
    <w:rsid w:val="001B01C2"/>
    <w:rsid w:val="001B037D"/>
    <w:rsid w:val="001B0AD8"/>
    <w:rsid w:val="001B0B78"/>
    <w:rsid w:val="001B0E6D"/>
    <w:rsid w:val="001B1280"/>
    <w:rsid w:val="001B1370"/>
    <w:rsid w:val="001B1580"/>
    <w:rsid w:val="001B1996"/>
    <w:rsid w:val="001B19DB"/>
    <w:rsid w:val="001B1A84"/>
    <w:rsid w:val="001B1EEE"/>
    <w:rsid w:val="001B1F96"/>
    <w:rsid w:val="001B1FA6"/>
    <w:rsid w:val="001B201E"/>
    <w:rsid w:val="001B2132"/>
    <w:rsid w:val="001B2303"/>
    <w:rsid w:val="001B23EF"/>
    <w:rsid w:val="001B24F5"/>
    <w:rsid w:val="001B2AEB"/>
    <w:rsid w:val="001B2BBA"/>
    <w:rsid w:val="001B2CCE"/>
    <w:rsid w:val="001B2D3A"/>
    <w:rsid w:val="001B2DF8"/>
    <w:rsid w:val="001B2DFA"/>
    <w:rsid w:val="001B31AB"/>
    <w:rsid w:val="001B3441"/>
    <w:rsid w:val="001B36E9"/>
    <w:rsid w:val="001B3742"/>
    <w:rsid w:val="001B3937"/>
    <w:rsid w:val="001B3AAB"/>
    <w:rsid w:val="001B3C9B"/>
    <w:rsid w:val="001B4381"/>
    <w:rsid w:val="001B43ED"/>
    <w:rsid w:val="001B4401"/>
    <w:rsid w:val="001B51CA"/>
    <w:rsid w:val="001B52BA"/>
    <w:rsid w:val="001B5B8E"/>
    <w:rsid w:val="001B5BEB"/>
    <w:rsid w:val="001B5E4C"/>
    <w:rsid w:val="001B6155"/>
    <w:rsid w:val="001B62B4"/>
    <w:rsid w:val="001B6359"/>
    <w:rsid w:val="001B647A"/>
    <w:rsid w:val="001B6595"/>
    <w:rsid w:val="001B671E"/>
    <w:rsid w:val="001B6769"/>
    <w:rsid w:val="001B6788"/>
    <w:rsid w:val="001B6857"/>
    <w:rsid w:val="001B6D6F"/>
    <w:rsid w:val="001B6E26"/>
    <w:rsid w:val="001B739A"/>
    <w:rsid w:val="001B75C6"/>
    <w:rsid w:val="001B76F0"/>
    <w:rsid w:val="001B772B"/>
    <w:rsid w:val="001B7859"/>
    <w:rsid w:val="001B788C"/>
    <w:rsid w:val="001B7919"/>
    <w:rsid w:val="001B7B4B"/>
    <w:rsid w:val="001C010E"/>
    <w:rsid w:val="001C0826"/>
    <w:rsid w:val="001C091E"/>
    <w:rsid w:val="001C0A58"/>
    <w:rsid w:val="001C0A90"/>
    <w:rsid w:val="001C0DDE"/>
    <w:rsid w:val="001C0EB7"/>
    <w:rsid w:val="001C0F4D"/>
    <w:rsid w:val="001C1213"/>
    <w:rsid w:val="001C13C1"/>
    <w:rsid w:val="001C154A"/>
    <w:rsid w:val="001C1B22"/>
    <w:rsid w:val="001C1B2F"/>
    <w:rsid w:val="001C1C31"/>
    <w:rsid w:val="001C1DAE"/>
    <w:rsid w:val="001C1FC3"/>
    <w:rsid w:val="001C2103"/>
    <w:rsid w:val="001C2802"/>
    <w:rsid w:val="001C286E"/>
    <w:rsid w:val="001C2A23"/>
    <w:rsid w:val="001C2BBE"/>
    <w:rsid w:val="001C2C48"/>
    <w:rsid w:val="001C30EE"/>
    <w:rsid w:val="001C325A"/>
    <w:rsid w:val="001C3529"/>
    <w:rsid w:val="001C3685"/>
    <w:rsid w:val="001C36B4"/>
    <w:rsid w:val="001C39B1"/>
    <w:rsid w:val="001C39EB"/>
    <w:rsid w:val="001C3C3E"/>
    <w:rsid w:val="001C412F"/>
    <w:rsid w:val="001C4394"/>
    <w:rsid w:val="001C46B1"/>
    <w:rsid w:val="001C474F"/>
    <w:rsid w:val="001C492B"/>
    <w:rsid w:val="001C4D0F"/>
    <w:rsid w:val="001C50A3"/>
    <w:rsid w:val="001C5115"/>
    <w:rsid w:val="001C519C"/>
    <w:rsid w:val="001C5246"/>
    <w:rsid w:val="001C53BA"/>
    <w:rsid w:val="001C5983"/>
    <w:rsid w:val="001C5A6C"/>
    <w:rsid w:val="001C5AF0"/>
    <w:rsid w:val="001C5B19"/>
    <w:rsid w:val="001C5B52"/>
    <w:rsid w:val="001C5BB2"/>
    <w:rsid w:val="001C5EBE"/>
    <w:rsid w:val="001C5F44"/>
    <w:rsid w:val="001C5FD3"/>
    <w:rsid w:val="001C6268"/>
    <w:rsid w:val="001C6348"/>
    <w:rsid w:val="001C64E1"/>
    <w:rsid w:val="001C653F"/>
    <w:rsid w:val="001C6DFF"/>
    <w:rsid w:val="001C76DA"/>
    <w:rsid w:val="001C77F3"/>
    <w:rsid w:val="001C7901"/>
    <w:rsid w:val="001C7AB1"/>
    <w:rsid w:val="001C7CE6"/>
    <w:rsid w:val="001C7D31"/>
    <w:rsid w:val="001D0210"/>
    <w:rsid w:val="001D028A"/>
    <w:rsid w:val="001D0458"/>
    <w:rsid w:val="001D04B8"/>
    <w:rsid w:val="001D05B3"/>
    <w:rsid w:val="001D0911"/>
    <w:rsid w:val="001D0B81"/>
    <w:rsid w:val="001D0CDA"/>
    <w:rsid w:val="001D0FD6"/>
    <w:rsid w:val="001D11DE"/>
    <w:rsid w:val="001D1320"/>
    <w:rsid w:val="001D1457"/>
    <w:rsid w:val="001D1623"/>
    <w:rsid w:val="001D19CB"/>
    <w:rsid w:val="001D1A4F"/>
    <w:rsid w:val="001D1DBE"/>
    <w:rsid w:val="001D1E30"/>
    <w:rsid w:val="001D21C5"/>
    <w:rsid w:val="001D229A"/>
    <w:rsid w:val="001D25D2"/>
    <w:rsid w:val="001D260F"/>
    <w:rsid w:val="001D268E"/>
    <w:rsid w:val="001D287F"/>
    <w:rsid w:val="001D28AB"/>
    <w:rsid w:val="001D2B70"/>
    <w:rsid w:val="001D2D6D"/>
    <w:rsid w:val="001D3513"/>
    <w:rsid w:val="001D36D0"/>
    <w:rsid w:val="001D38EA"/>
    <w:rsid w:val="001D3AB4"/>
    <w:rsid w:val="001D3BB9"/>
    <w:rsid w:val="001D3BC4"/>
    <w:rsid w:val="001D3FA9"/>
    <w:rsid w:val="001D43EB"/>
    <w:rsid w:val="001D4757"/>
    <w:rsid w:val="001D476A"/>
    <w:rsid w:val="001D48B2"/>
    <w:rsid w:val="001D4D26"/>
    <w:rsid w:val="001D510B"/>
    <w:rsid w:val="001D545C"/>
    <w:rsid w:val="001D5476"/>
    <w:rsid w:val="001D5859"/>
    <w:rsid w:val="001D5BD2"/>
    <w:rsid w:val="001D5DEA"/>
    <w:rsid w:val="001D60B2"/>
    <w:rsid w:val="001D635C"/>
    <w:rsid w:val="001D6798"/>
    <w:rsid w:val="001D69DD"/>
    <w:rsid w:val="001D6BB7"/>
    <w:rsid w:val="001D6BEF"/>
    <w:rsid w:val="001D6F35"/>
    <w:rsid w:val="001D72E8"/>
    <w:rsid w:val="001D7ADA"/>
    <w:rsid w:val="001E0172"/>
    <w:rsid w:val="001E044A"/>
    <w:rsid w:val="001E044E"/>
    <w:rsid w:val="001E0532"/>
    <w:rsid w:val="001E05A7"/>
    <w:rsid w:val="001E0708"/>
    <w:rsid w:val="001E0775"/>
    <w:rsid w:val="001E07CB"/>
    <w:rsid w:val="001E0984"/>
    <w:rsid w:val="001E0A4B"/>
    <w:rsid w:val="001E0D00"/>
    <w:rsid w:val="001E0D34"/>
    <w:rsid w:val="001E0DB9"/>
    <w:rsid w:val="001E0E85"/>
    <w:rsid w:val="001E0F9A"/>
    <w:rsid w:val="001E1839"/>
    <w:rsid w:val="001E1907"/>
    <w:rsid w:val="001E23D2"/>
    <w:rsid w:val="001E23F4"/>
    <w:rsid w:val="001E262B"/>
    <w:rsid w:val="001E292E"/>
    <w:rsid w:val="001E2A48"/>
    <w:rsid w:val="001E2D47"/>
    <w:rsid w:val="001E2F77"/>
    <w:rsid w:val="001E3111"/>
    <w:rsid w:val="001E3249"/>
    <w:rsid w:val="001E3314"/>
    <w:rsid w:val="001E33CD"/>
    <w:rsid w:val="001E34E4"/>
    <w:rsid w:val="001E35C8"/>
    <w:rsid w:val="001E377D"/>
    <w:rsid w:val="001E3DE5"/>
    <w:rsid w:val="001E4141"/>
    <w:rsid w:val="001E432D"/>
    <w:rsid w:val="001E459C"/>
    <w:rsid w:val="001E45F0"/>
    <w:rsid w:val="001E4755"/>
    <w:rsid w:val="001E497F"/>
    <w:rsid w:val="001E4B49"/>
    <w:rsid w:val="001E4B6D"/>
    <w:rsid w:val="001E4D5A"/>
    <w:rsid w:val="001E5229"/>
    <w:rsid w:val="001E5479"/>
    <w:rsid w:val="001E547A"/>
    <w:rsid w:val="001E5C93"/>
    <w:rsid w:val="001E5CC6"/>
    <w:rsid w:val="001E5E99"/>
    <w:rsid w:val="001E5F02"/>
    <w:rsid w:val="001E63CC"/>
    <w:rsid w:val="001E6633"/>
    <w:rsid w:val="001E6849"/>
    <w:rsid w:val="001E7141"/>
    <w:rsid w:val="001E72AB"/>
    <w:rsid w:val="001E75FA"/>
    <w:rsid w:val="001E769E"/>
    <w:rsid w:val="001E7928"/>
    <w:rsid w:val="001E7CF4"/>
    <w:rsid w:val="001E7D6B"/>
    <w:rsid w:val="001E7F05"/>
    <w:rsid w:val="001F0045"/>
    <w:rsid w:val="001F00F9"/>
    <w:rsid w:val="001F0626"/>
    <w:rsid w:val="001F095F"/>
    <w:rsid w:val="001F098C"/>
    <w:rsid w:val="001F0A46"/>
    <w:rsid w:val="001F0C8E"/>
    <w:rsid w:val="001F0CF6"/>
    <w:rsid w:val="001F0E02"/>
    <w:rsid w:val="001F0FB3"/>
    <w:rsid w:val="001F1102"/>
    <w:rsid w:val="001F170A"/>
    <w:rsid w:val="001F184F"/>
    <w:rsid w:val="001F1B0A"/>
    <w:rsid w:val="001F1D75"/>
    <w:rsid w:val="001F1E06"/>
    <w:rsid w:val="001F22DC"/>
    <w:rsid w:val="001F2371"/>
    <w:rsid w:val="001F241F"/>
    <w:rsid w:val="001F2502"/>
    <w:rsid w:val="001F2541"/>
    <w:rsid w:val="001F258D"/>
    <w:rsid w:val="001F2627"/>
    <w:rsid w:val="001F2780"/>
    <w:rsid w:val="001F2869"/>
    <w:rsid w:val="001F2B0C"/>
    <w:rsid w:val="001F3081"/>
    <w:rsid w:val="001F3233"/>
    <w:rsid w:val="001F3351"/>
    <w:rsid w:val="001F33DF"/>
    <w:rsid w:val="001F3426"/>
    <w:rsid w:val="001F352B"/>
    <w:rsid w:val="001F3738"/>
    <w:rsid w:val="001F37EE"/>
    <w:rsid w:val="001F3864"/>
    <w:rsid w:val="001F3BCE"/>
    <w:rsid w:val="001F40FD"/>
    <w:rsid w:val="001F426D"/>
    <w:rsid w:val="001F42B1"/>
    <w:rsid w:val="001F4923"/>
    <w:rsid w:val="001F4AF6"/>
    <w:rsid w:val="001F4C87"/>
    <w:rsid w:val="001F4D77"/>
    <w:rsid w:val="001F4DC4"/>
    <w:rsid w:val="001F5602"/>
    <w:rsid w:val="001F5CC9"/>
    <w:rsid w:val="001F5DE8"/>
    <w:rsid w:val="001F5EAD"/>
    <w:rsid w:val="001F6398"/>
    <w:rsid w:val="001F65F2"/>
    <w:rsid w:val="001F6B97"/>
    <w:rsid w:val="001F7102"/>
    <w:rsid w:val="001F72D2"/>
    <w:rsid w:val="001F74A8"/>
    <w:rsid w:val="001F76A9"/>
    <w:rsid w:val="001F7749"/>
    <w:rsid w:val="001F791E"/>
    <w:rsid w:val="001F7A02"/>
    <w:rsid w:val="001F7EF1"/>
    <w:rsid w:val="001F7FA0"/>
    <w:rsid w:val="002003CD"/>
    <w:rsid w:val="002008E3"/>
    <w:rsid w:val="00200D80"/>
    <w:rsid w:val="00200E4D"/>
    <w:rsid w:val="002012E2"/>
    <w:rsid w:val="002014AF"/>
    <w:rsid w:val="0020165F"/>
    <w:rsid w:val="0020170C"/>
    <w:rsid w:val="002017BE"/>
    <w:rsid w:val="00201B60"/>
    <w:rsid w:val="00201E5E"/>
    <w:rsid w:val="00201FE0"/>
    <w:rsid w:val="00202149"/>
    <w:rsid w:val="00202314"/>
    <w:rsid w:val="002025DC"/>
    <w:rsid w:val="0020265A"/>
    <w:rsid w:val="002027A7"/>
    <w:rsid w:val="002027E5"/>
    <w:rsid w:val="00202907"/>
    <w:rsid w:val="00202B6C"/>
    <w:rsid w:val="00202C9A"/>
    <w:rsid w:val="00202D3C"/>
    <w:rsid w:val="00202E76"/>
    <w:rsid w:val="00202E80"/>
    <w:rsid w:val="0020306A"/>
    <w:rsid w:val="002031D7"/>
    <w:rsid w:val="00203241"/>
    <w:rsid w:val="002042B1"/>
    <w:rsid w:val="002042C7"/>
    <w:rsid w:val="00204324"/>
    <w:rsid w:val="00204735"/>
    <w:rsid w:val="00204903"/>
    <w:rsid w:val="0020497B"/>
    <w:rsid w:val="00204B8D"/>
    <w:rsid w:val="00204CF4"/>
    <w:rsid w:val="00205074"/>
    <w:rsid w:val="00205149"/>
    <w:rsid w:val="002051A1"/>
    <w:rsid w:val="00205301"/>
    <w:rsid w:val="002059F4"/>
    <w:rsid w:val="00205B0C"/>
    <w:rsid w:val="00205BBF"/>
    <w:rsid w:val="002060A8"/>
    <w:rsid w:val="0020631D"/>
    <w:rsid w:val="00206494"/>
    <w:rsid w:val="00206762"/>
    <w:rsid w:val="00206D57"/>
    <w:rsid w:val="00206DD8"/>
    <w:rsid w:val="00206EAC"/>
    <w:rsid w:val="00206ED1"/>
    <w:rsid w:val="0020719E"/>
    <w:rsid w:val="0020767F"/>
    <w:rsid w:val="00207999"/>
    <w:rsid w:val="00207C27"/>
    <w:rsid w:val="00207F70"/>
    <w:rsid w:val="00207FDE"/>
    <w:rsid w:val="00210864"/>
    <w:rsid w:val="00210A12"/>
    <w:rsid w:val="00210B29"/>
    <w:rsid w:val="00210D05"/>
    <w:rsid w:val="00210F6E"/>
    <w:rsid w:val="00210FF8"/>
    <w:rsid w:val="0021120B"/>
    <w:rsid w:val="0021158E"/>
    <w:rsid w:val="002116FF"/>
    <w:rsid w:val="00211820"/>
    <w:rsid w:val="00211923"/>
    <w:rsid w:val="00211BBB"/>
    <w:rsid w:val="0021207D"/>
    <w:rsid w:val="002126A5"/>
    <w:rsid w:val="0021271B"/>
    <w:rsid w:val="00212C89"/>
    <w:rsid w:val="00212D87"/>
    <w:rsid w:val="00212E1B"/>
    <w:rsid w:val="00212E79"/>
    <w:rsid w:val="002131AA"/>
    <w:rsid w:val="0021349E"/>
    <w:rsid w:val="00213919"/>
    <w:rsid w:val="00213FA3"/>
    <w:rsid w:val="00214037"/>
    <w:rsid w:val="00214115"/>
    <w:rsid w:val="002143A8"/>
    <w:rsid w:val="002147C5"/>
    <w:rsid w:val="00214D01"/>
    <w:rsid w:val="00214DAA"/>
    <w:rsid w:val="00214E1E"/>
    <w:rsid w:val="00215688"/>
    <w:rsid w:val="00215E12"/>
    <w:rsid w:val="002166FF"/>
    <w:rsid w:val="0021678F"/>
    <w:rsid w:val="00216A11"/>
    <w:rsid w:val="00216ACA"/>
    <w:rsid w:val="00216C9E"/>
    <w:rsid w:val="00216CE5"/>
    <w:rsid w:val="00216DA8"/>
    <w:rsid w:val="00216E68"/>
    <w:rsid w:val="00216FEA"/>
    <w:rsid w:val="002171B3"/>
    <w:rsid w:val="0021763F"/>
    <w:rsid w:val="0021765E"/>
    <w:rsid w:val="00217733"/>
    <w:rsid w:val="00217C84"/>
    <w:rsid w:val="00220024"/>
    <w:rsid w:val="00220035"/>
    <w:rsid w:val="002202C6"/>
    <w:rsid w:val="002202F7"/>
    <w:rsid w:val="00220375"/>
    <w:rsid w:val="002203FE"/>
    <w:rsid w:val="00220564"/>
    <w:rsid w:val="002206CA"/>
    <w:rsid w:val="002207A0"/>
    <w:rsid w:val="00220AB8"/>
    <w:rsid w:val="00221034"/>
    <w:rsid w:val="00221446"/>
    <w:rsid w:val="00221481"/>
    <w:rsid w:val="00221483"/>
    <w:rsid w:val="0022156B"/>
    <w:rsid w:val="00221626"/>
    <w:rsid w:val="00221644"/>
    <w:rsid w:val="002218BC"/>
    <w:rsid w:val="0022192C"/>
    <w:rsid w:val="002219D0"/>
    <w:rsid w:val="00221AB5"/>
    <w:rsid w:val="00221B59"/>
    <w:rsid w:val="00221D08"/>
    <w:rsid w:val="00221DAD"/>
    <w:rsid w:val="00221DCD"/>
    <w:rsid w:val="00221DDE"/>
    <w:rsid w:val="002220C6"/>
    <w:rsid w:val="00222603"/>
    <w:rsid w:val="00222D4A"/>
    <w:rsid w:val="00222DAF"/>
    <w:rsid w:val="00222DFE"/>
    <w:rsid w:val="002233CC"/>
    <w:rsid w:val="00223917"/>
    <w:rsid w:val="00223BDA"/>
    <w:rsid w:val="00223CE8"/>
    <w:rsid w:val="00223E1F"/>
    <w:rsid w:val="00223F79"/>
    <w:rsid w:val="0022471E"/>
    <w:rsid w:val="0022488F"/>
    <w:rsid w:val="00224CAA"/>
    <w:rsid w:val="00224CB3"/>
    <w:rsid w:val="00225141"/>
    <w:rsid w:val="00225748"/>
    <w:rsid w:val="00225874"/>
    <w:rsid w:val="00225AD0"/>
    <w:rsid w:val="00225EB9"/>
    <w:rsid w:val="00225FE2"/>
    <w:rsid w:val="002260A8"/>
    <w:rsid w:val="002261FD"/>
    <w:rsid w:val="002269DE"/>
    <w:rsid w:val="00226A06"/>
    <w:rsid w:val="00226AAF"/>
    <w:rsid w:val="00226B72"/>
    <w:rsid w:val="00226BCE"/>
    <w:rsid w:val="00226E8C"/>
    <w:rsid w:val="00227010"/>
    <w:rsid w:val="0022703F"/>
    <w:rsid w:val="00227144"/>
    <w:rsid w:val="00227341"/>
    <w:rsid w:val="00227783"/>
    <w:rsid w:val="002278ED"/>
    <w:rsid w:val="0022794D"/>
    <w:rsid w:val="00227A98"/>
    <w:rsid w:val="00230207"/>
    <w:rsid w:val="00230472"/>
    <w:rsid w:val="002304A2"/>
    <w:rsid w:val="002304B6"/>
    <w:rsid w:val="002305CD"/>
    <w:rsid w:val="00230753"/>
    <w:rsid w:val="0023075D"/>
    <w:rsid w:val="002307AE"/>
    <w:rsid w:val="00230A27"/>
    <w:rsid w:val="00230A64"/>
    <w:rsid w:val="00230EF4"/>
    <w:rsid w:val="0023103B"/>
    <w:rsid w:val="00231072"/>
    <w:rsid w:val="0023123D"/>
    <w:rsid w:val="00231310"/>
    <w:rsid w:val="00231577"/>
    <w:rsid w:val="00231AE5"/>
    <w:rsid w:val="00231BD4"/>
    <w:rsid w:val="00231C60"/>
    <w:rsid w:val="00231D4E"/>
    <w:rsid w:val="00232351"/>
    <w:rsid w:val="0023240D"/>
    <w:rsid w:val="002325EA"/>
    <w:rsid w:val="00232709"/>
    <w:rsid w:val="00232C50"/>
    <w:rsid w:val="00232D49"/>
    <w:rsid w:val="00232D9E"/>
    <w:rsid w:val="00232DB6"/>
    <w:rsid w:val="00232E96"/>
    <w:rsid w:val="00233488"/>
    <w:rsid w:val="0023354D"/>
    <w:rsid w:val="002336BC"/>
    <w:rsid w:val="00233844"/>
    <w:rsid w:val="00233A51"/>
    <w:rsid w:val="00233C14"/>
    <w:rsid w:val="00233DEB"/>
    <w:rsid w:val="00234076"/>
    <w:rsid w:val="002343F6"/>
    <w:rsid w:val="00234738"/>
    <w:rsid w:val="00234814"/>
    <w:rsid w:val="002348FC"/>
    <w:rsid w:val="0023495D"/>
    <w:rsid w:val="00234B76"/>
    <w:rsid w:val="00234D98"/>
    <w:rsid w:val="00234DA2"/>
    <w:rsid w:val="00234E14"/>
    <w:rsid w:val="00234FBA"/>
    <w:rsid w:val="00235093"/>
    <w:rsid w:val="002353EA"/>
    <w:rsid w:val="002357A1"/>
    <w:rsid w:val="00235A9E"/>
    <w:rsid w:val="00235DD7"/>
    <w:rsid w:val="00235ED3"/>
    <w:rsid w:val="0023602A"/>
    <w:rsid w:val="00236136"/>
    <w:rsid w:val="00236317"/>
    <w:rsid w:val="00236761"/>
    <w:rsid w:val="002367E5"/>
    <w:rsid w:val="00236888"/>
    <w:rsid w:val="00236B5E"/>
    <w:rsid w:val="00236C0A"/>
    <w:rsid w:val="00236E23"/>
    <w:rsid w:val="00236EC8"/>
    <w:rsid w:val="00237268"/>
    <w:rsid w:val="0023752C"/>
    <w:rsid w:val="002375E7"/>
    <w:rsid w:val="0023781A"/>
    <w:rsid w:val="002378D0"/>
    <w:rsid w:val="00237A53"/>
    <w:rsid w:val="00237EFD"/>
    <w:rsid w:val="00237F50"/>
    <w:rsid w:val="0024015D"/>
    <w:rsid w:val="0024036F"/>
    <w:rsid w:val="0024037B"/>
    <w:rsid w:val="002408DA"/>
    <w:rsid w:val="00240C6B"/>
    <w:rsid w:val="00240DCF"/>
    <w:rsid w:val="00240F79"/>
    <w:rsid w:val="0024108F"/>
    <w:rsid w:val="002411A6"/>
    <w:rsid w:val="002411DB"/>
    <w:rsid w:val="002415E5"/>
    <w:rsid w:val="00241842"/>
    <w:rsid w:val="00241967"/>
    <w:rsid w:val="00241C7D"/>
    <w:rsid w:val="002423F6"/>
    <w:rsid w:val="0024298C"/>
    <w:rsid w:val="0024299E"/>
    <w:rsid w:val="00242AD5"/>
    <w:rsid w:val="00242F7E"/>
    <w:rsid w:val="00242FF5"/>
    <w:rsid w:val="00243151"/>
    <w:rsid w:val="0024316D"/>
    <w:rsid w:val="0024330B"/>
    <w:rsid w:val="00243476"/>
    <w:rsid w:val="002439DC"/>
    <w:rsid w:val="00244AF7"/>
    <w:rsid w:val="00244BD2"/>
    <w:rsid w:val="00244D8C"/>
    <w:rsid w:val="00244F91"/>
    <w:rsid w:val="002450DA"/>
    <w:rsid w:val="0024515E"/>
    <w:rsid w:val="00245354"/>
    <w:rsid w:val="002457CA"/>
    <w:rsid w:val="00245A00"/>
    <w:rsid w:val="00245D47"/>
    <w:rsid w:val="00245DB1"/>
    <w:rsid w:val="002461AC"/>
    <w:rsid w:val="002462E4"/>
    <w:rsid w:val="002466A1"/>
    <w:rsid w:val="002467AB"/>
    <w:rsid w:val="00246A3B"/>
    <w:rsid w:val="00246CEA"/>
    <w:rsid w:val="00246CF2"/>
    <w:rsid w:val="00247052"/>
    <w:rsid w:val="002475D1"/>
    <w:rsid w:val="002477B3"/>
    <w:rsid w:val="00247800"/>
    <w:rsid w:val="002478DA"/>
    <w:rsid w:val="00247CB4"/>
    <w:rsid w:val="00247D74"/>
    <w:rsid w:val="00247EFA"/>
    <w:rsid w:val="00250268"/>
    <w:rsid w:val="002503BE"/>
    <w:rsid w:val="0025058C"/>
    <w:rsid w:val="00250956"/>
    <w:rsid w:val="002509FE"/>
    <w:rsid w:val="00250C03"/>
    <w:rsid w:val="002513CB"/>
    <w:rsid w:val="002514B1"/>
    <w:rsid w:val="0025196E"/>
    <w:rsid w:val="00251E94"/>
    <w:rsid w:val="00251FB2"/>
    <w:rsid w:val="00251FFF"/>
    <w:rsid w:val="00252088"/>
    <w:rsid w:val="00252130"/>
    <w:rsid w:val="002524F1"/>
    <w:rsid w:val="0025259E"/>
    <w:rsid w:val="002525EF"/>
    <w:rsid w:val="002529B2"/>
    <w:rsid w:val="00252AB4"/>
    <w:rsid w:val="00252CA4"/>
    <w:rsid w:val="00252E3A"/>
    <w:rsid w:val="00252EC5"/>
    <w:rsid w:val="00253215"/>
    <w:rsid w:val="002535B5"/>
    <w:rsid w:val="002536DE"/>
    <w:rsid w:val="00253808"/>
    <w:rsid w:val="0025394B"/>
    <w:rsid w:val="0025396F"/>
    <w:rsid w:val="00253A29"/>
    <w:rsid w:val="00253AA3"/>
    <w:rsid w:val="00253AC5"/>
    <w:rsid w:val="00253BFA"/>
    <w:rsid w:val="00253D6B"/>
    <w:rsid w:val="00253DE8"/>
    <w:rsid w:val="00253E1D"/>
    <w:rsid w:val="00253E77"/>
    <w:rsid w:val="00253FA0"/>
    <w:rsid w:val="00253FEE"/>
    <w:rsid w:val="0025402B"/>
    <w:rsid w:val="0025433B"/>
    <w:rsid w:val="00254636"/>
    <w:rsid w:val="00254BE6"/>
    <w:rsid w:val="00254CE3"/>
    <w:rsid w:val="00254D26"/>
    <w:rsid w:val="00254DE4"/>
    <w:rsid w:val="00254FA2"/>
    <w:rsid w:val="0025526A"/>
    <w:rsid w:val="00255304"/>
    <w:rsid w:val="00255380"/>
    <w:rsid w:val="002555AD"/>
    <w:rsid w:val="00255D17"/>
    <w:rsid w:val="00255D9C"/>
    <w:rsid w:val="00255DAF"/>
    <w:rsid w:val="00255DBD"/>
    <w:rsid w:val="00256188"/>
    <w:rsid w:val="00256298"/>
    <w:rsid w:val="002562CF"/>
    <w:rsid w:val="00256401"/>
    <w:rsid w:val="002565C0"/>
    <w:rsid w:val="002565F1"/>
    <w:rsid w:val="00256800"/>
    <w:rsid w:val="002568B8"/>
    <w:rsid w:val="00256C39"/>
    <w:rsid w:val="00256E24"/>
    <w:rsid w:val="00257C2A"/>
    <w:rsid w:val="00257C2D"/>
    <w:rsid w:val="00257E71"/>
    <w:rsid w:val="002600D9"/>
    <w:rsid w:val="0026028D"/>
    <w:rsid w:val="0026036F"/>
    <w:rsid w:val="00260685"/>
    <w:rsid w:val="00260697"/>
    <w:rsid w:val="002606E6"/>
    <w:rsid w:val="0026122C"/>
    <w:rsid w:val="002613E6"/>
    <w:rsid w:val="002616FC"/>
    <w:rsid w:val="002617CF"/>
    <w:rsid w:val="00261A9F"/>
    <w:rsid w:val="00261C89"/>
    <w:rsid w:val="00262004"/>
    <w:rsid w:val="00262075"/>
    <w:rsid w:val="0026208B"/>
    <w:rsid w:val="002621A9"/>
    <w:rsid w:val="00262378"/>
    <w:rsid w:val="002625B9"/>
    <w:rsid w:val="00262613"/>
    <w:rsid w:val="0026264E"/>
    <w:rsid w:val="00262651"/>
    <w:rsid w:val="00262985"/>
    <w:rsid w:val="00262D79"/>
    <w:rsid w:val="00262E31"/>
    <w:rsid w:val="00263010"/>
    <w:rsid w:val="0026323F"/>
    <w:rsid w:val="00263356"/>
    <w:rsid w:val="00263967"/>
    <w:rsid w:val="00263D00"/>
    <w:rsid w:val="00263D18"/>
    <w:rsid w:val="00263DF2"/>
    <w:rsid w:val="00263ED8"/>
    <w:rsid w:val="00263F7E"/>
    <w:rsid w:val="0026463E"/>
    <w:rsid w:val="002649FF"/>
    <w:rsid w:val="00264BE5"/>
    <w:rsid w:val="00264C72"/>
    <w:rsid w:val="00264CF0"/>
    <w:rsid w:val="00264D70"/>
    <w:rsid w:val="00264E78"/>
    <w:rsid w:val="002650D8"/>
    <w:rsid w:val="0026532E"/>
    <w:rsid w:val="00265E58"/>
    <w:rsid w:val="00265F4B"/>
    <w:rsid w:val="002661FD"/>
    <w:rsid w:val="00266243"/>
    <w:rsid w:val="00266281"/>
    <w:rsid w:val="002662AE"/>
    <w:rsid w:val="002665D2"/>
    <w:rsid w:val="002665F1"/>
    <w:rsid w:val="002668A9"/>
    <w:rsid w:val="00266C11"/>
    <w:rsid w:val="00266C3B"/>
    <w:rsid w:val="00266E6A"/>
    <w:rsid w:val="00266F44"/>
    <w:rsid w:val="00267018"/>
    <w:rsid w:val="00267118"/>
    <w:rsid w:val="00267367"/>
    <w:rsid w:val="0026753F"/>
    <w:rsid w:val="0026774E"/>
    <w:rsid w:val="002677DA"/>
    <w:rsid w:val="002679FF"/>
    <w:rsid w:val="00270052"/>
    <w:rsid w:val="00270285"/>
    <w:rsid w:val="00270708"/>
    <w:rsid w:val="0027083A"/>
    <w:rsid w:val="002709B4"/>
    <w:rsid w:val="00270AA2"/>
    <w:rsid w:val="00270C8C"/>
    <w:rsid w:val="00270D37"/>
    <w:rsid w:val="00270D3F"/>
    <w:rsid w:val="00270FCC"/>
    <w:rsid w:val="0027108D"/>
    <w:rsid w:val="002710E8"/>
    <w:rsid w:val="002719D3"/>
    <w:rsid w:val="00271ABD"/>
    <w:rsid w:val="00271E42"/>
    <w:rsid w:val="00271E8F"/>
    <w:rsid w:val="002720F4"/>
    <w:rsid w:val="00272111"/>
    <w:rsid w:val="00272319"/>
    <w:rsid w:val="0027262C"/>
    <w:rsid w:val="00272A01"/>
    <w:rsid w:val="00272ADE"/>
    <w:rsid w:val="00272B60"/>
    <w:rsid w:val="00272BA3"/>
    <w:rsid w:val="00272F1D"/>
    <w:rsid w:val="0027306B"/>
    <w:rsid w:val="0027315D"/>
    <w:rsid w:val="00273773"/>
    <w:rsid w:val="00273D18"/>
    <w:rsid w:val="00273F34"/>
    <w:rsid w:val="00274072"/>
    <w:rsid w:val="002741E2"/>
    <w:rsid w:val="002743FD"/>
    <w:rsid w:val="002746EA"/>
    <w:rsid w:val="0027486A"/>
    <w:rsid w:val="00274C7B"/>
    <w:rsid w:val="00274CA1"/>
    <w:rsid w:val="00274E90"/>
    <w:rsid w:val="002751E7"/>
    <w:rsid w:val="00275315"/>
    <w:rsid w:val="00275815"/>
    <w:rsid w:val="00275B17"/>
    <w:rsid w:val="00275BD9"/>
    <w:rsid w:val="00275BF3"/>
    <w:rsid w:val="00275C0A"/>
    <w:rsid w:val="00275D60"/>
    <w:rsid w:val="00275DEE"/>
    <w:rsid w:val="0027641F"/>
    <w:rsid w:val="00276421"/>
    <w:rsid w:val="002765EA"/>
    <w:rsid w:val="0027691D"/>
    <w:rsid w:val="00276DE8"/>
    <w:rsid w:val="00276E71"/>
    <w:rsid w:val="00276EA0"/>
    <w:rsid w:val="00276FA8"/>
    <w:rsid w:val="002772C8"/>
    <w:rsid w:val="002773DE"/>
    <w:rsid w:val="00277408"/>
    <w:rsid w:val="0027743F"/>
    <w:rsid w:val="0027753E"/>
    <w:rsid w:val="002775D0"/>
    <w:rsid w:val="0027775A"/>
    <w:rsid w:val="00277857"/>
    <w:rsid w:val="00277B0E"/>
    <w:rsid w:val="00277B32"/>
    <w:rsid w:val="00277DCA"/>
    <w:rsid w:val="00277EDE"/>
    <w:rsid w:val="00280082"/>
    <w:rsid w:val="002801F1"/>
    <w:rsid w:val="002805A4"/>
    <w:rsid w:val="0028065C"/>
    <w:rsid w:val="002808A7"/>
    <w:rsid w:val="00280BCE"/>
    <w:rsid w:val="00280E86"/>
    <w:rsid w:val="00280ED1"/>
    <w:rsid w:val="00280FEC"/>
    <w:rsid w:val="00281035"/>
    <w:rsid w:val="00281420"/>
    <w:rsid w:val="00281765"/>
    <w:rsid w:val="00281DEB"/>
    <w:rsid w:val="00282110"/>
    <w:rsid w:val="002826BA"/>
    <w:rsid w:val="00282956"/>
    <w:rsid w:val="0028298F"/>
    <w:rsid w:val="00282FDF"/>
    <w:rsid w:val="0028303C"/>
    <w:rsid w:val="002830D5"/>
    <w:rsid w:val="0028324B"/>
    <w:rsid w:val="0028381A"/>
    <w:rsid w:val="002838D7"/>
    <w:rsid w:val="00283DF3"/>
    <w:rsid w:val="00283E2C"/>
    <w:rsid w:val="00284090"/>
    <w:rsid w:val="00284309"/>
    <w:rsid w:val="0028458A"/>
    <w:rsid w:val="00284765"/>
    <w:rsid w:val="00284A9F"/>
    <w:rsid w:val="00284CD7"/>
    <w:rsid w:val="00284DB5"/>
    <w:rsid w:val="002853C1"/>
    <w:rsid w:val="00285557"/>
    <w:rsid w:val="00285BCC"/>
    <w:rsid w:val="00285ED1"/>
    <w:rsid w:val="00286101"/>
    <w:rsid w:val="00286222"/>
    <w:rsid w:val="002862D2"/>
    <w:rsid w:val="0028646A"/>
    <w:rsid w:val="002864E9"/>
    <w:rsid w:val="002865B4"/>
    <w:rsid w:val="00286DF6"/>
    <w:rsid w:val="00286E65"/>
    <w:rsid w:val="00286F47"/>
    <w:rsid w:val="002871F7"/>
    <w:rsid w:val="00287307"/>
    <w:rsid w:val="00287427"/>
    <w:rsid w:val="002875E7"/>
    <w:rsid w:val="00287683"/>
    <w:rsid w:val="0028783A"/>
    <w:rsid w:val="002878B1"/>
    <w:rsid w:val="00287954"/>
    <w:rsid w:val="00287F14"/>
    <w:rsid w:val="00287F59"/>
    <w:rsid w:val="00290756"/>
    <w:rsid w:val="00290AD5"/>
    <w:rsid w:val="002915D9"/>
    <w:rsid w:val="00291C2E"/>
    <w:rsid w:val="00292194"/>
    <w:rsid w:val="002921F0"/>
    <w:rsid w:val="002928C3"/>
    <w:rsid w:val="00292B15"/>
    <w:rsid w:val="00292D6B"/>
    <w:rsid w:val="0029346F"/>
    <w:rsid w:val="00293ACF"/>
    <w:rsid w:val="00293DAD"/>
    <w:rsid w:val="00294237"/>
    <w:rsid w:val="00294328"/>
    <w:rsid w:val="00294632"/>
    <w:rsid w:val="002946AA"/>
    <w:rsid w:val="002948A3"/>
    <w:rsid w:val="00294983"/>
    <w:rsid w:val="00294EE0"/>
    <w:rsid w:val="00294F7C"/>
    <w:rsid w:val="00294F8B"/>
    <w:rsid w:val="00295134"/>
    <w:rsid w:val="002951EE"/>
    <w:rsid w:val="00295279"/>
    <w:rsid w:val="00295436"/>
    <w:rsid w:val="002955DC"/>
    <w:rsid w:val="002958F9"/>
    <w:rsid w:val="00295BB8"/>
    <w:rsid w:val="00296247"/>
    <w:rsid w:val="00296383"/>
    <w:rsid w:val="00296428"/>
    <w:rsid w:val="00296529"/>
    <w:rsid w:val="002965C7"/>
    <w:rsid w:val="00296868"/>
    <w:rsid w:val="00296A4F"/>
    <w:rsid w:val="00296ABB"/>
    <w:rsid w:val="00296AD8"/>
    <w:rsid w:val="00296B2C"/>
    <w:rsid w:val="00296CD1"/>
    <w:rsid w:val="002973CE"/>
    <w:rsid w:val="002975E5"/>
    <w:rsid w:val="0029771B"/>
    <w:rsid w:val="00297AA7"/>
    <w:rsid w:val="00297CDB"/>
    <w:rsid w:val="00297DD8"/>
    <w:rsid w:val="00297E1D"/>
    <w:rsid w:val="002A021D"/>
    <w:rsid w:val="002A02C4"/>
    <w:rsid w:val="002A037A"/>
    <w:rsid w:val="002A0517"/>
    <w:rsid w:val="002A0BF3"/>
    <w:rsid w:val="002A1032"/>
    <w:rsid w:val="002A116A"/>
    <w:rsid w:val="002A13FB"/>
    <w:rsid w:val="002A1470"/>
    <w:rsid w:val="002A1B99"/>
    <w:rsid w:val="002A1E95"/>
    <w:rsid w:val="002A220A"/>
    <w:rsid w:val="002A225E"/>
    <w:rsid w:val="002A22C2"/>
    <w:rsid w:val="002A283B"/>
    <w:rsid w:val="002A287E"/>
    <w:rsid w:val="002A289A"/>
    <w:rsid w:val="002A2B0D"/>
    <w:rsid w:val="002A2C05"/>
    <w:rsid w:val="002A2EC1"/>
    <w:rsid w:val="002A3055"/>
    <w:rsid w:val="002A30CC"/>
    <w:rsid w:val="002A3505"/>
    <w:rsid w:val="002A360A"/>
    <w:rsid w:val="002A3CAA"/>
    <w:rsid w:val="002A3CF6"/>
    <w:rsid w:val="002A3E17"/>
    <w:rsid w:val="002A40E2"/>
    <w:rsid w:val="002A4825"/>
    <w:rsid w:val="002A4EAC"/>
    <w:rsid w:val="002A4EE4"/>
    <w:rsid w:val="002A5202"/>
    <w:rsid w:val="002A534C"/>
    <w:rsid w:val="002A54BD"/>
    <w:rsid w:val="002A6191"/>
    <w:rsid w:val="002A6343"/>
    <w:rsid w:val="002A64E5"/>
    <w:rsid w:val="002A6572"/>
    <w:rsid w:val="002A6A7C"/>
    <w:rsid w:val="002A6C2E"/>
    <w:rsid w:val="002A7632"/>
    <w:rsid w:val="002A7DFC"/>
    <w:rsid w:val="002B011C"/>
    <w:rsid w:val="002B0125"/>
    <w:rsid w:val="002B019F"/>
    <w:rsid w:val="002B0587"/>
    <w:rsid w:val="002B0736"/>
    <w:rsid w:val="002B0784"/>
    <w:rsid w:val="002B0A16"/>
    <w:rsid w:val="002B0D3F"/>
    <w:rsid w:val="002B1153"/>
    <w:rsid w:val="002B11E5"/>
    <w:rsid w:val="002B12AD"/>
    <w:rsid w:val="002B14ED"/>
    <w:rsid w:val="002B17B3"/>
    <w:rsid w:val="002B1C85"/>
    <w:rsid w:val="002B2652"/>
    <w:rsid w:val="002B2737"/>
    <w:rsid w:val="002B28FD"/>
    <w:rsid w:val="002B2950"/>
    <w:rsid w:val="002B2D13"/>
    <w:rsid w:val="002B31AE"/>
    <w:rsid w:val="002B3555"/>
    <w:rsid w:val="002B35BE"/>
    <w:rsid w:val="002B364F"/>
    <w:rsid w:val="002B3DC9"/>
    <w:rsid w:val="002B44E1"/>
    <w:rsid w:val="002B4528"/>
    <w:rsid w:val="002B452B"/>
    <w:rsid w:val="002B453B"/>
    <w:rsid w:val="002B4CD6"/>
    <w:rsid w:val="002B4DA2"/>
    <w:rsid w:val="002B4EDC"/>
    <w:rsid w:val="002B5090"/>
    <w:rsid w:val="002B5397"/>
    <w:rsid w:val="002B54F6"/>
    <w:rsid w:val="002B5777"/>
    <w:rsid w:val="002B5A80"/>
    <w:rsid w:val="002B5DF3"/>
    <w:rsid w:val="002B5FE5"/>
    <w:rsid w:val="002B6012"/>
    <w:rsid w:val="002B6091"/>
    <w:rsid w:val="002B6153"/>
    <w:rsid w:val="002B6249"/>
    <w:rsid w:val="002B64B9"/>
    <w:rsid w:val="002B664F"/>
    <w:rsid w:val="002B669F"/>
    <w:rsid w:val="002B66B3"/>
    <w:rsid w:val="002B678A"/>
    <w:rsid w:val="002B6DD5"/>
    <w:rsid w:val="002B6E61"/>
    <w:rsid w:val="002B6F30"/>
    <w:rsid w:val="002B71AA"/>
    <w:rsid w:val="002B7342"/>
    <w:rsid w:val="002B7682"/>
    <w:rsid w:val="002B76F3"/>
    <w:rsid w:val="002B77E6"/>
    <w:rsid w:val="002B7D95"/>
    <w:rsid w:val="002B7FEB"/>
    <w:rsid w:val="002C0090"/>
    <w:rsid w:val="002C01A2"/>
    <w:rsid w:val="002C022C"/>
    <w:rsid w:val="002C0482"/>
    <w:rsid w:val="002C0DB7"/>
    <w:rsid w:val="002C0DBD"/>
    <w:rsid w:val="002C1112"/>
    <w:rsid w:val="002C11B5"/>
    <w:rsid w:val="002C1328"/>
    <w:rsid w:val="002C140F"/>
    <w:rsid w:val="002C1446"/>
    <w:rsid w:val="002C17A0"/>
    <w:rsid w:val="002C1844"/>
    <w:rsid w:val="002C1A05"/>
    <w:rsid w:val="002C1B15"/>
    <w:rsid w:val="002C1DA9"/>
    <w:rsid w:val="002C1EA7"/>
    <w:rsid w:val="002C1ED9"/>
    <w:rsid w:val="002C219D"/>
    <w:rsid w:val="002C2235"/>
    <w:rsid w:val="002C261E"/>
    <w:rsid w:val="002C266C"/>
    <w:rsid w:val="002C2836"/>
    <w:rsid w:val="002C284F"/>
    <w:rsid w:val="002C2992"/>
    <w:rsid w:val="002C30E8"/>
    <w:rsid w:val="002C3940"/>
    <w:rsid w:val="002C3A87"/>
    <w:rsid w:val="002C3EA2"/>
    <w:rsid w:val="002C4070"/>
    <w:rsid w:val="002C42FF"/>
    <w:rsid w:val="002C4302"/>
    <w:rsid w:val="002C43EE"/>
    <w:rsid w:val="002C4696"/>
    <w:rsid w:val="002C48AA"/>
    <w:rsid w:val="002C4A4D"/>
    <w:rsid w:val="002C4BCD"/>
    <w:rsid w:val="002C4CFC"/>
    <w:rsid w:val="002C5011"/>
    <w:rsid w:val="002C5630"/>
    <w:rsid w:val="002C5B33"/>
    <w:rsid w:val="002C5C73"/>
    <w:rsid w:val="002C5DA0"/>
    <w:rsid w:val="002C5DF1"/>
    <w:rsid w:val="002C5DF5"/>
    <w:rsid w:val="002C5FB7"/>
    <w:rsid w:val="002C5FCB"/>
    <w:rsid w:val="002C6054"/>
    <w:rsid w:val="002C6135"/>
    <w:rsid w:val="002C63AB"/>
    <w:rsid w:val="002C6692"/>
    <w:rsid w:val="002C6708"/>
    <w:rsid w:val="002C67B9"/>
    <w:rsid w:val="002C6F33"/>
    <w:rsid w:val="002C7100"/>
    <w:rsid w:val="002C716E"/>
    <w:rsid w:val="002C732A"/>
    <w:rsid w:val="002C7584"/>
    <w:rsid w:val="002C7958"/>
    <w:rsid w:val="002C7D39"/>
    <w:rsid w:val="002C7DA2"/>
    <w:rsid w:val="002C7EEC"/>
    <w:rsid w:val="002D0031"/>
    <w:rsid w:val="002D0122"/>
    <w:rsid w:val="002D05EB"/>
    <w:rsid w:val="002D0645"/>
    <w:rsid w:val="002D0AB3"/>
    <w:rsid w:val="002D0BE6"/>
    <w:rsid w:val="002D1163"/>
    <w:rsid w:val="002D11A9"/>
    <w:rsid w:val="002D12DD"/>
    <w:rsid w:val="002D1875"/>
    <w:rsid w:val="002D19E6"/>
    <w:rsid w:val="002D1A36"/>
    <w:rsid w:val="002D1C40"/>
    <w:rsid w:val="002D1CD7"/>
    <w:rsid w:val="002D1DDD"/>
    <w:rsid w:val="002D1F0E"/>
    <w:rsid w:val="002D2015"/>
    <w:rsid w:val="002D21F0"/>
    <w:rsid w:val="002D232D"/>
    <w:rsid w:val="002D2358"/>
    <w:rsid w:val="002D251C"/>
    <w:rsid w:val="002D2558"/>
    <w:rsid w:val="002D269A"/>
    <w:rsid w:val="002D2907"/>
    <w:rsid w:val="002D2A79"/>
    <w:rsid w:val="002D2B43"/>
    <w:rsid w:val="002D2C2F"/>
    <w:rsid w:val="002D2EDC"/>
    <w:rsid w:val="002D2EF9"/>
    <w:rsid w:val="002D3041"/>
    <w:rsid w:val="002D31D4"/>
    <w:rsid w:val="002D335A"/>
    <w:rsid w:val="002D3606"/>
    <w:rsid w:val="002D3789"/>
    <w:rsid w:val="002D395B"/>
    <w:rsid w:val="002D3D88"/>
    <w:rsid w:val="002D3ED6"/>
    <w:rsid w:val="002D4222"/>
    <w:rsid w:val="002D4453"/>
    <w:rsid w:val="002D45E7"/>
    <w:rsid w:val="002D4AF6"/>
    <w:rsid w:val="002D4D19"/>
    <w:rsid w:val="002D4D72"/>
    <w:rsid w:val="002D545C"/>
    <w:rsid w:val="002D5CCC"/>
    <w:rsid w:val="002D5DB7"/>
    <w:rsid w:val="002D5F41"/>
    <w:rsid w:val="002D6447"/>
    <w:rsid w:val="002D6601"/>
    <w:rsid w:val="002D6680"/>
    <w:rsid w:val="002D679C"/>
    <w:rsid w:val="002D6CB7"/>
    <w:rsid w:val="002D6D3D"/>
    <w:rsid w:val="002D70F5"/>
    <w:rsid w:val="002D72EB"/>
    <w:rsid w:val="002D7455"/>
    <w:rsid w:val="002D76A7"/>
    <w:rsid w:val="002D7876"/>
    <w:rsid w:val="002D7AA9"/>
    <w:rsid w:val="002D7B27"/>
    <w:rsid w:val="002D7D4B"/>
    <w:rsid w:val="002E01EA"/>
    <w:rsid w:val="002E09D8"/>
    <w:rsid w:val="002E1488"/>
    <w:rsid w:val="002E1650"/>
    <w:rsid w:val="002E1739"/>
    <w:rsid w:val="002E189E"/>
    <w:rsid w:val="002E1CE8"/>
    <w:rsid w:val="002E1EE5"/>
    <w:rsid w:val="002E2028"/>
    <w:rsid w:val="002E21B8"/>
    <w:rsid w:val="002E21E9"/>
    <w:rsid w:val="002E21EB"/>
    <w:rsid w:val="002E235B"/>
    <w:rsid w:val="002E23FA"/>
    <w:rsid w:val="002E25FB"/>
    <w:rsid w:val="002E27B1"/>
    <w:rsid w:val="002E2C2C"/>
    <w:rsid w:val="002E2C9A"/>
    <w:rsid w:val="002E2DC2"/>
    <w:rsid w:val="002E2DC6"/>
    <w:rsid w:val="002E3019"/>
    <w:rsid w:val="002E316B"/>
    <w:rsid w:val="002E326F"/>
    <w:rsid w:val="002E34C8"/>
    <w:rsid w:val="002E3786"/>
    <w:rsid w:val="002E3AA1"/>
    <w:rsid w:val="002E3D54"/>
    <w:rsid w:val="002E3DF2"/>
    <w:rsid w:val="002E3F6C"/>
    <w:rsid w:val="002E4149"/>
    <w:rsid w:val="002E4305"/>
    <w:rsid w:val="002E4B47"/>
    <w:rsid w:val="002E4C8D"/>
    <w:rsid w:val="002E4CA6"/>
    <w:rsid w:val="002E5178"/>
    <w:rsid w:val="002E51EE"/>
    <w:rsid w:val="002E59E0"/>
    <w:rsid w:val="002E5C46"/>
    <w:rsid w:val="002E5C51"/>
    <w:rsid w:val="002E5FC7"/>
    <w:rsid w:val="002E6601"/>
    <w:rsid w:val="002E6616"/>
    <w:rsid w:val="002E668C"/>
    <w:rsid w:val="002E6A48"/>
    <w:rsid w:val="002E6C90"/>
    <w:rsid w:val="002E6EA6"/>
    <w:rsid w:val="002E7153"/>
    <w:rsid w:val="002E7A86"/>
    <w:rsid w:val="002E7AD6"/>
    <w:rsid w:val="002E7D7D"/>
    <w:rsid w:val="002E7E4A"/>
    <w:rsid w:val="002E7E4E"/>
    <w:rsid w:val="002E7F22"/>
    <w:rsid w:val="002F0497"/>
    <w:rsid w:val="002F0535"/>
    <w:rsid w:val="002F054E"/>
    <w:rsid w:val="002F056A"/>
    <w:rsid w:val="002F05EB"/>
    <w:rsid w:val="002F05FD"/>
    <w:rsid w:val="002F092C"/>
    <w:rsid w:val="002F0A1F"/>
    <w:rsid w:val="002F0D3C"/>
    <w:rsid w:val="002F0DE9"/>
    <w:rsid w:val="002F0E34"/>
    <w:rsid w:val="002F140C"/>
    <w:rsid w:val="002F1833"/>
    <w:rsid w:val="002F1855"/>
    <w:rsid w:val="002F1CBE"/>
    <w:rsid w:val="002F1EA3"/>
    <w:rsid w:val="002F1FD0"/>
    <w:rsid w:val="002F2695"/>
    <w:rsid w:val="002F2764"/>
    <w:rsid w:val="002F27B2"/>
    <w:rsid w:val="002F2B2B"/>
    <w:rsid w:val="002F2B64"/>
    <w:rsid w:val="002F2B93"/>
    <w:rsid w:val="002F2F2C"/>
    <w:rsid w:val="002F2F6D"/>
    <w:rsid w:val="002F31DE"/>
    <w:rsid w:val="002F355E"/>
    <w:rsid w:val="002F35AA"/>
    <w:rsid w:val="002F398C"/>
    <w:rsid w:val="002F3CD7"/>
    <w:rsid w:val="002F400B"/>
    <w:rsid w:val="002F4107"/>
    <w:rsid w:val="002F417E"/>
    <w:rsid w:val="002F41E3"/>
    <w:rsid w:val="002F422C"/>
    <w:rsid w:val="002F42E9"/>
    <w:rsid w:val="002F42F0"/>
    <w:rsid w:val="002F46D0"/>
    <w:rsid w:val="002F4822"/>
    <w:rsid w:val="002F4A61"/>
    <w:rsid w:val="002F4A7A"/>
    <w:rsid w:val="002F4FA8"/>
    <w:rsid w:val="002F4FB1"/>
    <w:rsid w:val="002F5289"/>
    <w:rsid w:val="002F5586"/>
    <w:rsid w:val="002F5B15"/>
    <w:rsid w:val="002F5BC4"/>
    <w:rsid w:val="002F5FC8"/>
    <w:rsid w:val="002F615D"/>
    <w:rsid w:val="002F6178"/>
    <w:rsid w:val="002F6315"/>
    <w:rsid w:val="002F63D9"/>
    <w:rsid w:val="002F65CD"/>
    <w:rsid w:val="002F65F8"/>
    <w:rsid w:val="002F68C4"/>
    <w:rsid w:val="002F6959"/>
    <w:rsid w:val="002F6A68"/>
    <w:rsid w:val="002F6B84"/>
    <w:rsid w:val="002F751D"/>
    <w:rsid w:val="002F776D"/>
    <w:rsid w:val="002F794B"/>
    <w:rsid w:val="002F7979"/>
    <w:rsid w:val="002F7D17"/>
    <w:rsid w:val="002F7D30"/>
    <w:rsid w:val="002F7E05"/>
    <w:rsid w:val="003002F3"/>
    <w:rsid w:val="0030038F"/>
    <w:rsid w:val="0030056E"/>
    <w:rsid w:val="00300992"/>
    <w:rsid w:val="00300DD6"/>
    <w:rsid w:val="003013AE"/>
    <w:rsid w:val="003013F2"/>
    <w:rsid w:val="003015A8"/>
    <w:rsid w:val="003017E4"/>
    <w:rsid w:val="003017F5"/>
    <w:rsid w:val="00301BDE"/>
    <w:rsid w:val="00302346"/>
    <w:rsid w:val="00302468"/>
    <w:rsid w:val="003025CE"/>
    <w:rsid w:val="003027BA"/>
    <w:rsid w:val="00302CF9"/>
    <w:rsid w:val="00302D63"/>
    <w:rsid w:val="00302F92"/>
    <w:rsid w:val="00303074"/>
    <w:rsid w:val="003030C8"/>
    <w:rsid w:val="0030313C"/>
    <w:rsid w:val="00303529"/>
    <w:rsid w:val="003038E8"/>
    <w:rsid w:val="00303973"/>
    <w:rsid w:val="00303B2C"/>
    <w:rsid w:val="00303B60"/>
    <w:rsid w:val="00303BFF"/>
    <w:rsid w:val="00303E18"/>
    <w:rsid w:val="003041B5"/>
    <w:rsid w:val="00304299"/>
    <w:rsid w:val="003044DD"/>
    <w:rsid w:val="00304536"/>
    <w:rsid w:val="00304542"/>
    <w:rsid w:val="0030496B"/>
    <w:rsid w:val="00304BC5"/>
    <w:rsid w:val="00304C8B"/>
    <w:rsid w:val="00304E66"/>
    <w:rsid w:val="00304F1B"/>
    <w:rsid w:val="00305AE8"/>
    <w:rsid w:val="00305C56"/>
    <w:rsid w:val="00305E10"/>
    <w:rsid w:val="003061A4"/>
    <w:rsid w:val="003064F4"/>
    <w:rsid w:val="003065D0"/>
    <w:rsid w:val="0030662A"/>
    <w:rsid w:val="00306A60"/>
    <w:rsid w:val="00306FF5"/>
    <w:rsid w:val="00307923"/>
    <w:rsid w:val="00307A1D"/>
    <w:rsid w:val="00307EF1"/>
    <w:rsid w:val="00310037"/>
    <w:rsid w:val="00310433"/>
    <w:rsid w:val="0031052A"/>
    <w:rsid w:val="00310621"/>
    <w:rsid w:val="0031069F"/>
    <w:rsid w:val="003109D2"/>
    <w:rsid w:val="00310ABB"/>
    <w:rsid w:val="00310D49"/>
    <w:rsid w:val="00310DF6"/>
    <w:rsid w:val="00311232"/>
    <w:rsid w:val="003116C6"/>
    <w:rsid w:val="0031181C"/>
    <w:rsid w:val="003118B3"/>
    <w:rsid w:val="00311923"/>
    <w:rsid w:val="00311977"/>
    <w:rsid w:val="00311A4D"/>
    <w:rsid w:val="00311B73"/>
    <w:rsid w:val="00311C2D"/>
    <w:rsid w:val="00311DB4"/>
    <w:rsid w:val="003122DD"/>
    <w:rsid w:val="0031232A"/>
    <w:rsid w:val="003125BA"/>
    <w:rsid w:val="003126F3"/>
    <w:rsid w:val="0031286D"/>
    <w:rsid w:val="00312B7E"/>
    <w:rsid w:val="00312D11"/>
    <w:rsid w:val="00312D83"/>
    <w:rsid w:val="003132A4"/>
    <w:rsid w:val="003138EE"/>
    <w:rsid w:val="00313911"/>
    <w:rsid w:val="0031391E"/>
    <w:rsid w:val="00313A9A"/>
    <w:rsid w:val="003141A9"/>
    <w:rsid w:val="00314441"/>
    <w:rsid w:val="003146CE"/>
    <w:rsid w:val="0031476A"/>
    <w:rsid w:val="00314A8B"/>
    <w:rsid w:val="00314B1B"/>
    <w:rsid w:val="00314B3E"/>
    <w:rsid w:val="00314B6D"/>
    <w:rsid w:val="00314B8B"/>
    <w:rsid w:val="00314E7D"/>
    <w:rsid w:val="00314E96"/>
    <w:rsid w:val="00315137"/>
    <w:rsid w:val="00315328"/>
    <w:rsid w:val="00315341"/>
    <w:rsid w:val="00315AB0"/>
    <w:rsid w:val="00315B98"/>
    <w:rsid w:val="00315BDD"/>
    <w:rsid w:val="00315C05"/>
    <w:rsid w:val="00315C6A"/>
    <w:rsid w:val="00315E54"/>
    <w:rsid w:val="003161E9"/>
    <w:rsid w:val="0031693D"/>
    <w:rsid w:val="00316BAE"/>
    <w:rsid w:val="00316C0D"/>
    <w:rsid w:val="00316E34"/>
    <w:rsid w:val="00316E42"/>
    <w:rsid w:val="00317586"/>
    <w:rsid w:val="00317A28"/>
    <w:rsid w:val="00320105"/>
    <w:rsid w:val="00320B9A"/>
    <w:rsid w:val="00320C59"/>
    <w:rsid w:val="00320D0A"/>
    <w:rsid w:val="00320FA5"/>
    <w:rsid w:val="003214E2"/>
    <w:rsid w:val="003214E7"/>
    <w:rsid w:val="00321799"/>
    <w:rsid w:val="003219AC"/>
    <w:rsid w:val="00321A11"/>
    <w:rsid w:val="00321B4D"/>
    <w:rsid w:val="00321EB6"/>
    <w:rsid w:val="00322150"/>
    <w:rsid w:val="0032231A"/>
    <w:rsid w:val="0032250E"/>
    <w:rsid w:val="00322829"/>
    <w:rsid w:val="0032299F"/>
    <w:rsid w:val="00322A89"/>
    <w:rsid w:val="00322BCE"/>
    <w:rsid w:val="00322DCD"/>
    <w:rsid w:val="00322E61"/>
    <w:rsid w:val="00322EFF"/>
    <w:rsid w:val="003230A5"/>
    <w:rsid w:val="003230FA"/>
    <w:rsid w:val="00323649"/>
    <w:rsid w:val="00323CCC"/>
    <w:rsid w:val="00323EA5"/>
    <w:rsid w:val="0032403C"/>
    <w:rsid w:val="00324508"/>
    <w:rsid w:val="003249E8"/>
    <w:rsid w:val="00324CA5"/>
    <w:rsid w:val="00324CDC"/>
    <w:rsid w:val="00324EB3"/>
    <w:rsid w:val="003254A4"/>
    <w:rsid w:val="00325581"/>
    <w:rsid w:val="003256A3"/>
    <w:rsid w:val="003256D3"/>
    <w:rsid w:val="003257CF"/>
    <w:rsid w:val="0032599A"/>
    <w:rsid w:val="0032675D"/>
    <w:rsid w:val="00326883"/>
    <w:rsid w:val="003268CE"/>
    <w:rsid w:val="0032694E"/>
    <w:rsid w:val="00326DBE"/>
    <w:rsid w:val="00327094"/>
    <w:rsid w:val="00327407"/>
    <w:rsid w:val="003277E3"/>
    <w:rsid w:val="003278DE"/>
    <w:rsid w:val="00327903"/>
    <w:rsid w:val="00327E21"/>
    <w:rsid w:val="00330022"/>
    <w:rsid w:val="00330034"/>
    <w:rsid w:val="003301A4"/>
    <w:rsid w:val="003303D6"/>
    <w:rsid w:val="003304C3"/>
    <w:rsid w:val="00330529"/>
    <w:rsid w:val="0033061E"/>
    <w:rsid w:val="0033071C"/>
    <w:rsid w:val="0033086E"/>
    <w:rsid w:val="00330A3F"/>
    <w:rsid w:val="00330BB6"/>
    <w:rsid w:val="00330D72"/>
    <w:rsid w:val="00330E06"/>
    <w:rsid w:val="00330EE6"/>
    <w:rsid w:val="00331263"/>
    <w:rsid w:val="00331613"/>
    <w:rsid w:val="00331681"/>
    <w:rsid w:val="00331919"/>
    <w:rsid w:val="003319C7"/>
    <w:rsid w:val="00331CC5"/>
    <w:rsid w:val="0033237D"/>
    <w:rsid w:val="00332757"/>
    <w:rsid w:val="0033280E"/>
    <w:rsid w:val="00332EDD"/>
    <w:rsid w:val="00332F79"/>
    <w:rsid w:val="0033316B"/>
    <w:rsid w:val="0033319A"/>
    <w:rsid w:val="00333237"/>
    <w:rsid w:val="00333313"/>
    <w:rsid w:val="003333E6"/>
    <w:rsid w:val="0033366C"/>
    <w:rsid w:val="00333AB5"/>
    <w:rsid w:val="00333D0B"/>
    <w:rsid w:val="00333EBE"/>
    <w:rsid w:val="00333F14"/>
    <w:rsid w:val="00333F4F"/>
    <w:rsid w:val="00333FEF"/>
    <w:rsid w:val="00334056"/>
    <w:rsid w:val="00334122"/>
    <w:rsid w:val="00334207"/>
    <w:rsid w:val="00334279"/>
    <w:rsid w:val="0033435D"/>
    <w:rsid w:val="00334908"/>
    <w:rsid w:val="00334A28"/>
    <w:rsid w:val="00334B47"/>
    <w:rsid w:val="00334B9E"/>
    <w:rsid w:val="00334CC7"/>
    <w:rsid w:val="00334E48"/>
    <w:rsid w:val="00335018"/>
    <w:rsid w:val="00335044"/>
    <w:rsid w:val="003351A6"/>
    <w:rsid w:val="003351B4"/>
    <w:rsid w:val="0033549D"/>
    <w:rsid w:val="003355CB"/>
    <w:rsid w:val="00335623"/>
    <w:rsid w:val="003358CC"/>
    <w:rsid w:val="00335B0E"/>
    <w:rsid w:val="003361DC"/>
    <w:rsid w:val="00336236"/>
    <w:rsid w:val="00336333"/>
    <w:rsid w:val="00336437"/>
    <w:rsid w:val="0033656F"/>
    <w:rsid w:val="003369A4"/>
    <w:rsid w:val="00336C03"/>
    <w:rsid w:val="00336D38"/>
    <w:rsid w:val="00336DD0"/>
    <w:rsid w:val="0033715D"/>
    <w:rsid w:val="0033779A"/>
    <w:rsid w:val="0033793F"/>
    <w:rsid w:val="00337A0A"/>
    <w:rsid w:val="00337BAE"/>
    <w:rsid w:val="00337D90"/>
    <w:rsid w:val="003407B4"/>
    <w:rsid w:val="0034086E"/>
    <w:rsid w:val="00340AC4"/>
    <w:rsid w:val="00340B7F"/>
    <w:rsid w:val="00340E0F"/>
    <w:rsid w:val="00340E2B"/>
    <w:rsid w:val="00340E97"/>
    <w:rsid w:val="00341036"/>
    <w:rsid w:val="003415A3"/>
    <w:rsid w:val="00341936"/>
    <w:rsid w:val="00341B79"/>
    <w:rsid w:val="00341BA2"/>
    <w:rsid w:val="00341CE6"/>
    <w:rsid w:val="00341DA6"/>
    <w:rsid w:val="00341ED8"/>
    <w:rsid w:val="00342203"/>
    <w:rsid w:val="00342334"/>
    <w:rsid w:val="00342353"/>
    <w:rsid w:val="003424AB"/>
    <w:rsid w:val="0034261D"/>
    <w:rsid w:val="00342748"/>
    <w:rsid w:val="003427AF"/>
    <w:rsid w:val="003428DA"/>
    <w:rsid w:val="00342ECE"/>
    <w:rsid w:val="00342F5F"/>
    <w:rsid w:val="00343552"/>
    <w:rsid w:val="00343658"/>
    <w:rsid w:val="00343E91"/>
    <w:rsid w:val="00344099"/>
    <w:rsid w:val="00344168"/>
    <w:rsid w:val="003441E6"/>
    <w:rsid w:val="0034422A"/>
    <w:rsid w:val="003443FB"/>
    <w:rsid w:val="0034440C"/>
    <w:rsid w:val="00344570"/>
    <w:rsid w:val="00344767"/>
    <w:rsid w:val="00344ADC"/>
    <w:rsid w:val="00344AEF"/>
    <w:rsid w:val="00344C57"/>
    <w:rsid w:val="00344E9F"/>
    <w:rsid w:val="00344FD6"/>
    <w:rsid w:val="003450B5"/>
    <w:rsid w:val="003451A1"/>
    <w:rsid w:val="003452FB"/>
    <w:rsid w:val="003456FF"/>
    <w:rsid w:val="00345AC4"/>
    <w:rsid w:val="00345AFE"/>
    <w:rsid w:val="00345E74"/>
    <w:rsid w:val="00345F2E"/>
    <w:rsid w:val="0034605C"/>
    <w:rsid w:val="00346269"/>
    <w:rsid w:val="003464AD"/>
    <w:rsid w:val="00346737"/>
    <w:rsid w:val="003469CC"/>
    <w:rsid w:val="00346D32"/>
    <w:rsid w:val="00346DE9"/>
    <w:rsid w:val="00346F9E"/>
    <w:rsid w:val="00347718"/>
    <w:rsid w:val="0034792B"/>
    <w:rsid w:val="003479B9"/>
    <w:rsid w:val="003479D6"/>
    <w:rsid w:val="003502A1"/>
    <w:rsid w:val="0035064B"/>
    <w:rsid w:val="003506F1"/>
    <w:rsid w:val="00350BB4"/>
    <w:rsid w:val="00350C50"/>
    <w:rsid w:val="00350D2B"/>
    <w:rsid w:val="00350F47"/>
    <w:rsid w:val="003512F8"/>
    <w:rsid w:val="00351558"/>
    <w:rsid w:val="00351566"/>
    <w:rsid w:val="00351710"/>
    <w:rsid w:val="003519E7"/>
    <w:rsid w:val="00351BFA"/>
    <w:rsid w:val="00351CAB"/>
    <w:rsid w:val="00351CE4"/>
    <w:rsid w:val="003520C6"/>
    <w:rsid w:val="00352261"/>
    <w:rsid w:val="00352575"/>
    <w:rsid w:val="00352661"/>
    <w:rsid w:val="0035270A"/>
    <w:rsid w:val="003528B0"/>
    <w:rsid w:val="00352ADA"/>
    <w:rsid w:val="00352CB8"/>
    <w:rsid w:val="00352E51"/>
    <w:rsid w:val="00352EF3"/>
    <w:rsid w:val="00353015"/>
    <w:rsid w:val="00353091"/>
    <w:rsid w:val="0035346F"/>
    <w:rsid w:val="003536EE"/>
    <w:rsid w:val="00353790"/>
    <w:rsid w:val="00353949"/>
    <w:rsid w:val="00353F47"/>
    <w:rsid w:val="00353FE2"/>
    <w:rsid w:val="0035426C"/>
    <w:rsid w:val="00354722"/>
    <w:rsid w:val="0035484E"/>
    <w:rsid w:val="003548A4"/>
    <w:rsid w:val="003548B7"/>
    <w:rsid w:val="0035494F"/>
    <w:rsid w:val="00354A3F"/>
    <w:rsid w:val="00354B62"/>
    <w:rsid w:val="00354D1A"/>
    <w:rsid w:val="00354D4B"/>
    <w:rsid w:val="00354DB9"/>
    <w:rsid w:val="003551B8"/>
    <w:rsid w:val="0035565E"/>
    <w:rsid w:val="00355A03"/>
    <w:rsid w:val="00355F0C"/>
    <w:rsid w:val="003561D0"/>
    <w:rsid w:val="00356220"/>
    <w:rsid w:val="00356227"/>
    <w:rsid w:val="003564BC"/>
    <w:rsid w:val="0035657E"/>
    <w:rsid w:val="00356634"/>
    <w:rsid w:val="003568B9"/>
    <w:rsid w:val="00356917"/>
    <w:rsid w:val="00356A9F"/>
    <w:rsid w:val="00356C8D"/>
    <w:rsid w:val="0035703F"/>
    <w:rsid w:val="003572D1"/>
    <w:rsid w:val="00357384"/>
    <w:rsid w:val="00357874"/>
    <w:rsid w:val="003578B6"/>
    <w:rsid w:val="003579BA"/>
    <w:rsid w:val="00357C02"/>
    <w:rsid w:val="00357D3B"/>
    <w:rsid w:val="00357D4E"/>
    <w:rsid w:val="00357E63"/>
    <w:rsid w:val="00360477"/>
    <w:rsid w:val="00360933"/>
    <w:rsid w:val="00360B2A"/>
    <w:rsid w:val="00360CC3"/>
    <w:rsid w:val="00360D73"/>
    <w:rsid w:val="00360FEF"/>
    <w:rsid w:val="0036118C"/>
    <w:rsid w:val="0036149C"/>
    <w:rsid w:val="00361879"/>
    <w:rsid w:val="0036196A"/>
    <w:rsid w:val="00361EAC"/>
    <w:rsid w:val="0036218F"/>
    <w:rsid w:val="00362296"/>
    <w:rsid w:val="003623A8"/>
    <w:rsid w:val="00362463"/>
    <w:rsid w:val="003624AB"/>
    <w:rsid w:val="003625E6"/>
    <w:rsid w:val="00362981"/>
    <w:rsid w:val="00362BC8"/>
    <w:rsid w:val="00362EDD"/>
    <w:rsid w:val="00363010"/>
    <w:rsid w:val="0036332C"/>
    <w:rsid w:val="00363333"/>
    <w:rsid w:val="0036349C"/>
    <w:rsid w:val="003634DB"/>
    <w:rsid w:val="003635FF"/>
    <w:rsid w:val="00363776"/>
    <w:rsid w:val="00363AA2"/>
    <w:rsid w:val="00363AC6"/>
    <w:rsid w:val="00363FFA"/>
    <w:rsid w:val="003640A7"/>
    <w:rsid w:val="003641F8"/>
    <w:rsid w:val="00364754"/>
    <w:rsid w:val="003648D5"/>
    <w:rsid w:val="00364B64"/>
    <w:rsid w:val="00364D29"/>
    <w:rsid w:val="00364D67"/>
    <w:rsid w:val="00364DEA"/>
    <w:rsid w:val="003650CF"/>
    <w:rsid w:val="003653FC"/>
    <w:rsid w:val="0036571D"/>
    <w:rsid w:val="0036587D"/>
    <w:rsid w:val="00365888"/>
    <w:rsid w:val="003658D9"/>
    <w:rsid w:val="00365979"/>
    <w:rsid w:val="00365A2D"/>
    <w:rsid w:val="00365CAF"/>
    <w:rsid w:val="00365DCF"/>
    <w:rsid w:val="0036616E"/>
    <w:rsid w:val="003662E1"/>
    <w:rsid w:val="00366346"/>
    <w:rsid w:val="003663BC"/>
    <w:rsid w:val="003667EE"/>
    <w:rsid w:val="00366F89"/>
    <w:rsid w:val="0036743B"/>
    <w:rsid w:val="003674DD"/>
    <w:rsid w:val="0036784A"/>
    <w:rsid w:val="00367A67"/>
    <w:rsid w:val="00367AA6"/>
    <w:rsid w:val="00367B2B"/>
    <w:rsid w:val="00367F80"/>
    <w:rsid w:val="0037084C"/>
    <w:rsid w:val="00370C34"/>
    <w:rsid w:val="00370D91"/>
    <w:rsid w:val="00371337"/>
    <w:rsid w:val="003713D4"/>
    <w:rsid w:val="00371612"/>
    <w:rsid w:val="003716D5"/>
    <w:rsid w:val="003717E3"/>
    <w:rsid w:val="003717FC"/>
    <w:rsid w:val="00371ADF"/>
    <w:rsid w:val="00371C93"/>
    <w:rsid w:val="00371E11"/>
    <w:rsid w:val="0037203B"/>
    <w:rsid w:val="003722EF"/>
    <w:rsid w:val="00372936"/>
    <w:rsid w:val="00372957"/>
    <w:rsid w:val="00372A0E"/>
    <w:rsid w:val="00372A2F"/>
    <w:rsid w:val="00373029"/>
    <w:rsid w:val="00373082"/>
    <w:rsid w:val="003730EE"/>
    <w:rsid w:val="0037343B"/>
    <w:rsid w:val="00373462"/>
    <w:rsid w:val="0037356D"/>
    <w:rsid w:val="00373B15"/>
    <w:rsid w:val="00373C42"/>
    <w:rsid w:val="00373D6D"/>
    <w:rsid w:val="00373D95"/>
    <w:rsid w:val="00374475"/>
    <w:rsid w:val="00374649"/>
    <w:rsid w:val="00374972"/>
    <w:rsid w:val="00374B4A"/>
    <w:rsid w:val="00374B59"/>
    <w:rsid w:val="00374D48"/>
    <w:rsid w:val="00374F75"/>
    <w:rsid w:val="0037531E"/>
    <w:rsid w:val="0037589F"/>
    <w:rsid w:val="00375C17"/>
    <w:rsid w:val="00375FFC"/>
    <w:rsid w:val="00376214"/>
    <w:rsid w:val="00376631"/>
    <w:rsid w:val="003768F4"/>
    <w:rsid w:val="00376930"/>
    <w:rsid w:val="00376F00"/>
    <w:rsid w:val="00377859"/>
    <w:rsid w:val="00377979"/>
    <w:rsid w:val="00377E98"/>
    <w:rsid w:val="00380124"/>
    <w:rsid w:val="003802AB"/>
    <w:rsid w:val="003802F1"/>
    <w:rsid w:val="00380902"/>
    <w:rsid w:val="00380B19"/>
    <w:rsid w:val="00380B6C"/>
    <w:rsid w:val="00380EBD"/>
    <w:rsid w:val="00380F1A"/>
    <w:rsid w:val="00380F72"/>
    <w:rsid w:val="00381175"/>
    <w:rsid w:val="003815C4"/>
    <w:rsid w:val="0038162B"/>
    <w:rsid w:val="003816E5"/>
    <w:rsid w:val="00381C37"/>
    <w:rsid w:val="00381C3D"/>
    <w:rsid w:val="00381C61"/>
    <w:rsid w:val="00381DB4"/>
    <w:rsid w:val="00381E1A"/>
    <w:rsid w:val="00382018"/>
    <w:rsid w:val="00382512"/>
    <w:rsid w:val="003825F6"/>
    <w:rsid w:val="003828E4"/>
    <w:rsid w:val="00382C94"/>
    <w:rsid w:val="00382DBA"/>
    <w:rsid w:val="00382ECA"/>
    <w:rsid w:val="0038302D"/>
    <w:rsid w:val="003832F0"/>
    <w:rsid w:val="00383328"/>
    <w:rsid w:val="00383684"/>
    <w:rsid w:val="003839D5"/>
    <w:rsid w:val="00383C4D"/>
    <w:rsid w:val="00383EF6"/>
    <w:rsid w:val="00384265"/>
    <w:rsid w:val="00384629"/>
    <w:rsid w:val="00384885"/>
    <w:rsid w:val="00384A06"/>
    <w:rsid w:val="00384A66"/>
    <w:rsid w:val="00385473"/>
    <w:rsid w:val="003855CB"/>
    <w:rsid w:val="003856EA"/>
    <w:rsid w:val="003859FB"/>
    <w:rsid w:val="00385A7F"/>
    <w:rsid w:val="00385FF5"/>
    <w:rsid w:val="00386327"/>
    <w:rsid w:val="00386385"/>
    <w:rsid w:val="0038651F"/>
    <w:rsid w:val="003866B7"/>
    <w:rsid w:val="00386707"/>
    <w:rsid w:val="0038677C"/>
    <w:rsid w:val="0038681C"/>
    <w:rsid w:val="003874E8"/>
    <w:rsid w:val="0038754C"/>
    <w:rsid w:val="00387594"/>
    <w:rsid w:val="003875E7"/>
    <w:rsid w:val="0038760B"/>
    <w:rsid w:val="00387674"/>
    <w:rsid w:val="00387A19"/>
    <w:rsid w:val="00387A8A"/>
    <w:rsid w:val="00387A98"/>
    <w:rsid w:val="00387A9C"/>
    <w:rsid w:val="00387DAB"/>
    <w:rsid w:val="00387E62"/>
    <w:rsid w:val="00387E6B"/>
    <w:rsid w:val="00390234"/>
    <w:rsid w:val="00390282"/>
    <w:rsid w:val="00390386"/>
    <w:rsid w:val="003903F4"/>
    <w:rsid w:val="003908E4"/>
    <w:rsid w:val="00390AF0"/>
    <w:rsid w:val="00390F6A"/>
    <w:rsid w:val="0039115F"/>
    <w:rsid w:val="00391358"/>
    <w:rsid w:val="0039169C"/>
    <w:rsid w:val="00391770"/>
    <w:rsid w:val="00391B39"/>
    <w:rsid w:val="00391DC4"/>
    <w:rsid w:val="00392684"/>
    <w:rsid w:val="00392A3F"/>
    <w:rsid w:val="00392B36"/>
    <w:rsid w:val="00392E61"/>
    <w:rsid w:val="003937CB"/>
    <w:rsid w:val="0039384F"/>
    <w:rsid w:val="00393952"/>
    <w:rsid w:val="00393A37"/>
    <w:rsid w:val="00393B8F"/>
    <w:rsid w:val="00393CF1"/>
    <w:rsid w:val="00393F40"/>
    <w:rsid w:val="00394004"/>
    <w:rsid w:val="003940B0"/>
    <w:rsid w:val="0039439C"/>
    <w:rsid w:val="003945CB"/>
    <w:rsid w:val="003945EA"/>
    <w:rsid w:val="00394609"/>
    <w:rsid w:val="00394705"/>
    <w:rsid w:val="00394A7E"/>
    <w:rsid w:val="00394B43"/>
    <w:rsid w:val="00394B4C"/>
    <w:rsid w:val="00394C37"/>
    <w:rsid w:val="003950AC"/>
    <w:rsid w:val="00395363"/>
    <w:rsid w:val="003954D1"/>
    <w:rsid w:val="00395520"/>
    <w:rsid w:val="00395624"/>
    <w:rsid w:val="00395985"/>
    <w:rsid w:val="00395BCB"/>
    <w:rsid w:val="00395C33"/>
    <w:rsid w:val="00395FC7"/>
    <w:rsid w:val="00395FE5"/>
    <w:rsid w:val="00396082"/>
    <w:rsid w:val="003961AC"/>
    <w:rsid w:val="00396307"/>
    <w:rsid w:val="00396541"/>
    <w:rsid w:val="00396559"/>
    <w:rsid w:val="00396637"/>
    <w:rsid w:val="00396B11"/>
    <w:rsid w:val="00396EBB"/>
    <w:rsid w:val="00396EE6"/>
    <w:rsid w:val="00397245"/>
    <w:rsid w:val="0039726E"/>
    <w:rsid w:val="00397430"/>
    <w:rsid w:val="00397E1F"/>
    <w:rsid w:val="00397F12"/>
    <w:rsid w:val="00397F21"/>
    <w:rsid w:val="003A0179"/>
    <w:rsid w:val="003A03B3"/>
    <w:rsid w:val="003A05AC"/>
    <w:rsid w:val="003A095F"/>
    <w:rsid w:val="003A0E06"/>
    <w:rsid w:val="003A0E4A"/>
    <w:rsid w:val="003A1086"/>
    <w:rsid w:val="003A14AA"/>
    <w:rsid w:val="003A14DE"/>
    <w:rsid w:val="003A16D0"/>
    <w:rsid w:val="003A1899"/>
    <w:rsid w:val="003A1D21"/>
    <w:rsid w:val="003A1F53"/>
    <w:rsid w:val="003A2032"/>
    <w:rsid w:val="003A2201"/>
    <w:rsid w:val="003A2228"/>
    <w:rsid w:val="003A243F"/>
    <w:rsid w:val="003A2558"/>
    <w:rsid w:val="003A27B5"/>
    <w:rsid w:val="003A29AE"/>
    <w:rsid w:val="003A2A68"/>
    <w:rsid w:val="003A2B2A"/>
    <w:rsid w:val="003A2D4B"/>
    <w:rsid w:val="003A3028"/>
    <w:rsid w:val="003A32E5"/>
    <w:rsid w:val="003A3422"/>
    <w:rsid w:val="003A352C"/>
    <w:rsid w:val="003A376B"/>
    <w:rsid w:val="003A3AD1"/>
    <w:rsid w:val="003A3C5C"/>
    <w:rsid w:val="003A3D4E"/>
    <w:rsid w:val="003A3DAE"/>
    <w:rsid w:val="003A3E4B"/>
    <w:rsid w:val="003A4236"/>
    <w:rsid w:val="003A42C9"/>
    <w:rsid w:val="003A43E5"/>
    <w:rsid w:val="003A4634"/>
    <w:rsid w:val="003A463B"/>
    <w:rsid w:val="003A4BCA"/>
    <w:rsid w:val="003A4F33"/>
    <w:rsid w:val="003A540E"/>
    <w:rsid w:val="003A54E7"/>
    <w:rsid w:val="003A5E63"/>
    <w:rsid w:val="003A5F7F"/>
    <w:rsid w:val="003A6586"/>
    <w:rsid w:val="003A69E3"/>
    <w:rsid w:val="003A69FD"/>
    <w:rsid w:val="003A6FFF"/>
    <w:rsid w:val="003A70B5"/>
    <w:rsid w:val="003A770D"/>
    <w:rsid w:val="003A7868"/>
    <w:rsid w:val="003A7C54"/>
    <w:rsid w:val="003A7C61"/>
    <w:rsid w:val="003B00C8"/>
    <w:rsid w:val="003B0263"/>
    <w:rsid w:val="003B0287"/>
    <w:rsid w:val="003B0416"/>
    <w:rsid w:val="003B0557"/>
    <w:rsid w:val="003B05CD"/>
    <w:rsid w:val="003B06E1"/>
    <w:rsid w:val="003B08B5"/>
    <w:rsid w:val="003B094D"/>
    <w:rsid w:val="003B0DF0"/>
    <w:rsid w:val="003B0E9B"/>
    <w:rsid w:val="003B0EFC"/>
    <w:rsid w:val="003B136D"/>
    <w:rsid w:val="003B13D7"/>
    <w:rsid w:val="003B1FB3"/>
    <w:rsid w:val="003B210B"/>
    <w:rsid w:val="003B226C"/>
    <w:rsid w:val="003B2272"/>
    <w:rsid w:val="003B27AC"/>
    <w:rsid w:val="003B2856"/>
    <w:rsid w:val="003B2987"/>
    <w:rsid w:val="003B2C2A"/>
    <w:rsid w:val="003B2E11"/>
    <w:rsid w:val="003B2EA7"/>
    <w:rsid w:val="003B2F1B"/>
    <w:rsid w:val="003B3120"/>
    <w:rsid w:val="003B3151"/>
    <w:rsid w:val="003B367F"/>
    <w:rsid w:val="003B36B7"/>
    <w:rsid w:val="003B3C53"/>
    <w:rsid w:val="003B41B3"/>
    <w:rsid w:val="003B4563"/>
    <w:rsid w:val="003B4689"/>
    <w:rsid w:val="003B493B"/>
    <w:rsid w:val="003B49FA"/>
    <w:rsid w:val="003B4A91"/>
    <w:rsid w:val="003B4BA0"/>
    <w:rsid w:val="003B4BC2"/>
    <w:rsid w:val="003B4CDD"/>
    <w:rsid w:val="003B4EC2"/>
    <w:rsid w:val="003B5237"/>
    <w:rsid w:val="003B5923"/>
    <w:rsid w:val="003B592A"/>
    <w:rsid w:val="003B5B5B"/>
    <w:rsid w:val="003B5D72"/>
    <w:rsid w:val="003B5D7A"/>
    <w:rsid w:val="003B60BA"/>
    <w:rsid w:val="003B60C6"/>
    <w:rsid w:val="003B6519"/>
    <w:rsid w:val="003B6626"/>
    <w:rsid w:val="003B6AA3"/>
    <w:rsid w:val="003B6B50"/>
    <w:rsid w:val="003B6F8A"/>
    <w:rsid w:val="003B7015"/>
    <w:rsid w:val="003B7196"/>
    <w:rsid w:val="003B7464"/>
    <w:rsid w:val="003B75A8"/>
    <w:rsid w:val="003B75D8"/>
    <w:rsid w:val="003B76AF"/>
    <w:rsid w:val="003B76C7"/>
    <w:rsid w:val="003B7720"/>
    <w:rsid w:val="003B77CC"/>
    <w:rsid w:val="003B79A5"/>
    <w:rsid w:val="003B7C1C"/>
    <w:rsid w:val="003B7C29"/>
    <w:rsid w:val="003B7E85"/>
    <w:rsid w:val="003C019F"/>
    <w:rsid w:val="003C0221"/>
    <w:rsid w:val="003C0300"/>
    <w:rsid w:val="003C0526"/>
    <w:rsid w:val="003C0711"/>
    <w:rsid w:val="003C0779"/>
    <w:rsid w:val="003C0781"/>
    <w:rsid w:val="003C0924"/>
    <w:rsid w:val="003C1065"/>
    <w:rsid w:val="003C12E7"/>
    <w:rsid w:val="003C1518"/>
    <w:rsid w:val="003C19A3"/>
    <w:rsid w:val="003C19BB"/>
    <w:rsid w:val="003C1A68"/>
    <w:rsid w:val="003C1BDD"/>
    <w:rsid w:val="003C1C2C"/>
    <w:rsid w:val="003C1D85"/>
    <w:rsid w:val="003C1F22"/>
    <w:rsid w:val="003C24F3"/>
    <w:rsid w:val="003C27F3"/>
    <w:rsid w:val="003C2A1E"/>
    <w:rsid w:val="003C2D5C"/>
    <w:rsid w:val="003C3529"/>
    <w:rsid w:val="003C36E8"/>
    <w:rsid w:val="003C388E"/>
    <w:rsid w:val="003C38CA"/>
    <w:rsid w:val="003C3AC5"/>
    <w:rsid w:val="003C3FFF"/>
    <w:rsid w:val="003C41F2"/>
    <w:rsid w:val="003C45D1"/>
    <w:rsid w:val="003C47A5"/>
    <w:rsid w:val="003C4E9F"/>
    <w:rsid w:val="003C51CB"/>
    <w:rsid w:val="003C557E"/>
    <w:rsid w:val="003C599F"/>
    <w:rsid w:val="003C5C98"/>
    <w:rsid w:val="003C5CB9"/>
    <w:rsid w:val="003C5FC9"/>
    <w:rsid w:val="003C6654"/>
    <w:rsid w:val="003C697C"/>
    <w:rsid w:val="003C6B4C"/>
    <w:rsid w:val="003C6BEF"/>
    <w:rsid w:val="003C6C17"/>
    <w:rsid w:val="003C724B"/>
    <w:rsid w:val="003C7440"/>
    <w:rsid w:val="003C76C5"/>
    <w:rsid w:val="003C77A8"/>
    <w:rsid w:val="003C79F3"/>
    <w:rsid w:val="003C7C2F"/>
    <w:rsid w:val="003C7ECD"/>
    <w:rsid w:val="003C7F59"/>
    <w:rsid w:val="003D0076"/>
    <w:rsid w:val="003D01AB"/>
    <w:rsid w:val="003D02E9"/>
    <w:rsid w:val="003D0600"/>
    <w:rsid w:val="003D0975"/>
    <w:rsid w:val="003D0B3F"/>
    <w:rsid w:val="003D1092"/>
    <w:rsid w:val="003D14AB"/>
    <w:rsid w:val="003D1602"/>
    <w:rsid w:val="003D189A"/>
    <w:rsid w:val="003D1932"/>
    <w:rsid w:val="003D1ADA"/>
    <w:rsid w:val="003D1C95"/>
    <w:rsid w:val="003D1E02"/>
    <w:rsid w:val="003D1E08"/>
    <w:rsid w:val="003D1F0D"/>
    <w:rsid w:val="003D2166"/>
    <w:rsid w:val="003D22B6"/>
    <w:rsid w:val="003D23D1"/>
    <w:rsid w:val="003D26A6"/>
    <w:rsid w:val="003D2B0D"/>
    <w:rsid w:val="003D2FEB"/>
    <w:rsid w:val="003D311B"/>
    <w:rsid w:val="003D319E"/>
    <w:rsid w:val="003D344C"/>
    <w:rsid w:val="003D34EF"/>
    <w:rsid w:val="003D3728"/>
    <w:rsid w:val="003D3758"/>
    <w:rsid w:val="003D38D0"/>
    <w:rsid w:val="003D38E9"/>
    <w:rsid w:val="003D3A25"/>
    <w:rsid w:val="003D3B8B"/>
    <w:rsid w:val="003D3BC6"/>
    <w:rsid w:val="003D3C7D"/>
    <w:rsid w:val="003D402C"/>
    <w:rsid w:val="003D4322"/>
    <w:rsid w:val="003D48E4"/>
    <w:rsid w:val="003D4B89"/>
    <w:rsid w:val="003D4EFD"/>
    <w:rsid w:val="003D50D0"/>
    <w:rsid w:val="003D50F3"/>
    <w:rsid w:val="003D5225"/>
    <w:rsid w:val="003D53C1"/>
    <w:rsid w:val="003D53DB"/>
    <w:rsid w:val="003D5414"/>
    <w:rsid w:val="003D5D9E"/>
    <w:rsid w:val="003D5E68"/>
    <w:rsid w:val="003D5E83"/>
    <w:rsid w:val="003D5F56"/>
    <w:rsid w:val="003D641A"/>
    <w:rsid w:val="003D6438"/>
    <w:rsid w:val="003D645A"/>
    <w:rsid w:val="003D69E3"/>
    <w:rsid w:val="003D6C24"/>
    <w:rsid w:val="003D6CAB"/>
    <w:rsid w:val="003D6E32"/>
    <w:rsid w:val="003D7094"/>
    <w:rsid w:val="003D7270"/>
    <w:rsid w:val="003D72B1"/>
    <w:rsid w:val="003D744F"/>
    <w:rsid w:val="003D74DA"/>
    <w:rsid w:val="003D7909"/>
    <w:rsid w:val="003D7BFD"/>
    <w:rsid w:val="003D7C52"/>
    <w:rsid w:val="003D7D16"/>
    <w:rsid w:val="003D7D88"/>
    <w:rsid w:val="003D7F01"/>
    <w:rsid w:val="003E0417"/>
    <w:rsid w:val="003E0614"/>
    <w:rsid w:val="003E07E3"/>
    <w:rsid w:val="003E081D"/>
    <w:rsid w:val="003E0C20"/>
    <w:rsid w:val="003E0C36"/>
    <w:rsid w:val="003E0DD8"/>
    <w:rsid w:val="003E0EDC"/>
    <w:rsid w:val="003E0FD2"/>
    <w:rsid w:val="003E11A2"/>
    <w:rsid w:val="003E11F8"/>
    <w:rsid w:val="003E1A9F"/>
    <w:rsid w:val="003E1E1F"/>
    <w:rsid w:val="003E20B5"/>
    <w:rsid w:val="003E25D3"/>
    <w:rsid w:val="003E26FB"/>
    <w:rsid w:val="003E2C44"/>
    <w:rsid w:val="003E2E6C"/>
    <w:rsid w:val="003E3177"/>
    <w:rsid w:val="003E36F0"/>
    <w:rsid w:val="003E373A"/>
    <w:rsid w:val="003E37CD"/>
    <w:rsid w:val="003E37F1"/>
    <w:rsid w:val="003E39F8"/>
    <w:rsid w:val="003E3FC6"/>
    <w:rsid w:val="003E4023"/>
    <w:rsid w:val="003E437D"/>
    <w:rsid w:val="003E43B1"/>
    <w:rsid w:val="003E43FC"/>
    <w:rsid w:val="003E4477"/>
    <w:rsid w:val="003E44AF"/>
    <w:rsid w:val="003E47F4"/>
    <w:rsid w:val="003E4D06"/>
    <w:rsid w:val="003E4D3A"/>
    <w:rsid w:val="003E4D9E"/>
    <w:rsid w:val="003E4FF0"/>
    <w:rsid w:val="003E5393"/>
    <w:rsid w:val="003E53AF"/>
    <w:rsid w:val="003E5543"/>
    <w:rsid w:val="003E560F"/>
    <w:rsid w:val="003E580F"/>
    <w:rsid w:val="003E59CE"/>
    <w:rsid w:val="003E5DA9"/>
    <w:rsid w:val="003E5DF3"/>
    <w:rsid w:val="003E5E91"/>
    <w:rsid w:val="003E5F60"/>
    <w:rsid w:val="003E6274"/>
    <w:rsid w:val="003E656C"/>
    <w:rsid w:val="003E6838"/>
    <w:rsid w:val="003E6A30"/>
    <w:rsid w:val="003E6A69"/>
    <w:rsid w:val="003E6D9E"/>
    <w:rsid w:val="003E709A"/>
    <w:rsid w:val="003E72B5"/>
    <w:rsid w:val="003E7428"/>
    <w:rsid w:val="003E75DE"/>
    <w:rsid w:val="003F0337"/>
    <w:rsid w:val="003F04EB"/>
    <w:rsid w:val="003F06E8"/>
    <w:rsid w:val="003F06F7"/>
    <w:rsid w:val="003F0757"/>
    <w:rsid w:val="003F07E7"/>
    <w:rsid w:val="003F0C68"/>
    <w:rsid w:val="003F0C9E"/>
    <w:rsid w:val="003F15CC"/>
    <w:rsid w:val="003F16F4"/>
    <w:rsid w:val="003F1866"/>
    <w:rsid w:val="003F18A8"/>
    <w:rsid w:val="003F1A2F"/>
    <w:rsid w:val="003F1BFF"/>
    <w:rsid w:val="003F1D14"/>
    <w:rsid w:val="003F1E7E"/>
    <w:rsid w:val="003F229D"/>
    <w:rsid w:val="003F2359"/>
    <w:rsid w:val="003F2366"/>
    <w:rsid w:val="003F24A7"/>
    <w:rsid w:val="003F250C"/>
    <w:rsid w:val="003F2B65"/>
    <w:rsid w:val="003F2EBA"/>
    <w:rsid w:val="003F31DC"/>
    <w:rsid w:val="003F33A2"/>
    <w:rsid w:val="003F34EF"/>
    <w:rsid w:val="003F38C1"/>
    <w:rsid w:val="003F3931"/>
    <w:rsid w:val="003F3BEF"/>
    <w:rsid w:val="003F3DE6"/>
    <w:rsid w:val="003F410A"/>
    <w:rsid w:val="003F415A"/>
    <w:rsid w:val="003F4252"/>
    <w:rsid w:val="003F432C"/>
    <w:rsid w:val="003F4384"/>
    <w:rsid w:val="003F457F"/>
    <w:rsid w:val="003F4AB9"/>
    <w:rsid w:val="003F4C9F"/>
    <w:rsid w:val="003F4E92"/>
    <w:rsid w:val="003F52B7"/>
    <w:rsid w:val="003F5450"/>
    <w:rsid w:val="003F5D4E"/>
    <w:rsid w:val="003F5E79"/>
    <w:rsid w:val="003F5F01"/>
    <w:rsid w:val="003F6027"/>
    <w:rsid w:val="003F60DD"/>
    <w:rsid w:val="003F65B1"/>
    <w:rsid w:val="003F6970"/>
    <w:rsid w:val="003F6A86"/>
    <w:rsid w:val="003F6CA7"/>
    <w:rsid w:val="003F6D3C"/>
    <w:rsid w:val="003F6DB3"/>
    <w:rsid w:val="003F72CE"/>
    <w:rsid w:val="003F7379"/>
    <w:rsid w:val="003F7657"/>
    <w:rsid w:val="003F7962"/>
    <w:rsid w:val="003F7A63"/>
    <w:rsid w:val="003F7BC7"/>
    <w:rsid w:val="004002C9"/>
    <w:rsid w:val="004002D5"/>
    <w:rsid w:val="00400423"/>
    <w:rsid w:val="0040066E"/>
    <w:rsid w:val="00400B4E"/>
    <w:rsid w:val="00401185"/>
    <w:rsid w:val="0040143C"/>
    <w:rsid w:val="00401478"/>
    <w:rsid w:val="0040149D"/>
    <w:rsid w:val="00401839"/>
    <w:rsid w:val="00401BCA"/>
    <w:rsid w:val="00401CE3"/>
    <w:rsid w:val="00401DE7"/>
    <w:rsid w:val="00401E2D"/>
    <w:rsid w:val="00401EC5"/>
    <w:rsid w:val="00401F74"/>
    <w:rsid w:val="004022E4"/>
    <w:rsid w:val="00402370"/>
    <w:rsid w:val="00402540"/>
    <w:rsid w:val="004026C5"/>
    <w:rsid w:val="004029C6"/>
    <w:rsid w:val="0040359F"/>
    <w:rsid w:val="00403846"/>
    <w:rsid w:val="00403857"/>
    <w:rsid w:val="00403988"/>
    <w:rsid w:val="00403AE3"/>
    <w:rsid w:val="0040433A"/>
    <w:rsid w:val="00404467"/>
    <w:rsid w:val="0040453B"/>
    <w:rsid w:val="00404A48"/>
    <w:rsid w:val="00404D0F"/>
    <w:rsid w:val="004050A5"/>
    <w:rsid w:val="004052EF"/>
    <w:rsid w:val="004053D1"/>
    <w:rsid w:val="0040549D"/>
    <w:rsid w:val="00405771"/>
    <w:rsid w:val="0040585C"/>
    <w:rsid w:val="004059E6"/>
    <w:rsid w:val="00405A9A"/>
    <w:rsid w:val="004060DB"/>
    <w:rsid w:val="00406130"/>
    <w:rsid w:val="004063D5"/>
    <w:rsid w:val="004066A1"/>
    <w:rsid w:val="0040683E"/>
    <w:rsid w:val="00406C26"/>
    <w:rsid w:val="004071B9"/>
    <w:rsid w:val="004073D5"/>
    <w:rsid w:val="0040795D"/>
    <w:rsid w:val="00407C59"/>
    <w:rsid w:val="00407E3C"/>
    <w:rsid w:val="004101C0"/>
    <w:rsid w:val="0041033C"/>
    <w:rsid w:val="0041042E"/>
    <w:rsid w:val="0041057D"/>
    <w:rsid w:val="0041068F"/>
    <w:rsid w:val="00410785"/>
    <w:rsid w:val="004107D1"/>
    <w:rsid w:val="0041082D"/>
    <w:rsid w:val="0041090A"/>
    <w:rsid w:val="00410EDC"/>
    <w:rsid w:val="00410F5D"/>
    <w:rsid w:val="00411A18"/>
    <w:rsid w:val="00411AB5"/>
    <w:rsid w:val="00411B16"/>
    <w:rsid w:val="00411D79"/>
    <w:rsid w:val="00411E91"/>
    <w:rsid w:val="00411EAE"/>
    <w:rsid w:val="00411FFA"/>
    <w:rsid w:val="0041210A"/>
    <w:rsid w:val="004122E8"/>
    <w:rsid w:val="00412699"/>
    <w:rsid w:val="004129BC"/>
    <w:rsid w:val="00412A6A"/>
    <w:rsid w:val="00412B67"/>
    <w:rsid w:val="00412C4E"/>
    <w:rsid w:val="00412E34"/>
    <w:rsid w:val="00413395"/>
    <w:rsid w:val="0041339B"/>
    <w:rsid w:val="00413595"/>
    <w:rsid w:val="0041365E"/>
    <w:rsid w:val="00413676"/>
    <w:rsid w:val="00413854"/>
    <w:rsid w:val="00413A71"/>
    <w:rsid w:val="00414219"/>
    <w:rsid w:val="0041425A"/>
    <w:rsid w:val="00414577"/>
    <w:rsid w:val="004145C8"/>
    <w:rsid w:val="004145DB"/>
    <w:rsid w:val="00414AB3"/>
    <w:rsid w:val="00414B94"/>
    <w:rsid w:val="00414D88"/>
    <w:rsid w:val="00414EB4"/>
    <w:rsid w:val="004156E2"/>
    <w:rsid w:val="0041577B"/>
    <w:rsid w:val="00415A80"/>
    <w:rsid w:val="00415AD5"/>
    <w:rsid w:val="00415DE6"/>
    <w:rsid w:val="00415F67"/>
    <w:rsid w:val="0041653F"/>
    <w:rsid w:val="004167F5"/>
    <w:rsid w:val="00416ED6"/>
    <w:rsid w:val="00417594"/>
    <w:rsid w:val="00417604"/>
    <w:rsid w:val="004177C7"/>
    <w:rsid w:val="00417996"/>
    <w:rsid w:val="00417F93"/>
    <w:rsid w:val="00420053"/>
    <w:rsid w:val="0042013A"/>
    <w:rsid w:val="0042014F"/>
    <w:rsid w:val="004201AC"/>
    <w:rsid w:val="0042035D"/>
    <w:rsid w:val="00420396"/>
    <w:rsid w:val="00420755"/>
    <w:rsid w:val="00420792"/>
    <w:rsid w:val="0042087B"/>
    <w:rsid w:val="00420ED5"/>
    <w:rsid w:val="00421059"/>
    <w:rsid w:val="0042110B"/>
    <w:rsid w:val="004211DF"/>
    <w:rsid w:val="00421266"/>
    <w:rsid w:val="00421391"/>
    <w:rsid w:val="00421BE2"/>
    <w:rsid w:val="00421BE8"/>
    <w:rsid w:val="00421C60"/>
    <w:rsid w:val="0042241C"/>
    <w:rsid w:val="004224CE"/>
    <w:rsid w:val="00422575"/>
    <w:rsid w:val="0042260C"/>
    <w:rsid w:val="00422813"/>
    <w:rsid w:val="00422862"/>
    <w:rsid w:val="00422A4D"/>
    <w:rsid w:val="00422AC2"/>
    <w:rsid w:val="00422D0E"/>
    <w:rsid w:val="00423109"/>
    <w:rsid w:val="00423290"/>
    <w:rsid w:val="00423415"/>
    <w:rsid w:val="004234BF"/>
    <w:rsid w:val="00423552"/>
    <w:rsid w:val="004237BB"/>
    <w:rsid w:val="004237D8"/>
    <w:rsid w:val="004239EF"/>
    <w:rsid w:val="00423B16"/>
    <w:rsid w:val="00424210"/>
    <w:rsid w:val="004242E5"/>
    <w:rsid w:val="00424382"/>
    <w:rsid w:val="00424618"/>
    <w:rsid w:val="00424643"/>
    <w:rsid w:val="00424A4F"/>
    <w:rsid w:val="00424C1F"/>
    <w:rsid w:val="00424CD8"/>
    <w:rsid w:val="004250FD"/>
    <w:rsid w:val="004252EB"/>
    <w:rsid w:val="0042551B"/>
    <w:rsid w:val="00425681"/>
    <w:rsid w:val="0042583F"/>
    <w:rsid w:val="00425CEB"/>
    <w:rsid w:val="00425DC0"/>
    <w:rsid w:val="00425DFC"/>
    <w:rsid w:val="004262D6"/>
    <w:rsid w:val="0042649D"/>
    <w:rsid w:val="00426916"/>
    <w:rsid w:val="00426ABB"/>
    <w:rsid w:val="00426CB6"/>
    <w:rsid w:val="00426E77"/>
    <w:rsid w:val="0042718C"/>
    <w:rsid w:val="004271D6"/>
    <w:rsid w:val="004272DE"/>
    <w:rsid w:val="0042777E"/>
    <w:rsid w:val="00427929"/>
    <w:rsid w:val="00427BCE"/>
    <w:rsid w:val="00427BF1"/>
    <w:rsid w:val="00427C5F"/>
    <w:rsid w:val="00427D59"/>
    <w:rsid w:val="004300B2"/>
    <w:rsid w:val="00430A0E"/>
    <w:rsid w:val="00430C3B"/>
    <w:rsid w:val="00430D69"/>
    <w:rsid w:val="00430F32"/>
    <w:rsid w:val="00431016"/>
    <w:rsid w:val="00431127"/>
    <w:rsid w:val="004311CF"/>
    <w:rsid w:val="0043131A"/>
    <w:rsid w:val="00431784"/>
    <w:rsid w:val="00431966"/>
    <w:rsid w:val="00431E15"/>
    <w:rsid w:val="00432567"/>
    <w:rsid w:val="004328F4"/>
    <w:rsid w:val="004329AA"/>
    <w:rsid w:val="00432B5B"/>
    <w:rsid w:val="00432C4B"/>
    <w:rsid w:val="004331BD"/>
    <w:rsid w:val="004334B0"/>
    <w:rsid w:val="004334C3"/>
    <w:rsid w:val="0043350B"/>
    <w:rsid w:val="00433636"/>
    <w:rsid w:val="0043368A"/>
    <w:rsid w:val="00433C11"/>
    <w:rsid w:val="00433FEC"/>
    <w:rsid w:val="0043421B"/>
    <w:rsid w:val="004343AC"/>
    <w:rsid w:val="00434550"/>
    <w:rsid w:val="00434A4F"/>
    <w:rsid w:val="00434D2F"/>
    <w:rsid w:val="00434E56"/>
    <w:rsid w:val="00434EAA"/>
    <w:rsid w:val="00434F80"/>
    <w:rsid w:val="0043519D"/>
    <w:rsid w:val="00435423"/>
    <w:rsid w:val="00435741"/>
    <w:rsid w:val="00435B11"/>
    <w:rsid w:val="00435B51"/>
    <w:rsid w:val="004361BD"/>
    <w:rsid w:val="00436787"/>
    <w:rsid w:val="00436805"/>
    <w:rsid w:val="004368DA"/>
    <w:rsid w:val="00436BBC"/>
    <w:rsid w:val="00436CBE"/>
    <w:rsid w:val="004370C3"/>
    <w:rsid w:val="00437348"/>
    <w:rsid w:val="004373D5"/>
    <w:rsid w:val="00437891"/>
    <w:rsid w:val="00437923"/>
    <w:rsid w:val="00437A94"/>
    <w:rsid w:val="00437B17"/>
    <w:rsid w:val="00440256"/>
    <w:rsid w:val="0044033B"/>
    <w:rsid w:val="004404B2"/>
    <w:rsid w:val="0044057A"/>
    <w:rsid w:val="0044063E"/>
    <w:rsid w:val="00440665"/>
    <w:rsid w:val="00440B2C"/>
    <w:rsid w:val="00441066"/>
    <w:rsid w:val="00441B7A"/>
    <w:rsid w:val="00441DBE"/>
    <w:rsid w:val="00441FAA"/>
    <w:rsid w:val="0044217D"/>
    <w:rsid w:val="00442340"/>
    <w:rsid w:val="004424E5"/>
    <w:rsid w:val="00442F84"/>
    <w:rsid w:val="00443348"/>
    <w:rsid w:val="004434F6"/>
    <w:rsid w:val="004436AE"/>
    <w:rsid w:val="004436C5"/>
    <w:rsid w:val="0044370D"/>
    <w:rsid w:val="00443744"/>
    <w:rsid w:val="00443B25"/>
    <w:rsid w:val="0044405D"/>
    <w:rsid w:val="00444164"/>
    <w:rsid w:val="00444380"/>
    <w:rsid w:val="004445D0"/>
    <w:rsid w:val="004448B2"/>
    <w:rsid w:val="004449B6"/>
    <w:rsid w:val="00444FB8"/>
    <w:rsid w:val="004453EF"/>
    <w:rsid w:val="004454A2"/>
    <w:rsid w:val="00445EE5"/>
    <w:rsid w:val="00446022"/>
    <w:rsid w:val="004462F5"/>
    <w:rsid w:val="0044665C"/>
    <w:rsid w:val="004466D4"/>
    <w:rsid w:val="00446785"/>
    <w:rsid w:val="0044684E"/>
    <w:rsid w:val="00446BF3"/>
    <w:rsid w:val="00446CFF"/>
    <w:rsid w:val="0044718B"/>
    <w:rsid w:val="004471D8"/>
    <w:rsid w:val="00447730"/>
    <w:rsid w:val="0044791A"/>
    <w:rsid w:val="00447B9E"/>
    <w:rsid w:val="00447E90"/>
    <w:rsid w:val="00447EDB"/>
    <w:rsid w:val="004500AC"/>
    <w:rsid w:val="00450B13"/>
    <w:rsid w:val="00450C90"/>
    <w:rsid w:val="00451047"/>
    <w:rsid w:val="004510CE"/>
    <w:rsid w:val="00451130"/>
    <w:rsid w:val="00451138"/>
    <w:rsid w:val="00451243"/>
    <w:rsid w:val="0045151E"/>
    <w:rsid w:val="004517C1"/>
    <w:rsid w:val="004518E4"/>
    <w:rsid w:val="00451944"/>
    <w:rsid w:val="00451CE3"/>
    <w:rsid w:val="0045210A"/>
    <w:rsid w:val="004523EC"/>
    <w:rsid w:val="00452449"/>
    <w:rsid w:val="004524EF"/>
    <w:rsid w:val="00452648"/>
    <w:rsid w:val="004527EC"/>
    <w:rsid w:val="00452B4C"/>
    <w:rsid w:val="00452C94"/>
    <w:rsid w:val="00453331"/>
    <w:rsid w:val="00453341"/>
    <w:rsid w:val="00453397"/>
    <w:rsid w:val="004535C6"/>
    <w:rsid w:val="004536B2"/>
    <w:rsid w:val="004539D2"/>
    <w:rsid w:val="00453C0D"/>
    <w:rsid w:val="0045409A"/>
    <w:rsid w:val="004540AC"/>
    <w:rsid w:val="004540DC"/>
    <w:rsid w:val="00454169"/>
    <w:rsid w:val="004541A3"/>
    <w:rsid w:val="00454318"/>
    <w:rsid w:val="00454417"/>
    <w:rsid w:val="00454923"/>
    <w:rsid w:val="00454FA2"/>
    <w:rsid w:val="00454FA3"/>
    <w:rsid w:val="0045508D"/>
    <w:rsid w:val="00455410"/>
    <w:rsid w:val="00455641"/>
    <w:rsid w:val="00455937"/>
    <w:rsid w:val="00455F2C"/>
    <w:rsid w:val="004564C3"/>
    <w:rsid w:val="00456601"/>
    <w:rsid w:val="004568A5"/>
    <w:rsid w:val="0045690B"/>
    <w:rsid w:val="00456A2C"/>
    <w:rsid w:val="00456EAB"/>
    <w:rsid w:val="00456ED6"/>
    <w:rsid w:val="00456FE9"/>
    <w:rsid w:val="004571A7"/>
    <w:rsid w:val="004571C3"/>
    <w:rsid w:val="00457702"/>
    <w:rsid w:val="004577EB"/>
    <w:rsid w:val="00457AA5"/>
    <w:rsid w:val="004608DA"/>
    <w:rsid w:val="004609BB"/>
    <w:rsid w:val="00460A35"/>
    <w:rsid w:val="00460E48"/>
    <w:rsid w:val="00460FED"/>
    <w:rsid w:val="0046109E"/>
    <w:rsid w:val="004610D9"/>
    <w:rsid w:val="00461270"/>
    <w:rsid w:val="00461392"/>
    <w:rsid w:val="00461A22"/>
    <w:rsid w:val="00461A88"/>
    <w:rsid w:val="00461C39"/>
    <w:rsid w:val="00461DBB"/>
    <w:rsid w:val="00461E02"/>
    <w:rsid w:val="004620C5"/>
    <w:rsid w:val="004628EA"/>
    <w:rsid w:val="00462932"/>
    <w:rsid w:val="004629B1"/>
    <w:rsid w:val="004629F3"/>
    <w:rsid w:val="00462AAD"/>
    <w:rsid w:val="00462FE6"/>
    <w:rsid w:val="00462FF3"/>
    <w:rsid w:val="004631E9"/>
    <w:rsid w:val="004633AE"/>
    <w:rsid w:val="00463682"/>
    <w:rsid w:val="00463BBB"/>
    <w:rsid w:val="00463D78"/>
    <w:rsid w:val="00463EA2"/>
    <w:rsid w:val="004643EF"/>
    <w:rsid w:val="00464451"/>
    <w:rsid w:val="00464510"/>
    <w:rsid w:val="004646A0"/>
    <w:rsid w:val="0046494F"/>
    <w:rsid w:val="00464AAB"/>
    <w:rsid w:val="00464B73"/>
    <w:rsid w:val="00464C35"/>
    <w:rsid w:val="00464F2F"/>
    <w:rsid w:val="00464FC8"/>
    <w:rsid w:val="004650D3"/>
    <w:rsid w:val="00465146"/>
    <w:rsid w:val="00465690"/>
    <w:rsid w:val="004656CF"/>
    <w:rsid w:val="00465B57"/>
    <w:rsid w:val="00466242"/>
    <w:rsid w:val="00466276"/>
    <w:rsid w:val="004665D7"/>
    <w:rsid w:val="00466864"/>
    <w:rsid w:val="00466C0E"/>
    <w:rsid w:val="00466C91"/>
    <w:rsid w:val="00466F33"/>
    <w:rsid w:val="00467059"/>
    <w:rsid w:val="0046757B"/>
    <w:rsid w:val="0046758E"/>
    <w:rsid w:val="004676EF"/>
    <w:rsid w:val="004679B7"/>
    <w:rsid w:val="00467BCF"/>
    <w:rsid w:val="00467D97"/>
    <w:rsid w:val="00470292"/>
    <w:rsid w:val="0047044D"/>
    <w:rsid w:val="0047054C"/>
    <w:rsid w:val="0047102D"/>
    <w:rsid w:val="0047131B"/>
    <w:rsid w:val="004714B1"/>
    <w:rsid w:val="0047158E"/>
    <w:rsid w:val="0047191C"/>
    <w:rsid w:val="0047199A"/>
    <w:rsid w:val="00471BA0"/>
    <w:rsid w:val="00471C81"/>
    <w:rsid w:val="00471D34"/>
    <w:rsid w:val="00471D51"/>
    <w:rsid w:val="00472396"/>
    <w:rsid w:val="0047263E"/>
    <w:rsid w:val="004727A3"/>
    <w:rsid w:val="004727CB"/>
    <w:rsid w:val="0047286B"/>
    <w:rsid w:val="00472C1E"/>
    <w:rsid w:val="004731F0"/>
    <w:rsid w:val="004732B5"/>
    <w:rsid w:val="004733D5"/>
    <w:rsid w:val="00473538"/>
    <w:rsid w:val="004738BA"/>
    <w:rsid w:val="0047390A"/>
    <w:rsid w:val="00473A19"/>
    <w:rsid w:val="00473A7E"/>
    <w:rsid w:val="00473C52"/>
    <w:rsid w:val="00473D9C"/>
    <w:rsid w:val="00473E32"/>
    <w:rsid w:val="00474690"/>
    <w:rsid w:val="00474C9F"/>
    <w:rsid w:val="00474EE1"/>
    <w:rsid w:val="00474F7F"/>
    <w:rsid w:val="00475074"/>
    <w:rsid w:val="00475142"/>
    <w:rsid w:val="004752D5"/>
    <w:rsid w:val="00475345"/>
    <w:rsid w:val="0047543D"/>
    <w:rsid w:val="0047546E"/>
    <w:rsid w:val="004758B4"/>
    <w:rsid w:val="00475C51"/>
    <w:rsid w:val="00475D79"/>
    <w:rsid w:val="00475F37"/>
    <w:rsid w:val="00476110"/>
    <w:rsid w:val="00476293"/>
    <w:rsid w:val="00476430"/>
    <w:rsid w:val="004765BA"/>
    <w:rsid w:val="00476787"/>
    <w:rsid w:val="004768DF"/>
    <w:rsid w:val="00476A68"/>
    <w:rsid w:val="00476C94"/>
    <w:rsid w:val="00476EFB"/>
    <w:rsid w:val="00477191"/>
    <w:rsid w:val="0047723E"/>
    <w:rsid w:val="00477900"/>
    <w:rsid w:val="0047795A"/>
    <w:rsid w:val="00477B97"/>
    <w:rsid w:val="00477EE9"/>
    <w:rsid w:val="004801AC"/>
    <w:rsid w:val="0048029B"/>
    <w:rsid w:val="0048043D"/>
    <w:rsid w:val="004804DC"/>
    <w:rsid w:val="004805BC"/>
    <w:rsid w:val="00480801"/>
    <w:rsid w:val="0048099E"/>
    <w:rsid w:val="00480B37"/>
    <w:rsid w:val="00480B4E"/>
    <w:rsid w:val="004818AC"/>
    <w:rsid w:val="00481A05"/>
    <w:rsid w:val="00481A96"/>
    <w:rsid w:val="00481D35"/>
    <w:rsid w:val="00481DA9"/>
    <w:rsid w:val="00481E9B"/>
    <w:rsid w:val="00481FFD"/>
    <w:rsid w:val="0048248C"/>
    <w:rsid w:val="00482553"/>
    <w:rsid w:val="004827CF"/>
    <w:rsid w:val="004829A3"/>
    <w:rsid w:val="00482B06"/>
    <w:rsid w:val="00482F37"/>
    <w:rsid w:val="00483193"/>
    <w:rsid w:val="0048322C"/>
    <w:rsid w:val="0048328E"/>
    <w:rsid w:val="004832CD"/>
    <w:rsid w:val="00483423"/>
    <w:rsid w:val="004838D7"/>
    <w:rsid w:val="004838E0"/>
    <w:rsid w:val="00483A89"/>
    <w:rsid w:val="00483FD1"/>
    <w:rsid w:val="00483FDC"/>
    <w:rsid w:val="004842D8"/>
    <w:rsid w:val="00484530"/>
    <w:rsid w:val="004848B1"/>
    <w:rsid w:val="00484D17"/>
    <w:rsid w:val="00484EE1"/>
    <w:rsid w:val="0048500C"/>
    <w:rsid w:val="00485170"/>
    <w:rsid w:val="00485412"/>
    <w:rsid w:val="004856FF"/>
    <w:rsid w:val="00485758"/>
    <w:rsid w:val="00485774"/>
    <w:rsid w:val="004857EB"/>
    <w:rsid w:val="00485866"/>
    <w:rsid w:val="00485965"/>
    <w:rsid w:val="00486342"/>
    <w:rsid w:val="00486420"/>
    <w:rsid w:val="00486581"/>
    <w:rsid w:val="004866A1"/>
    <w:rsid w:val="004866C9"/>
    <w:rsid w:val="0048680C"/>
    <w:rsid w:val="00486878"/>
    <w:rsid w:val="00486AE5"/>
    <w:rsid w:val="00486B56"/>
    <w:rsid w:val="00486C3E"/>
    <w:rsid w:val="004870EC"/>
    <w:rsid w:val="00487101"/>
    <w:rsid w:val="00487377"/>
    <w:rsid w:val="0048745A"/>
    <w:rsid w:val="004876C6"/>
    <w:rsid w:val="0048776B"/>
    <w:rsid w:val="00487AF3"/>
    <w:rsid w:val="00487E5E"/>
    <w:rsid w:val="00487F9C"/>
    <w:rsid w:val="00487FA2"/>
    <w:rsid w:val="00490041"/>
    <w:rsid w:val="0049019E"/>
    <w:rsid w:val="00490223"/>
    <w:rsid w:val="00490248"/>
    <w:rsid w:val="004902C1"/>
    <w:rsid w:val="004902F1"/>
    <w:rsid w:val="0049032A"/>
    <w:rsid w:val="00490334"/>
    <w:rsid w:val="004903F5"/>
    <w:rsid w:val="00490463"/>
    <w:rsid w:val="004908CE"/>
    <w:rsid w:val="00490906"/>
    <w:rsid w:val="004909C8"/>
    <w:rsid w:val="00490B5A"/>
    <w:rsid w:val="0049109F"/>
    <w:rsid w:val="004910B7"/>
    <w:rsid w:val="004915C5"/>
    <w:rsid w:val="00491CA7"/>
    <w:rsid w:val="00491F3E"/>
    <w:rsid w:val="00492B52"/>
    <w:rsid w:val="00492BD6"/>
    <w:rsid w:val="00493040"/>
    <w:rsid w:val="0049328F"/>
    <w:rsid w:val="0049383B"/>
    <w:rsid w:val="004938CC"/>
    <w:rsid w:val="00493BBB"/>
    <w:rsid w:val="00493DF2"/>
    <w:rsid w:val="0049412A"/>
    <w:rsid w:val="00494206"/>
    <w:rsid w:val="004946F6"/>
    <w:rsid w:val="00494712"/>
    <w:rsid w:val="004947EC"/>
    <w:rsid w:val="00494841"/>
    <w:rsid w:val="00494D8C"/>
    <w:rsid w:val="00494EBF"/>
    <w:rsid w:val="0049536E"/>
    <w:rsid w:val="004956FA"/>
    <w:rsid w:val="0049599E"/>
    <w:rsid w:val="004959A0"/>
    <w:rsid w:val="00495A61"/>
    <w:rsid w:val="00495BDA"/>
    <w:rsid w:val="00495E7D"/>
    <w:rsid w:val="004960C6"/>
    <w:rsid w:val="004964AF"/>
    <w:rsid w:val="0049654D"/>
    <w:rsid w:val="00496696"/>
    <w:rsid w:val="00496771"/>
    <w:rsid w:val="004968B0"/>
    <w:rsid w:val="00496AF5"/>
    <w:rsid w:val="00496CAF"/>
    <w:rsid w:val="004975C8"/>
    <w:rsid w:val="00497963"/>
    <w:rsid w:val="00497F65"/>
    <w:rsid w:val="00497F75"/>
    <w:rsid w:val="004A0330"/>
    <w:rsid w:val="004A055D"/>
    <w:rsid w:val="004A0695"/>
    <w:rsid w:val="004A0A0A"/>
    <w:rsid w:val="004A0AA9"/>
    <w:rsid w:val="004A0C54"/>
    <w:rsid w:val="004A0FA0"/>
    <w:rsid w:val="004A1A54"/>
    <w:rsid w:val="004A1D61"/>
    <w:rsid w:val="004A1E51"/>
    <w:rsid w:val="004A1F7E"/>
    <w:rsid w:val="004A200F"/>
    <w:rsid w:val="004A2026"/>
    <w:rsid w:val="004A219F"/>
    <w:rsid w:val="004A22FC"/>
    <w:rsid w:val="004A2422"/>
    <w:rsid w:val="004A255C"/>
    <w:rsid w:val="004A2A78"/>
    <w:rsid w:val="004A2BB3"/>
    <w:rsid w:val="004A2F5D"/>
    <w:rsid w:val="004A311E"/>
    <w:rsid w:val="004A34C8"/>
    <w:rsid w:val="004A3554"/>
    <w:rsid w:val="004A36B8"/>
    <w:rsid w:val="004A36C4"/>
    <w:rsid w:val="004A37A6"/>
    <w:rsid w:val="004A3865"/>
    <w:rsid w:val="004A3A0F"/>
    <w:rsid w:val="004A3D22"/>
    <w:rsid w:val="004A3DBE"/>
    <w:rsid w:val="004A3FB3"/>
    <w:rsid w:val="004A44E6"/>
    <w:rsid w:val="004A4656"/>
    <w:rsid w:val="004A48C3"/>
    <w:rsid w:val="004A4C7B"/>
    <w:rsid w:val="004A4E9A"/>
    <w:rsid w:val="004A4F8F"/>
    <w:rsid w:val="004A503E"/>
    <w:rsid w:val="004A5220"/>
    <w:rsid w:val="004A554A"/>
    <w:rsid w:val="004A5587"/>
    <w:rsid w:val="004A56E1"/>
    <w:rsid w:val="004A597F"/>
    <w:rsid w:val="004A5989"/>
    <w:rsid w:val="004A5E72"/>
    <w:rsid w:val="004A60DE"/>
    <w:rsid w:val="004A6202"/>
    <w:rsid w:val="004A6E00"/>
    <w:rsid w:val="004A6EBD"/>
    <w:rsid w:val="004A7085"/>
    <w:rsid w:val="004A70C6"/>
    <w:rsid w:val="004A7502"/>
    <w:rsid w:val="004A75AC"/>
    <w:rsid w:val="004A7701"/>
    <w:rsid w:val="004A77D3"/>
    <w:rsid w:val="004A7B67"/>
    <w:rsid w:val="004A7BBD"/>
    <w:rsid w:val="004A7C4D"/>
    <w:rsid w:val="004A7D02"/>
    <w:rsid w:val="004A7F3C"/>
    <w:rsid w:val="004B0003"/>
    <w:rsid w:val="004B02A0"/>
    <w:rsid w:val="004B04F1"/>
    <w:rsid w:val="004B05B1"/>
    <w:rsid w:val="004B06E3"/>
    <w:rsid w:val="004B0B27"/>
    <w:rsid w:val="004B0E9C"/>
    <w:rsid w:val="004B0E9E"/>
    <w:rsid w:val="004B0F67"/>
    <w:rsid w:val="004B11A2"/>
    <w:rsid w:val="004B14BD"/>
    <w:rsid w:val="004B17AC"/>
    <w:rsid w:val="004B1874"/>
    <w:rsid w:val="004B1A60"/>
    <w:rsid w:val="004B1C63"/>
    <w:rsid w:val="004B1FAC"/>
    <w:rsid w:val="004B2099"/>
    <w:rsid w:val="004B212A"/>
    <w:rsid w:val="004B2471"/>
    <w:rsid w:val="004B24BC"/>
    <w:rsid w:val="004B2600"/>
    <w:rsid w:val="004B2626"/>
    <w:rsid w:val="004B274A"/>
    <w:rsid w:val="004B2A4D"/>
    <w:rsid w:val="004B2D3C"/>
    <w:rsid w:val="004B2E41"/>
    <w:rsid w:val="004B35A8"/>
    <w:rsid w:val="004B37A5"/>
    <w:rsid w:val="004B3A9A"/>
    <w:rsid w:val="004B3ABC"/>
    <w:rsid w:val="004B3AD9"/>
    <w:rsid w:val="004B3C11"/>
    <w:rsid w:val="004B4276"/>
    <w:rsid w:val="004B4394"/>
    <w:rsid w:val="004B43CE"/>
    <w:rsid w:val="004B44FD"/>
    <w:rsid w:val="004B4598"/>
    <w:rsid w:val="004B48C7"/>
    <w:rsid w:val="004B4AC7"/>
    <w:rsid w:val="004B4BD1"/>
    <w:rsid w:val="004B4E06"/>
    <w:rsid w:val="004B4FAB"/>
    <w:rsid w:val="004B51BE"/>
    <w:rsid w:val="004B52DF"/>
    <w:rsid w:val="004B531F"/>
    <w:rsid w:val="004B54D9"/>
    <w:rsid w:val="004B59F2"/>
    <w:rsid w:val="004B5C7A"/>
    <w:rsid w:val="004B5EBF"/>
    <w:rsid w:val="004B6120"/>
    <w:rsid w:val="004B64BE"/>
    <w:rsid w:val="004B6509"/>
    <w:rsid w:val="004B667B"/>
    <w:rsid w:val="004B6A09"/>
    <w:rsid w:val="004B6A9B"/>
    <w:rsid w:val="004B6C40"/>
    <w:rsid w:val="004B6D4E"/>
    <w:rsid w:val="004B6D92"/>
    <w:rsid w:val="004B6F1C"/>
    <w:rsid w:val="004B70A4"/>
    <w:rsid w:val="004B70D7"/>
    <w:rsid w:val="004B71D6"/>
    <w:rsid w:val="004B7B57"/>
    <w:rsid w:val="004C07A1"/>
    <w:rsid w:val="004C0BD8"/>
    <w:rsid w:val="004C0C1F"/>
    <w:rsid w:val="004C0FCE"/>
    <w:rsid w:val="004C10B8"/>
    <w:rsid w:val="004C10D2"/>
    <w:rsid w:val="004C112D"/>
    <w:rsid w:val="004C13B9"/>
    <w:rsid w:val="004C15FA"/>
    <w:rsid w:val="004C16E4"/>
    <w:rsid w:val="004C177C"/>
    <w:rsid w:val="004C17A5"/>
    <w:rsid w:val="004C1AF6"/>
    <w:rsid w:val="004C1DE7"/>
    <w:rsid w:val="004C1FF3"/>
    <w:rsid w:val="004C2035"/>
    <w:rsid w:val="004C211B"/>
    <w:rsid w:val="004C229A"/>
    <w:rsid w:val="004C2440"/>
    <w:rsid w:val="004C2C41"/>
    <w:rsid w:val="004C2F39"/>
    <w:rsid w:val="004C2FC2"/>
    <w:rsid w:val="004C3106"/>
    <w:rsid w:val="004C31C8"/>
    <w:rsid w:val="004C3297"/>
    <w:rsid w:val="004C3D0F"/>
    <w:rsid w:val="004C3EB7"/>
    <w:rsid w:val="004C460B"/>
    <w:rsid w:val="004C46EB"/>
    <w:rsid w:val="004C47A6"/>
    <w:rsid w:val="004C48BE"/>
    <w:rsid w:val="004C48F1"/>
    <w:rsid w:val="004C49E9"/>
    <w:rsid w:val="004C4C96"/>
    <w:rsid w:val="004C4DBA"/>
    <w:rsid w:val="004C4ECA"/>
    <w:rsid w:val="004C5024"/>
    <w:rsid w:val="004C507D"/>
    <w:rsid w:val="004C5302"/>
    <w:rsid w:val="004C5481"/>
    <w:rsid w:val="004C5561"/>
    <w:rsid w:val="004C56F5"/>
    <w:rsid w:val="004C581A"/>
    <w:rsid w:val="004C5C5F"/>
    <w:rsid w:val="004C5E53"/>
    <w:rsid w:val="004C64DB"/>
    <w:rsid w:val="004C6A50"/>
    <w:rsid w:val="004C6B1A"/>
    <w:rsid w:val="004C6C50"/>
    <w:rsid w:val="004C6E74"/>
    <w:rsid w:val="004C6FBC"/>
    <w:rsid w:val="004C6FCE"/>
    <w:rsid w:val="004C712D"/>
    <w:rsid w:val="004C7143"/>
    <w:rsid w:val="004C745E"/>
    <w:rsid w:val="004C77ED"/>
    <w:rsid w:val="004C7A5B"/>
    <w:rsid w:val="004C7C14"/>
    <w:rsid w:val="004C7F69"/>
    <w:rsid w:val="004D00E9"/>
    <w:rsid w:val="004D03FF"/>
    <w:rsid w:val="004D08E2"/>
    <w:rsid w:val="004D0A36"/>
    <w:rsid w:val="004D0CA8"/>
    <w:rsid w:val="004D0CAA"/>
    <w:rsid w:val="004D13E7"/>
    <w:rsid w:val="004D1499"/>
    <w:rsid w:val="004D152F"/>
    <w:rsid w:val="004D19AF"/>
    <w:rsid w:val="004D1C19"/>
    <w:rsid w:val="004D1D29"/>
    <w:rsid w:val="004D1D50"/>
    <w:rsid w:val="004D1DB9"/>
    <w:rsid w:val="004D1E7F"/>
    <w:rsid w:val="004D1FFE"/>
    <w:rsid w:val="004D2086"/>
    <w:rsid w:val="004D2780"/>
    <w:rsid w:val="004D27BC"/>
    <w:rsid w:val="004D290D"/>
    <w:rsid w:val="004D2A41"/>
    <w:rsid w:val="004D2A51"/>
    <w:rsid w:val="004D2C14"/>
    <w:rsid w:val="004D324E"/>
    <w:rsid w:val="004D328A"/>
    <w:rsid w:val="004D3320"/>
    <w:rsid w:val="004D3340"/>
    <w:rsid w:val="004D33DE"/>
    <w:rsid w:val="004D34BC"/>
    <w:rsid w:val="004D36EC"/>
    <w:rsid w:val="004D3A3A"/>
    <w:rsid w:val="004D3C20"/>
    <w:rsid w:val="004D3D76"/>
    <w:rsid w:val="004D3F48"/>
    <w:rsid w:val="004D4440"/>
    <w:rsid w:val="004D46FB"/>
    <w:rsid w:val="004D495B"/>
    <w:rsid w:val="004D4C70"/>
    <w:rsid w:val="004D4DF2"/>
    <w:rsid w:val="004D54A8"/>
    <w:rsid w:val="004D58E4"/>
    <w:rsid w:val="004D5963"/>
    <w:rsid w:val="004D5FAA"/>
    <w:rsid w:val="004D6148"/>
    <w:rsid w:val="004D6246"/>
    <w:rsid w:val="004D63C9"/>
    <w:rsid w:val="004D6517"/>
    <w:rsid w:val="004D6CE7"/>
    <w:rsid w:val="004D6F88"/>
    <w:rsid w:val="004D7176"/>
    <w:rsid w:val="004D71B5"/>
    <w:rsid w:val="004D71E5"/>
    <w:rsid w:val="004D73E5"/>
    <w:rsid w:val="004D7459"/>
    <w:rsid w:val="004D7691"/>
    <w:rsid w:val="004D7711"/>
    <w:rsid w:val="004D7B22"/>
    <w:rsid w:val="004D7EFE"/>
    <w:rsid w:val="004E01CF"/>
    <w:rsid w:val="004E02B1"/>
    <w:rsid w:val="004E0407"/>
    <w:rsid w:val="004E0475"/>
    <w:rsid w:val="004E04F0"/>
    <w:rsid w:val="004E068A"/>
    <w:rsid w:val="004E07B3"/>
    <w:rsid w:val="004E08C5"/>
    <w:rsid w:val="004E0BF7"/>
    <w:rsid w:val="004E1205"/>
    <w:rsid w:val="004E130D"/>
    <w:rsid w:val="004E152E"/>
    <w:rsid w:val="004E1810"/>
    <w:rsid w:val="004E1E10"/>
    <w:rsid w:val="004E236C"/>
    <w:rsid w:val="004E23F7"/>
    <w:rsid w:val="004E23F8"/>
    <w:rsid w:val="004E276E"/>
    <w:rsid w:val="004E27C9"/>
    <w:rsid w:val="004E28BE"/>
    <w:rsid w:val="004E2C7C"/>
    <w:rsid w:val="004E2E06"/>
    <w:rsid w:val="004E2F85"/>
    <w:rsid w:val="004E30C8"/>
    <w:rsid w:val="004E3100"/>
    <w:rsid w:val="004E3117"/>
    <w:rsid w:val="004E3313"/>
    <w:rsid w:val="004E37BD"/>
    <w:rsid w:val="004E38DD"/>
    <w:rsid w:val="004E3A89"/>
    <w:rsid w:val="004E3D93"/>
    <w:rsid w:val="004E4422"/>
    <w:rsid w:val="004E44DF"/>
    <w:rsid w:val="004E46C0"/>
    <w:rsid w:val="004E49A4"/>
    <w:rsid w:val="004E4A30"/>
    <w:rsid w:val="004E4AF9"/>
    <w:rsid w:val="004E4BDA"/>
    <w:rsid w:val="004E4EB3"/>
    <w:rsid w:val="004E5171"/>
    <w:rsid w:val="004E553F"/>
    <w:rsid w:val="004E5560"/>
    <w:rsid w:val="004E5592"/>
    <w:rsid w:val="004E5609"/>
    <w:rsid w:val="004E5D4A"/>
    <w:rsid w:val="004E5DF5"/>
    <w:rsid w:val="004E5EE1"/>
    <w:rsid w:val="004E622E"/>
    <w:rsid w:val="004E62FF"/>
    <w:rsid w:val="004E68C2"/>
    <w:rsid w:val="004E69AE"/>
    <w:rsid w:val="004E69D2"/>
    <w:rsid w:val="004E6AD2"/>
    <w:rsid w:val="004E6D4B"/>
    <w:rsid w:val="004E6DC1"/>
    <w:rsid w:val="004E6F63"/>
    <w:rsid w:val="004E6F7D"/>
    <w:rsid w:val="004E7262"/>
    <w:rsid w:val="004E7297"/>
    <w:rsid w:val="004E7317"/>
    <w:rsid w:val="004E737B"/>
    <w:rsid w:val="004E73FD"/>
    <w:rsid w:val="004E773D"/>
    <w:rsid w:val="004E7947"/>
    <w:rsid w:val="004E7B11"/>
    <w:rsid w:val="004E7D78"/>
    <w:rsid w:val="004F004B"/>
    <w:rsid w:val="004F022E"/>
    <w:rsid w:val="004F02B6"/>
    <w:rsid w:val="004F0346"/>
    <w:rsid w:val="004F040C"/>
    <w:rsid w:val="004F085A"/>
    <w:rsid w:val="004F0AA2"/>
    <w:rsid w:val="004F0BC3"/>
    <w:rsid w:val="004F0EFF"/>
    <w:rsid w:val="004F0FA2"/>
    <w:rsid w:val="004F1180"/>
    <w:rsid w:val="004F12A1"/>
    <w:rsid w:val="004F151E"/>
    <w:rsid w:val="004F173A"/>
    <w:rsid w:val="004F17C4"/>
    <w:rsid w:val="004F198C"/>
    <w:rsid w:val="004F1ECC"/>
    <w:rsid w:val="004F1FDC"/>
    <w:rsid w:val="004F21D9"/>
    <w:rsid w:val="004F23C3"/>
    <w:rsid w:val="004F2439"/>
    <w:rsid w:val="004F2571"/>
    <w:rsid w:val="004F28C0"/>
    <w:rsid w:val="004F2B7B"/>
    <w:rsid w:val="004F2CE2"/>
    <w:rsid w:val="004F2EDD"/>
    <w:rsid w:val="004F3090"/>
    <w:rsid w:val="004F3197"/>
    <w:rsid w:val="004F3212"/>
    <w:rsid w:val="004F3499"/>
    <w:rsid w:val="004F3547"/>
    <w:rsid w:val="004F37E0"/>
    <w:rsid w:val="004F3A67"/>
    <w:rsid w:val="004F3E15"/>
    <w:rsid w:val="004F4009"/>
    <w:rsid w:val="004F40B4"/>
    <w:rsid w:val="004F40C2"/>
    <w:rsid w:val="004F4287"/>
    <w:rsid w:val="004F4581"/>
    <w:rsid w:val="004F4663"/>
    <w:rsid w:val="004F489B"/>
    <w:rsid w:val="004F498A"/>
    <w:rsid w:val="004F4BF8"/>
    <w:rsid w:val="004F4EE1"/>
    <w:rsid w:val="004F4F6F"/>
    <w:rsid w:val="004F51DF"/>
    <w:rsid w:val="004F5394"/>
    <w:rsid w:val="004F54AA"/>
    <w:rsid w:val="004F5A7A"/>
    <w:rsid w:val="004F5DC1"/>
    <w:rsid w:val="004F5E8E"/>
    <w:rsid w:val="004F6465"/>
    <w:rsid w:val="004F689D"/>
    <w:rsid w:val="004F6FC6"/>
    <w:rsid w:val="004F6FFD"/>
    <w:rsid w:val="004F71BB"/>
    <w:rsid w:val="004F726F"/>
    <w:rsid w:val="004F758A"/>
    <w:rsid w:val="004F7698"/>
    <w:rsid w:val="004F7B44"/>
    <w:rsid w:val="004F7DFA"/>
    <w:rsid w:val="004F7E62"/>
    <w:rsid w:val="004F7F04"/>
    <w:rsid w:val="004F7F5B"/>
    <w:rsid w:val="0050001B"/>
    <w:rsid w:val="005000AD"/>
    <w:rsid w:val="005000C5"/>
    <w:rsid w:val="005000EC"/>
    <w:rsid w:val="00500370"/>
    <w:rsid w:val="00500473"/>
    <w:rsid w:val="005007B1"/>
    <w:rsid w:val="0050096A"/>
    <w:rsid w:val="00500C9A"/>
    <w:rsid w:val="00501129"/>
    <w:rsid w:val="005012A5"/>
    <w:rsid w:val="005016AA"/>
    <w:rsid w:val="005017A3"/>
    <w:rsid w:val="005018E1"/>
    <w:rsid w:val="0050196F"/>
    <w:rsid w:val="005023F9"/>
    <w:rsid w:val="0050289A"/>
    <w:rsid w:val="00502B1C"/>
    <w:rsid w:val="00502C9B"/>
    <w:rsid w:val="00502F1F"/>
    <w:rsid w:val="005032B4"/>
    <w:rsid w:val="005034CE"/>
    <w:rsid w:val="005037C4"/>
    <w:rsid w:val="0050424C"/>
    <w:rsid w:val="005043F0"/>
    <w:rsid w:val="0050477D"/>
    <w:rsid w:val="005049A5"/>
    <w:rsid w:val="00504A3D"/>
    <w:rsid w:val="00504BEB"/>
    <w:rsid w:val="00504D68"/>
    <w:rsid w:val="00504EC3"/>
    <w:rsid w:val="005052D0"/>
    <w:rsid w:val="0050569F"/>
    <w:rsid w:val="005056F2"/>
    <w:rsid w:val="0050576A"/>
    <w:rsid w:val="005057C4"/>
    <w:rsid w:val="0050599C"/>
    <w:rsid w:val="005059ED"/>
    <w:rsid w:val="00505A15"/>
    <w:rsid w:val="00505CF8"/>
    <w:rsid w:val="00505D18"/>
    <w:rsid w:val="00505DA5"/>
    <w:rsid w:val="0050649A"/>
    <w:rsid w:val="0050649F"/>
    <w:rsid w:val="005065F8"/>
    <w:rsid w:val="005069B8"/>
    <w:rsid w:val="00506A64"/>
    <w:rsid w:val="00506BA6"/>
    <w:rsid w:val="00506C22"/>
    <w:rsid w:val="00506E84"/>
    <w:rsid w:val="00506ECD"/>
    <w:rsid w:val="00506F8E"/>
    <w:rsid w:val="00506FA9"/>
    <w:rsid w:val="005075C9"/>
    <w:rsid w:val="005077BD"/>
    <w:rsid w:val="00507F22"/>
    <w:rsid w:val="0051023A"/>
    <w:rsid w:val="005102FC"/>
    <w:rsid w:val="005103DB"/>
    <w:rsid w:val="0051097C"/>
    <w:rsid w:val="00510C28"/>
    <w:rsid w:val="00511079"/>
    <w:rsid w:val="005111CE"/>
    <w:rsid w:val="00511263"/>
    <w:rsid w:val="00511388"/>
    <w:rsid w:val="00511502"/>
    <w:rsid w:val="00511712"/>
    <w:rsid w:val="005118B6"/>
    <w:rsid w:val="00511C2C"/>
    <w:rsid w:val="00511DEF"/>
    <w:rsid w:val="00511F98"/>
    <w:rsid w:val="0051256C"/>
    <w:rsid w:val="00512C56"/>
    <w:rsid w:val="00512DEB"/>
    <w:rsid w:val="00512F12"/>
    <w:rsid w:val="00512FB4"/>
    <w:rsid w:val="00513080"/>
    <w:rsid w:val="00513849"/>
    <w:rsid w:val="005139A4"/>
    <w:rsid w:val="00513AC3"/>
    <w:rsid w:val="00513AF6"/>
    <w:rsid w:val="00513C70"/>
    <w:rsid w:val="00513CE6"/>
    <w:rsid w:val="00513D68"/>
    <w:rsid w:val="00513E7F"/>
    <w:rsid w:val="00514266"/>
    <w:rsid w:val="005145CF"/>
    <w:rsid w:val="0051486D"/>
    <w:rsid w:val="005149A9"/>
    <w:rsid w:val="00514A39"/>
    <w:rsid w:val="0051511F"/>
    <w:rsid w:val="0051522D"/>
    <w:rsid w:val="00515388"/>
    <w:rsid w:val="005154EC"/>
    <w:rsid w:val="00515666"/>
    <w:rsid w:val="00515712"/>
    <w:rsid w:val="00515952"/>
    <w:rsid w:val="005159A6"/>
    <w:rsid w:val="00515B2E"/>
    <w:rsid w:val="00515B4A"/>
    <w:rsid w:val="00515CDF"/>
    <w:rsid w:val="00515F61"/>
    <w:rsid w:val="00515FBD"/>
    <w:rsid w:val="0051648E"/>
    <w:rsid w:val="0051654B"/>
    <w:rsid w:val="005168C0"/>
    <w:rsid w:val="00516C6D"/>
    <w:rsid w:val="00516DF3"/>
    <w:rsid w:val="00516F0E"/>
    <w:rsid w:val="00517014"/>
    <w:rsid w:val="005170EB"/>
    <w:rsid w:val="00517128"/>
    <w:rsid w:val="005171F0"/>
    <w:rsid w:val="005178E8"/>
    <w:rsid w:val="00517914"/>
    <w:rsid w:val="00517B7C"/>
    <w:rsid w:val="00517C73"/>
    <w:rsid w:val="00517CBA"/>
    <w:rsid w:val="00517D7C"/>
    <w:rsid w:val="00517E99"/>
    <w:rsid w:val="00520279"/>
    <w:rsid w:val="0052052C"/>
    <w:rsid w:val="00520675"/>
    <w:rsid w:val="0052073E"/>
    <w:rsid w:val="00520892"/>
    <w:rsid w:val="005209F8"/>
    <w:rsid w:val="00520A3E"/>
    <w:rsid w:val="00520A84"/>
    <w:rsid w:val="00520A91"/>
    <w:rsid w:val="00520C76"/>
    <w:rsid w:val="00520CED"/>
    <w:rsid w:val="00521023"/>
    <w:rsid w:val="00521074"/>
    <w:rsid w:val="00521476"/>
    <w:rsid w:val="0052150D"/>
    <w:rsid w:val="00521818"/>
    <w:rsid w:val="00521B52"/>
    <w:rsid w:val="00521C33"/>
    <w:rsid w:val="00521C7F"/>
    <w:rsid w:val="00521F35"/>
    <w:rsid w:val="00521F65"/>
    <w:rsid w:val="00522094"/>
    <w:rsid w:val="00522251"/>
    <w:rsid w:val="00522536"/>
    <w:rsid w:val="00522B05"/>
    <w:rsid w:val="00522FB8"/>
    <w:rsid w:val="005231D6"/>
    <w:rsid w:val="005235F0"/>
    <w:rsid w:val="005236A5"/>
    <w:rsid w:val="00523862"/>
    <w:rsid w:val="0052396B"/>
    <w:rsid w:val="00523A7E"/>
    <w:rsid w:val="00523B5A"/>
    <w:rsid w:val="00523BAB"/>
    <w:rsid w:val="00523C36"/>
    <w:rsid w:val="00523D32"/>
    <w:rsid w:val="00523DAE"/>
    <w:rsid w:val="00523DB8"/>
    <w:rsid w:val="00523EEF"/>
    <w:rsid w:val="0052407E"/>
    <w:rsid w:val="005240AD"/>
    <w:rsid w:val="005240C3"/>
    <w:rsid w:val="0052436C"/>
    <w:rsid w:val="00524540"/>
    <w:rsid w:val="00524773"/>
    <w:rsid w:val="00524B10"/>
    <w:rsid w:val="00524BDB"/>
    <w:rsid w:val="00524D8B"/>
    <w:rsid w:val="00524DA8"/>
    <w:rsid w:val="00524E1A"/>
    <w:rsid w:val="00525065"/>
    <w:rsid w:val="0052530D"/>
    <w:rsid w:val="00525345"/>
    <w:rsid w:val="00525389"/>
    <w:rsid w:val="00525569"/>
    <w:rsid w:val="0052568A"/>
    <w:rsid w:val="005261B8"/>
    <w:rsid w:val="005261E6"/>
    <w:rsid w:val="005266EF"/>
    <w:rsid w:val="00526856"/>
    <w:rsid w:val="00526C06"/>
    <w:rsid w:val="00526E7D"/>
    <w:rsid w:val="005271C6"/>
    <w:rsid w:val="0052758E"/>
    <w:rsid w:val="005276A4"/>
    <w:rsid w:val="0052785A"/>
    <w:rsid w:val="00527E6C"/>
    <w:rsid w:val="00530054"/>
    <w:rsid w:val="005303A5"/>
    <w:rsid w:val="005304EB"/>
    <w:rsid w:val="00530574"/>
    <w:rsid w:val="00530FB8"/>
    <w:rsid w:val="00530FE0"/>
    <w:rsid w:val="005310A6"/>
    <w:rsid w:val="005312F6"/>
    <w:rsid w:val="005313E1"/>
    <w:rsid w:val="00531677"/>
    <w:rsid w:val="005316C8"/>
    <w:rsid w:val="00531800"/>
    <w:rsid w:val="00531B82"/>
    <w:rsid w:val="00531BBD"/>
    <w:rsid w:val="00531E7F"/>
    <w:rsid w:val="00531EBB"/>
    <w:rsid w:val="005324F6"/>
    <w:rsid w:val="0053252B"/>
    <w:rsid w:val="0053267B"/>
    <w:rsid w:val="0053299B"/>
    <w:rsid w:val="00533269"/>
    <w:rsid w:val="00533444"/>
    <w:rsid w:val="005335CF"/>
    <w:rsid w:val="00533844"/>
    <w:rsid w:val="005338FF"/>
    <w:rsid w:val="00533D9A"/>
    <w:rsid w:val="00533E44"/>
    <w:rsid w:val="00533FBF"/>
    <w:rsid w:val="00534036"/>
    <w:rsid w:val="005341DC"/>
    <w:rsid w:val="00534309"/>
    <w:rsid w:val="005344D3"/>
    <w:rsid w:val="00534542"/>
    <w:rsid w:val="00534F36"/>
    <w:rsid w:val="005350E1"/>
    <w:rsid w:val="00535160"/>
    <w:rsid w:val="00535284"/>
    <w:rsid w:val="00535B38"/>
    <w:rsid w:val="00535FC5"/>
    <w:rsid w:val="00536274"/>
    <w:rsid w:val="005363D2"/>
    <w:rsid w:val="005365A3"/>
    <w:rsid w:val="005365CF"/>
    <w:rsid w:val="0053669D"/>
    <w:rsid w:val="00536731"/>
    <w:rsid w:val="0053677E"/>
    <w:rsid w:val="00536938"/>
    <w:rsid w:val="00536C28"/>
    <w:rsid w:val="0053708F"/>
    <w:rsid w:val="00537674"/>
    <w:rsid w:val="005377F3"/>
    <w:rsid w:val="00537813"/>
    <w:rsid w:val="005378D5"/>
    <w:rsid w:val="0053790C"/>
    <w:rsid w:val="00537D73"/>
    <w:rsid w:val="00537D7C"/>
    <w:rsid w:val="00540786"/>
    <w:rsid w:val="00540A0D"/>
    <w:rsid w:val="00540A0E"/>
    <w:rsid w:val="00540BCF"/>
    <w:rsid w:val="00540C1F"/>
    <w:rsid w:val="00540F86"/>
    <w:rsid w:val="00540FCF"/>
    <w:rsid w:val="0054106D"/>
    <w:rsid w:val="005410A5"/>
    <w:rsid w:val="0054114A"/>
    <w:rsid w:val="00541351"/>
    <w:rsid w:val="00541756"/>
    <w:rsid w:val="00541E14"/>
    <w:rsid w:val="00542428"/>
    <w:rsid w:val="0054248D"/>
    <w:rsid w:val="0054254E"/>
    <w:rsid w:val="005425F3"/>
    <w:rsid w:val="005426DD"/>
    <w:rsid w:val="005427E5"/>
    <w:rsid w:val="005428A2"/>
    <w:rsid w:val="00542C3F"/>
    <w:rsid w:val="00543099"/>
    <w:rsid w:val="00543263"/>
    <w:rsid w:val="005432D6"/>
    <w:rsid w:val="0054354A"/>
    <w:rsid w:val="00543617"/>
    <w:rsid w:val="0054369A"/>
    <w:rsid w:val="00543793"/>
    <w:rsid w:val="00543914"/>
    <w:rsid w:val="00543B39"/>
    <w:rsid w:val="005441CF"/>
    <w:rsid w:val="005441F8"/>
    <w:rsid w:val="00544656"/>
    <w:rsid w:val="005446C8"/>
    <w:rsid w:val="00544876"/>
    <w:rsid w:val="0054491D"/>
    <w:rsid w:val="00544BFB"/>
    <w:rsid w:val="00544CAA"/>
    <w:rsid w:val="00544FDE"/>
    <w:rsid w:val="00545082"/>
    <w:rsid w:val="00545211"/>
    <w:rsid w:val="005452F9"/>
    <w:rsid w:val="005453D4"/>
    <w:rsid w:val="005454D4"/>
    <w:rsid w:val="0054553B"/>
    <w:rsid w:val="00545BDB"/>
    <w:rsid w:val="00545CF0"/>
    <w:rsid w:val="0054606B"/>
    <w:rsid w:val="0054684B"/>
    <w:rsid w:val="00546B14"/>
    <w:rsid w:val="00546F40"/>
    <w:rsid w:val="00546FBB"/>
    <w:rsid w:val="0054721F"/>
    <w:rsid w:val="0054728F"/>
    <w:rsid w:val="00547406"/>
    <w:rsid w:val="00547431"/>
    <w:rsid w:val="005475CC"/>
    <w:rsid w:val="005478BA"/>
    <w:rsid w:val="0054797F"/>
    <w:rsid w:val="00547A79"/>
    <w:rsid w:val="00547DB0"/>
    <w:rsid w:val="00547E22"/>
    <w:rsid w:val="00550422"/>
    <w:rsid w:val="0055043C"/>
    <w:rsid w:val="0055079D"/>
    <w:rsid w:val="00550983"/>
    <w:rsid w:val="00550A4B"/>
    <w:rsid w:val="00550B9F"/>
    <w:rsid w:val="00550DDD"/>
    <w:rsid w:val="00550F70"/>
    <w:rsid w:val="00551453"/>
    <w:rsid w:val="00551518"/>
    <w:rsid w:val="0055164F"/>
    <w:rsid w:val="00551710"/>
    <w:rsid w:val="00551732"/>
    <w:rsid w:val="005517FD"/>
    <w:rsid w:val="00551A44"/>
    <w:rsid w:val="00551EE1"/>
    <w:rsid w:val="00552608"/>
    <w:rsid w:val="0055268A"/>
    <w:rsid w:val="00552AD0"/>
    <w:rsid w:val="00552C99"/>
    <w:rsid w:val="00553269"/>
    <w:rsid w:val="00553770"/>
    <w:rsid w:val="00553C41"/>
    <w:rsid w:val="00553C68"/>
    <w:rsid w:val="00554000"/>
    <w:rsid w:val="00554009"/>
    <w:rsid w:val="00554285"/>
    <w:rsid w:val="0055435F"/>
    <w:rsid w:val="0055448A"/>
    <w:rsid w:val="0055452D"/>
    <w:rsid w:val="00554633"/>
    <w:rsid w:val="0055465E"/>
    <w:rsid w:val="005546B6"/>
    <w:rsid w:val="0055470C"/>
    <w:rsid w:val="005548A2"/>
    <w:rsid w:val="00554AFE"/>
    <w:rsid w:val="00554DD7"/>
    <w:rsid w:val="00555055"/>
    <w:rsid w:val="00555163"/>
    <w:rsid w:val="00555353"/>
    <w:rsid w:val="0055566B"/>
    <w:rsid w:val="00555833"/>
    <w:rsid w:val="00555988"/>
    <w:rsid w:val="005559C1"/>
    <w:rsid w:val="00555A35"/>
    <w:rsid w:val="00555B07"/>
    <w:rsid w:val="0055626C"/>
    <w:rsid w:val="005563D2"/>
    <w:rsid w:val="00556CF0"/>
    <w:rsid w:val="00556D11"/>
    <w:rsid w:val="005571DC"/>
    <w:rsid w:val="0055734A"/>
    <w:rsid w:val="00557385"/>
    <w:rsid w:val="00557681"/>
    <w:rsid w:val="00557E1F"/>
    <w:rsid w:val="0056063F"/>
    <w:rsid w:val="005607A9"/>
    <w:rsid w:val="005609F2"/>
    <w:rsid w:val="00560DE8"/>
    <w:rsid w:val="0056121F"/>
    <w:rsid w:val="005615D9"/>
    <w:rsid w:val="00561A5B"/>
    <w:rsid w:val="00561DE3"/>
    <w:rsid w:val="00561E16"/>
    <w:rsid w:val="00561FD2"/>
    <w:rsid w:val="005620B4"/>
    <w:rsid w:val="005621C0"/>
    <w:rsid w:val="005622C9"/>
    <w:rsid w:val="005624A1"/>
    <w:rsid w:val="005629A6"/>
    <w:rsid w:val="005629B8"/>
    <w:rsid w:val="005629FF"/>
    <w:rsid w:val="00562C23"/>
    <w:rsid w:val="0056300E"/>
    <w:rsid w:val="0056309E"/>
    <w:rsid w:val="00563289"/>
    <w:rsid w:val="005635A3"/>
    <w:rsid w:val="0056364D"/>
    <w:rsid w:val="00563F4E"/>
    <w:rsid w:val="0056451F"/>
    <w:rsid w:val="00564750"/>
    <w:rsid w:val="00564E42"/>
    <w:rsid w:val="0056503E"/>
    <w:rsid w:val="005650A6"/>
    <w:rsid w:val="005651B6"/>
    <w:rsid w:val="00565222"/>
    <w:rsid w:val="00565287"/>
    <w:rsid w:val="0056531D"/>
    <w:rsid w:val="005653EC"/>
    <w:rsid w:val="0056550F"/>
    <w:rsid w:val="005657B5"/>
    <w:rsid w:val="00565AC6"/>
    <w:rsid w:val="00565B17"/>
    <w:rsid w:val="00565ED7"/>
    <w:rsid w:val="00566003"/>
    <w:rsid w:val="005660CB"/>
    <w:rsid w:val="005660EE"/>
    <w:rsid w:val="0056610F"/>
    <w:rsid w:val="00566380"/>
    <w:rsid w:val="005666F4"/>
    <w:rsid w:val="00566701"/>
    <w:rsid w:val="0056690B"/>
    <w:rsid w:val="00566DB3"/>
    <w:rsid w:val="00566EAE"/>
    <w:rsid w:val="00566F61"/>
    <w:rsid w:val="00567335"/>
    <w:rsid w:val="005673E6"/>
    <w:rsid w:val="00567A8B"/>
    <w:rsid w:val="00567B6C"/>
    <w:rsid w:val="00567C08"/>
    <w:rsid w:val="00567E45"/>
    <w:rsid w:val="00570256"/>
    <w:rsid w:val="00570622"/>
    <w:rsid w:val="005707E2"/>
    <w:rsid w:val="00570899"/>
    <w:rsid w:val="005709AD"/>
    <w:rsid w:val="00570CAD"/>
    <w:rsid w:val="00570D96"/>
    <w:rsid w:val="00570E5A"/>
    <w:rsid w:val="00570FE3"/>
    <w:rsid w:val="0057139B"/>
    <w:rsid w:val="00571A1D"/>
    <w:rsid w:val="00571BA4"/>
    <w:rsid w:val="00571BC3"/>
    <w:rsid w:val="00571D36"/>
    <w:rsid w:val="005720F0"/>
    <w:rsid w:val="005726CA"/>
    <w:rsid w:val="00572B41"/>
    <w:rsid w:val="00572EEA"/>
    <w:rsid w:val="0057307B"/>
    <w:rsid w:val="00573674"/>
    <w:rsid w:val="005736A6"/>
    <w:rsid w:val="00573A2C"/>
    <w:rsid w:val="00573C02"/>
    <w:rsid w:val="00574385"/>
    <w:rsid w:val="00574A26"/>
    <w:rsid w:val="00574B48"/>
    <w:rsid w:val="00574CF3"/>
    <w:rsid w:val="00574E2D"/>
    <w:rsid w:val="0057542F"/>
    <w:rsid w:val="0057569C"/>
    <w:rsid w:val="005758EE"/>
    <w:rsid w:val="00575C54"/>
    <w:rsid w:val="00575DDF"/>
    <w:rsid w:val="00576039"/>
    <w:rsid w:val="0057634E"/>
    <w:rsid w:val="005763FF"/>
    <w:rsid w:val="00576584"/>
    <w:rsid w:val="00576BC9"/>
    <w:rsid w:val="00576DCB"/>
    <w:rsid w:val="005772EC"/>
    <w:rsid w:val="005773C3"/>
    <w:rsid w:val="0057744F"/>
    <w:rsid w:val="0057751F"/>
    <w:rsid w:val="00577527"/>
    <w:rsid w:val="00577627"/>
    <w:rsid w:val="00577845"/>
    <w:rsid w:val="00577906"/>
    <w:rsid w:val="00577A33"/>
    <w:rsid w:val="00577B3E"/>
    <w:rsid w:val="00577DF6"/>
    <w:rsid w:val="0058026F"/>
    <w:rsid w:val="00580552"/>
    <w:rsid w:val="005805A2"/>
    <w:rsid w:val="005807AA"/>
    <w:rsid w:val="00580898"/>
    <w:rsid w:val="00580BAA"/>
    <w:rsid w:val="00580FD7"/>
    <w:rsid w:val="005810BF"/>
    <w:rsid w:val="005811E4"/>
    <w:rsid w:val="005813A4"/>
    <w:rsid w:val="00581523"/>
    <w:rsid w:val="00581864"/>
    <w:rsid w:val="00581C7E"/>
    <w:rsid w:val="00581D80"/>
    <w:rsid w:val="00581FCE"/>
    <w:rsid w:val="00582199"/>
    <w:rsid w:val="0058234F"/>
    <w:rsid w:val="00582AF9"/>
    <w:rsid w:val="00582F18"/>
    <w:rsid w:val="00583312"/>
    <w:rsid w:val="005834EE"/>
    <w:rsid w:val="0058366B"/>
    <w:rsid w:val="0058387D"/>
    <w:rsid w:val="00583932"/>
    <w:rsid w:val="005839C2"/>
    <w:rsid w:val="00583AEB"/>
    <w:rsid w:val="00583CA1"/>
    <w:rsid w:val="00583FC6"/>
    <w:rsid w:val="00584022"/>
    <w:rsid w:val="00584124"/>
    <w:rsid w:val="00584162"/>
    <w:rsid w:val="00584198"/>
    <w:rsid w:val="00584458"/>
    <w:rsid w:val="005844F8"/>
    <w:rsid w:val="00584722"/>
    <w:rsid w:val="005848EB"/>
    <w:rsid w:val="005849E8"/>
    <w:rsid w:val="00584EE7"/>
    <w:rsid w:val="005853A2"/>
    <w:rsid w:val="0058548E"/>
    <w:rsid w:val="005856D4"/>
    <w:rsid w:val="0058573F"/>
    <w:rsid w:val="005857D3"/>
    <w:rsid w:val="00585D08"/>
    <w:rsid w:val="00586071"/>
    <w:rsid w:val="00586495"/>
    <w:rsid w:val="005864BC"/>
    <w:rsid w:val="005865F2"/>
    <w:rsid w:val="005865FF"/>
    <w:rsid w:val="00586761"/>
    <w:rsid w:val="005868CF"/>
    <w:rsid w:val="00586F09"/>
    <w:rsid w:val="00586FEF"/>
    <w:rsid w:val="00587136"/>
    <w:rsid w:val="00587176"/>
    <w:rsid w:val="005873D5"/>
    <w:rsid w:val="00587420"/>
    <w:rsid w:val="00587594"/>
    <w:rsid w:val="00587596"/>
    <w:rsid w:val="005876EF"/>
    <w:rsid w:val="0058793A"/>
    <w:rsid w:val="0058798B"/>
    <w:rsid w:val="00587CBA"/>
    <w:rsid w:val="00587D2C"/>
    <w:rsid w:val="00587D56"/>
    <w:rsid w:val="00587E56"/>
    <w:rsid w:val="00587ED3"/>
    <w:rsid w:val="005902A1"/>
    <w:rsid w:val="005903D2"/>
    <w:rsid w:val="005904BD"/>
    <w:rsid w:val="005906BD"/>
    <w:rsid w:val="005909E9"/>
    <w:rsid w:val="00590AE5"/>
    <w:rsid w:val="00590C61"/>
    <w:rsid w:val="00590E44"/>
    <w:rsid w:val="00590F1A"/>
    <w:rsid w:val="00591A34"/>
    <w:rsid w:val="0059226B"/>
    <w:rsid w:val="005924E2"/>
    <w:rsid w:val="00592A5B"/>
    <w:rsid w:val="00592A8A"/>
    <w:rsid w:val="00592BD1"/>
    <w:rsid w:val="00592EEC"/>
    <w:rsid w:val="005931EC"/>
    <w:rsid w:val="005935C5"/>
    <w:rsid w:val="005935EA"/>
    <w:rsid w:val="00593768"/>
    <w:rsid w:val="0059380B"/>
    <w:rsid w:val="00593888"/>
    <w:rsid w:val="00593A7E"/>
    <w:rsid w:val="00593CC0"/>
    <w:rsid w:val="00593EC7"/>
    <w:rsid w:val="005940A5"/>
    <w:rsid w:val="00594166"/>
    <w:rsid w:val="00594183"/>
    <w:rsid w:val="00594423"/>
    <w:rsid w:val="005944CE"/>
    <w:rsid w:val="005947E5"/>
    <w:rsid w:val="005949CE"/>
    <w:rsid w:val="00594A9D"/>
    <w:rsid w:val="00595584"/>
    <w:rsid w:val="00595798"/>
    <w:rsid w:val="00595911"/>
    <w:rsid w:val="005960F8"/>
    <w:rsid w:val="0059623D"/>
    <w:rsid w:val="00596595"/>
    <w:rsid w:val="00596790"/>
    <w:rsid w:val="00596913"/>
    <w:rsid w:val="0059699F"/>
    <w:rsid w:val="00596CE2"/>
    <w:rsid w:val="00596E45"/>
    <w:rsid w:val="00596E6D"/>
    <w:rsid w:val="0059706E"/>
    <w:rsid w:val="005970F3"/>
    <w:rsid w:val="005973D6"/>
    <w:rsid w:val="00597478"/>
    <w:rsid w:val="005974C8"/>
    <w:rsid w:val="00597627"/>
    <w:rsid w:val="00597685"/>
    <w:rsid w:val="005A0389"/>
    <w:rsid w:val="005A0527"/>
    <w:rsid w:val="005A0565"/>
    <w:rsid w:val="005A0598"/>
    <w:rsid w:val="005A05A4"/>
    <w:rsid w:val="005A0CDD"/>
    <w:rsid w:val="005A0FF4"/>
    <w:rsid w:val="005A1AD5"/>
    <w:rsid w:val="005A1B2A"/>
    <w:rsid w:val="005A1BCB"/>
    <w:rsid w:val="005A211A"/>
    <w:rsid w:val="005A243A"/>
    <w:rsid w:val="005A25ED"/>
    <w:rsid w:val="005A2646"/>
    <w:rsid w:val="005A2843"/>
    <w:rsid w:val="005A2A03"/>
    <w:rsid w:val="005A2EB3"/>
    <w:rsid w:val="005A2F62"/>
    <w:rsid w:val="005A3083"/>
    <w:rsid w:val="005A3253"/>
    <w:rsid w:val="005A3881"/>
    <w:rsid w:val="005A3933"/>
    <w:rsid w:val="005A3DC4"/>
    <w:rsid w:val="005A41F7"/>
    <w:rsid w:val="005A48B9"/>
    <w:rsid w:val="005A490C"/>
    <w:rsid w:val="005A4D48"/>
    <w:rsid w:val="005A4F55"/>
    <w:rsid w:val="005A4FF6"/>
    <w:rsid w:val="005A5028"/>
    <w:rsid w:val="005A510B"/>
    <w:rsid w:val="005A51FF"/>
    <w:rsid w:val="005A559A"/>
    <w:rsid w:val="005A584C"/>
    <w:rsid w:val="005A5EDF"/>
    <w:rsid w:val="005A5FFA"/>
    <w:rsid w:val="005A60FA"/>
    <w:rsid w:val="005A6439"/>
    <w:rsid w:val="005A6813"/>
    <w:rsid w:val="005A6AE9"/>
    <w:rsid w:val="005A6B15"/>
    <w:rsid w:val="005A6CE6"/>
    <w:rsid w:val="005A6FAF"/>
    <w:rsid w:val="005A6FB1"/>
    <w:rsid w:val="005A715C"/>
    <w:rsid w:val="005A723D"/>
    <w:rsid w:val="005A7307"/>
    <w:rsid w:val="005A7371"/>
    <w:rsid w:val="005A7AAF"/>
    <w:rsid w:val="005A7B0F"/>
    <w:rsid w:val="005A7FCA"/>
    <w:rsid w:val="005B0098"/>
    <w:rsid w:val="005B0259"/>
    <w:rsid w:val="005B045C"/>
    <w:rsid w:val="005B04D0"/>
    <w:rsid w:val="005B055A"/>
    <w:rsid w:val="005B098B"/>
    <w:rsid w:val="005B12CC"/>
    <w:rsid w:val="005B1A78"/>
    <w:rsid w:val="005B1ACC"/>
    <w:rsid w:val="005B2332"/>
    <w:rsid w:val="005B2548"/>
    <w:rsid w:val="005B2607"/>
    <w:rsid w:val="005B26D3"/>
    <w:rsid w:val="005B2AE8"/>
    <w:rsid w:val="005B30B9"/>
    <w:rsid w:val="005B3296"/>
    <w:rsid w:val="005B3FFB"/>
    <w:rsid w:val="005B4051"/>
    <w:rsid w:val="005B4354"/>
    <w:rsid w:val="005B4384"/>
    <w:rsid w:val="005B4D61"/>
    <w:rsid w:val="005B503E"/>
    <w:rsid w:val="005B5189"/>
    <w:rsid w:val="005B51D4"/>
    <w:rsid w:val="005B5535"/>
    <w:rsid w:val="005B57AC"/>
    <w:rsid w:val="005B5A90"/>
    <w:rsid w:val="005B5B81"/>
    <w:rsid w:val="005B5F5A"/>
    <w:rsid w:val="005B6467"/>
    <w:rsid w:val="005B6498"/>
    <w:rsid w:val="005B665B"/>
    <w:rsid w:val="005B6A31"/>
    <w:rsid w:val="005B6C7F"/>
    <w:rsid w:val="005B6EC1"/>
    <w:rsid w:val="005B6F04"/>
    <w:rsid w:val="005B7033"/>
    <w:rsid w:val="005B70CB"/>
    <w:rsid w:val="005B70ED"/>
    <w:rsid w:val="005B713B"/>
    <w:rsid w:val="005B7213"/>
    <w:rsid w:val="005B76DC"/>
    <w:rsid w:val="005B7781"/>
    <w:rsid w:val="005B77B4"/>
    <w:rsid w:val="005B799A"/>
    <w:rsid w:val="005B7A59"/>
    <w:rsid w:val="005B7DAA"/>
    <w:rsid w:val="005B7E56"/>
    <w:rsid w:val="005C02D9"/>
    <w:rsid w:val="005C0378"/>
    <w:rsid w:val="005C05F8"/>
    <w:rsid w:val="005C0826"/>
    <w:rsid w:val="005C0A82"/>
    <w:rsid w:val="005C0CF2"/>
    <w:rsid w:val="005C1098"/>
    <w:rsid w:val="005C10EB"/>
    <w:rsid w:val="005C11A2"/>
    <w:rsid w:val="005C1386"/>
    <w:rsid w:val="005C1A2F"/>
    <w:rsid w:val="005C1C32"/>
    <w:rsid w:val="005C1CC2"/>
    <w:rsid w:val="005C1DEC"/>
    <w:rsid w:val="005C1E72"/>
    <w:rsid w:val="005C2076"/>
    <w:rsid w:val="005C21A3"/>
    <w:rsid w:val="005C24DC"/>
    <w:rsid w:val="005C2975"/>
    <w:rsid w:val="005C2B72"/>
    <w:rsid w:val="005C2D85"/>
    <w:rsid w:val="005C2E47"/>
    <w:rsid w:val="005C3278"/>
    <w:rsid w:val="005C3698"/>
    <w:rsid w:val="005C3CE8"/>
    <w:rsid w:val="005C3FC7"/>
    <w:rsid w:val="005C40F3"/>
    <w:rsid w:val="005C44A4"/>
    <w:rsid w:val="005C46C7"/>
    <w:rsid w:val="005C4773"/>
    <w:rsid w:val="005C4881"/>
    <w:rsid w:val="005C4A97"/>
    <w:rsid w:val="005C4E2D"/>
    <w:rsid w:val="005C4E3A"/>
    <w:rsid w:val="005C4EB6"/>
    <w:rsid w:val="005C54D3"/>
    <w:rsid w:val="005C554B"/>
    <w:rsid w:val="005C571E"/>
    <w:rsid w:val="005C59F7"/>
    <w:rsid w:val="005C5B90"/>
    <w:rsid w:val="005C5D83"/>
    <w:rsid w:val="005C68C2"/>
    <w:rsid w:val="005C692C"/>
    <w:rsid w:val="005C6A62"/>
    <w:rsid w:val="005C6D35"/>
    <w:rsid w:val="005C6DE2"/>
    <w:rsid w:val="005C6FDD"/>
    <w:rsid w:val="005C719B"/>
    <w:rsid w:val="005C75CD"/>
    <w:rsid w:val="005C7634"/>
    <w:rsid w:val="005C7BE4"/>
    <w:rsid w:val="005C7CE9"/>
    <w:rsid w:val="005C7DB7"/>
    <w:rsid w:val="005D0254"/>
    <w:rsid w:val="005D030E"/>
    <w:rsid w:val="005D0617"/>
    <w:rsid w:val="005D069A"/>
    <w:rsid w:val="005D0772"/>
    <w:rsid w:val="005D08F9"/>
    <w:rsid w:val="005D151E"/>
    <w:rsid w:val="005D1DB3"/>
    <w:rsid w:val="005D2032"/>
    <w:rsid w:val="005D2058"/>
    <w:rsid w:val="005D230C"/>
    <w:rsid w:val="005D25B0"/>
    <w:rsid w:val="005D2B2B"/>
    <w:rsid w:val="005D2CAF"/>
    <w:rsid w:val="005D2DEE"/>
    <w:rsid w:val="005D2E33"/>
    <w:rsid w:val="005D2E73"/>
    <w:rsid w:val="005D3089"/>
    <w:rsid w:val="005D3203"/>
    <w:rsid w:val="005D32D7"/>
    <w:rsid w:val="005D33D9"/>
    <w:rsid w:val="005D3643"/>
    <w:rsid w:val="005D38F5"/>
    <w:rsid w:val="005D3A49"/>
    <w:rsid w:val="005D3D46"/>
    <w:rsid w:val="005D437B"/>
    <w:rsid w:val="005D47C3"/>
    <w:rsid w:val="005D4B0F"/>
    <w:rsid w:val="005D4B9C"/>
    <w:rsid w:val="005D4C86"/>
    <w:rsid w:val="005D4DC8"/>
    <w:rsid w:val="005D4E70"/>
    <w:rsid w:val="005D4F01"/>
    <w:rsid w:val="005D4F2E"/>
    <w:rsid w:val="005D5214"/>
    <w:rsid w:val="005D526D"/>
    <w:rsid w:val="005D5329"/>
    <w:rsid w:val="005D544B"/>
    <w:rsid w:val="005D5522"/>
    <w:rsid w:val="005D5777"/>
    <w:rsid w:val="005D5953"/>
    <w:rsid w:val="005D5DE8"/>
    <w:rsid w:val="005D5E10"/>
    <w:rsid w:val="005D5F1F"/>
    <w:rsid w:val="005D60DC"/>
    <w:rsid w:val="005D626E"/>
    <w:rsid w:val="005D631D"/>
    <w:rsid w:val="005D63BB"/>
    <w:rsid w:val="005D6447"/>
    <w:rsid w:val="005D679D"/>
    <w:rsid w:val="005D6ADC"/>
    <w:rsid w:val="005D6BFF"/>
    <w:rsid w:val="005D7533"/>
    <w:rsid w:val="005D77D8"/>
    <w:rsid w:val="005E03C6"/>
    <w:rsid w:val="005E05BE"/>
    <w:rsid w:val="005E0604"/>
    <w:rsid w:val="005E093A"/>
    <w:rsid w:val="005E0A2D"/>
    <w:rsid w:val="005E0BE8"/>
    <w:rsid w:val="005E0CA7"/>
    <w:rsid w:val="005E105B"/>
    <w:rsid w:val="005E10DD"/>
    <w:rsid w:val="005E15AF"/>
    <w:rsid w:val="005E16AE"/>
    <w:rsid w:val="005E17B1"/>
    <w:rsid w:val="005E184A"/>
    <w:rsid w:val="005E18D3"/>
    <w:rsid w:val="005E1C10"/>
    <w:rsid w:val="005E1D47"/>
    <w:rsid w:val="005E1DB5"/>
    <w:rsid w:val="005E1F91"/>
    <w:rsid w:val="005E1FE6"/>
    <w:rsid w:val="005E215B"/>
    <w:rsid w:val="005E226C"/>
    <w:rsid w:val="005E24ED"/>
    <w:rsid w:val="005E26D5"/>
    <w:rsid w:val="005E2706"/>
    <w:rsid w:val="005E28E7"/>
    <w:rsid w:val="005E295B"/>
    <w:rsid w:val="005E29C6"/>
    <w:rsid w:val="005E2A56"/>
    <w:rsid w:val="005E2B5B"/>
    <w:rsid w:val="005E2EFE"/>
    <w:rsid w:val="005E306C"/>
    <w:rsid w:val="005E31F8"/>
    <w:rsid w:val="005E3477"/>
    <w:rsid w:val="005E3494"/>
    <w:rsid w:val="005E355A"/>
    <w:rsid w:val="005E38C1"/>
    <w:rsid w:val="005E3941"/>
    <w:rsid w:val="005E3AE9"/>
    <w:rsid w:val="005E3B6B"/>
    <w:rsid w:val="005E3B8E"/>
    <w:rsid w:val="005E3D6A"/>
    <w:rsid w:val="005E3D8C"/>
    <w:rsid w:val="005E3ECE"/>
    <w:rsid w:val="005E4485"/>
    <w:rsid w:val="005E45BE"/>
    <w:rsid w:val="005E46C2"/>
    <w:rsid w:val="005E4CA4"/>
    <w:rsid w:val="005E504C"/>
    <w:rsid w:val="005E506F"/>
    <w:rsid w:val="005E5735"/>
    <w:rsid w:val="005E5E37"/>
    <w:rsid w:val="005E6335"/>
    <w:rsid w:val="005E6723"/>
    <w:rsid w:val="005E6B7D"/>
    <w:rsid w:val="005E6BCC"/>
    <w:rsid w:val="005E6EB0"/>
    <w:rsid w:val="005E73FF"/>
    <w:rsid w:val="005E76DF"/>
    <w:rsid w:val="005E7739"/>
    <w:rsid w:val="005E78BC"/>
    <w:rsid w:val="005E79E2"/>
    <w:rsid w:val="005E7ADC"/>
    <w:rsid w:val="005E7B38"/>
    <w:rsid w:val="005E7C45"/>
    <w:rsid w:val="005E7E90"/>
    <w:rsid w:val="005E7F33"/>
    <w:rsid w:val="005F0017"/>
    <w:rsid w:val="005F01FF"/>
    <w:rsid w:val="005F03A6"/>
    <w:rsid w:val="005F041F"/>
    <w:rsid w:val="005F06DD"/>
    <w:rsid w:val="005F0881"/>
    <w:rsid w:val="005F0918"/>
    <w:rsid w:val="005F0C38"/>
    <w:rsid w:val="005F0C68"/>
    <w:rsid w:val="005F0CDE"/>
    <w:rsid w:val="005F0E7F"/>
    <w:rsid w:val="005F107A"/>
    <w:rsid w:val="005F138F"/>
    <w:rsid w:val="005F1425"/>
    <w:rsid w:val="005F1A3A"/>
    <w:rsid w:val="005F1BDB"/>
    <w:rsid w:val="005F1D2F"/>
    <w:rsid w:val="005F1EE4"/>
    <w:rsid w:val="005F23A9"/>
    <w:rsid w:val="005F2500"/>
    <w:rsid w:val="005F251D"/>
    <w:rsid w:val="005F254B"/>
    <w:rsid w:val="005F25D3"/>
    <w:rsid w:val="005F26E2"/>
    <w:rsid w:val="005F28C8"/>
    <w:rsid w:val="005F28EC"/>
    <w:rsid w:val="005F2917"/>
    <w:rsid w:val="005F291B"/>
    <w:rsid w:val="005F29A0"/>
    <w:rsid w:val="005F2B2B"/>
    <w:rsid w:val="005F2B65"/>
    <w:rsid w:val="005F2C4E"/>
    <w:rsid w:val="005F2D23"/>
    <w:rsid w:val="005F2F0B"/>
    <w:rsid w:val="005F32DA"/>
    <w:rsid w:val="005F3EB6"/>
    <w:rsid w:val="005F4187"/>
    <w:rsid w:val="005F427E"/>
    <w:rsid w:val="005F442E"/>
    <w:rsid w:val="005F4549"/>
    <w:rsid w:val="005F4927"/>
    <w:rsid w:val="005F4955"/>
    <w:rsid w:val="005F49C0"/>
    <w:rsid w:val="005F4AD2"/>
    <w:rsid w:val="005F4CC5"/>
    <w:rsid w:val="005F50E8"/>
    <w:rsid w:val="005F5646"/>
    <w:rsid w:val="005F58CD"/>
    <w:rsid w:val="005F5DFB"/>
    <w:rsid w:val="005F5F5A"/>
    <w:rsid w:val="005F6125"/>
    <w:rsid w:val="005F65C8"/>
    <w:rsid w:val="005F6967"/>
    <w:rsid w:val="005F6C62"/>
    <w:rsid w:val="005F6C73"/>
    <w:rsid w:val="005F6F57"/>
    <w:rsid w:val="005F7184"/>
    <w:rsid w:val="005F7875"/>
    <w:rsid w:val="005F79FF"/>
    <w:rsid w:val="005F7A41"/>
    <w:rsid w:val="005F7A79"/>
    <w:rsid w:val="005F7AA1"/>
    <w:rsid w:val="005F7D63"/>
    <w:rsid w:val="005F7DF3"/>
    <w:rsid w:val="00600168"/>
    <w:rsid w:val="006003B6"/>
    <w:rsid w:val="0060052B"/>
    <w:rsid w:val="00600632"/>
    <w:rsid w:val="006006E6"/>
    <w:rsid w:val="0060075E"/>
    <w:rsid w:val="00600A8E"/>
    <w:rsid w:val="00600B6B"/>
    <w:rsid w:val="00600D6C"/>
    <w:rsid w:val="00600FFE"/>
    <w:rsid w:val="00601161"/>
    <w:rsid w:val="006012D3"/>
    <w:rsid w:val="0060156E"/>
    <w:rsid w:val="0060165E"/>
    <w:rsid w:val="00601759"/>
    <w:rsid w:val="00601AAE"/>
    <w:rsid w:val="00601B0B"/>
    <w:rsid w:val="00601B17"/>
    <w:rsid w:val="00601DA4"/>
    <w:rsid w:val="00601E38"/>
    <w:rsid w:val="00601EB7"/>
    <w:rsid w:val="00601FA0"/>
    <w:rsid w:val="00602229"/>
    <w:rsid w:val="006023A1"/>
    <w:rsid w:val="0060247C"/>
    <w:rsid w:val="006024C5"/>
    <w:rsid w:val="0060263B"/>
    <w:rsid w:val="006026F9"/>
    <w:rsid w:val="0060274A"/>
    <w:rsid w:val="00602811"/>
    <w:rsid w:val="00602858"/>
    <w:rsid w:val="00602947"/>
    <w:rsid w:val="00602973"/>
    <w:rsid w:val="00602BC8"/>
    <w:rsid w:val="00602DAE"/>
    <w:rsid w:val="00602E0F"/>
    <w:rsid w:val="0060301C"/>
    <w:rsid w:val="006033C2"/>
    <w:rsid w:val="00603A74"/>
    <w:rsid w:val="00603D7C"/>
    <w:rsid w:val="006044E2"/>
    <w:rsid w:val="00604546"/>
    <w:rsid w:val="006045EC"/>
    <w:rsid w:val="00604D60"/>
    <w:rsid w:val="00604DD9"/>
    <w:rsid w:val="00604E94"/>
    <w:rsid w:val="0060538E"/>
    <w:rsid w:val="0060578B"/>
    <w:rsid w:val="0060584C"/>
    <w:rsid w:val="006058D1"/>
    <w:rsid w:val="00605A22"/>
    <w:rsid w:val="00605A73"/>
    <w:rsid w:val="00605C45"/>
    <w:rsid w:val="006062C8"/>
    <w:rsid w:val="00606745"/>
    <w:rsid w:val="00606C42"/>
    <w:rsid w:val="00606E90"/>
    <w:rsid w:val="00607160"/>
    <w:rsid w:val="006072FB"/>
    <w:rsid w:val="006074EC"/>
    <w:rsid w:val="00607794"/>
    <w:rsid w:val="006100BE"/>
    <w:rsid w:val="0061021F"/>
    <w:rsid w:val="0061027B"/>
    <w:rsid w:val="006104F1"/>
    <w:rsid w:val="0061079A"/>
    <w:rsid w:val="006108EE"/>
    <w:rsid w:val="00610ABB"/>
    <w:rsid w:val="00610D57"/>
    <w:rsid w:val="0061107C"/>
    <w:rsid w:val="006116BC"/>
    <w:rsid w:val="006116EC"/>
    <w:rsid w:val="006119CC"/>
    <w:rsid w:val="00611BD8"/>
    <w:rsid w:val="00611DCF"/>
    <w:rsid w:val="00611E32"/>
    <w:rsid w:val="00611E5D"/>
    <w:rsid w:val="00611EC3"/>
    <w:rsid w:val="00611FB9"/>
    <w:rsid w:val="006120A0"/>
    <w:rsid w:val="006120C7"/>
    <w:rsid w:val="00612163"/>
    <w:rsid w:val="006122A0"/>
    <w:rsid w:val="006123E6"/>
    <w:rsid w:val="0061255C"/>
    <w:rsid w:val="00612ACF"/>
    <w:rsid w:val="006132A3"/>
    <w:rsid w:val="00613735"/>
    <w:rsid w:val="00613E21"/>
    <w:rsid w:val="00613F96"/>
    <w:rsid w:val="006141BA"/>
    <w:rsid w:val="006141F3"/>
    <w:rsid w:val="00614675"/>
    <w:rsid w:val="006146B5"/>
    <w:rsid w:val="00614A8E"/>
    <w:rsid w:val="00614B40"/>
    <w:rsid w:val="00614F01"/>
    <w:rsid w:val="00615219"/>
    <w:rsid w:val="0061526F"/>
    <w:rsid w:val="006152A4"/>
    <w:rsid w:val="006154D7"/>
    <w:rsid w:val="006156AE"/>
    <w:rsid w:val="00615AC9"/>
    <w:rsid w:val="00615E44"/>
    <w:rsid w:val="00615E89"/>
    <w:rsid w:val="00615E8C"/>
    <w:rsid w:val="00615ED6"/>
    <w:rsid w:val="00615F92"/>
    <w:rsid w:val="00616066"/>
    <w:rsid w:val="00616115"/>
    <w:rsid w:val="006161B3"/>
    <w:rsid w:val="00616291"/>
    <w:rsid w:val="006167A0"/>
    <w:rsid w:val="00616800"/>
    <w:rsid w:val="00616CA6"/>
    <w:rsid w:val="00616DFA"/>
    <w:rsid w:val="00616F60"/>
    <w:rsid w:val="00616F78"/>
    <w:rsid w:val="00617138"/>
    <w:rsid w:val="00617382"/>
    <w:rsid w:val="00617441"/>
    <w:rsid w:val="0061744F"/>
    <w:rsid w:val="00617B95"/>
    <w:rsid w:val="00617D89"/>
    <w:rsid w:val="00620045"/>
    <w:rsid w:val="00620245"/>
    <w:rsid w:val="006203DF"/>
    <w:rsid w:val="006205E2"/>
    <w:rsid w:val="006205EA"/>
    <w:rsid w:val="006207AD"/>
    <w:rsid w:val="00620A80"/>
    <w:rsid w:val="00620B02"/>
    <w:rsid w:val="00621124"/>
    <w:rsid w:val="006212F5"/>
    <w:rsid w:val="00621413"/>
    <w:rsid w:val="006214E3"/>
    <w:rsid w:val="00621AFA"/>
    <w:rsid w:val="00621CC4"/>
    <w:rsid w:val="006220D9"/>
    <w:rsid w:val="0062266D"/>
    <w:rsid w:val="0062285C"/>
    <w:rsid w:val="006228F5"/>
    <w:rsid w:val="00622D67"/>
    <w:rsid w:val="00622F12"/>
    <w:rsid w:val="00623072"/>
    <w:rsid w:val="0062318B"/>
    <w:rsid w:val="0062329C"/>
    <w:rsid w:val="006232C3"/>
    <w:rsid w:val="00623543"/>
    <w:rsid w:val="006236D1"/>
    <w:rsid w:val="006237B3"/>
    <w:rsid w:val="00623C89"/>
    <w:rsid w:val="00623EC3"/>
    <w:rsid w:val="00623EEF"/>
    <w:rsid w:val="006242AF"/>
    <w:rsid w:val="00624358"/>
    <w:rsid w:val="00624426"/>
    <w:rsid w:val="006244F0"/>
    <w:rsid w:val="00624507"/>
    <w:rsid w:val="0062460B"/>
    <w:rsid w:val="006246A6"/>
    <w:rsid w:val="006246AD"/>
    <w:rsid w:val="00624896"/>
    <w:rsid w:val="006248AD"/>
    <w:rsid w:val="0062499E"/>
    <w:rsid w:val="006249DD"/>
    <w:rsid w:val="00624E73"/>
    <w:rsid w:val="00624E92"/>
    <w:rsid w:val="00624ECF"/>
    <w:rsid w:val="00625174"/>
    <w:rsid w:val="0062532F"/>
    <w:rsid w:val="00625601"/>
    <w:rsid w:val="006259D9"/>
    <w:rsid w:val="00625E50"/>
    <w:rsid w:val="00625E88"/>
    <w:rsid w:val="00626065"/>
    <w:rsid w:val="006261BB"/>
    <w:rsid w:val="0062634D"/>
    <w:rsid w:val="0062697F"/>
    <w:rsid w:val="00626A90"/>
    <w:rsid w:val="00626C89"/>
    <w:rsid w:val="00626D43"/>
    <w:rsid w:val="00626DF4"/>
    <w:rsid w:val="0062722D"/>
    <w:rsid w:val="00627DC1"/>
    <w:rsid w:val="00627DD8"/>
    <w:rsid w:val="006300C9"/>
    <w:rsid w:val="0063032C"/>
    <w:rsid w:val="006303FD"/>
    <w:rsid w:val="00630421"/>
    <w:rsid w:val="00630735"/>
    <w:rsid w:val="00630C4D"/>
    <w:rsid w:val="00630D8C"/>
    <w:rsid w:val="00630FEE"/>
    <w:rsid w:val="0063108B"/>
    <w:rsid w:val="00631115"/>
    <w:rsid w:val="006311C5"/>
    <w:rsid w:val="006318C4"/>
    <w:rsid w:val="00631A7D"/>
    <w:rsid w:val="00631BB6"/>
    <w:rsid w:val="00631C9A"/>
    <w:rsid w:val="006320A5"/>
    <w:rsid w:val="00632148"/>
    <w:rsid w:val="006323D4"/>
    <w:rsid w:val="006324BD"/>
    <w:rsid w:val="006326A4"/>
    <w:rsid w:val="00632714"/>
    <w:rsid w:val="00632720"/>
    <w:rsid w:val="0063291A"/>
    <w:rsid w:val="00632B72"/>
    <w:rsid w:val="00632CE6"/>
    <w:rsid w:val="00632CF6"/>
    <w:rsid w:val="00633C17"/>
    <w:rsid w:val="00633F79"/>
    <w:rsid w:val="00633FEF"/>
    <w:rsid w:val="006344BC"/>
    <w:rsid w:val="006345C2"/>
    <w:rsid w:val="00634744"/>
    <w:rsid w:val="006348AE"/>
    <w:rsid w:val="00634C33"/>
    <w:rsid w:val="00635039"/>
    <w:rsid w:val="00635615"/>
    <w:rsid w:val="00635FD9"/>
    <w:rsid w:val="0063652D"/>
    <w:rsid w:val="00636999"/>
    <w:rsid w:val="006369BB"/>
    <w:rsid w:val="00636DAA"/>
    <w:rsid w:val="00636F23"/>
    <w:rsid w:val="006371E6"/>
    <w:rsid w:val="00637301"/>
    <w:rsid w:val="006374C6"/>
    <w:rsid w:val="0063750A"/>
    <w:rsid w:val="0063754B"/>
    <w:rsid w:val="006375B7"/>
    <w:rsid w:val="0063761E"/>
    <w:rsid w:val="0063779C"/>
    <w:rsid w:val="00637EF3"/>
    <w:rsid w:val="00640175"/>
    <w:rsid w:val="006401DE"/>
    <w:rsid w:val="006403F2"/>
    <w:rsid w:val="00640A39"/>
    <w:rsid w:val="00640DA4"/>
    <w:rsid w:val="00640DBE"/>
    <w:rsid w:val="00640E54"/>
    <w:rsid w:val="00640E98"/>
    <w:rsid w:val="00640F57"/>
    <w:rsid w:val="00641161"/>
    <w:rsid w:val="006413C1"/>
    <w:rsid w:val="0064144C"/>
    <w:rsid w:val="0064163E"/>
    <w:rsid w:val="00641CF7"/>
    <w:rsid w:val="00641DE4"/>
    <w:rsid w:val="006422B2"/>
    <w:rsid w:val="00642445"/>
    <w:rsid w:val="006424C3"/>
    <w:rsid w:val="0064257C"/>
    <w:rsid w:val="006426A6"/>
    <w:rsid w:val="00642875"/>
    <w:rsid w:val="0064293D"/>
    <w:rsid w:val="00642A73"/>
    <w:rsid w:val="006430B7"/>
    <w:rsid w:val="006437F9"/>
    <w:rsid w:val="00643A03"/>
    <w:rsid w:val="00643B14"/>
    <w:rsid w:val="00643D9B"/>
    <w:rsid w:val="00643E0E"/>
    <w:rsid w:val="0064407E"/>
    <w:rsid w:val="00644845"/>
    <w:rsid w:val="0064485E"/>
    <w:rsid w:val="006448BC"/>
    <w:rsid w:val="00644B7B"/>
    <w:rsid w:val="00644BA0"/>
    <w:rsid w:val="00645151"/>
    <w:rsid w:val="00645240"/>
    <w:rsid w:val="00645421"/>
    <w:rsid w:val="006454CF"/>
    <w:rsid w:val="006454D0"/>
    <w:rsid w:val="006459B4"/>
    <w:rsid w:val="00645C97"/>
    <w:rsid w:val="00646814"/>
    <w:rsid w:val="00646AA4"/>
    <w:rsid w:val="00646E3D"/>
    <w:rsid w:val="00646E75"/>
    <w:rsid w:val="0064704E"/>
    <w:rsid w:val="00647201"/>
    <w:rsid w:val="006472C7"/>
    <w:rsid w:val="0064752E"/>
    <w:rsid w:val="006475C2"/>
    <w:rsid w:val="006476CA"/>
    <w:rsid w:val="00647F4A"/>
    <w:rsid w:val="00650141"/>
    <w:rsid w:val="00650B47"/>
    <w:rsid w:val="00650C4E"/>
    <w:rsid w:val="00650D50"/>
    <w:rsid w:val="00650DF0"/>
    <w:rsid w:val="00651312"/>
    <w:rsid w:val="00651421"/>
    <w:rsid w:val="006514A4"/>
    <w:rsid w:val="00651584"/>
    <w:rsid w:val="006516FA"/>
    <w:rsid w:val="0065182B"/>
    <w:rsid w:val="00651BB0"/>
    <w:rsid w:val="00651BEF"/>
    <w:rsid w:val="00651CAF"/>
    <w:rsid w:val="00651F5C"/>
    <w:rsid w:val="006520EB"/>
    <w:rsid w:val="00652109"/>
    <w:rsid w:val="00652255"/>
    <w:rsid w:val="00652366"/>
    <w:rsid w:val="006523C9"/>
    <w:rsid w:val="0065262D"/>
    <w:rsid w:val="006527FA"/>
    <w:rsid w:val="00652830"/>
    <w:rsid w:val="00652D88"/>
    <w:rsid w:val="00653054"/>
    <w:rsid w:val="00653341"/>
    <w:rsid w:val="00653448"/>
    <w:rsid w:val="006535A3"/>
    <w:rsid w:val="006535C7"/>
    <w:rsid w:val="00653624"/>
    <w:rsid w:val="006538DD"/>
    <w:rsid w:val="00653DD3"/>
    <w:rsid w:val="00653E31"/>
    <w:rsid w:val="0065432A"/>
    <w:rsid w:val="00654424"/>
    <w:rsid w:val="0065452A"/>
    <w:rsid w:val="00654BCF"/>
    <w:rsid w:val="00654E64"/>
    <w:rsid w:val="00654F8A"/>
    <w:rsid w:val="00655612"/>
    <w:rsid w:val="0065580D"/>
    <w:rsid w:val="0065588C"/>
    <w:rsid w:val="006558D2"/>
    <w:rsid w:val="0065595C"/>
    <w:rsid w:val="006559D7"/>
    <w:rsid w:val="00655A59"/>
    <w:rsid w:val="00655A75"/>
    <w:rsid w:val="00655CF9"/>
    <w:rsid w:val="00655D48"/>
    <w:rsid w:val="006564E1"/>
    <w:rsid w:val="00656835"/>
    <w:rsid w:val="0065690A"/>
    <w:rsid w:val="00656E2F"/>
    <w:rsid w:val="006572F9"/>
    <w:rsid w:val="00657491"/>
    <w:rsid w:val="00657633"/>
    <w:rsid w:val="0065766E"/>
    <w:rsid w:val="006577CF"/>
    <w:rsid w:val="00657A8B"/>
    <w:rsid w:val="00657BE5"/>
    <w:rsid w:val="00657D94"/>
    <w:rsid w:val="006594DC"/>
    <w:rsid w:val="0066032C"/>
    <w:rsid w:val="00660399"/>
    <w:rsid w:val="0066068D"/>
    <w:rsid w:val="00660EB5"/>
    <w:rsid w:val="00661768"/>
    <w:rsid w:val="00661909"/>
    <w:rsid w:val="006619B7"/>
    <w:rsid w:val="00661C1A"/>
    <w:rsid w:val="00661DF2"/>
    <w:rsid w:val="00662364"/>
    <w:rsid w:val="0066272D"/>
    <w:rsid w:val="0066277D"/>
    <w:rsid w:val="00662B94"/>
    <w:rsid w:val="00662D34"/>
    <w:rsid w:val="00662D9E"/>
    <w:rsid w:val="006630AD"/>
    <w:rsid w:val="006637AD"/>
    <w:rsid w:val="00663811"/>
    <w:rsid w:val="006638B7"/>
    <w:rsid w:val="00663A43"/>
    <w:rsid w:val="00663A93"/>
    <w:rsid w:val="00663A99"/>
    <w:rsid w:val="00663B79"/>
    <w:rsid w:val="00663D32"/>
    <w:rsid w:val="00663E87"/>
    <w:rsid w:val="006642FB"/>
    <w:rsid w:val="00664415"/>
    <w:rsid w:val="00664CCD"/>
    <w:rsid w:val="00664E88"/>
    <w:rsid w:val="00665052"/>
    <w:rsid w:val="006655BD"/>
    <w:rsid w:val="006655C0"/>
    <w:rsid w:val="00665801"/>
    <w:rsid w:val="0066592A"/>
    <w:rsid w:val="00665AF0"/>
    <w:rsid w:val="00665D11"/>
    <w:rsid w:val="00665F02"/>
    <w:rsid w:val="006663FC"/>
    <w:rsid w:val="006676B8"/>
    <w:rsid w:val="0066789E"/>
    <w:rsid w:val="00667A57"/>
    <w:rsid w:val="00667A80"/>
    <w:rsid w:val="00667B32"/>
    <w:rsid w:val="00667C40"/>
    <w:rsid w:val="006702C6"/>
    <w:rsid w:val="00670576"/>
    <w:rsid w:val="00670638"/>
    <w:rsid w:val="006708CC"/>
    <w:rsid w:val="00670C9A"/>
    <w:rsid w:val="0067191F"/>
    <w:rsid w:val="0067199F"/>
    <w:rsid w:val="006719AC"/>
    <w:rsid w:val="00671A41"/>
    <w:rsid w:val="00671A99"/>
    <w:rsid w:val="00671CCE"/>
    <w:rsid w:val="006721AC"/>
    <w:rsid w:val="0067270F"/>
    <w:rsid w:val="006729F3"/>
    <w:rsid w:val="00672D03"/>
    <w:rsid w:val="00672DD9"/>
    <w:rsid w:val="00672ECF"/>
    <w:rsid w:val="00672F49"/>
    <w:rsid w:val="006730A6"/>
    <w:rsid w:val="006733B2"/>
    <w:rsid w:val="0067346B"/>
    <w:rsid w:val="00673538"/>
    <w:rsid w:val="0067364E"/>
    <w:rsid w:val="006738DE"/>
    <w:rsid w:val="0067394F"/>
    <w:rsid w:val="00673B7B"/>
    <w:rsid w:val="00673D92"/>
    <w:rsid w:val="00673EB2"/>
    <w:rsid w:val="00673F46"/>
    <w:rsid w:val="00673FB0"/>
    <w:rsid w:val="00674011"/>
    <w:rsid w:val="006743AF"/>
    <w:rsid w:val="00674628"/>
    <w:rsid w:val="00674E95"/>
    <w:rsid w:val="00674F64"/>
    <w:rsid w:val="00675374"/>
    <w:rsid w:val="0067569D"/>
    <w:rsid w:val="00675BB9"/>
    <w:rsid w:val="00675E76"/>
    <w:rsid w:val="00675EB8"/>
    <w:rsid w:val="00675F34"/>
    <w:rsid w:val="0067604B"/>
    <w:rsid w:val="0067620F"/>
    <w:rsid w:val="0067636A"/>
    <w:rsid w:val="006764C1"/>
    <w:rsid w:val="0067656D"/>
    <w:rsid w:val="00676703"/>
    <w:rsid w:val="00676741"/>
    <w:rsid w:val="006767B6"/>
    <w:rsid w:val="0067689F"/>
    <w:rsid w:val="006768A3"/>
    <w:rsid w:val="00676F54"/>
    <w:rsid w:val="0067703B"/>
    <w:rsid w:val="006775B8"/>
    <w:rsid w:val="00677AB7"/>
    <w:rsid w:val="006801DC"/>
    <w:rsid w:val="006801ED"/>
    <w:rsid w:val="00680775"/>
    <w:rsid w:val="006807A7"/>
    <w:rsid w:val="006810D5"/>
    <w:rsid w:val="006811E2"/>
    <w:rsid w:val="00681275"/>
    <w:rsid w:val="006816E4"/>
    <w:rsid w:val="00681B82"/>
    <w:rsid w:val="00681D46"/>
    <w:rsid w:val="00681DD9"/>
    <w:rsid w:val="00681EE9"/>
    <w:rsid w:val="006820F7"/>
    <w:rsid w:val="006822B7"/>
    <w:rsid w:val="0068245B"/>
    <w:rsid w:val="006825A6"/>
    <w:rsid w:val="006827C0"/>
    <w:rsid w:val="0068283C"/>
    <w:rsid w:val="00682AC0"/>
    <w:rsid w:val="00682DAD"/>
    <w:rsid w:val="00683019"/>
    <w:rsid w:val="0068303C"/>
    <w:rsid w:val="006831C7"/>
    <w:rsid w:val="006833E2"/>
    <w:rsid w:val="006835AF"/>
    <w:rsid w:val="006836DA"/>
    <w:rsid w:val="00683786"/>
    <w:rsid w:val="0068382C"/>
    <w:rsid w:val="00683AC1"/>
    <w:rsid w:val="00683BC8"/>
    <w:rsid w:val="00683BCF"/>
    <w:rsid w:val="00683DC3"/>
    <w:rsid w:val="00683E94"/>
    <w:rsid w:val="00684063"/>
    <w:rsid w:val="006846B2"/>
    <w:rsid w:val="00684731"/>
    <w:rsid w:val="006847A0"/>
    <w:rsid w:val="00684816"/>
    <w:rsid w:val="00684B4A"/>
    <w:rsid w:val="00684B7B"/>
    <w:rsid w:val="0068508C"/>
    <w:rsid w:val="006850CC"/>
    <w:rsid w:val="0068539A"/>
    <w:rsid w:val="0068570B"/>
    <w:rsid w:val="00685A7E"/>
    <w:rsid w:val="00685EAC"/>
    <w:rsid w:val="00685FE5"/>
    <w:rsid w:val="00686010"/>
    <w:rsid w:val="0068603A"/>
    <w:rsid w:val="006861F5"/>
    <w:rsid w:val="006862BA"/>
    <w:rsid w:val="006867E9"/>
    <w:rsid w:val="0068687C"/>
    <w:rsid w:val="006868FF"/>
    <w:rsid w:val="00686968"/>
    <w:rsid w:val="00686B96"/>
    <w:rsid w:val="00686BEE"/>
    <w:rsid w:val="00686EEB"/>
    <w:rsid w:val="00687881"/>
    <w:rsid w:val="006878F1"/>
    <w:rsid w:val="00687B0E"/>
    <w:rsid w:val="00687C3F"/>
    <w:rsid w:val="00687CB2"/>
    <w:rsid w:val="00687F2F"/>
    <w:rsid w:val="00690429"/>
    <w:rsid w:val="006910BB"/>
    <w:rsid w:val="0069126A"/>
    <w:rsid w:val="00691306"/>
    <w:rsid w:val="006913D7"/>
    <w:rsid w:val="00691A14"/>
    <w:rsid w:val="00691EDC"/>
    <w:rsid w:val="0069247C"/>
    <w:rsid w:val="00692776"/>
    <w:rsid w:val="00692B65"/>
    <w:rsid w:val="00692B9C"/>
    <w:rsid w:val="00692D59"/>
    <w:rsid w:val="00692FFA"/>
    <w:rsid w:val="0069322F"/>
    <w:rsid w:val="006932BF"/>
    <w:rsid w:val="006936B8"/>
    <w:rsid w:val="006936C3"/>
    <w:rsid w:val="00693A85"/>
    <w:rsid w:val="00693F4E"/>
    <w:rsid w:val="0069418A"/>
    <w:rsid w:val="006946C6"/>
    <w:rsid w:val="006948C7"/>
    <w:rsid w:val="00694904"/>
    <w:rsid w:val="00694C13"/>
    <w:rsid w:val="00694E32"/>
    <w:rsid w:val="00694F7A"/>
    <w:rsid w:val="00694F83"/>
    <w:rsid w:val="00694F87"/>
    <w:rsid w:val="0069505F"/>
    <w:rsid w:val="006952C3"/>
    <w:rsid w:val="00695335"/>
    <w:rsid w:val="006958FA"/>
    <w:rsid w:val="00695AB8"/>
    <w:rsid w:val="00695CCC"/>
    <w:rsid w:val="00695D0A"/>
    <w:rsid w:val="00695D28"/>
    <w:rsid w:val="00695F5D"/>
    <w:rsid w:val="006964C2"/>
    <w:rsid w:val="0069666C"/>
    <w:rsid w:val="006968C8"/>
    <w:rsid w:val="00696D89"/>
    <w:rsid w:val="00696F06"/>
    <w:rsid w:val="00696F86"/>
    <w:rsid w:val="00696FCF"/>
    <w:rsid w:val="0069703A"/>
    <w:rsid w:val="0069728D"/>
    <w:rsid w:val="0069756A"/>
    <w:rsid w:val="00697CD3"/>
    <w:rsid w:val="00697D30"/>
    <w:rsid w:val="00697E98"/>
    <w:rsid w:val="006A003C"/>
    <w:rsid w:val="006A0663"/>
    <w:rsid w:val="006A06A5"/>
    <w:rsid w:val="006A0A79"/>
    <w:rsid w:val="006A0C90"/>
    <w:rsid w:val="006A0EFE"/>
    <w:rsid w:val="006A0F6D"/>
    <w:rsid w:val="006A114A"/>
    <w:rsid w:val="006A19DE"/>
    <w:rsid w:val="006A223C"/>
    <w:rsid w:val="006A23C1"/>
    <w:rsid w:val="006A29BF"/>
    <w:rsid w:val="006A2A04"/>
    <w:rsid w:val="006A2BBD"/>
    <w:rsid w:val="006A2C3E"/>
    <w:rsid w:val="006A2CA7"/>
    <w:rsid w:val="006A2CC2"/>
    <w:rsid w:val="006A2FEB"/>
    <w:rsid w:val="006A3168"/>
    <w:rsid w:val="006A350B"/>
    <w:rsid w:val="006A3536"/>
    <w:rsid w:val="006A3733"/>
    <w:rsid w:val="006A3A3F"/>
    <w:rsid w:val="006A3AF1"/>
    <w:rsid w:val="006A3C16"/>
    <w:rsid w:val="006A3C35"/>
    <w:rsid w:val="006A4D41"/>
    <w:rsid w:val="006A4DCD"/>
    <w:rsid w:val="006A51E6"/>
    <w:rsid w:val="006A524D"/>
    <w:rsid w:val="006A5257"/>
    <w:rsid w:val="006A529C"/>
    <w:rsid w:val="006A5881"/>
    <w:rsid w:val="006A5B19"/>
    <w:rsid w:val="006A5B3B"/>
    <w:rsid w:val="006A5C6B"/>
    <w:rsid w:val="006A5CDF"/>
    <w:rsid w:val="006A64DB"/>
    <w:rsid w:val="006A6625"/>
    <w:rsid w:val="006A68C1"/>
    <w:rsid w:val="006A6B87"/>
    <w:rsid w:val="006A6BE1"/>
    <w:rsid w:val="006A6D19"/>
    <w:rsid w:val="006A6F69"/>
    <w:rsid w:val="006A6FB5"/>
    <w:rsid w:val="006A7083"/>
    <w:rsid w:val="006A7137"/>
    <w:rsid w:val="006A7159"/>
    <w:rsid w:val="006A73C5"/>
    <w:rsid w:val="006A73F5"/>
    <w:rsid w:val="006A7767"/>
    <w:rsid w:val="006A7A63"/>
    <w:rsid w:val="006A7B31"/>
    <w:rsid w:val="006A7E45"/>
    <w:rsid w:val="006B0009"/>
    <w:rsid w:val="006B012A"/>
    <w:rsid w:val="006B0213"/>
    <w:rsid w:val="006B0310"/>
    <w:rsid w:val="006B08FA"/>
    <w:rsid w:val="006B09ED"/>
    <w:rsid w:val="006B0D28"/>
    <w:rsid w:val="006B1171"/>
    <w:rsid w:val="006B1208"/>
    <w:rsid w:val="006B121A"/>
    <w:rsid w:val="006B135F"/>
    <w:rsid w:val="006B137B"/>
    <w:rsid w:val="006B16BF"/>
    <w:rsid w:val="006B1A18"/>
    <w:rsid w:val="006B1DE3"/>
    <w:rsid w:val="006B1E0F"/>
    <w:rsid w:val="006B1E7D"/>
    <w:rsid w:val="006B1FF8"/>
    <w:rsid w:val="006B2274"/>
    <w:rsid w:val="006B23FD"/>
    <w:rsid w:val="006B2622"/>
    <w:rsid w:val="006B2885"/>
    <w:rsid w:val="006B2984"/>
    <w:rsid w:val="006B2A70"/>
    <w:rsid w:val="006B2AEF"/>
    <w:rsid w:val="006B2BB6"/>
    <w:rsid w:val="006B2E64"/>
    <w:rsid w:val="006B2EBC"/>
    <w:rsid w:val="006B2F4F"/>
    <w:rsid w:val="006B30C1"/>
    <w:rsid w:val="006B334C"/>
    <w:rsid w:val="006B3362"/>
    <w:rsid w:val="006B3364"/>
    <w:rsid w:val="006B3698"/>
    <w:rsid w:val="006B36E7"/>
    <w:rsid w:val="006B3748"/>
    <w:rsid w:val="006B37A0"/>
    <w:rsid w:val="006B3887"/>
    <w:rsid w:val="006B3BAB"/>
    <w:rsid w:val="006B3D3D"/>
    <w:rsid w:val="006B3FA9"/>
    <w:rsid w:val="006B407E"/>
    <w:rsid w:val="006B4204"/>
    <w:rsid w:val="006B4872"/>
    <w:rsid w:val="006B4A78"/>
    <w:rsid w:val="006B4D92"/>
    <w:rsid w:val="006B52DE"/>
    <w:rsid w:val="006B566A"/>
    <w:rsid w:val="006B56AE"/>
    <w:rsid w:val="006B587F"/>
    <w:rsid w:val="006B5942"/>
    <w:rsid w:val="006B5F65"/>
    <w:rsid w:val="006B6108"/>
    <w:rsid w:val="006B617C"/>
    <w:rsid w:val="006B6382"/>
    <w:rsid w:val="006B63B5"/>
    <w:rsid w:val="006B656B"/>
    <w:rsid w:val="006B66C9"/>
    <w:rsid w:val="006B6CA0"/>
    <w:rsid w:val="006B6E6E"/>
    <w:rsid w:val="006B6F13"/>
    <w:rsid w:val="006B7114"/>
    <w:rsid w:val="006B727E"/>
    <w:rsid w:val="006B7282"/>
    <w:rsid w:val="006B781F"/>
    <w:rsid w:val="006B7A91"/>
    <w:rsid w:val="006B7AF3"/>
    <w:rsid w:val="006B7DB1"/>
    <w:rsid w:val="006C051D"/>
    <w:rsid w:val="006C1271"/>
    <w:rsid w:val="006C13A4"/>
    <w:rsid w:val="006C191E"/>
    <w:rsid w:val="006C1A7C"/>
    <w:rsid w:val="006C1CC6"/>
    <w:rsid w:val="006C1D34"/>
    <w:rsid w:val="006C1E58"/>
    <w:rsid w:val="006C209C"/>
    <w:rsid w:val="006C22DB"/>
    <w:rsid w:val="006C2434"/>
    <w:rsid w:val="006C24B8"/>
    <w:rsid w:val="006C290C"/>
    <w:rsid w:val="006C2999"/>
    <w:rsid w:val="006C29E4"/>
    <w:rsid w:val="006C2FB5"/>
    <w:rsid w:val="006C348F"/>
    <w:rsid w:val="006C3837"/>
    <w:rsid w:val="006C3850"/>
    <w:rsid w:val="006C3A91"/>
    <w:rsid w:val="006C3AB6"/>
    <w:rsid w:val="006C3F69"/>
    <w:rsid w:val="006C400D"/>
    <w:rsid w:val="006C40F3"/>
    <w:rsid w:val="006C43AA"/>
    <w:rsid w:val="006C46CF"/>
    <w:rsid w:val="006C475C"/>
    <w:rsid w:val="006C4844"/>
    <w:rsid w:val="006C4852"/>
    <w:rsid w:val="006C4970"/>
    <w:rsid w:val="006C49EC"/>
    <w:rsid w:val="006C4DB9"/>
    <w:rsid w:val="006C4F0E"/>
    <w:rsid w:val="006C50E9"/>
    <w:rsid w:val="006C5417"/>
    <w:rsid w:val="006C559D"/>
    <w:rsid w:val="006C577D"/>
    <w:rsid w:val="006C58B4"/>
    <w:rsid w:val="006C5B49"/>
    <w:rsid w:val="006C6116"/>
    <w:rsid w:val="006C6482"/>
    <w:rsid w:val="006C6520"/>
    <w:rsid w:val="006C65F7"/>
    <w:rsid w:val="006C6634"/>
    <w:rsid w:val="006C66C2"/>
    <w:rsid w:val="006C68C3"/>
    <w:rsid w:val="006C69A2"/>
    <w:rsid w:val="006C6C31"/>
    <w:rsid w:val="006C6D30"/>
    <w:rsid w:val="006C6EC5"/>
    <w:rsid w:val="006C6FB0"/>
    <w:rsid w:val="006C6FD4"/>
    <w:rsid w:val="006C6FF7"/>
    <w:rsid w:val="006C7579"/>
    <w:rsid w:val="006C76A4"/>
    <w:rsid w:val="006C7860"/>
    <w:rsid w:val="006C7C7C"/>
    <w:rsid w:val="006C7DDA"/>
    <w:rsid w:val="006C7EB8"/>
    <w:rsid w:val="006D01EA"/>
    <w:rsid w:val="006D0384"/>
    <w:rsid w:val="006D03D2"/>
    <w:rsid w:val="006D0B10"/>
    <w:rsid w:val="006D0C36"/>
    <w:rsid w:val="006D0C7F"/>
    <w:rsid w:val="006D0EC1"/>
    <w:rsid w:val="006D0F3D"/>
    <w:rsid w:val="006D13A9"/>
    <w:rsid w:val="006D17B7"/>
    <w:rsid w:val="006D1A12"/>
    <w:rsid w:val="006D1ADA"/>
    <w:rsid w:val="006D1E04"/>
    <w:rsid w:val="006D2078"/>
    <w:rsid w:val="006D2733"/>
    <w:rsid w:val="006D28CE"/>
    <w:rsid w:val="006D2B61"/>
    <w:rsid w:val="006D2C09"/>
    <w:rsid w:val="006D327E"/>
    <w:rsid w:val="006D39FE"/>
    <w:rsid w:val="006D3C34"/>
    <w:rsid w:val="006D3D46"/>
    <w:rsid w:val="006D414F"/>
    <w:rsid w:val="006D4244"/>
    <w:rsid w:val="006D45EE"/>
    <w:rsid w:val="006D4863"/>
    <w:rsid w:val="006D48E6"/>
    <w:rsid w:val="006D495B"/>
    <w:rsid w:val="006D4992"/>
    <w:rsid w:val="006D4C08"/>
    <w:rsid w:val="006D4D7C"/>
    <w:rsid w:val="006D51AA"/>
    <w:rsid w:val="006D5472"/>
    <w:rsid w:val="006D547C"/>
    <w:rsid w:val="006D5509"/>
    <w:rsid w:val="006D5F47"/>
    <w:rsid w:val="006D6A0A"/>
    <w:rsid w:val="006D6AB7"/>
    <w:rsid w:val="006D6ACD"/>
    <w:rsid w:val="006D6E7B"/>
    <w:rsid w:val="006D72B4"/>
    <w:rsid w:val="006D74B1"/>
    <w:rsid w:val="006D7A24"/>
    <w:rsid w:val="006D7BB7"/>
    <w:rsid w:val="006D7EFA"/>
    <w:rsid w:val="006E0037"/>
    <w:rsid w:val="006E0040"/>
    <w:rsid w:val="006E02AE"/>
    <w:rsid w:val="006E04A1"/>
    <w:rsid w:val="006E06DB"/>
    <w:rsid w:val="006E0977"/>
    <w:rsid w:val="006E09D6"/>
    <w:rsid w:val="006E0A50"/>
    <w:rsid w:val="006E0A6D"/>
    <w:rsid w:val="006E0C4D"/>
    <w:rsid w:val="006E0D8C"/>
    <w:rsid w:val="006E1020"/>
    <w:rsid w:val="006E105B"/>
    <w:rsid w:val="006E1365"/>
    <w:rsid w:val="006E144C"/>
    <w:rsid w:val="006E178A"/>
    <w:rsid w:val="006E1BAD"/>
    <w:rsid w:val="006E1E41"/>
    <w:rsid w:val="006E1F8D"/>
    <w:rsid w:val="006E2136"/>
    <w:rsid w:val="006E21A5"/>
    <w:rsid w:val="006E2407"/>
    <w:rsid w:val="006E255B"/>
    <w:rsid w:val="006E28C5"/>
    <w:rsid w:val="006E2A46"/>
    <w:rsid w:val="006E3079"/>
    <w:rsid w:val="006E3150"/>
    <w:rsid w:val="006E32E4"/>
    <w:rsid w:val="006E35B3"/>
    <w:rsid w:val="006E38D6"/>
    <w:rsid w:val="006E38F6"/>
    <w:rsid w:val="006E3916"/>
    <w:rsid w:val="006E3A48"/>
    <w:rsid w:val="006E3AAB"/>
    <w:rsid w:val="006E3B17"/>
    <w:rsid w:val="006E3D4A"/>
    <w:rsid w:val="006E3E5D"/>
    <w:rsid w:val="006E3F91"/>
    <w:rsid w:val="006E4251"/>
    <w:rsid w:val="006E43DF"/>
    <w:rsid w:val="006E478B"/>
    <w:rsid w:val="006E48C8"/>
    <w:rsid w:val="006E49A6"/>
    <w:rsid w:val="006E4D9C"/>
    <w:rsid w:val="006E5128"/>
    <w:rsid w:val="006E5137"/>
    <w:rsid w:val="006E51BF"/>
    <w:rsid w:val="006E52FD"/>
    <w:rsid w:val="006E56EA"/>
    <w:rsid w:val="006E5988"/>
    <w:rsid w:val="006E5F26"/>
    <w:rsid w:val="006E6264"/>
    <w:rsid w:val="006E6991"/>
    <w:rsid w:val="006E6998"/>
    <w:rsid w:val="006E6CE7"/>
    <w:rsid w:val="006E6EA2"/>
    <w:rsid w:val="006E6FEE"/>
    <w:rsid w:val="006E714A"/>
    <w:rsid w:val="006E7D6F"/>
    <w:rsid w:val="006E7DD2"/>
    <w:rsid w:val="006E7DF5"/>
    <w:rsid w:val="006F019C"/>
    <w:rsid w:val="006F0672"/>
    <w:rsid w:val="006F08EE"/>
    <w:rsid w:val="006F0A57"/>
    <w:rsid w:val="006F0C77"/>
    <w:rsid w:val="006F0C82"/>
    <w:rsid w:val="006F1294"/>
    <w:rsid w:val="006F1383"/>
    <w:rsid w:val="006F1583"/>
    <w:rsid w:val="006F1844"/>
    <w:rsid w:val="006F1F06"/>
    <w:rsid w:val="006F1F81"/>
    <w:rsid w:val="006F2015"/>
    <w:rsid w:val="006F2232"/>
    <w:rsid w:val="006F22AC"/>
    <w:rsid w:val="006F22B9"/>
    <w:rsid w:val="006F264B"/>
    <w:rsid w:val="006F2D0F"/>
    <w:rsid w:val="006F3302"/>
    <w:rsid w:val="006F330B"/>
    <w:rsid w:val="006F3366"/>
    <w:rsid w:val="006F3379"/>
    <w:rsid w:val="006F3697"/>
    <w:rsid w:val="006F389B"/>
    <w:rsid w:val="006F3A08"/>
    <w:rsid w:val="006F3E78"/>
    <w:rsid w:val="006F3FD4"/>
    <w:rsid w:val="006F4027"/>
    <w:rsid w:val="006F43A4"/>
    <w:rsid w:val="006F4682"/>
    <w:rsid w:val="006F4868"/>
    <w:rsid w:val="006F4B3B"/>
    <w:rsid w:val="006F4C2B"/>
    <w:rsid w:val="006F4C9D"/>
    <w:rsid w:val="006F4F06"/>
    <w:rsid w:val="006F55D7"/>
    <w:rsid w:val="006F578D"/>
    <w:rsid w:val="006F596D"/>
    <w:rsid w:val="006F5ABC"/>
    <w:rsid w:val="006F5AE5"/>
    <w:rsid w:val="006F5B5B"/>
    <w:rsid w:val="006F630A"/>
    <w:rsid w:val="006F6602"/>
    <w:rsid w:val="006F6616"/>
    <w:rsid w:val="006F6A89"/>
    <w:rsid w:val="006F6B5F"/>
    <w:rsid w:val="006F6D02"/>
    <w:rsid w:val="006F6D64"/>
    <w:rsid w:val="006F7B72"/>
    <w:rsid w:val="006F7B82"/>
    <w:rsid w:val="006F7CDA"/>
    <w:rsid w:val="006F7E44"/>
    <w:rsid w:val="006F7F32"/>
    <w:rsid w:val="0070050C"/>
    <w:rsid w:val="00700619"/>
    <w:rsid w:val="00700681"/>
    <w:rsid w:val="0070076E"/>
    <w:rsid w:val="0070084A"/>
    <w:rsid w:val="00700A7E"/>
    <w:rsid w:val="00700FE0"/>
    <w:rsid w:val="0070111E"/>
    <w:rsid w:val="00701301"/>
    <w:rsid w:val="00701374"/>
    <w:rsid w:val="007014D9"/>
    <w:rsid w:val="00701742"/>
    <w:rsid w:val="0070176F"/>
    <w:rsid w:val="00701A95"/>
    <w:rsid w:val="00701E23"/>
    <w:rsid w:val="00701FED"/>
    <w:rsid w:val="00702029"/>
    <w:rsid w:val="0070210C"/>
    <w:rsid w:val="0070223D"/>
    <w:rsid w:val="00702468"/>
    <w:rsid w:val="00702479"/>
    <w:rsid w:val="007024E5"/>
    <w:rsid w:val="00702639"/>
    <w:rsid w:val="007026B1"/>
    <w:rsid w:val="0070274D"/>
    <w:rsid w:val="00702975"/>
    <w:rsid w:val="00702988"/>
    <w:rsid w:val="00702A66"/>
    <w:rsid w:val="00702B5B"/>
    <w:rsid w:val="00702E69"/>
    <w:rsid w:val="00702F3D"/>
    <w:rsid w:val="007032D4"/>
    <w:rsid w:val="0070347D"/>
    <w:rsid w:val="00703925"/>
    <w:rsid w:val="00703994"/>
    <w:rsid w:val="00703C93"/>
    <w:rsid w:val="00703E9A"/>
    <w:rsid w:val="00703FCF"/>
    <w:rsid w:val="00704800"/>
    <w:rsid w:val="007049B2"/>
    <w:rsid w:val="00704B40"/>
    <w:rsid w:val="00704B9D"/>
    <w:rsid w:val="00704D5F"/>
    <w:rsid w:val="00704F87"/>
    <w:rsid w:val="00705129"/>
    <w:rsid w:val="0070518C"/>
    <w:rsid w:val="00705201"/>
    <w:rsid w:val="00705266"/>
    <w:rsid w:val="007054CD"/>
    <w:rsid w:val="007055EA"/>
    <w:rsid w:val="00705606"/>
    <w:rsid w:val="00705698"/>
    <w:rsid w:val="0070572F"/>
    <w:rsid w:val="007057F3"/>
    <w:rsid w:val="00705B81"/>
    <w:rsid w:val="00705C3A"/>
    <w:rsid w:val="00705ECF"/>
    <w:rsid w:val="0070614F"/>
    <w:rsid w:val="007062E8"/>
    <w:rsid w:val="00706487"/>
    <w:rsid w:val="00706740"/>
    <w:rsid w:val="007068D6"/>
    <w:rsid w:val="00706DB9"/>
    <w:rsid w:val="00706DE1"/>
    <w:rsid w:val="0070754C"/>
    <w:rsid w:val="00707734"/>
    <w:rsid w:val="0070783E"/>
    <w:rsid w:val="00707A86"/>
    <w:rsid w:val="00707C15"/>
    <w:rsid w:val="00707DCB"/>
    <w:rsid w:val="00707EBA"/>
    <w:rsid w:val="0071013A"/>
    <w:rsid w:val="007103DC"/>
    <w:rsid w:val="007103E8"/>
    <w:rsid w:val="0071046B"/>
    <w:rsid w:val="00710781"/>
    <w:rsid w:val="00710B3B"/>
    <w:rsid w:val="00710C1E"/>
    <w:rsid w:val="00710C3E"/>
    <w:rsid w:val="00710E2F"/>
    <w:rsid w:val="007110E3"/>
    <w:rsid w:val="00711129"/>
    <w:rsid w:val="007111EB"/>
    <w:rsid w:val="00711274"/>
    <w:rsid w:val="00711396"/>
    <w:rsid w:val="007114AE"/>
    <w:rsid w:val="00711A43"/>
    <w:rsid w:val="00711E1F"/>
    <w:rsid w:val="00711EDF"/>
    <w:rsid w:val="0071211D"/>
    <w:rsid w:val="00712252"/>
    <w:rsid w:val="00712277"/>
    <w:rsid w:val="00712B5A"/>
    <w:rsid w:val="00713332"/>
    <w:rsid w:val="007133BC"/>
    <w:rsid w:val="0071352B"/>
    <w:rsid w:val="007136AD"/>
    <w:rsid w:val="00714106"/>
    <w:rsid w:val="007144D6"/>
    <w:rsid w:val="00714757"/>
    <w:rsid w:val="00714A36"/>
    <w:rsid w:val="00714A87"/>
    <w:rsid w:val="00714F41"/>
    <w:rsid w:val="007155BC"/>
    <w:rsid w:val="00715D57"/>
    <w:rsid w:val="00716015"/>
    <w:rsid w:val="00716471"/>
    <w:rsid w:val="007164CA"/>
    <w:rsid w:val="007164D4"/>
    <w:rsid w:val="00716897"/>
    <w:rsid w:val="007168E2"/>
    <w:rsid w:val="00716904"/>
    <w:rsid w:val="00716B40"/>
    <w:rsid w:val="00716DCD"/>
    <w:rsid w:val="00716FBC"/>
    <w:rsid w:val="00717383"/>
    <w:rsid w:val="00717765"/>
    <w:rsid w:val="00717D94"/>
    <w:rsid w:val="007201D0"/>
    <w:rsid w:val="00720466"/>
    <w:rsid w:val="007206A9"/>
    <w:rsid w:val="0072077B"/>
    <w:rsid w:val="00720A9F"/>
    <w:rsid w:val="00720CF5"/>
    <w:rsid w:val="0072116B"/>
    <w:rsid w:val="00721324"/>
    <w:rsid w:val="0072190F"/>
    <w:rsid w:val="007219A5"/>
    <w:rsid w:val="00721E1F"/>
    <w:rsid w:val="007220D9"/>
    <w:rsid w:val="007222DD"/>
    <w:rsid w:val="00722679"/>
    <w:rsid w:val="007227D7"/>
    <w:rsid w:val="00722A64"/>
    <w:rsid w:val="00722CC8"/>
    <w:rsid w:val="0072352D"/>
    <w:rsid w:val="00723A17"/>
    <w:rsid w:val="00723A87"/>
    <w:rsid w:val="00723C69"/>
    <w:rsid w:val="00723E2D"/>
    <w:rsid w:val="007243AB"/>
    <w:rsid w:val="00724574"/>
    <w:rsid w:val="00724598"/>
    <w:rsid w:val="00724618"/>
    <w:rsid w:val="007247C2"/>
    <w:rsid w:val="00724C9A"/>
    <w:rsid w:val="00724CAB"/>
    <w:rsid w:val="00724D53"/>
    <w:rsid w:val="0072566B"/>
    <w:rsid w:val="007259EF"/>
    <w:rsid w:val="00725D3D"/>
    <w:rsid w:val="00725F7A"/>
    <w:rsid w:val="007262BA"/>
    <w:rsid w:val="0072663A"/>
    <w:rsid w:val="007266A5"/>
    <w:rsid w:val="00726A01"/>
    <w:rsid w:val="00726B03"/>
    <w:rsid w:val="00726E64"/>
    <w:rsid w:val="00726FB0"/>
    <w:rsid w:val="007274E5"/>
    <w:rsid w:val="00727A17"/>
    <w:rsid w:val="00727CC7"/>
    <w:rsid w:val="0073019D"/>
    <w:rsid w:val="00730432"/>
    <w:rsid w:val="0073064A"/>
    <w:rsid w:val="00730694"/>
    <w:rsid w:val="007307EE"/>
    <w:rsid w:val="00730A3C"/>
    <w:rsid w:val="00730B12"/>
    <w:rsid w:val="00731086"/>
    <w:rsid w:val="007312B9"/>
    <w:rsid w:val="007316A8"/>
    <w:rsid w:val="0073178A"/>
    <w:rsid w:val="00731CDA"/>
    <w:rsid w:val="0073225A"/>
    <w:rsid w:val="00732425"/>
    <w:rsid w:val="00732522"/>
    <w:rsid w:val="0073283C"/>
    <w:rsid w:val="00732D02"/>
    <w:rsid w:val="007332BA"/>
    <w:rsid w:val="007336DA"/>
    <w:rsid w:val="0073396B"/>
    <w:rsid w:val="00733B32"/>
    <w:rsid w:val="00734428"/>
    <w:rsid w:val="007344CA"/>
    <w:rsid w:val="007344DB"/>
    <w:rsid w:val="0073467E"/>
    <w:rsid w:val="00734C56"/>
    <w:rsid w:val="00734C61"/>
    <w:rsid w:val="00734EC3"/>
    <w:rsid w:val="00734F95"/>
    <w:rsid w:val="00735644"/>
    <w:rsid w:val="007356A2"/>
    <w:rsid w:val="00735B2E"/>
    <w:rsid w:val="00735C7A"/>
    <w:rsid w:val="00735DB9"/>
    <w:rsid w:val="00735ED8"/>
    <w:rsid w:val="00735FAE"/>
    <w:rsid w:val="00736022"/>
    <w:rsid w:val="007360D6"/>
    <w:rsid w:val="00736317"/>
    <w:rsid w:val="007363C5"/>
    <w:rsid w:val="0073653A"/>
    <w:rsid w:val="00736793"/>
    <w:rsid w:val="00736E81"/>
    <w:rsid w:val="00737165"/>
    <w:rsid w:val="007371F2"/>
    <w:rsid w:val="0073725B"/>
    <w:rsid w:val="007378AC"/>
    <w:rsid w:val="00737C01"/>
    <w:rsid w:val="00737D77"/>
    <w:rsid w:val="00737F9E"/>
    <w:rsid w:val="007400BD"/>
    <w:rsid w:val="007400FC"/>
    <w:rsid w:val="007404A7"/>
    <w:rsid w:val="0074082A"/>
    <w:rsid w:val="00740858"/>
    <w:rsid w:val="00740979"/>
    <w:rsid w:val="00740994"/>
    <w:rsid w:val="0074099C"/>
    <w:rsid w:val="007409E3"/>
    <w:rsid w:val="00740AF6"/>
    <w:rsid w:val="00740B1F"/>
    <w:rsid w:val="00740DD3"/>
    <w:rsid w:val="00740F36"/>
    <w:rsid w:val="007410C8"/>
    <w:rsid w:val="00741148"/>
    <w:rsid w:val="0074114E"/>
    <w:rsid w:val="00741343"/>
    <w:rsid w:val="00741555"/>
    <w:rsid w:val="00741A1A"/>
    <w:rsid w:val="00741B6E"/>
    <w:rsid w:val="00741E09"/>
    <w:rsid w:val="00741F51"/>
    <w:rsid w:val="00741F6C"/>
    <w:rsid w:val="00741FA6"/>
    <w:rsid w:val="00741FAF"/>
    <w:rsid w:val="007423E5"/>
    <w:rsid w:val="00742B5E"/>
    <w:rsid w:val="00742E9E"/>
    <w:rsid w:val="00742EEB"/>
    <w:rsid w:val="00743052"/>
    <w:rsid w:val="0074378B"/>
    <w:rsid w:val="00743B64"/>
    <w:rsid w:val="00743D4B"/>
    <w:rsid w:val="00743FBC"/>
    <w:rsid w:val="00744B47"/>
    <w:rsid w:val="007454BA"/>
    <w:rsid w:val="007454D4"/>
    <w:rsid w:val="007457C5"/>
    <w:rsid w:val="00745AA6"/>
    <w:rsid w:val="00745FF9"/>
    <w:rsid w:val="00746531"/>
    <w:rsid w:val="0074662B"/>
    <w:rsid w:val="007466B7"/>
    <w:rsid w:val="007466E7"/>
    <w:rsid w:val="007468C4"/>
    <w:rsid w:val="00746A2D"/>
    <w:rsid w:val="00746D45"/>
    <w:rsid w:val="00746E27"/>
    <w:rsid w:val="00746F78"/>
    <w:rsid w:val="0074701D"/>
    <w:rsid w:val="007472B7"/>
    <w:rsid w:val="007473E7"/>
    <w:rsid w:val="007479EF"/>
    <w:rsid w:val="00747ACE"/>
    <w:rsid w:val="00747B4F"/>
    <w:rsid w:val="00747C2F"/>
    <w:rsid w:val="00747C91"/>
    <w:rsid w:val="00747D80"/>
    <w:rsid w:val="0075003B"/>
    <w:rsid w:val="00750094"/>
    <w:rsid w:val="0075009E"/>
    <w:rsid w:val="00750A44"/>
    <w:rsid w:val="00750C4B"/>
    <w:rsid w:val="00750DAD"/>
    <w:rsid w:val="0075157C"/>
    <w:rsid w:val="00751803"/>
    <w:rsid w:val="00751927"/>
    <w:rsid w:val="00751B6D"/>
    <w:rsid w:val="00751CFC"/>
    <w:rsid w:val="00751F2C"/>
    <w:rsid w:val="00751F57"/>
    <w:rsid w:val="00752077"/>
    <w:rsid w:val="00752200"/>
    <w:rsid w:val="007522C1"/>
    <w:rsid w:val="00752533"/>
    <w:rsid w:val="00752595"/>
    <w:rsid w:val="0075271A"/>
    <w:rsid w:val="0075305A"/>
    <w:rsid w:val="00753414"/>
    <w:rsid w:val="007534F0"/>
    <w:rsid w:val="0075376B"/>
    <w:rsid w:val="00753B71"/>
    <w:rsid w:val="00753BC1"/>
    <w:rsid w:val="0075409C"/>
    <w:rsid w:val="00754569"/>
    <w:rsid w:val="00754C16"/>
    <w:rsid w:val="00754D9A"/>
    <w:rsid w:val="00754DDC"/>
    <w:rsid w:val="00754EAE"/>
    <w:rsid w:val="00754EBF"/>
    <w:rsid w:val="00754EDE"/>
    <w:rsid w:val="007550DB"/>
    <w:rsid w:val="00755657"/>
    <w:rsid w:val="007565DE"/>
    <w:rsid w:val="0075696C"/>
    <w:rsid w:val="00756B21"/>
    <w:rsid w:val="00756F58"/>
    <w:rsid w:val="007573C1"/>
    <w:rsid w:val="00757823"/>
    <w:rsid w:val="00757990"/>
    <w:rsid w:val="00757A6C"/>
    <w:rsid w:val="00757FF6"/>
    <w:rsid w:val="00760042"/>
    <w:rsid w:val="0076022A"/>
    <w:rsid w:val="0076054D"/>
    <w:rsid w:val="0076066C"/>
    <w:rsid w:val="007608B5"/>
    <w:rsid w:val="0076094C"/>
    <w:rsid w:val="00760C83"/>
    <w:rsid w:val="00760E33"/>
    <w:rsid w:val="00761017"/>
    <w:rsid w:val="00761037"/>
    <w:rsid w:val="0076167B"/>
    <w:rsid w:val="007617F3"/>
    <w:rsid w:val="00761B26"/>
    <w:rsid w:val="00761CB1"/>
    <w:rsid w:val="00761D34"/>
    <w:rsid w:val="00761E3E"/>
    <w:rsid w:val="00762067"/>
    <w:rsid w:val="007621B8"/>
    <w:rsid w:val="007621FC"/>
    <w:rsid w:val="0076261F"/>
    <w:rsid w:val="007629CF"/>
    <w:rsid w:val="00762AE3"/>
    <w:rsid w:val="00762D0D"/>
    <w:rsid w:val="007636FC"/>
    <w:rsid w:val="00763791"/>
    <w:rsid w:val="007637F3"/>
    <w:rsid w:val="00763BF7"/>
    <w:rsid w:val="00763C46"/>
    <w:rsid w:val="00763C86"/>
    <w:rsid w:val="00763D39"/>
    <w:rsid w:val="00763DF3"/>
    <w:rsid w:val="00764174"/>
    <w:rsid w:val="0076424A"/>
    <w:rsid w:val="0076433F"/>
    <w:rsid w:val="0076447A"/>
    <w:rsid w:val="007644E0"/>
    <w:rsid w:val="00764582"/>
    <w:rsid w:val="007647A4"/>
    <w:rsid w:val="00764833"/>
    <w:rsid w:val="00764B65"/>
    <w:rsid w:val="00764D9F"/>
    <w:rsid w:val="00764FFD"/>
    <w:rsid w:val="00765083"/>
    <w:rsid w:val="00765125"/>
    <w:rsid w:val="00765395"/>
    <w:rsid w:val="0076542E"/>
    <w:rsid w:val="007654DB"/>
    <w:rsid w:val="007655E1"/>
    <w:rsid w:val="007656EF"/>
    <w:rsid w:val="007658A8"/>
    <w:rsid w:val="00765BEE"/>
    <w:rsid w:val="00765D96"/>
    <w:rsid w:val="00765F4B"/>
    <w:rsid w:val="007662FC"/>
    <w:rsid w:val="0076636F"/>
    <w:rsid w:val="007664E9"/>
    <w:rsid w:val="007668CF"/>
    <w:rsid w:val="00767083"/>
    <w:rsid w:val="007670CF"/>
    <w:rsid w:val="007671A9"/>
    <w:rsid w:val="0076723C"/>
    <w:rsid w:val="0076729B"/>
    <w:rsid w:val="00767307"/>
    <w:rsid w:val="0076785A"/>
    <w:rsid w:val="007678B6"/>
    <w:rsid w:val="007678FC"/>
    <w:rsid w:val="007701D0"/>
    <w:rsid w:val="007701DF"/>
    <w:rsid w:val="007702B8"/>
    <w:rsid w:val="00770335"/>
    <w:rsid w:val="007709F9"/>
    <w:rsid w:val="00770E22"/>
    <w:rsid w:val="00770ED2"/>
    <w:rsid w:val="0077115B"/>
    <w:rsid w:val="00771492"/>
    <w:rsid w:val="0077194E"/>
    <w:rsid w:val="0077194F"/>
    <w:rsid w:val="00771BAE"/>
    <w:rsid w:val="00771EBD"/>
    <w:rsid w:val="00771EE9"/>
    <w:rsid w:val="0077205C"/>
    <w:rsid w:val="00772570"/>
    <w:rsid w:val="00772992"/>
    <w:rsid w:val="007729D9"/>
    <w:rsid w:val="00772F06"/>
    <w:rsid w:val="00772FE2"/>
    <w:rsid w:val="00773014"/>
    <w:rsid w:val="0077327C"/>
    <w:rsid w:val="007732B2"/>
    <w:rsid w:val="007735DF"/>
    <w:rsid w:val="00773935"/>
    <w:rsid w:val="00773BAE"/>
    <w:rsid w:val="00773F8F"/>
    <w:rsid w:val="00773F96"/>
    <w:rsid w:val="007747A5"/>
    <w:rsid w:val="007748E9"/>
    <w:rsid w:val="00774AD9"/>
    <w:rsid w:val="00775112"/>
    <w:rsid w:val="007752F8"/>
    <w:rsid w:val="00775445"/>
    <w:rsid w:val="00775461"/>
    <w:rsid w:val="007756EA"/>
    <w:rsid w:val="007758B3"/>
    <w:rsid w:val="00775D05"/>
    <w:rsid w:val="00775F31"/>
    <w:rsid w:val="00776010"/>
    <w:rsid w:val="0077604F"/>
    <w:rsid w:val="007760D9"/>
    <w:rsid w:val="00776427"/>
    <w:rsid w:val="007768D2"/>
    <w:rsid w:val="00776AF1"/>
    <w:rsid w:val="00776DC7"/>
    <w:rsid w:val="007770BD"/>
    <w:rsid w:val="007770F6"/>
    <w:rsid w:val="0077716F"/>
    <w:rsid w:val="00777232"/>
    <w:rsid w:val="00777275"/>
    <w:rsid w:val="007772C8"/>
    <w:rsid w:val="007775CC"/>
    <w:rsid w:val="0077763C"/>
    <w:rsid w:val="0077782E"/>
    <w:rsid w:val="007778DA"/>
    <w:rsid w:val="00777B05"/>
    <w:rsid w:val="00777E82"/>
    <w:rsid w:val="00777F05"/>
    <w:rsid w:val="00777F87"/>
    <w:rsid w:val="00780E11"/>
    <w:rsid w:val="00780E2D"/>
    <w:rsid w:val="00781042"/>
    <w:rsid w:val="00781291"/>
    <w:rsid w:val="007812DA"/>
    <w:rsid w:val="0078133E"/>
    <w:rsid w:val="007816E0"/>
    <w:rsid w:val="00781D58"/>
    <w:rsid w:val="00781D7D"/>
    <w:rsid w:val="0078229F"/>
    <w:rsid w:val="0078237D"/>
    <w:rsid w:val="007823C6"/>
    <w:rsid w:val="00782559"/>
    <w:rsid w:val="0078267E"/>
    <w:rsid w:val="007826FA"/>
    <w:rsid w:val="007829DD"/>
    <w:rsid w:val="00782BCB"/>
    <w:rsid w:val="00782E8A"/>
    <w:rsid w:val="00783717"/>
    <w:rsid w:val="00783AF0"/>
    <w:rsid w:val="00783B41"/>
    <w:rsid w:val="00783D42"/>
    <w:rsid w:val="00783FA3"/>
    <w:rsid w:val="00784262"/>
    <w:rsid w:val="00784325"/>
    <w:rsid w:val="00784830"/>
    <w:rsid w:val="0078487E"/>
    <w:rsid w:val="00784BA5"/>
    <w:rsid w:val="00784ECF"/>
    <w:rsid w:val="00784F55"/>
    <w:rsid w:val="0078563C"/>
    <w:rsid w:val="007858CA"/>
    <w:rsid w:val="00785A67"/>
    <w:rsid w:val="00785B34"/>
    <w:rsid w:val="00785B4C"/>
    <w:rsid w:val="00785D37"/>
    <w:rsid w:val="00786076"/>
    <w:rsid w:val="0078618B"/>
    <w:rsid w:val="00786221"/>
    <w:rsid w:val="00786995"/>
    <w:rsid w:val="00786A5A"/>
    <w:rsid w:val="00786AB3"/>
    <w:rsid w:val="00786AE4"/>
    <w:rsid w:val="00786BAB"/>
    <w:rsid w:val="00786C2D"/>
    <w:rsid w:val="0078704B"/>
    <w:rsid w:val="0078711F"/>
    <w:rsid w:val="00787163"/>
    <w:rsid w:val="00787634"/>
    <w:rsid w:val="007878FC"/>
    <w:rsid w:val="00787AC5"/>
    <w:rsid w:val="00787AD0"/>
    <w:rsid w:val="00787BBF"/>
    <w:rsid w:val="00787C6C"/>
    <w:rsid w:val="007901C1"/>
    <w:rsid w:val="007905C5"/>
    <w:rsid w:val="007906C2"/>
    <w:rsid w:val="00790B9E"/>
    <w:rsid w:val="00790C3C"/>
    <w:rsid w:val="00790D43"/>
    <w:rsid w:val="00790DFA"/>
    <w:rsid w:val="007910D2"/>
    <w:rsid w:val="007914FF"/>
    <w:rsid w:val="00791855"/>
    <w:rsid w:val="0079186B"/>
    <w:rsid w:val="00791DB4"/>
    <w:rsid w:val="0079216C"/>
    <w:rsid w:val="007921DC"/>
    <w:rsid w:val="007922FB"/>
    <w:rsid w:val="0079231F"/>
    <w:rsid w:val="00792405"/>
    <w:rsid w:val="00792625"/>
    <w:rsid w:val="00792675"/>
    <w:rsid w:val="0079269C"/>
    <w:rsid w:val="007926D5"/>
    <w:rsid w:val="00792A39"/>
    <w:rsid w:val="00792A6E"/>
    <w:rsid w:val="00792DF2"/>
    <w:rsid w:val="00792E3A"/>
    <w:rsid w:val="00792E96"/>
    <w:rsid w:val="007937CB"/>
    <w:rsid w:val="00793C51"/>
    <w:rsid w:val="00793EC1"/>
    <w:rsid w:val="00793ECC"/>
    <w:rsid w:val="00794175"/>
    <w:rsid w:val="00794405"/>
    <w:rsid w:val="007944BD"/>
    <w:rsid w:val="00794C0A"/>
    <w:rsid w:val="0079527D"/>
    <w:rsid w:val="00795317"/>
    <w:rsid w:val="0079562D"/>
    <w:rsid w:val="00795748"/>
    <w:rsid w:val="007958B4"/>
    <w:rsid w:val="00795B17"/>
    <w:rsid w:val="00795D14"/>
    <w:rsid w:val="00795DB6"/>
    <w:rsid w:val="00796047"/>
    <w:rsid w:val="007960A4"/>
    <w:rsid w:val="00796487"/>
    <w:rsid w:val="007965DF"/>
    <w:rsid w:val="007968F0"/>
    <w:rsid w:val="007968FE"/>
    <w:rsid w:val="0079730D"/>
    <w:rsid w:val="0079759C"/>
    <w:rsid w:val="00797633"/>
    <w:rsid w:val="0079767B"/>
    <w:rsid w:val="00797772"/>
    <w:rsid w:val="007977A9"/>
    <w:rsid w:val="007979FF"/>
    <w:rsid w:val="00797ADB"/>
    <w:rsid w:val="00797CAF"/>
    <w:rsid w:val="00797E15"/>
    <w:rsid w:val="007A0556"/>
    <w:rsid w:val="007A05DD"/>
    <w:rsid w:val="007A078F"/>
    <w:rsid w:val="007A083F"/>
    <w:rsid w:val="007A0B25"/>
    <w:rsid w:val="007A0C0A"/>
    <w:rsid w:val="007A0EE1"/>
    <w:rsid w:val="007A10CF"/>
    <w:rsid w:val="007A1364"/>
    <w:rsid w:val="007A1887"/>
    <w:rsid w:val="007A18C6"/>
    <w:rsid w:val="007A18C9"/>
    <w:rsid w:val="007A18D9"/>
    <w:rsid w:val="007A1E59"/>
    <w:rsid w:val="007A241C"/>
    <w:rsid w:val="007A2B4A"/>
    <w:rsid w:val="007A2DEB"/>
    <w:rsid w:val="007A2EA7"/>
    <w:rsid w:val="007A2FB1"/>
    <w:rsid w:val="007A33C6"/>
    <w:rsid w:val="007A3605"/>
    <w:rsid w:val="007A368E"/>
    <w:rsid w:val="007A381F"/>
    <w:rsid w:val="007A3A64"/>
    <w:rsid w:val="007A3C6B"/>
    <w:rsid w:val="007A3E27"/>
    <w:rsid w:val="007A4A00"/>
    <w:rsid w:val="007A4B28"/>
    <w:rsid w:val="007A4F04"/>
    <w:rsid w:val="007A513F"/>
    <w:rsid w:val="007A5270"/>
    <w:rsid w:val="007A52CE"/>
    <w:rsid w:val="007A55DF"/>
    <w:rsid w:val="007A5A23"/>
    <w:rsid w:val="007A5AA2"/>
    <w:rsid w:val="007A5B03"/>
    <w:rsid w:val="007A5BF9"/>
    <w:rsid w:val="007A5CB4"/>
    <w:rsid w:val="007A5DFF"/>
    <w:rsid w:val="007A612C"/>
    <w:rsid w:val="007A62DB"/>
    <w:rsid w:val="007A6303"/>
    <w:rsid w:val="007A65CA"/>
    <w:rsid w:val="007A6623"/>
    <w:rsid w:val="007A662F"/>
    <w:rsid w:val="007A6704"/>
    <w:rsid w:val="007A6741"/>
    <w:rsid w:val="007A67D5"/>
    <w:rsid w:val="007A7056"/>
    <w:rsid w:val="007A7238"/>
    <w:rsid w:val="007A72F1"/>
    <w:rsid w:val="007A7851"/>
    <w:rsid w:val="007A787D"/>
    <w:rsid w:val="007A78A6"/>
    <w:rsid w:val="007A7E81"/>
    <w:rsid w:val="007B00ED"/>
    <w:rsid w:val="007B01B9"/>
    <w:rsid w:val="007B047C"/>
    <w:rsid w:val="007B0887"/>
    <w:rsid w:val="007B0BC4"/>
    <w:rsid w:val="007B0E04"/>
    <w:rsid w:val="007B0F54"/>
    <w:rsid w:val="007B1116"/>
    <w:rsid w:val="007B12FE"/>
    <w:rsid w:val="007B14A5"/>
    <w:rsid w:val="007B14C2"/>
    <w:rsid w:val="007B1934"/>
    <w:rsid w:val="007B1A7F"/>
    <w:rsid w:val="007B1AFF"/>
    <w:rsid w:val="007B1EEC"/>
    <w:rsid w:val="007B21BA"/>
    <w:rsid w:val="007B21DD"/>
    <w:rsid w:val="007B298C"/>
    <w:rsid w:val="007B2A50"/>
    <w:rsid w:val="007B2B11"/>
    <w:rsid w:val="007B2E80"/>
    <w:rsid w:val="007B2EAA"/>
    <w:rsid w:val="007B3385"/>
    <w:rsid w:val="007B384F"/>
    <w:rsid w:val="007B3861"/>
    <w:rsid w:val="007B38B8"/>
    <w:rsid w:val="007B3E1C"/>
    <w:rsid w:val="007B3FD3"/>
    <w:rsid w:val="007B4AD5"/>
    <w:rsid w:val="007B4B61"/>
    <w:rsid w:val="007B4C8B"/>
    <w:rsid w:val="007B504F"/>
    <w:rsid w:val="007B508A"/>
    <w:rsid w:val="007B5091"/>
    <w:rsid w:val="007B50E9"/>
    <w:rsid w:val="007B51A9"/>
    <w:rsid w:val="007B54B4"/>
    <w:rsid w:val="007B556C"/>
    <w:rsid w:val="007B576B"/>
    <w:rsid w:val="007B5B9D"/>
    <w:rsid w:val="007B5D4E"/>
    <w:rsid w:val="007B5EEF"/>
    <w:rsid w:val="007B5F8E"/>
    <w:rsid w:val="007B63FA"/>
    <w:rsid w:val="007B6AFA"/>
    <w:rsid w:val="007B6CC6"/>
    <w:rsid w:val="007B6CFB"/>
    <w:rsid w:val="007B6D88"/>
    <w:rsid w:val="007B7445"/>
    <w:rsid w:val="007B75E4"/>
    <w:rsid w:val="007B75F6"/>
    <w:rsid w:val="007B7641"/>
    <w:rsid w:val="007B76DC"/>
    <w:rsid w:val="007B771E"/>
    <w:rsid w:val="007B77B2"/>
    <w:rsid w:val="007B7DC6"/>
    <w:rsid w:val="007B7FD0"/>
    <w:rsid w:val="007C0371"/>
    <w:rsid w:val="007C04CD"/>
    <w:rsid w:val="007C0864"/>
    <w:rsid w:val="007C09D7"/>
    <w:rsid w:val="007C0D11"/>
    <w:rsid w:val="007C0DA7"/>
    <w:rsid w:val="007C151E"/>
    <w:rsid w:val="007C15C2"/>
    <w:rsid w:val="007C161F"/>
    <w:rsid w:val="007C16BD"/>
    <w:rsid w:val="007C16DB"/>
    <w:rsid w:val="007C170A"/>
    <w:rsid w:val="007C1883"/>
    <w:rsid w:val="007C193D"/>
    <w:rsid w:val="007C19EB"/>
    <w:rsid w:val="007C1B68"/>
    <w:rsid w:val="007C1C6A"/>
    <w:rsid w:val="007C1D79"/>
    <w:rsid w:val="007C22F1"/>
    <w:rsid w:val="007C23F9"/>
    <w:rsid w:val="007C241B"/>
    <w:rsid w:val="007C2739"/>
    <w:rsid w:val="007C287C"/>
    <w:rsid w:val="007C2931"/>
    <w:rsid w:val="007C2932"/>
    <w:rsid w:val="007C2A63"/>
    <w:rsid w:val="007C2D94"/>
    <w:rsid w:val="007C2E07"/>
    <w:rsid w:val="007C32D8"/>
    <w:rsid w:val="007C384B"/>
    <w:rsid w:val="007C38C0"/>
    <w:rsid w:val="007C39AA"/>
    <w:rsid w:val="007C3DA5"/>
    <w:rsid w:val="007C3E7C"/>
    <w:rsid w:val="007C3F6D"/>
    <w:rsid w:val="007C3FBC"/>
    <w:rsid w:val="007C4457"/>
    <w:rsid w:val="007C47D3"/>
    <w:rsid w:val="007C4A0D"/>
    <w:rsid w:val="007C4DCC"/>
    <w:rsid w:val="007C4DF9"/>
    <w:rsid w:val="007C51FE"/>
    <w:rsid w:val="007C53F9"/>
    <w:rsid w:val="007C56D9"/>
    <w:rsid w:val="007C58A3"/>
    <w:rsid w:val="007C595F"/>
    <w:rsid w:val="007C599A"/>
    <w:rsid w:val="007C5DAC"/>
    <w:rsid w:val="007C6CF0"/>
    <w:rsid w:val="007C6F8B"/>
    <w:rsid w:val="007C70C0"/>
    <w:rsid w:val="007C725C"/>
    <w:rsid w:val="007C74DE"/>
    <w:rsid w:val="007C7547"/>
    <w:rsid w:val="007C75E6"/>
    <w:rsid w:val="007C75F7"/>
    <w:rsid w:val="007C7685"/>
    <w:rsid w:val="007C7AA3"/>
    <w:rsid w:val="007C7C08"/>
    <w:rsid w:val="007C7D06"/>
    <w:rsid w:val="007C7E2B"/>
    <w:rsid w:val="007D03BD"/>
    <w:rsid w:val="007D047A"/>
    <w:rsid w:val="007D0910"/>
    <w:rsid w:val="007D0E54"/>
    <w:rsid w:val="007D1236"/>
    <w:rsid w:val="007D1577"/>
    <w:rsid w:val="007D1666"/>
    <w:rsid w:val="007D17B7"/>
    <w:rsid w:val="007D1C96"/>
    <w:rsid w:val="007D1CAA"/>
    <w:rsid w:val="007D1D1F"/>
    <w:rsid w:val="007D1D3E"/>
    <w:rsid w:val="007D1EF9"/>
    <w:rsid w:val="007D1F51"/>
    <w:rsid w:val="007D1F86"/>
    <w:rsid w:val="007D212B"/>
    <w:rsid w:val="007D25FD"/>
    <w:rsid w:val="007D2829"/>
    <w:rsid w:val="007D2BF5"/>
    <w:rsid w:val="007D2CF7"/>
    <w:rsid w:val="007D2EA5"/>
    <w:rsid w:val="007D3295"/>
    <w:rsid w:val="007D3375"/>
    <w:rsid w:val="007D34CE"/>
    <w:rsid w:val="007D3743"/>
    <w:rsid w:val="007D3AF5"/>
    <w:rsid w:val="007D3B50"/>
    <w:rsid w:val="007D41D3"/>
    <w:rsid w:val="007D4246"/>
    <w:rsid w:val="007D426C"/>
    <w:rsid w:val="007D4307"/>
    <w:rsid w:val="007D4426"/>
    <w:rsid w:val="007D4436"/>
    <w:rsid w:val="007D4467"/>
    <w:rsid w:val="007D45D3"/>
    <w:rsid w:val="007D46E9"/>
    <w:rsid w:val="007D4882"/>
    <w:rsid w:val="007D4996"/>
    <w:rsid w:val="007D49BC"/>
    <w:rsid w:val="007D4B11"/>
    <w:rsid w:val="007D4B2E"/>
    <w:rsid w:val="007D4E2F"/>
    <w:rsid w:val="007D5460"/>
    <w:rsid w:val="007D57A5"/>
    <w:rsid w:val="007D589F"/>
    <w:rsid w:val="007D597C"/>
    <w:rsid w:val="007D59C0"/>
    <w:rsid w:val="007D5A55"/>
    <w:rsid w:val="007D5CC1"/>
    <w:rsid w:val="007D5F4B"/>
    <w:rsid w:val="007D5F97"/>
    <w:rsid w:val="007D63D0"/>
    <w:rsid w:val="007D6485"/>
    <w:rsid w:val="007D6697"/>
    <w:rsid w:val="007D685F"/>
    <w:rsid w:val="007D6977"/>
    <w:rsid w:val="007D6A7B"/>
    <w:rsid w:val="007D6C4B"/>
    <w:rsid w:val="007D6F95"/>
    <w:rsid w:val="007D70BD"/>
    <w:rsid w:val="007D77E9"/>
    <w:rsid w:val="007D7801"/>
    <w:rsid w:val="007D78E5"/>
    <w:rsid w:val="007D7907"/>
    <w:rsid w:val="007E0298"/>
    <w:rsid w:val="007E04D9"/>
    <w:rsid w:val="007E0595"/>
    <w:rsid w:val="007E064B"/>
    <w:rsid w:val="007E0738"/>
    <w:rsid w:val="007E09BC"/>
    <w:rsid w:val="007E0B62"/>
    <w:rsid w:val="007E0D56"/>
    <w:rsid w:val="007E0ED9"/>
    <w:rsid w:val="007E102B"/>
    <w:rsid w:val="007E11C0"/>
    <w:rsid w:val="007E16E9"/>
    <w:rsid w:val="007E1853"/>
    <w:rsid w:val="007E193E"/>
    <w:rsid w:val="007E1DAB"/>
    <w:rsid w:val="007E1F5E"/>
    <w:rsid w:val="007E1FDE"/>
    <w:rsid w:val="007E202C"/>
    <w:rsid w:val="007E2285"/>
    <w:rsid w:val="007E2531"/>
    <w:rsid w:val="007E27D2"/>
    <w:rsid w:val="007E28F0"/>
    <w:rsid w:val="007E2960"/>
    <w:rsid w:val="007E2A63"/>
    <w:rsid w:val="007E2A8D"/>
    <w:rsid w:val="007E2BE5"/>
    <w:rsid w:val="007E2CA7"/>
    <w:rsid w:val="007E309F"/>
    <w:rsid w:val="007E30E5"/>
    <w:rsid w:val="007E3286"/>
    <w:rsid w:val="007E36CC"/>
    <w:rsid w:val="007E3CBE"/>
    <w:rsid w:val="007E3F87"/>
    <w:rsid w:val="007E4E11"/>
    <w:rsid w:val="007E55CC"/>
    <w:rsid w:val="007E56E3"/>
    <w:rsid w:val="007E597C"/>
    <w:rsid w:val="007E5A22"/>
    <w:rsid w:val="007E5B51"/>
    <w:rsid w:val="007E5B81"/>
    <w:rsid w:val="007E5DA7"/>
    <w:rsid w:val="007E6027"/>
    <w:rsid w:val="007E60AC"/>
    <w:rsid w:val="007E6389"/>
    <w:rsid w:val="007E6747"/>
    <w:rsid w:val="007E67F1"/>
    <w:rsid w:val="007E68B8"/>
    <w:rsid w:val="007E6A70"/>
    <w:rsid w:val="007E7188"/>
    <w:rsid w:val="007E7280"/>
    <w:rsid w:val="007E76A2"/>
    <w:rsid w:val="007E7ADD"/>
    <w:rsid w:val="007E7B20"/>
    <w:rsid w:val="007E7C0B"/>
    <w:rsid w:val="007E7E4F"/>
    <w:rsid w:val="007E7ECE"/>
    <w:rsid w:val="007F0047"/>
    <w:rsid w:val="007F01EE"/>
    <w:rsid w:val="007F056B"/>
    <w:rsid w:val="007F0654"/>
    <w:rsid w:val="007F085A"/>
    <w:rsid w:val="007F099A"/>
    <w:rsid w:val="007F09A7"/>
    <w:rsid w:val="007F0A50"/>
    <w:rsid w:val="007F0A96"/>
    <w:rsid w:val="007F0BCC"/>
    <w:rsid w:val="007F0E28"/>
    <w:rsid w:val="007F0E82"/>
    <w:rsid w:val="007F1252"/>
    <w:rsid w:val="007F17D9"/>
    <w:rsid w:val="007F1853"/>
    <w:rsid w:val="007F1BC7"/>
    <w:rsid w:val="007F2010"/>
    <w:rsid w:val="007F2083"/>
    <w:rsid w:val="007F2853"/>
    <w:rsid w:val="007F2890"/>
    <w:rsid w:val="007F2987"/>
    <w:rsid w:val="007F2A8C"/>
    <w:rsid w:val="007F3A42"/>
    <w:rsid w:val="007F3D89"/>
    <w:rsid w:val="007F3F8B"/>
    <w:rsid w:val="007F42CA"/>
    <w:rsid w:val="007F4478"/>
    <w:rsid w:val="007F44C5"/>
    <w:rsid w:val="007F4511"/>
    <w:rsid w:val="007F493D"/>
    <w:rsid w:val="007F4F9D"/>
    <w:rsid w:val="007F53D9"/>
    <w:rsid w:val="007F579C"/>
    <w:rsid w:val="007F57C9"/>
    <w:rsid w:val="007F580C"/>
    <w:rsid w:val="007F5850"/>
    <w:rsid w:val="007F5FD5"/>
    <w:rsid w:val="007F61E4"/>
    <w:rsid w:val="007F61FB"/>
    <w:rsid w:val="007F64AC"/>
    <w:rsid w:val="007F659D"/>
    <w:rsid w:val="007F7247"/>
    <w:rsid w:val="007F738B"/>
    <w:rsid w:val="007F74DC"/>
    <w:rsid w:val="007F7753"/>
    <w:rsid w:val="007F77E8"/>
    <w:rsid w:val="007F7D62"/>
    <w:rsid w:val="0080053C"/>
    <w:rsid w:val="0080055C"/>
    <w:rsid w:val="0080074A"/>
    <w:rsid w:val="008007DF"/>
    <w:rsid w:val="00800C5F"/>
    <w:rsid w:val="00800C8E"/>
    <w:rsid w:val="00801071"/>
    <w:rsid w:val="008014AF"/>
    <w:rsid w:val="008014CA"/>
    <w:rsid w:val="008016ED"/>
    <w:rsid w:val="00801A30"/>
    <w:rsid w:val="00801BE6"/>
    <w:rsid w:val="008022AA"/>
    <w:rsid w:val="0080236C"/>
    <w:rsid w:val="0080253E"/>
    <w:rsid w:val="00802A51"/>
    <w:rsid w:val="00802C06"/>
    <w:rsid w:val="00803078"/>
    <w:rsid w:val="00803083"/>
    <w:rsid w:val="008032F2"/>
    <w:rsid w:val="008036A2"/>
    <w:rsid w:val="008036E0"/>
    <w:rsid w:val="00803805"/>
    <w:rsid w:val="00803A48"/>
    <w:rsid w:val="00803A63"/>
    <w:rsid w:val="00803C85"/>
    <w:rsid w:val="00803D01"/>
    <w:rsid w:val="00803F77"/>
    <w:rsid w:val="00804053"/>
    <w:rsid w:val="00804366"/>
    <w:rsid w:val="008043DB"/>
    <w:rsid w:val="008046AB"/>
    <w:rsid w:val="008046C0"/>
    <w:rsid w:val="008046EF"/>
    <w:rsid w:val="0080482C"/>
    <w:rsid w:val="00804CCC"/>
    <w:rsid w:val="00804F46"/>
    <w:rsid w:val="00805105"/>
    <w:rsid w:val="00805904"/>
    <w:rsid w:val="00806426"/>
    <w:rsid w:val="00806868"/>
    <w:rsid w:val="00806AAB"/>
    <w:rsid w:val="00806C38"/>
    <w:rsid w:val="00807055"/>
    <w:rsid w:val="0080709C"/>
    <w:rsid w:val="008074C5"/>
    <w:rsid w:val="008100C3"/>
    <w:rsid w:val="0081027E"/>
    <w:rsid w:val="0081033D"/>
    <w:rsid w:val="0081067C"/>
    <w:rsid w:val="008109C7"/>
    <w:rsid w:val="00810B4D"/>
    <w:rsid w:val="00810C39"/>
    <w:rsid w:val="008111D4"/>
    <w:rsid w:val="00811425"/>
    <w:rsid w:val="00811569"/>
    <w:rsid w:val="0081198A"/>
    <w:rsid w:val="00811A5E"/>
    <w:rsid w:val="00811CAC"/>
    <w:rsid w:val="00811CCE"/>
    <w:rsid w:val="008120DD"/>
    <w:rsid w:val="00812350"/>
    <w:rsid w:val="0081238A"/>
    <w:rsid w:val="0081241D"/>
    <w:rsid w:val="008125E4"/>
    <w:rsid w:val="008127A0"/>
    <w:rsid w:val="0081294A"/>
    <w:rsid w:val="008129BC"/>
    <w:rsid w:val="00812AA4"/>
    <w:rsid w:val="008132B2"/>
    <w:rsid w:val="00813475"/>
    <w:rsid w:val="00813727"/>
    <w:rsid w:val="00813DCD"/>
    <w:rsid w:val="00813EE0"/>
    <w:rsid w:val="00813F45"/>
    <w:rsid w:val="00813FD7"/>
    <w:rsid w:val="008140D5"/>
    <w:rsid w:val="0081412E"/>
    <w:rsid w:val="00814228"/>
    <w:rsid w:val="008143A5"/>
    <w:rsid w:val="008145EB"/>
    <w:rsid w:val="008149CD"/>
    <w:rsid w:val="00814A60"/>
    <w:rsid w:val="00814ACB"/>
    <w:rsid w:val="00814C2A"/>
    <w:rsid w:val="00814C6B"/>
    <w:rsid w:val="008152B5"/>
    <w:rsid w:val="008157B7"/>
    <w:rsid w:val="00815835"/>
    <w:rsid w:val="00815C74"/>
    <w:rsid w:val="00815F2C"/>
    <w:rsid w:val="0081620F"/>
    <w:rsid w:val="0081645D"/>
    <w:rsid w:val="008164B9"/>
    <w:rsid w:val="0081653D"/>
    <w:rsid w:val="00816B85"/>
    <w:rsid w:val="0081718C"/>
    <w:rsid w:val="00817E36"/>
    <w:rsid w:val="00817FBB"/>
    <w:rsid w:val="00817FCD"/>
    <w:rsid w:val="0082037C"/>
    <w:rsid w:val="008203EC"/>
    <w:rsid w:val="00820DD9"/>
    <w:rsid w:val="008213A8"/>
    <w:rsid w:val="00821484"/>
    <w:rsid w:val="008215E5"/>
    <w:rsid w:val="0082182D"/>
    <w:rsid w:val="00821A3D"/>
    <w:rsid w:val="00821C63"/>
    <w:rsid w:val="00821CDE"/>
    <w:rsid w:val="00821E9A"/>
    <w:rsid w:val="0082210B"/>
    <w:rsid w:val="0082217B"/>
    <w:rsid w:val="00822387"/>
    <w:rsid w:val="008225F8"/>
    <w:rsid w:val="008226BE"/>
    <w:rsid w:val="0082278F"/>
    <w:rsid w:val="00822F95"/>
    <w:rsid w:val="00823006"/>
    <w:rsid w:val="0082340F"/>
    <w:rsid w:val="00823465"/>
    <w:rsid w:val="00823A1A"/>
    <w:rsid w:val="00823CC4"/>
    <w:rsid w:val="00823D23"/>
    <w:rsid w:val="00823E0C"/>
    <w:rsid w:val="00823EB5"/>
    <w:rsid w:val="00823F06"/>
    <w:rsid w:val="00823FF7"/>
    <w:rsid w:val="00824171"/>
    <w:rsid w:val="00824297"/>
    <w:rsid w:val="00824321"/>
    <w:rsid w:val="0082432A"/>
    <w:rsid w:val="00824AEE"/>
    <w:rsid w:val="00824BC0"/>
    <w:rsid w:val="0082549E"/>
    <w:rsid w:val="008255FB"/>
    <w:rsid w:val="00825954"/>
    <w:rsid w:val="008259BC"/>
    <w:rsid w:val="00825A90"/>
    <w:rsid w:val="00825BD3"/>
    <w:rsid w:val="00825EAE"/>
    <w:rsid w:val="00825F30"/>
    <w:rsid w:val="0082603A"/>
    <w:rsid w:val="008261F0"/>
    <w:rsid w:val="008262D5"/>
    <w:rsid w:val="0082639F"/>
    <w:rsid w:val="00826C85"/>
    <w:rsid w:val="00826DC9"/>
    <w:rsid w:val="00827307"/>
    <w:rsid w:val="0082744C"/>
    <w:rsid w:val="0082759F"/>
    <w:rsid w:val="00827A55"/>
    <w:rsid w:val="00827BFE"/>
    <w:rsid w:val="00827F0A"/>
    <w:rsid w:val="008304BB"/>
    <w:rsid w:val="00830684"/>
    <w:rsid w:val="008307E8"/>
    <w:rsid w:val="00830C59"/>
    <w:rsid w:val="00830D41"/>
    <w:rsid w:val="00830DE0"/>
    <w:rsid w:val="00830E41"/>
    <w:rsid w:val="00831099"/>
    <w:rsid w:val="008310DB"/>
    <w:rsid w:val="00831152"/>
    <w:rsid w:val="0083123D"/>
    <w:rsid w:val="00831250"/>
    <w:rsid w:val="00831788"/>
    <w:rsid w:val="00831A20"/>
    <w:rsid w:val="00831DCB"/>
    <w:rsid w:val="00832187"/>
    <w:rsid w:val="0083224F"/>
    <w:rsid w:val="0083252F"/>
    <w:rsid w:val="008327C7"/>
    <w:rsid w:val="008328D9"/>
    <w:rsid w:val="00832AF7"/>
    <w:rsid w:val="00832CDA"/>
    <w:rsid w:val="0083304F"/>
    <w:rsid w:val="00833133"/>
    <w:rsid w:val="008335DE"/>
    <w:rsid w:val="0083382A"/>
    <w:rsid w:val="00833BC5"/>
    <w:rsid w:val="00833BEE"/>
    <w:rsid w:val="00833C2C"/>
    <w:rsid w:val="00833DD7"/>
    <w:rsid w:val="00833F30"/>
    <w:rsid w:val="0083435F"/>
    <w:rsid w:val="00834376"/>
    <w:rsid w:val="008343AE"/>
    <w:rsid w:val="00834B50"/>
    <w:rsid w:val="00834BBA"/>
    <w:rsid w:val="00834DF8"/>
    <w:rsid w:val="00834E74"/>
    <w:rsid w:val="0083550E"/>
    <w:rsid w:val="00835531"/>
    <w:rsid w:val="00835668"/>
    <w:rsid w:val="008357E5"/>
    <w:rsid w:val="008358EE"/>
    <w:rsid w:val="00835963"/>
    <w:rsid w:val="00835E21"/>
    <w:rsid w:val="00835E6A"/>
    <w:rsid w:val="0083609F"/>
    <w:rsid w:val="00836227"/>
    <w:rsid w:val="008372EC"/>
    <w:rsid w:val="0083737C"/>
    <w:rsid w:val="00837490"/>
    <w:rsid w:val="0083763B"/>
    <w:rsid w:val="00837694"/>
    <w:rsid w:val="00837A32"/>
    <w:rsid w:val="00837A68"/>
    <w:rsid w:val="00840029"/>
    <w:rsid w:val="0084043D"/>
    <w:rsid w:val="00840732"/>
    <w:rsid w:val="00840826"/>
    <w:rsid w:val="00840954"/>
    <w:rsid w:val="00840E88"/>
    <w:rsid w:val="0084125F"/>
    <w:rsid w:val="008414A9"/>
    <w:rsid w:val="008417ED"/>
    <w:rsid w:val="00841834"/>
    <w:rsid w:val="00841A02"/>
    <w:rsid w:val="00841B62"/>
    <w:rsid w:val="00841BB9"/>
    <w:rsid w:val="00841ECE"/>
    <w:rsid w:val="00841F10"/>
    <w:rsid w:val="00841FB0"/>
    <w:rsid w:val="00842683"/>
    <w:rsid w:val="00842760"/>
    <w:rsid w:val="0084299B"/>
    <w:rsid w:val="00842A81"/>
    <w:rsid w:val="00842EA2"/>
    <w:rsid w:val="0084306B"/>
    <w:rsid w:val="0084312A"/>
    <w:rsid w:val="00843205"/>
    <w:rsid w:val="00843493"/>
    <w:rsid w:val="008437BB"/>
    <w:rsid w:val="00843987"/>
    <w:rsid w:val="00843B92"/>
    <w:rsid w:val="00843CB1"/>
    <w:rsid w:val="00843CF2"/>
    <w:rsid w:val="00843FA1"/>
    <w:rsid w:val="008444B3"/>
    <w:rsid w:val="008445DE"/>
    <w:rsid w:val="00844647"/>
    <w:rsid w:val="0084464E"/>
    <w:rsid w:val="00844958"/>
    <w:rsid w:val="008449AF"/>
    <w:rsid w:val="00844B96"/>
    <w:rsid w:val="00844CC1"/>
    <w:rsid w:val="00844DB0"/>
    <w:rsid w:val="00844DB2"/>
    <w:rsid w:val="00844DCE"/>
    <w:rsid w:val="00845075"/>
    <w:rsid w:val="00845154"/>
    <w:rsid w:val="0084531E"/>
    <w:rsid w:val="00845970"/>
    <w:rsid w:val="008459BD"/>
    <w:rsid w:val="008459F8"/>
    <w:rsid w:val="00845A12"/>
    <w:rsid w:val="00845A41"/>
    <w:rsid w:val="00845DA8"/>
    <w:rsid w:val="00845E9E"/>
    <w:rsid w:val="00845F08"/>
    <w:rsid w:val="00846070"/>
    <w:rsid w:val="00846191"/>
    <w:rsid w:val="00846226"/>
    <w:rsid w:val="00846296"/>
    <w:rsid w:val="008463F3"/>
    <w:rsid w:val="00846888"/>
    <w:rsid w:val="008468C8"/>
    <w:rsid w:val="00846A7B"/>
    <w:rsid w:val="00846AFB"/>
    <w:rsid w:val="00846B0A"/>
    <w:rsid w:val="00846DC6"/>
    <w:rsid w:val="008471B8"/>
    <w:rsid w:val="008473E1"/>
    <w:rsid w:val="00847483"/>
    <w:rsid w:val="00847595"/>
    <w:rsid w:val="0084781D"/>
    <w:rsid w:val="00847D0D"/>
    <w:rsid w:val="0085010E"/>
    <w:rsid w:val="00850203"/>
    <w:rsid w:val="008502CC"/>
    <w:rsid w:val="00850474"/>
    <w:rsid w:val="00850566"/>
    <w:rsid w:val="00850887"/>
    <w:rsid w:val="00850A70"/>
    <w:rsid w:val="00850BB5"/>
    <w:rsid w:val="00851254"/>
    <w:rsid w:val="00851326"/>
    <w:rsid w:val="00851756"/>
    <w:rsid w:val="008518AA"/>
    <w:rsid w:val="00851A6E"/>
    <w:rsid w:val="00851B9F"/>
    <w:rsid w:val="00851CF5"/>
    <w:rsid w:val="00851F8D"/>
    <w:rsid w:val="0085209D"/>
    <w:rsid w:val="008520DE"/>
    <w:rsid w:val="00852131"/>
    <w:rsid w:val="008523A7"/>
    <w:rsid w:val="008525E6"/>
    <w:rsid w:val="008527D5"/>
    <w:rsid w:val="008527D6"/>
    <w:rsid w:val="0085285E"/>
    <w:rsid w:val="00852CE3"/>
    <w:rsid w:val="00852E7E"/>
    <w:rsid w:val="00852FB8"/>
    <w:rsid w:val="008530AE"/>
    <w:rsid w:val="008531A2"/>
    <w:rsid w:val="0085355A"/>
    <w:rsid w:val="00853655"/>
    <w:rsid w:val="00853759"/>
    <w:rsid w:val="008537D1"/>
    <w:rsid w:val="00853AAA"/>
    <w:rsid w:val="00853B7A"/>
    <w:rsid w:val="00853BED"/>
    <w:rsid w:val="00853EBD"/>
    <w:rsid w:val="00853F92"/>
    <w:rsid w:val="0085424B"/>
    <w:rsid w:val="00854278"/>
    <w:rsid w:val="00854366"/>
    <w:rsid w:val="00854371"/>
    <w:rsid w:val="00854424"/>
    <w:rsid w:val="00854489"/>
    <w:rsid w:val="0085460A"/>
    <w:rsid w:val="00854830"/>
    <w:rsid w:val="00854949"/>
    <w:rsid w:val="0085497A"/>
    <w:rsid w:val="00854D77"/>
    <w:rsid w:val="00854DA5"/>
    <w:rsid w:val="00854FF6"/>
    <w:rsid w:val="0085530A"/>
    <w:rsid w:val="008556A2"/>
    <w:rsid w:val="00855C27"/>
    <w:rsid w:val="00855E55"/>
    <w:rsid w:val="00856045"/>
    <w:rsid w:val="0085607A"/>
    <w:rsid w:val="00856446"/>
    <w:rsid w:val="00856521"/>
    <w:rsid w:val="008567FB"/>
    <w:rsid w:val="00856B5D"/>
    <w:rsid w:val="00856F73"/>
    <w:rsid w:val="00856F8B"/>
    <w:rsid w:val="00857049"/>
    <w:rsid w:val="00857673"/>
    <w:rsid w:val="008579DB"/>
    <w:rsid w:val="00857ACD"/>
    <w:rsid w:val="00857BD3"/>
    <w:rsid w:val="00857C47"/>
    <w:rsid w:val="00860256"/>
    <w:rsid w:val="00860340"/>
    <w:rsid w:val="0086068F"/>
    <w:rsid w:val="008608DB"/>
    <w:rsid w:val="00860DB3"/>
    <w:rsid w:val="0086109D"/>
    <w:rsid w:val="00861131"/>
    <w:rsid w:val="008611F0"/>
    <w:rsid w:val="008613B0"/>
    <w:rsid w:val="008616FD"/>
    <w:rsid w:val="00861896"/>
    <w:rsid w:val="008619C3"/>
    <w:rsid w:val="00861B29"/>
    <w:rsid w:val="00861B81"/>
    <w:rsid w:val="00861BDA"/>
    <w:rsid w:val="00861D68"/>
    <w:rsid w:val="00861EA2"/>
    <w:rsid w:val="0086248E"/>
    <w:rsid w:val="008625B0"/>
    <w:rsid w:val="008627EF"/>
    <w:rsid w:val="0086325B"/>
    <w:rsid w:val="008632CB"/>
    <w:rsid w:val="008634F4"/>
    <w:rsid w:val="0086379B"/>
    <w:rsid w:val="008638A5"/>
    <w:rsid w:val="00863BF5"/>
    <w:rsid w:val="00863BF6"/>
    <w:rsid w:val="00863C52"/>
    <w:rsid w:val="008640FB"/>
    <w:rsid w:val="008641FC"/>
    <w:rsid w:val="0086455A"/>
    <w:rsid w:val="0086466C"/>
    <w:rsid w:val="008646BA"/>
    <w:rsid w:val="008647B5"/>
    <w:rsid w:val="00864941"/>
    <w:rsid w:val="00864CA5"/>
    <w:rsid w:val="00864F2D"/>
    <w:rsid w:val="008651C1"/>
    <w:rsid w:val="00865425"/>
    <w:rsid w:val="00865617"/>
    <w:rsid w:val="00865629"/>
    <w:rsid w:val="00865CC9"/>
    <w:rsid w:val="00865EFD"/>
    <w:rsid w:val="00866280"/>
    <w:rsid w:val="00866642"/>
    <w:rsid w:val="00866722"/>
    <w:rsid w:val="0086684C"/>
    <w:rsid w:val="00866894"/>
    <w:rsid w:val="00866B15"/>
    <w:rsid w:val="00866B45"/>
    <w:rsid w:val="00866CCF"/>
    <w:rsid w:val="00866EDD"/>
    <w:rsid w:val="008670D6"/>
    <w:rsid w:val="00867229"/>
    <w:rsid w:val="008678E5"/>
    <w:rsid w:val="00867955"/>
    <w:rsid w:val="00867AA0"/>
    <w:rsid w:val="00867C5F"/>
    <w:rsid w:val="00867DAB"/>
    <w:rsid w:val="00867E04"/>
    <w:rsid w:val="00867F0F"/>
    <w:rsid w:val="00867F15"/>
    <w:rsid w:val="0087019C"/>
    <w:rsid w:val="00870483"/>
    <w:rsid w:val="008704C0"/>
    <w:rsid w:val="008705E6"/>
    <w:rsid w:val="0087075B"/>
    <w:rsid w:val="008708C8"/>
    <w:rsid w:val="00870A7C"/>
    <w:rsid w:val="00870E86"/>
    <w:rsid w:val="00871470"/>
    <w:rsid w:val="008717A8"/>
    <w:rsid w:val="00871871"/>
    <w:rsid w:val="008718BB"/>
    <w:rsid w:val="0087194A"/>
    <w:rsid w:val="00871F00"/>
    <w:rsid w:val="00872083"/>
    <w:rsid w:val="008720E8"/>
    <w:rsid w:val="008721C8"/>
    <w:rsid w:val="008723C7"/>
    <w:rsid w:val="008723CD"/>
    <w:rsid w:val="00872423"/>
    <w:rsid w:val="0087243C"/>
    <w:rsid w:val="00872967"/>
    <w:rsid w:val="00872A43"/>
    <w:rsid w:val="00872BEB"/>
    <w:rsid w:val="00872C39"/>
    <w:rsid w:val="00872CF7"/>
    <w:rsid w:val="00872E0A"/>
    <w:rsid w:val="00873774"/>
    <w:rsid w:val="00873AA3"/>
    <w:rsid w:val="00873DE4"/>
    <w:rsid w:val="00873E43"/>
    <w:rsid w:val="0087419D"/>
    <w:rsid w:val="008743B4"/>
    <w:rsid w:val="008743C9"/>
    <w:rsid w:val="008744A4"/>
    <w:rsid w:val="00874846"/>
    <w:rsid w:val="008748B8"/>
    <w:rsid w:val="00874DA0"/>
    <w:rsid w:val="00874E42"/>
    <w:rsid w:val="00874F92"/>
    <w:rsid w:val="0087506C"/>
    <w:rsid w:val="008751FA"/>
    <w:rsid w:val="0087543A"/>
    <w:rsid w:val="008754ED"/>
    <w:rsid w:val="0087580E"/>
    <w:rsid w:val="00875841"/>
    <w:rsid w:val="00875929"/>
    <w:rsid w:val="00875A16"/>
    <w:rsid w:val="00875C49"/>
    <w:rsid w:val="00875C67"/>
    <w:rsid w:val="00875FAB"/>
    <w:rsid w:val="008762E6"/>
    <w:rsid w:val="0087638A"/>
    <w:rsid w:val="0087651F"/>
    <w:rsid w:val="00876572"/>
    <w:rsid w:val="00876931"/>
    <w:rsid w:val="00876968"/>
    <w:rsid w:val="00876BB7"/>
    <w:rsid w:val="00876BEF"/>
    <w:rsid w:val="00876D63"/>
    <w:rsid w:val="00876FC4"/>
    <w:rsid w:val="00877256"/>
    <w:rsid w:val="00877361"/>
    <w:rsid w:val="008773D9"/>
    <w:rsid w:val="00877BE5"/>
    <w:rsid w:val="00877EF8"/>
    <w:rsid w:val="00880053"/>
    <w:rsid w:val="00880836"/>
    <w:rsid w:val="00880BB6"/>
    <w:rsid w:val="00881281"/>
    <w:rsid w:val="00881367"/>
    <w:rsid w:val="008819C8"/>
    <w:rsid w:val="00881C04"/>
    <w:rsid w:val="00881D0A"/>
    <w:rsid w:val="00882181"/>
    <w:rsid w:val="00882500"/>
    <w:rsid w:val="00883051"/>
    <w:rsid w:val="0088350F"/>
    <w:rsid w:val="008835AD"/>
    <w:rsid w:val="008837F9"/>
    <w:rsid w:val="008839BF"/>
    <w:rsid w:val="00883A4B"/>
    <w:rsid w:val="00883AAB"/>
    <w:rsid w:val="0088404F"/>
    <w:rsid w:val="00884333"/>
    <w:rsid w:val="00884363"/>
    <w:rsid w:val="00884721"/>
    <w:rsid w:val="00884751"/>
    <w:rsid w:val="008848FE"/>
    <w:rsid w:val="00884D4C"/>
    <w:rsid w:val="00884ED7"/>
    <w:rsid w:val="00884F10"/>
    <w:rsid w:val="00885050"/>
    <w:rsid w:val="00885356"/>
    <w:rsid w:val="008855BD"/>
    <w:rsid w:val="008857FB"/>
    <w:rsid w:val="0088585E"/>
    <w:rsid w:val="00885871"/>
    <w:rsid w:val="00885A38"/>
    <w:rsid w:val="00885E64"/>
    <w:rsid w:val="00886221"/>
    <w:rsid w:val="00886320"/>
    <w:rsid w:val="008867E6"/>
    <w:rsid w:val="00886A7A"/>
    <w:rsid w:val="00886D44"/>
    <w:rsid w:val="00886DC7"/>
    <w:rsid w:val="0088721F"/>
    <w:rsid w:val="008873F2"/>
    <w:rsid w:val="008875D7"/>
    <w:rsid w:val="0088778D"/>
    <w:rsid w:val="00887858"/>
    <w:rsid w:val="008879F8"/>
    <w:rsid w:val="00887AB3"/>
    <w:rsid w:val="0089042F"/>
    <w:rsid w:val="00890ABC"/>
    <w:rsid w:val="00890D86"/>
    <w:rsid w:val="00890E80"/>
    <w:rsid w:val="00890F73"/>
    <w:rsid w:val="0089115E"/>
    <w:rsid w:val="00891467"/>
    <w:rsid w:val="008916ED"/>
    <w:rsid w:val="008918B9"/>
    <w:rsid w:val="00891964"/>
    <w:rsid w:val="00891ADB"/>
    <w:rsid w:val="00891F25"/>
    <w:rsid w:val="00891FDF"/>
    <w:rsid w:val="0089210A"/>
    <w:rsid w:val="00892258"/>
    <w:rsid w:val="00892632"/>
    <w:rsid w:val="0089288D"/>
    <w:rsid w:val="00892A63"/>
    <w:rsid w:val="00892ACF"/>
    <w:rsid w:val="00892AE0"/>
    <w:rsid w:val="00892D94"/>
    <w:rsid w:val="00892E20"/>
    <w:rsid w:val="00892E9A"/>
    <w:rsid w:val="00892EC3"/>
    <w:rsid w:val="008931F0"/>
    <w:rsid w:val="00893496"/>
    <w:rsid w:val="008938BD"/>
    <w:rsid w:val="008938E4"/>
    <w:rsid w:val="00893B7A"/>
    <w:rsid w:val="00893DFB"/>
    <w:rsid w:val="00894379"/>
    <w:rsid w:val="008947C5"/>
    <w:rsid w:val="00894A0B"/>
    <w:rsid w:val="00894AFA"/>
    <w:rsid w:val="00894E94"/>
    <w:rsid w:val="008951E5"/>
    <w:rsid w:val="008952C2"/>
    <w:rsid w:val="00895303"/>
    <w:rsid w:val="00895442"/>
    <w:rsid w:val="008955E8"/>
    <w:rsid w:val="008955FD"/>
    <w:rsid w:val="00895A62"/>
    <w:rsid w:val="00895DD1"/>
    <w:rsid w:val="00895F1D"/>
    <w:rsid w:val="00895F46"/>
    <w:rsid w:val="0089617C"/>
    <w:rsid w:val="008967AD"/>
    <w:rsid w:val="0089689E"/>
    <w:rsid w:val="00896B68"/>
    <w:rsid w:val="00896D4E"/>
    <w:rsid w:val="00896FC4"/>
    <w:rsid w:val="008977B7"/>
    <w:rsid w:val="00897963"/>
    <w:rsid w:val="00897B7F"/>
    <w:rsid w:val="00897CEB"/>
    <w:rsid w:val="00897DF8"/>
    <w:rsid w:val="00897F89"/>
    <w:rsid w:val="008A01C4"/>
    <w:rsid w:val="008A0393"/>
    <w:rsid w:val="008A03C6"/>
    <w:rsid w:val="008A0463"/>
    <w:rsid w:val="008A08F4"/>
    <w:rsid w:val="008A0E5E"/>
    <w:rsid w:val="008A0EB8"/>
    <w:rsid w:val="008A13AF"/>
    <w:rsid w:val="008A176C"/>
    <w:rsid w:val="008A1BFD"/>
    <w:rsid w:val="008A1FD3"/>
    <w:rsid w:val="008A2076"/>
    <w:rsid w:val="008A20A1"/>
    <w:rsid w:val="008A20F6"/>
    <w:rsid w:val="008A216C"/>
    <w:rsid w:val="008A2244"/>
    <w:rsid w:val="008A2284"/>
    <w:rsid w:val="008A23F4"/>
    <w:rsid w:val="008A26DD"/>
    <w:rsid w:val="008A2710"/>
    <w:rsid w:val="008A27EC"/>
    <w:rsid w:val="008A29D6"/>
    <w:rsid w:val="008A2A4C"/>
    <w:rsid w:val="008A2AB2"/>
    <w:rsid w:val="008A2C47"/>
    <w:rsid w:val="008A2ED7"/>
    <w:rsid w:val="008A2EE2"/>
    <w:rsid w:val="008A3006"/>
    <w:rsid w:val="008A33AB"/>
    <w:rsid w:val="008A3633"/>
    <w:rsid w:val="008A367F"/>
    <w:rsid w:val="008A37FB"/>
    <w:rsid w:val="008A3D1E"/>
    <w:rsid w:val="008A3E83"/>
    <w:rsid w:val="008A3FE6"/>
    <w:rsid w:val="008A4250"/>
    <w:rsid w:val="008A4393"/>
    <w:rsid w:val="008A445A"/>
    <w:rsid w:val="008A4582"/>
    <w:rsid w:val="008A46F1"/>
    <w:rsid w:val="008A4769"/>
    <w:rsid w:val="008A4B63"/>
    <w:rsid w:val="008A55B5"/>
    <w:rsid w:val="008A568C"/>
    <w:rsid w:val="008A5742"/>
    <w:rsid w:val="008A57B3"/>
    <w:rsid w:val="008A5D58"/>
    <w:rsid w:val="008A5E0B"/>
    <w:rsid w:val="008A6199"/>
    <w:rsid w:val="008A61EE"/>
    <w:rsid w:val="008A6268"/>
    <w:rsid w:val="008A6369"/>
    <w:rsid w:val="008A64A8"/>
    <w:rsid w:val="008A68C8"/>
    <w:rsid w:val="008A6B90"/>
    <w:rsid w:val="008A6C24"/>
    <w:rsid w:val="008A71B5"/>
    <w:rsid w:val="008A74CD"/>
    <w:rsid w:val="008A7541"/>
    <w:rsid w:val="008A76E6"/>
    <w:rsid w:val="008A77EE"/>
    <w:rsid w:val="008A7A52"/>
    <w:rsid w:val="008A7B2D"/>
    <w:rsid w:val="008A7E0B"/>
    <w:rsid w:val="008A7FAB"/>
    <w:rsid w:val="008B03E3"/>
    <w:rsid w:val="008B0462"/>
    <w:rsid w:val="008B065C"/>
    <w:rsid w:val="008B089B"/>
    <w:rsid w:val="008B0900"/>
    <w:rsid w:val="008B0F17"/>
    <w:rsid w:val="008B0FB5"/>
    <w:rsid w:val="008B11C4"/>
    <w:rsid w:val="008B166C"/>
    <w:rsid w:val="008B17C8"/>
    <w:rsid w:val="008B1CCB"/>
    <w:rsid w:val="008B1DCE"/>
    <w:rsid w:val="008B2078"/>
    <w:rsid w:val="008B23E8"/>
    <w:rsid w:val="008B2440"/>
    <w:rsid w:val="008B2561"/>
    <w:rsid w:val="008B269A"/>
    <w:rsid w:val="008B26E4"/>
    <w:rsid w:val="008B2848"/>
    <w:rsid w:val="008B2CD5"/>
    <w:rsid w:val="008B2D1D"/>
    <w:rsid w:val="008B2D44"/>
    <w:rsid w:val="008B3255"/>
    <w:rsid w:val="008B338D"/>
    <w:rsid w:val="008B378E"/>
    <w:rsid w:val="008B39B8"/>
    <w:rsid w:val="008B3CCF"/>
    <w:rsid w:val="008B3D76"/>
    <w:rsid w:val="008B3F3E"/>
    <w:rsid w:val="008B43C0"/>
    <w:rsid w:val="008B44A1"/>
    <w:rsid w:val="008B4602"/>
    <w:rsid w:val="008B4959"/>
    <w:rsid w:val="008B4EE1"/>
    <w:rsid w:val="008B5578"/>
    <w:rsid w:val="008B55AB"/>
    <w:rsid w:val="008B5763"/>
    <w:rsid w:val="008B586A"/>
    <w:rsid w:val="008B600B"/>
    <w:rsid w:val="008B61EA"/>
    <w:rsid w:val="008B634C"/>
    <w:rsid w:val="008B64E8"/>
    <w:rsid w:val="008B6B8A"/>
    <w:rsid w:val="008B6BD9"/>
    <w:rsid w:val="008B6E35"/>
    <w:rsid w:val="008B6F51"/>
    <w:rsid w:val="008B77B6"/>
    <w:rsid w:val="008B7AF7"/>
    <w:rsid w:val="008B7DEA"/>
    <w:rsid w:val="008C03B2"/>
    <w:rsid w:val="008C0458"/>
    <w:rsid w:val="008C096E"/>
    <w:rsid w:val="008C0AAD"/>
    <w:rsid w:val="008C0BE1"/>
    <w:rsid w:val="008C1612"/>
    <w:rsid w:val="008C18B6"/>
    <w:rsid w:val="008C18CB"/>
    <w:rsid w:val="008C196D"/>
    <w:rsid w:val="008C2027"/>
    <w:rsid w:val="008C2319"/>
    <w:rsid w:val="008C23D7"/>
    <w:rsid w:val="008C25BD"/>
    <w:rsid w:val="008C26D2"/>
    <w:rsid w:val="008C2A02"/>
    <w:rsid w:val="008C2A82"/>
    <w:rsid w:val="008C3071"/>
    <w:rsid w:val="008C3129"/>
    <w:rsid w:val="008C3361"/>
    <w:rsid w:val="008C3517"/>
    <w:rsid w:val="008C376B"/>
    <w:rsid w:val="008C37E0"/>
    <w:rsid w:val="008C3B8A"/>
    <w:rsid w:val="008C4080"/>
    <w:rsid w:val="008C4308"/>
    <w:rsid w:val="008C4AC6"/>
    <w:rsid w:val="008C4B0B"/>
    <w:rsid w:val="008C4B44"/>
    <w:rsid w:val="008C5331"/>
    <w:rsid w:val="008C5396"/>
    <w:rsid w:val="008C542A"/>
    <w:rsid w:val="008C543D"/>
    <w:rsid w:val="008C564C"/>
    <w:rsid w:val="008C5792"/>
    <w:rsid w:val="008C5799"/>
    <w:rsid w:val="008C5B17"/>
    <w:rsid w:val="008C5F13"/>
    <w:rsid w:val="008C695A"/>
    <w:rsid w:val="008C6CCB"/>
    <w:rsid w:val="008C6D1C"/>
    <w:rsid w:val="008C6ED7"/>
    <w:rsid w:val="008C6F79"/>
    <w:rsid w:val="008C7455"/>
    <w:rsid w:val="008C7541"/>
    <w:rsid w:val="008C7553"/>
    <w:rsid w:val="008C7639"/>
    <w:rsid w:val="008C77C9"/>
    <w:rsid w:val="008C77FE"/>
    <w:rsid w:val="008C781D"/>
    <w:rsid w:val="008C78C2"/>
    <w:rsid w:val="008C79E3"/>
    <w:rsid w:val="008C7CAD"/>
    <w:rsid w:val="008C7D41"/>
    <w:rsid w:val="008C7F16"/>
    <w:rsid w:val="008D00C6"/>
    <w:rsid w:val="008D0186"/>
    <w:rsid w:val="008D03B8"/>
    <w:rsid w:val="008D074B"/>
    <w:rsid w:val="008D0A0A"/>
    <w:rsid w:val="008D0B06"/>
    <w:rsid w:val="008D0B3C"/>
    <w:rsid w:val="008D0C5F"/>
    <w:rsid w:val="008D0D62"/>
    <w:rsid w:val="008D0F1C"/>
    <w:rsid w:val="008D0FEA"/>
    <w:rsid w:val="008D1362"/>
    <w:rsid w:val="008D1668"/>
    <w:rsid w:val="008D16D6"/>
    <w:rsid w:val="008D1880"/>
    <w:rsid w:val="008D1AF6"/>
    <w:rsid w:val="008D22DD"/>
    <w:rsid w:val="008D247E"/>
    <w:rsid w:val="008D24A3"/>
    <w:rsid w:val="008D250D"/>
    <w:rsid w:val="008D250E"/>
    <w:rsid w:val="008D27D2"/>
    <w:rsid w:val="008D2BCD"/>
    <w:rsid w:val="008D2F67"/>
    <w:rsid w:val="008D2F84"/>
    <w:rsid w:val="008D321F"/>
    <w:rsid w:val="008D3442"/>
    <w:rsid w:val="008D3484"/>
    <w:rsid w:val="008D34B2"/>
    <w:rsid w:val="008D34E5"/>
    <w:rsid w:val="008D35C1"/>
    <w:rsid w:val="008D366D"/>
    <w:rsid w:val="008D39B4"/>
    <w:rsid w:val="008D40EA"/>
    <w:rsid w:val="008D41E2"/>
    <w:rsid w:val="008D42A9"/>
    <w:rsid w:val="008D45AC"/>
    <w:rsid w:val="008D45F9"/>
    <w:rsid w:val="008D472D"/>
    <w:rsid w:val="008D4CDD"/>
    <w:rsid w:val="008D4D46"/>
    <w:rsid w:val="008D4F77"/>
    <w:rsid w:val="008D50CB"/>
    <w:rsid w:val="008D5301"/>
    <w:rsid w:val="008D56B4"/>
    <w:rsid w:val="008D572F"/>
    <w:rsid w:val="008D57A2"/>
    <w:rsid w:val="008D57F8"/>
    <w:rsid w:val="008D587F"/>
    <w:rsid w:val="008D590A"/>
    <w:rsid w:val="008D5992"/>
    <w:rsid w:val="008D5A39"/>
    <w:rsid w:val="008D5B94"/>
    <w:rsid w:val="008D5C0D"/>
    <w:rsid w:val="008D60A3"/>
    <w:rsid w:val="008D6325"/>
    <w:rsid w:val="008D636F"/>
    <w:rsid w:val="008D63B9"/>
    <w:rsid w:val="008D64E3"/>
    <w:rsid w:val="008D6560"/>
    <w:rsid w:val="008D677F"/>
    <w:rsid w:val="008D68A7"/>
    <w:rsid w:val="008D6C23"/>
    <w:rsid w:val="008D6F19"/>
    <w:rsid w:val="008D6F81"/>
    <w:rsid w:val="008D73E6"/>
    <w:rsid w:val="008D772B"/>
    <w:rsid w:val="008D7793"/>
    <w:rsid w:val="008D7AB4"/>
    <w:rsid w:val="008D7C44"/>
    <w:rsid w:val="008D7C74"/>
    <w:rsid w:val="008D7DAA"/>
    <w:rsid w:val="008D7DC4"/>
    <w:rsid w:val="008E0127"/>
    <w:rsid w:val="008E050E"/>
    <w:rsid w:val="008E0554"/>
    <w:rsid w:val="008E06A2"/>
    <w:rsid w:val="008E079E"/>
    <w:rsid w:val="008E0DBD"/>
    <w:rsid w:val="008E103A"/>
    <w:rsid w:val="008E10A7"/>
    <w:rsid w:val="008E15B4"/>
    <w:rsid w:val="008E16F7"/>
    <w:rsid w:val="008E190C"/>
    <w:rsid w:val="008E1CA6"/>
    <w:rsid w:val="008E1D96"/>
    <w:rsid w:val="008E1E22"/>
    <w:rsid w:val="008E220B"/>
    <w:rsid w:val="008E23C8"/>
    <w:rsid w:val="008E23DF"/>
    <w:rsid w:val="008E24ED"/>
    <w:rsid w:val="008E25F4"/>
    <w:rsid w:val="008E2832"/>
    <w:rsid w:val="008E29D6"/>
    <w:rsid w:val="008E2B31"/>
    <w:rsid w:val="008E2C2E"/>
    <w:rsid w:val="008E2E8F"/>
    <w:rsid w:val="008E2EE0"/>
    <w:rsid w:val="008E30A7"/>
    <w:rsid w:val="008E323C"/>
    <w:rsid w:val="008E36E8"/>
    <w:rsid w:val="008E382A"/>
    <w:rsid w:val="008E399A"/>
    <w:rsid w:val="008E3A8C"/>
    <w:rsid w:val="008E3B50"/>
    <w:rsid w:val="008E3B5C"/>
    <w:rsid w:val="008E4115"/>
    <w:rsid w:val="008E4472"/>
    <w:rsid w:val="008E455E"/>
    <w:rsid w:val="008E49B9"/>
    <w:rsid w:val="008E4A24"/>
    <w:rsid w:val="008E4B6B"/>
    <w:rsid w:val="008E4EDC"/>
    <w:rsid w:val="008E4FCF"/>
    <w:rsid w:val="008E5081"/>
    <w:rsid w:val="008E520F"/>
    <w:rsid w:val="008E54A7"/>
    <w:rsid w:val="008E556B"/>
    <w:rsid w:val="008E55A3"/>
    <w:rsid w:val="008E5611"/>
    <w:rsid w:val="008E5841"/>
    <w:rsid w:val="008E5930"/>
    <w:rsid w:val="008E5CC9"/>
    <w:rsid w:val="008E60F1"/>
    <w:rsid w:val="008E610D"/>
    <w:rsid w:val="008E657B"/>
    <w:rsid w:val="008E6830"/>
    <w:rsid w:val="008E687D"/>
    <w:rsid w:val="008E6C2E"/>
    <w:rsid w:val="008E6FD7"/>
    <w:rsid w:val="008E70C9"/>
    <w:rsid w:val="008E71C8"/>
    <w:rsid w:val="008E742C"/>
    <w:rsid w:val="008E74F2"/>
    <w:rsid w:val="008E75A9"/>
    <w:rsid w:val="008E781C"/>
    <w:rsid w:val="008E7EFA"/>
    <w:rsid w:val="008F003C"/>
    <w:rsid w:val="008F00F8"/>
    <w:rsid w:val="008F074F"/>
    <w:rsid w:val="008F07CF"/>
    <w:rsid w:val="008F08B5"/>
    <w:rsid w:val="008F09F7"/>
    <w:rsid w:val="008F0C5C"/>
    <w:rsid w:val="008F0ECD"/>
    <w:rsid w:val="008F109D"/>
    <w:rsid w:val="008F14E9"/>
    <w:rsid w:val="008F184E"/>
    <w:rsid w:val="008F1B48"/>
    <w:rsid w:val="008F1E08"/>
    <w:rsid w:val="008F1EDC"/>
    <w:rsid w:val="008F1FD9"/>
    <w:rsid w:val="008F2297"/>
    <w:rsid w:val="008F22B9"/>
    <w:rsid w:val="008F24C6"/>
    <w:rsid w:val="008F25DC"/>
    <w:rsid w:val="008F2732"/>
    <w:rsid w:val="008F2EB0"/>
    <w:rsid w:val="008F308E"/>
    <w:rsid w:val="008F3308"/>
    <w:rsid w:val="008F336D"/>
    <w:rsid w:val="008F38C4"/>
    <w:rsid w:val="008F3A56"/>
    <w:rsid w:val="008F3B35"/>
    <w:rsid w:val="008F3DE0"/>
    <w:rsid w:val="008F4143"/>
    <w:rsid w:val="008F42EB"/>
    <w:rsid w:val="008F4361"/>
    <w:rsid w:val="008F46BE"/>
    <w:rsid w:val="008F46C9"/>
    <w:rsid w:val="008F4DF9"/>
    <w:rsid w:val="008F53DF"/>
    <w:rsid w:val="008F5467"/>
    <w:rsid w:val="008F54BC"/>
    <w:rsid w:val="008F57B1"/>
    <w:rsid w:val="008F57D1"/>
    <w:rsid w:val="008F58AC"/>
    <w:rsid w:val="008F58AD"/>
    <w:rsid w:val="008F5D15"/>
    <w:rsid w:val="008F642B"/>
    <w:rsid w:val="008F6653"/>
    <w:rsid w:val="008F686B"/>
    <w:rsid w:val="008F6C21"/>
    <w:rsid w:val="008F6C85"/>
    <w:rsid w:val="008F6CC2"/>
    <w:rsid w:val="008F6DFA"/>
    <w:rsid w:val="008F7138"/>
    <w:rsid w:val="008F750B"/>
    <w:rsid w:val="008F7726"/>
    <w:rsid w:val="008F782E"/>
    <w:rsid w:val="008F7BE4"/>
    <w:rsid w:val="0090026F"/>
    <w:rsid w:val="0090046E"/>
    <w:rsid w:val="009007C0"/>
    <w:rsid w:val="00900864"/>
    <w:rsid w:val="009008CB"/>
    <w:rsid w:val="00900F07"/>
    <w:rsid w:val="0090111E"/>
    <w:rsid w:val="00901217"/>
    <w:rsid w:val="009012E2"/>
    <w:rsid w:val="00901435"/>
    <w:rsid w:val="0090148F"/>
    <w:rsid w:val="00901678"/>
    <w:rsid w:val="009016B0"/>
    <w:rsid w:val="009017BC"/>
    <w:rsid w:val="00901A37"/>
    <w:rsid w:val="00901AD4"/>
    <w:rsid w:val="009020FB"/>
    <w:rsid w:val="00902736"/>
    <w:rsid w:val="009028A2"/>
    <w:rsid w:val="00902A45"/>
    <w:rsid w:val="00902ADC"/>
    <w:rsid w:val="00902BDE"/>
    <w:rsid w:val="00902C99"/>
    <w:rsid w:val="00902CEC"/>
    <w:rsid w:val="00902EE2"/>
    <w:rsid w:val="00903221"/>
    <w:rsid w:val="009033DA"/>
    <w:rsid w:val="00903423"/>
    <w:rsid w:val="00903493"/>
    <w:rsid w:val="00903617"/>
    <w:rsid w:val="0090438D"/>
    <w:rsid w:val="009046BB"/>
    <w:rsid w:val="009048DA"/>
    <w:rsid w:val="00904AAF"/>
    <w:rsid w:val="00904D2B"/>
    <w:rsid w:val="009051CC"/>
    <w:rsid w:val="0090529F"/>
    <w:rsid w:val="009055A8"/>
    <w:rsid w:val="009059CF"/>
    <w:rsid w:val="00905CEE"/>
    <w:rsid w:val="00905D41"/>
    <w:rsid w:val="00905E13"/>
    <w:rsid w:val="00906249"/>
    <w:rsid w:val="0090626C"/>
    <w:rsid w:val="00906C31"/>
    <w:rsid w:val="00906FEB"/>
    <w:rsid w:val="009073F6"/>
    <w:rsid w:val="009079C0"/>
    <w:rsid w:val="00907CA1"/>
    <w:rsid w:val="00910371"/>
    <w:rsid w:val="00910416"/>
    <w:rsid w:val="0091085B"/>
    <w:rsid w:val="009109E5"/>
    <w:rsid w:val="00910A14"/>
    <w:rsid w:val="00910A9A"/>
    <w:rsid w:val="00911773"/>
    <w:rsid w:val="00911815"/>
    <w:rsid w:val="009119D8"/>
    <w:rsid w:val="009119EE"/>
    <w:rsid w:val="00911ABC"/>
    <w:rsid w:val="00911C1B"/>
    <w:rsid w:val="00911D3B"/>
    <w:rsid w:val="00911DBE"/>
    <w:rsid w:val="00912372"/>
    <w:rsid w:val="0091242A"/>
    <w:rsid w:val="0091243B"/>
    <w:rsid w:val="00912463"/>
    <w:rsid w:val="00912465"/>
    <w:rsid w:val="00912928"/>
    <w:rsid w:val="00912CCA"/>
    <w:rsid w:val="009130CB"/>
    <w:rsid w:val="00913263"/>
    <w:rsid w:val="00913314"/>
    <w:rsid w:val="009135A2"/>
    <w:rsid w:val="009135CE"/>
    <w:rsid w:val="00913723"/>
    <w:rsid w:val="00913795"/>
    <w:rsid w:val="00913A6E"/>
    <w:rsid w:val="00913D80"/>
    <w:rsid w:val="00913F2A"/>
    <w:rsid w:val="00914080"/>
    <w:rsid w:val="0091434A"/>
    <w:rsid w:val="0091473F"/>
    <w:rsid w:val="00914791"/>
    <w:rsid w:val="009148EF"/>
    <w:rsid w:val="009149AF"/>
    <w:rsid w:val="009149FD"/>
    <w:rsid w:val="00914C36"/>
    <w:rsid w:val="00914DA4"/>
    <w:rsid w:val="00915183"/>
    <w:rsid w:val="00915558"/>
    <w:rsid w:val="0091574B"/>
    <w:rsid w:val="00915CCD"/>
    <w:rsid w:val="00915E15"/>
    <w:rsid w:val="00916145"/>
    <w:rsid w:val="009161CE"/>
    <w:rsid w:val="00916463"/>
    <w:rsid w:val="009167B0"/>
    <w:rsid w:val="009167CE"/>
    <w:rsid w:val="00916B68"/>
    <w:rsid w:val="00916E70"/>
    <w:rsid w:val="00916FC7"/>
    <w:rsid w:val="0091712F"/>
    <w:rsid w:val="00917578"/>
    <w:rsid w:val="009175A7"/>
    <w:rsid w:val="009177C5"/>
    <w:rsid w:val="009179EF"/>
    <w:rsid w:val="00917BB4"/>
    <w:rsid w:val="00917D25"/>
    <w:rsid w:val="00917E2A"/>
    <w:rsid w:val="009200A2"/>
    <w:rsid w:val="009200A6"/>
    <w:rsid w:val="0092015B"/>
    <w:rsid w:val="00920441"/>
    <w:rsid w:val="00920557"/>
    <w:rsid w:val="0092065F"/>
    <w:rsid w:val="009206E0"/>
    <w:rsid w:val="00920731"/>
    <w:rsid w:val="0092083B"/>
    <w:rsid w:val="0092091F"/>
    <w:rsid w:val="0092094A"/>
    <w:rsid w:val="00920A27"/>
    <w:rsid w:val="00920A7E"/>
    <w:rsid w:val="00920F4E"/>
    <w:rsid w:val="009217E9"/>
    <w:rsid w:val="00921E8B"/>
    <w:rsid w:val="009224A9"/>
    <w:rsid w:val="00922528"/>
    <w:rsid w:val="00922582"/>
    <w:rsid w:val="009225E4"/>
    <w:rsid w:val="0092277F"/>
    <w:rsid w:val="00922888"/>
    <w:rsid w:val="009228B2"/>
    <w:rsid w:val="009228F1"/>
    <w:rsid w:val="009229F5"/>
    <w:rsid w:val="00922B09"/>
    <w:rsid w:val="00922B16"/>
    <w:rsid w:val="00922B5E"/>
    <w:rsid w:val="00922CEC"/>
    <w:rsid w:val="00922DD7"/>
    <w:rsid w:val="00922ECD"/>
    <w:rsid w:val="0092303E"/>
    <w:rsid w:val="00923247"/>
    <w:rsid w:val="009233CE"/>
    <w:rsid w:val="00923441"/>
    <w:rsid w:val="009234BC"/>
    <w:rsid w:val="009238D5"/>
    <w:rsid w:val="00923A4E"/>
    <w:rsid w:val="00923A67"/>
    <w:rsid w:val="0092448B"/>
    <w:rsid w:val="00924634"/>
    <w:rsid w:val="00924728"/>
    <w:rsid w:val="00924B1D"/>
    <w:rsid w:val="00924FAA"/>
    <w:rsid w:val="009250D1"/>
    <w:rsid w:val="00925245"/>
    <w:rsid w:val="00925310"/>
    <w:rsid w:val="0092557C"/>
    <w:rsid w:val="0092573D"/>
    <w:rsid w:val="00925AA5"/>
    <w:rsid w:val="00925F56"/>
    <w:rsid w:val="0092604A"/>
    <w:rsid w:val="0092616D"/>
    <w:rsid w:val="009263E2"/>
    <w:rsid w:val="00926561"/>
    <w:rsid w:val="00926D35"/>
    <w:rsid w:val="00926E38"/>
    <w:rsid w:val="0092728B"/>
    <w:rsid w:val="00927500"/>
    <w:rsid w:val="00927539"/>
    <w:rsid w:val="0092758B"/>
    <w:rsid w:val="00927627"/>
    <w:rsid w:val="00927822"/>
    <w:rsid w:val="00927AC8"/>
    <w:rsid w:val="00927C89"/>
    <w:rsid w:val="00927E6A"/>
    <w:rsid w:val="00930029"/>
    <w:rsid w:val="00930297"/>
    <w:rsid w:val="00930363"/>
    <w:rsid w:val="00930994"/>
    <w:rsid w:val="00930AE8"/>
    <w:rsid w:val="00930C6C"/>
    <w:rsid w:val="00930D6B"/>
    <w:rsid w:val="00930FD6"/>
    <w:rsid w:val="00930FFC"/>
    <w:rsid w:val="00931244"/>
    <w:rsid w:val="009318C5"/>
    <w:rsid w:val="00931935"/>
    <w:rsid w:val="00931EBD"/>
    <w:rsid w:val="00931F67"/>
    <w:rsid w:val="00931FB1"/>
    <w:rsid w:val="00931FC0"/>
    <w:rsid w:val="00932070"/>
    <w:rsid w:val="009320BB"/>
    <w:rsid w:val="00932470"/>
    <w:rsid w:val="0093260F"/>
    <w:rsid w:val="009329C1"/>
    <w:rsid w:val="00932B63"/>
    <w:rsid w:val="00932C46"/>
    <w:rsid w:val="00932F9A"/>
    <w:rsid w:val="00933509"/>
    <w:rsid w:val="009335FA"/>
    <w:rsid w:val="00933695"/>
    <w:rsid w:val="009339F1"/>
    <w:rsid w:val="00933C31"/>
    <w:rsid w:val="0093446E"/>
    <w:rsid w:val="009344A1"/>
    <w:rsid w:val="0093453A"/>
    <w:rsid w:val="00934A10"/>
    <w:rsid w:val="00934C97"/>
    <w:rsid w:val="00934EF0"/>
    <w:rsid w:val="00935348"/>
    <w:rsid w:val="00935352"/>
    <w:rsid w:val="009357C7"/>
    <w:rsid w:val="00935980"/>
    <w:rsid w:val="009363D4"/>
    <w:rsid w:val="0093663E"/>
    <w:rsid w:val="009367CB"/>
    <w:rsid w:val="00936B7C"/>
    <w:rsid w:val="00936CC4"/>
    <w:rsid w:val="00936F7C"/>
    <w:rsid w:val="00937006"/>
    <w:rsid w:val="0093735A"/>
    <w:rsid w:val="0093774E"/>
    <w:rsid w:val="009377E3"/>
    <w:rsid w:val="009377E8"/>
    <w:rsid w:val="00937A8B"/>
    <w:rsid w:val="00937BA1"/>
    <w:rsid w:val="00937BE3"/>
    <w:rsid w:val="00937EBB"/>
    <w:rsid w:val="00940165"/>
    <w:rsid w:val="0094071A"/>
    <w:rsid w:val="00940B78"/>
    <w:rsid w:val="00940B9B"/>
    <w:rsid w:val="00940CDE"/>
    <w:rsid w:val="00940D5E"/>
    <w:rsid w:val="00940DFB"/>
    <w:rsid w:val="00940E5F"/>
    <w:rsid w:val="00941500"/>
    <w:rsid w:val="0094190A"/>
    <w:rsid w:val="00941B49"/>
    <w:rsid w:val="009421AF"/>
    <w:rsid w:val="009423A5"/>
    <w:rsid w:val="009424B4"/>
    <w:rsid w:val="00942793"/>
    <w:rsid w:val="009427AE"/>
    <w:rsid w:val="009427B1"/>
    <w:rsid w:val="0094286E"/>
    <w:rsid w:val="009428F6"/>
    <w:rsid w:val="009429A4"/>
    <w:rsid w:val="009429BF"/>
    <w:rsid w:val="00942A51"/>
    <w:rsid w:val="00942B31"/>
    <w:rsid w:val="00942B5E"/>
    <w:rsid w:val="00942B9A"/>
    <w:rsid w:val="00942C38"/>
    <w:rsid w:val="00942DBA"/>
    <w:rsid w:val="00942E2C"/>
    <w:rsid w:val="0094311E"/>
    <w:rsid w:val="0094327E"/>
    <w:rsid w:val="00943300"/>
    <w:rsid w:val="0094371B"/>
    <w:rsid w:val="00943A14"/>
    <w:rsid w:val="00943A27"/>
    <w:rsid w:val="00943BF7"/>
    <w:rsid w:val="00943E45"/>
    <w:rsid w:val="0094400F"/>
    <w:rsid w:val="00944026"/>
    <w:rsid w:val="0094419F"/>
    <w:rsid w:val="0094427A"/>
    <w:rsid w:val="009442F2"/>
    <w:rsid w:val="0094439F"/>
    <w:rsid w:val="00944456"/>
    <w:rsid w:val="009446CF"/>
    <w:rsid w:val="0094491C"/>
    <w:rsid w:val="00944950"/>
    <w:rsid w:val="00944B19"/>
    <w:rsid w:val="00944CDB"/>
    <w:rsid w:val="00944D86"/>
    <w:rsid w:val="00944EFA"/>
    <w:rsid w:val="00944F86"/>
    <w:rsid w:val="009455C9"/>
    <w:rsid w:val="009456B6"/>
    <w:rsid w:val="00945F76"/>
    <w:rsid w:val="00946238"/>
    <w:rsid w:val="0094646C"/>
    <w:rsid w:val="00946579"/>
    <w:rsid w:val="009465B0"/>
    <w:rsid w:val="00946785"/>
    <w:rsid w:val="0094690C"/>
    <w:rsid w:val="00946979"/>
    <w:rsid w:val="00946B11"/>
    <w:rsid w:val="00946CAA"/>
    <w:rsid w:val="00946D59"/>
    <w:rsid w:val="00946F37"/>
    <w:rsid w:val="00947136"/>
    <w:rsid w:val="009471C9"/>
    <w:rsid w:val="009479D9"/>
    <w:rsid w:val="00947A0E"/>
    <w:rsid w:val="00947A9B"/>
    <w:rsid w:val="00947BB6"/>
    <w:rsid w:val="00947BF5"/>
    <w:rsid w:val="00947FBE"/>
    <w:rsid w:val="009500ED"/>
    <w:rsid w:val="009505DC"/>
    <w:rsid w:val="0095087C"/>
    <w:rsid w:val="00950D2A"/>
    <w:rsid w:val="00951111"/>
    <w:rsid w:val="00951113"/>
    <w:rsid w:val="0095113F"/>
    <w:rsid w:val="009511CC"/>
    <w:rsid w:val="00951265"/>
    <w:rsid w:val="0095165D"/>
    <w:rsid w:val="009516CD"/>
    <w:rsid w:val="00951C49"/>
    <w:rsid w:val="00951E57"/>
    <w:rsid w:val="009525A6"/>
    <w:rsid w:val="009526D5"/>
    <w:rsid w:val="009527D9"/>
    <w:rsid w:val="00952A89"/>
    <w:rsid w:val="00952AFC"/>
    <w:rsid w:val="00952D0B"/>
    <w:rsid w:val="00952F7E"/>
    <w:rsid w:val="00952F8B"/>
    <w:rsid w:val="009532DA"/>
    <w:rsid w:val="00953493"/>
    <w:rsid w:val="009535CF"/>
    <w:rsid w:val="00953754"/>
    <w:rsid w:val="00953B0C"/>
    <w:rsid w:val="00953C1C"/>
    <w:rsid w:val="00954130"/>
    <w:rsid w:val="009541EA"/>
    <w:rsid w:val="009544C7"/>
    <w:rsid w:val="009544EB"/>
    <w:rsid w:val="009549D6"/>
    <w:rsid w:val="00954AF8"/>
    <w:rsid w:val="00955005"/>
    <w:rsid w:val="0095528A"/>
    <w:rsid w:val="00955411"/>
    <w:rsid w:val="00955834"/>
    <w:rsid w:val="009559CA"/>
    <w:rsid w:val="00955F6B"/>
    <w:rsid w:val="0095618C"/>
    <w:rsid w:val="009563C8"/>
    <w:rsid w:val="009563EF"/>
    <w:rsid w:val="0095650A"/>
    <w:rsid w:val="00956990"/>
    <w:rsid w:val="00956D35"/>
    <w:rsid w:val="00956DEB"/>
    <w:rsid w:val="00956E34"/>
    <w:rsid w:val="00957075"/>
    <w:rsid w:val="009570FD"/>
    <w:rsid w:val="0095727E"/>
    <w:rsid w:val="00957536"/>
    <w:rsid w:val="00957642"/>
    <w:rsid w:val="009576A7"/>
    <w:rsid w:val="009576B1"/>
    <w:rsid w:val="00957799"/>
    <w:rsid w:val="00957AB0"/>
    <w:rsid w:val="00957B0D"/>
    <w:rsid w:val="00957F80"/>
    <w:rsid w:val="00960014"/>
    <w:rsid w:val="009600FD"/>
    <w:rsid w:val="00960242"/>
    <w:rsid w:val="0096024B"/>
    <w:rsid w:val="00960279"/>
    <w:rsid w:val="009602C8"/>
    <w:rsid w:val="0096056A"/>
    <w:rsid w:val="009606C1"/>
    <w:rsid w:val="009607CA"/>
    <w:rsid w:val="00960AC6"/>
    <w:rsid w:val="00960B49"/>
    <w:rsid w:val="00960CA5"/>
    <w:rsid w:val="00960D8C"/>
    <w:rsid w:val="00960ECE"/>
    <w:rsid w:val="00960EEA"/>
    <w:rsid w:val="0096159E"/>
    <w:rsid w:val="00961718"/>
    <w:rsid w:val="00961F70"/>
    <w:rsid w:val="0096248E"/>
    <w:rsid w:val="00962584"/>
    <w:rsid w:val="00962874"/>
    <w:rsid w:val="0096299D"/>
    <w:rsid w:val="00962A84"/>
    <w:rsid w:val="00962B76"/>
    <w:rsid w:val="00962C46"/>
    <w:rsid w:val="00962CEC"/>
    <w:rsid w:val="00962FFA"/>
    <w:rsid w:val="00963273"/>
    <w:rsid w:val="0096329F"/>
    <w:rsid w:val="0096342F"/>
    <w:rsid w:val="0096360D"/>
    <w:rsid w:val="0096365C"/>
    <w:rsid w:val="009639DF"/>
    <w:rsid w:val="00963A15"/>
    <w:rsid w:val="00963A77"/>
    <w:rsid w:val="00963B37"/>
    <w:rsid w:val="00963B4F"/>
    <w:rsid w:val="00963DDF"/>
    <w:rsid w:val="00963DF7"/>
    <w:rsid w:val="00964508"/>
    <w:rsid w:val="009645C5"/>
    <w:rsid w:val="009646C8"/>
    <w:rsid w:val="0096472D"/>
    <w:rsid w:val="009648AF"/>
    <w:rsid w:val="00964904"/>
    <w:rsid w:val="00964942"/>
    <w:rsid w:val="009649BC"/>
    <w:rsid w:val="00964B18"/>
    <w:rsid w:val="00964C06"/>
    <w:rsid w:val="00964FE9"/>
    <w:rsid w:val="0096531E"/>
    <w:rsid w:val="00965374"/>
    <w:rsid w:val="00965747"/>
    <w:rsid w:val="00965B82"/>
    <w:rsid w:val="0096630E"/>
    <w:rsid w:val="009664C5"/>
    <w:rsid w:val="0096667D"/>
    <w:rsid w:val="009666C2"/>
    <w:rsid w:val="00966A0C"/>
    <w:rsid w:val="00966A9B"/>
    <w:rsid w:val="00966DCE"/>
    <w:rsid w:val="00966E32"/>
    <w:rsid w:val="00966E8B"/>
    <w:rsid w:val="00966F20"/>
    <w:rsid w:val="00967200"/>
    <w:rsid w:val="00967441"/>
    <w:rsid w:val="00967A02"/>
    <w:rsid w:val="00967B72"/>
    <w:rsid w:val="00967DDF"/>
    <w:rsid w:val="009701BE"/>
    <w:rsid w:val="00970203"/>
    <w:rsid w:val="0097047B"/>
    <w:rsid w:val="009704AA"/>
    <w:rsid w:val="009707DC"/>
    <w:rsid w:val="0097086C"/>
    <w:rsid w:val="00970FF7"/>
    <w:rsid w:val="00971020"/>
    <w:rsid w:val="0097126E"/>
    <w:rsid w:val="0097136E"/>
    <w:rsid w:val="009714C7"/>
    <w:rsid w:val="00971619"/>
    <w:rsid w:val="0097174D"/>
    <w:rsid w:val="00971758"/>
    <w:rsid w:val="009717FA"/>
    <w:rsid w:val="00971A8E"/>
    <w:rsid w:val="00971B73"/>
    <w:rsid w:val="00971C38"/>
    <w:rsid w:val="0097218D"/>
    <w:rsid w:val="0097232F"/>
    <w:rsid w:val="009726A6"/>
    <w:rsid w:val="009726AC"/>
    <w:rsid w:val="009728E5"/>
    <w:rsid w:val="00972969"/>
    <w:rsid w:val="00972C83"/>
    <w:rsid w:val="00972DFB"/>
    <w:rsid w:val="00972FED"/>
    <w:rsid w:val="0097346A"/>
    <w:rsid w:val="009734D4"/>
    <w:rsid w:val="00973A01"/>
    <w:rsid w:val="0097405B"/>
    <w:rsid w:val="0097411E"/>
    <w:rsid w:val="009743F7"/>
    <w:rsid w:val="009744D5"/>
    <w:rsid w:val="00974A83"/>
    <w:rsid w:val="00974F54"/>
    <w:rsid w:val="00974FF9"/>
    <w:rsid w:val="00975147"/>
    <w:rsid w:val="009751DC"/>
    <w:rsid w:val="00975210"/>
    <w:rsid w:val="009753B8"/>
    <w:rsid w:val="0097544E"/>
    <w:rsid w:val="009756F0"/>
    <w:rsid w:val="0097598C"/>
    <w:rsid w:val="00975F7F"/>
    <w:rsid w:val="00976058"/>
    <w:rsid w:val="009760F6"/>
    <w:rsid w:val="0097611E"/>
    <w:rsid w:val="009763E8"/>
    <w:rsid w:val="00976872"/>
    <w:rsid w:val="009770FC"/>
    <w:rsid w:val="00977155"/>
    <w:rsid w:val="0097715F"/>
    <w:rsid w:val="009773B6"/>
    <w:rsid w:val="0097744D"/>
    <w:rsid w:val="00977859"/>
    <w:rsid w:val="00977EC8"/>
    <w:rsid w:val="00977F24"/>
    <w:rsid w:val="00977F7B"/>
    <w:rsid w:val="00980010"/>
    <w:rsid w:val="00980034"/>
    <w:rsid w:val="009801A6"/>
    <w:rsid w:val="009808BD"/>
    <w:rsid w:val="00980ADE"/>
    <w:rsid w:val="00980C77"/>
    <w:rsid w:val="00980F59"/>
    <w:rsid w:val="0098118F"/>
    <w:rsid w:val="00981900"/>
    <w:rsid w:val="00981B37"/>
    <w:rsid w:val="00981B78"/>
    <w:rsid w:val="00981B94"/>
    <w:rsid w:val="00982743"/>
    <w:rsid w:val="00982A49"/>
    <w:rsid w:val="00982B0E"/>
    <w:rsid w:val="00982C5F"/>
    <w:rsid w:val="00982F6A"/>
    <w:rsid w:val="00982F71"/>
    <w:rsid w:val="00983509"/>
    <w:rsid w:val="009837FB"/>
    <w:rsid w:val="00983AA4"/>
    <w:rsid w:val="00983B36"/>
    <w:rsid w:val="00983CFA"/>
    <w:rsid w:val="00983D9C"/>
    <w:rsid w:val="00983F21"/>
    <w:rsid w:val="00983F2C"/>
    <w:rsid w:val="00983F3A"/>
    <w:rsid w:val="00984231"/>
    <w:rsid w:val="009843D3"/>
    <w:rsid w:val="0098445E"/>
    <w:rsid w:val="00984567"/>
    <w:rsid w:val="009845C3"/>
    <w:rsid w:val="00984836"/>
    <w:rsid w:val="00984B6F"/>
    <w:rsid w:val="00984F59"/>
    <w:rsid w:val="00985100"/>
    <w:rsid w:val="00985315"/>
    <w:rsid w:val="009856D3"/>
    <w:rsid w:val="00985722"/>
    <w:rsid w:val="00985852"/>
    <w:rsid w:val="00985962"/>
    <w:rsid w:val="00985FF6"/>
    <w:rsid w:val="00986189"/>
    <w:rsid w:val="009861FE"/>
    <w:rsid w:val="009866AD"/>
    <w:rsid w:val="009869B2"/>
    <w:rsid w:val="00986A05"/>
    <w:rsid w:val="00986AF0"/>
    <w:rsid w:val="00987D9E"/>
    <w:rsid w:val="00987E0C"/>
    <w:rsid w:val="0099055F"/>
    <w:rsid w:val="009905AD"/>
    <w:rsid w:val="00990635"/>
    <w:rsid w:val="009906DF"/>
    <w:rsid w:val="009909D9"/>
    <w:rsid w:val="00990D88"/>
    <w:rsid w:val="00990FF5"/>
    <w:rsid w:val="00991090"/>
    <w:rsid w:val="0099111D"/>
    <w:rsid w:val="00991308"/>
    <w:rsid w:val="0099146F"/>
    <w:rsid w:val="00991564"/>
    <w:rsid w:val="00991829"/>
    <w:rsid w:val="0099191A"/>
    <w:rsid w:val="00991C41"/>
    <w:rsid w:val="00991DF6"/>
    <w:rsid w:val="00991EBB"/>
    <w:rsid w:val="00992509"/>
    <w:rsid w:val="00992AD8"/>
    <w:rsid w:val="00992DB2"/>
    <w:rsid w:val="00992F39"/>
    <w:rsid w:val="00993060"/>
    <w:rsid w:val="009930AA"/>
    <w:rsid w:val="00993566"/>
    <w:rsid w:val="00993948"/>
    <w:rsid w:val="00993961"/>
    <w:rsid w:val="00993FA3"/>
    <w:rsid w:val="009941DE"/>
    <w:rsid w:val="009944A0"/>
    <w:rsid w:val="0099451D"/>
    <w:rsid w:val="0099480D"/>
    <w:rsid w:val="009949BF"/>
    <w:rsid w:val="00994B1C"/>
    <w:rsid w:val="00994C72"/>
    <w:rsid w:val="009951B0"/>
    <w:rsid w:val="00995241"/>
    <w:rsid w:val="00995C19"/>
    <w:rsid w:val="00995D51"/>
    <w:rsid w:val="00995F7E"/>
    <w:rsid w:val="00996122"/>
    <w:rsid w:val="009962EF"/>
    <w:rsid w:val="0099671F"/>
    <w:rsid w:val="0099672C"/>
    <w:rsid w:val="00996C7E"/>
    <w:rsid w:val="00996D76"/>
    <w:rsid w:val="00996EAF"/>
    <w:rsid w:val="00997052"/>
    <w:rsid w:val="00997096"/>
    <w:rsid w:val="009971BE"/>
    <w:rsid w:val="009971C8"/>
    <w:rsid w:val="00997511"/>
    <w:rsid w:val="00997645"/>
    <w:rsid w:val="0099765C"/>
    <w:rsid w:val="0099776E"/>
    <w:rsid w:val="00997FD3"/>
    <w:rsid w:val="009A0095"/>
    <w:rsid w:val="009A04A7"/>
    <w:rsid w:val="009A0887"/>
    <w:rsid w:val="009A0A48"/>
    <w:rsid w:val="009A0A66"/>
    <w:rsid w:val="009A0C45"/>
    <w:rsid w:val="009A0D23"/>
    <w:rsid w:val="009A0E4A"/>
    <w:rsid w:val="009A0E69"/>
    <w:rsid w:val="009A0E6B"/>
    <w:rsid w:val="009A1291"/>
    <w:rsid w:val="009A1442"/>
    <w:rsid w:val="009A149B"/>
    <w:rsid w:val="009A149C"/>
    <w:rsid w:val="009A14BA"/>
    <w:rsid w:val="009A18B9"/>
    <w:rsid w:val="009A1CFA"/>
    <w:rsid w:val="009A2391"/>
    <w:rsid w:val="009A2403"/>
    <w:rsid w:val="009A2461"/>
    <w:rsid w:val="009A2548"/>
    <w:rsid w:val="009A263F"/>
    <w:rsid w:val="009A2728"/>
    <w:rsid w:val="009A2BD6"/>
    <w:rsid w:val="009A319F"/>
    <w:rsid w:val="009A3617"/>
    <w:rsid w:val="009A3931"/>
    <w:rsid w:val="009A3A54"/>
    <w:rsid w:val="009A4166"/>
    <w:rsid w:val="009A41F5"/>
    <w:rsid w:val="009A463A"/>
    <w:rsid w:val="009A498A"/>
    <w:rsid w:val="009A4ADB"/>
    <w:rsid w:val="009A4D79"/>
    <w:rsid w:val="009A54C4"/>
    <w:rsid w:val="009A5757"/>
    <w:rsid w:val="009A5840"/>
    <w:rsid w:val="009A5C53"/>
    <w:rsid w:val="009A5CE8"/>
    <w:rsid w:val="009A5E4F"/>
    <w:rsid w:val="009A5EC1"/>
    <w:rsid w:val="009A60B2"/>
    <w:rsid w:val="009A614F"/>
    <w:rsid w:val="009A615C"/>
    <w:rsid w:val="009A6677"/>
    <w:rsid w:val="009A66A5"/>
    <w:rsid w:val="009A68DC"/>
    <w:rsid w:val="009A6C6C"/>
    <w:rsid w:val="009A6D44"/>
    <w:rsid w:val="009A6E2F"/>
    <w:rsid w:val="009A6EE6"/>
    <w:rsid w:val="009A6FBD"/>
    <w:rsid w:val="009A73D3"/>
    <w:rsid w:val="009A74BE"/>
    <w:rsid w:val="009A79B3"/>
    <w:rsid w:val="009A7A99"/>
    <w:rsid w:val="009A7C28"/>
    <w:rsid w:val="009B009B"/>
    <w:rsid w:val="009B00EA"/>
    <w:rsid w:val="009B03F7"/>
    <w:rsid w:val="009B0515"/>
    <w:rsid w:val="009B068D"/>
    <w:rsid w:val="009B0A5E"/>
    <w:rsid w:val="009B0B18"/>
    <w:rsid w:val="009B0B4E"/>
    <w:rsid w:val="009B0BB7"/>
    <w:rsid w:val="009B0C3F"/>
    <w:rsid w:val="009B111B"/>
    <w:rsid w:val="009B130C"/>
    <w:rsid w:val="009B15D4"/>
    <w:rsid w:val="009B166D"/>
    <w:rsid w:val="009B1911"/>
    <w:rsid w:val="009B1C54"/>
    <w:rsid w:val="009B1E51"/>
    <w:rsid w:val="009B1EE5"/>
    <w:rsid w:val="009B1FBE"/>
    <w:rsid w:val="009B2711"/>
    <w:rsid w:val="009B2A4D"/>
    <w:rsid w:val="009B3794"/>
    <w:rsid w:val="009B3E71"/>
    <w:rsid w:val="009B3EA6"/>
    <w:rsid w:val="009B3F3A"/>
    <w:rsid w:val="009B3FF5"/>
    <w:rsid w:val="009B401E"/>
    <w:rsid w:val="009B4217"/>
    <w:rsid w:val="009B4347"/>
    <w:rsid w:val="009B4439"/>
    <w:rsid w:val="009B4452"/>
    <w:rsid w:val="009B44AD"/>
    <w:rsid w:val="009B4A79"/>
    <w:rsid w:val="009B4BDC"/>
    <w:rsid w:val="009B4C7F"/>
    <w:rsid w:val="009B4D9C"/>
    <w:rsid w:val="009B4E6F"/>
    <w:rsid w:val="009B547D"/>
    <w:rsid w:val="009B5519"/>
    <w:rsid w:val="009B577F"/>
    <w:rsid w:val="009B58A5"/>
    <w:rsid w:val="009B6236"/>
    <w:rsid w:val="009B627F"/>
    <w:rsid w:val="009B6CBF"/>
    <w:rsid w:val="009B6DCA"/>
    <w:rsid w:val="009B6F5B"/>
    <w:rsid w:val="009B6F81"/>
    <w:rsid w:val="009B73A6"/>
    <w:rsid w:val="009B7895"/>
    <w:rsid w:val="009B7A2A"/>
    <w:rsid w:val="009B7A81"/>
    <w:rsid w:val="009B7B07"/>
    <w:rsid w:val="009B7F67"/>
    <w:rsid w:val="009C03A1"/>
    <w:rsid w:val="009C0409"/>
    <w:rsid w:val="009C075F"/>
    <w:rsid w:val="009C0D96"/>
    <w:rsid w:val="009C0EE4"/>
    <w:rsid w:val="009C1006"/>
    <w:rsid w:val="009C11A9"/>
    <w:rsid w:val="009C1393"/>
    <w:rsid w:val="009C13D8"/>
    <w:rsid w:val="009C15E6"/>
    <w:rsid w:val="009C1680"/>
    <w:rsid w:val="009C1748"/>
    <w:rsid w:val="009C1816"/>
    <w:rsid w:val="009C196E"/>
    <w:rsid w:val="009C19C7"/>
    <w:rsid w:val="009C19FF"/>
    <w:rsid w:val="009C1A7F"/>
    <w:rsid w:val="009C1D29"/>
    <w:rsid w:val="009C1EE2"/>
    <w:rsid w:val="009C1F05"/>
    <w:rsid w:val="009C21A0"/>
    <w:rsid w:val="009C2270"/>
    <w:rsid w:val="009C22A8"/>
    <w:rsid w:val="009C236F"/>
    <w:rsid w:val="009C247B"/>
    <w:rsid w:val="009C26F9"/>
    <w:rsid w:val="009C27C4"/>
    <w:rsid w:val="009C27D5"/>
    <w:rsid w:val="009C2BB3"/>
    <w:rsid w:val="009C2C52"/>
    <w:rsid w:val="009C2D98"/>
    <w:rsid w:val="009C330B"/>
    <w:rsid w:val="009C3AF8"/>
    <w:rsid w:val="009C3BAE"/>
    <w:rsid w:val="009C3FC4"/>
    <w:rsid w:val="009C433D"/>
    <w:rsid w:val="009C477D"/>
    <w:rsid w:val="009C48AE"/>
    <w:rsid w:val="009C4938"/>
    <w:rsid w:val="009C4E71"/>
    <w:rsid w:val="009C4E88"/>
    <w:rsid w:val="009C5351"/>
    <w:rsid w:val="009C562E"/>
    <w:rsid w:val="009C56CE"/>
    <w:rsid w:val="009C58E6"/>
    <w:rsid w:val="009C5ADF"/>
    <w:rsid w:val="009C5B58"/>
    <w:rsid w:val="009C5CDD"/>
    <w:rsid w:val="009C5D87"/>
    <w:rsid w:val="009C5F7F"/>
    <w:rsid w:val="009C6256"/>
    <w:rsid w:val="009C6969"/>
    <w:rsid w:val="009C6A76"/>
    <w:rsid w:val="009C6FF7"/>
    <w:rsid w:val="009C6FFE"/>
    <w:rsid w:val="009C74D4"/>
    <w:rsid w:val="009C7766"/>
    <w:rsid w:val="009C78DF"/>
    <w:rsid w:val="009C7977"/>
    <w:rsid w:val="009C7C54"/>
    <w:rsid w:val="009D0133"/>
    <w:rsid w:val="009D02B4"/>
    <w:rsid w:val="009D0516"/>
    <w:rsid w:val="009D077B"/>
    <w:rsid w:val="009D0874"/>
    <w:rsid w:val="009D0D64"/>
    <w:rsid w:val="009D0F49"/>
    <w:rsid w:val="009D0F6E"/>
    <w:rsid w:val="009D1302"/>
    <w:rsid w:val="009D132D"/>
    <w:rsid w:val="009D13E9"/>
    <w:rsid w:val="009D1976"/>
    <w:rsid w:val="009D1B84"/>
    <w:rsid w:val="009D1F8A"/>
    <w:rsid w:val="009D2547"/>
    <w:rsid w:val="009D25F9"/>
    <w:rsid w:val="009D27CD"/>
    <w:rsid w:val="009D29E2"/>
    <w:rsid w:val="009D2D40"/>
    <w:rsid w:val="009D3110"/>
    <w:rsid w:val="009D314D"/>
    <w:rsid w:val="009D32A0"/>
    <w:rsid w:val="009D3AF2"/>
    <w:rsid w:val="009D3D57"/>
    <w:rsid w:val="009D3DDB"/>
    <w:rsid w:val="009D3F63"/>
    <w:rsid w:val="009D402E"/>
    <w:rsid w:val="009D41CB"/>
    <w:rsid w:val="009D435A"/>
    <w:rsid w:val="009D4599"/>
    <w:rsid w:val="009D464A"/>
    <w:rsid w:val="009D46E5"/>
    <w:rsid w:val="009D4755"/>
    <w:rsid w:val="009D53C1"/>
    <w:rsid w:val="009D56E1"/>
    <w:rsid w:val="009D5AA7"/>
    <w:rsid w:val="009D5F27"/>
    <w:rsid w:val="009D5FD6"/>
    <w:rsid w:val="009D6026"/>
    <w:rsid w:val="009D6241"/>
    <w:rsid w:val="009D655B"/>
    <w:rsid w:val="009D65B8"/>
    <w:rsid w:val="009D6E68"/>
    <w:rsid w:val="009D766F"/>
    <w:rsid w:val="009D78ED"/>
    <w:rsid w:val="009D7C1B"/>
    <w:rsid w:val="009E0199"/>
    <w:rsid w:val="009E02AD"/>
    <w:rsid w:val="009E0337"/>
    <w:rsid w:val="009E033B"/>
    <w:rsid w:val="009E0637"/>
    <w:rsid w:val="009E08E3"/>
    <w:rsid w:val="009E126C"/>
    <w:rsid w:val="009E1324"/>
    <w:rsid w:val="009E1BC5"/>
    <w:rsid w:val="009E1CF9"/>
    <w:rsid w:val="009E1E8B"/>
    <w:rsid w:val="009E1FCE"/>
    <w:rsid w:val="009E2003"/>
    <w:rsid w:val="009E2071"/>
    <w:rsid w:val="009E21A8"/>
    <w:rsid w:val="009E25DD"/>
    <w:rsid w:val="009E26B5"/>
    <w:rsid w:val="009E26DC"/>
    <w:rsid w:val="009E2751"/>
    <w:rsid w:val="009E280E"/>
    <w:rsid w:val="009E2A0E"/>
    <w:rsid w:val="009E2C6E"/>
    <w:rsid w:val="009E2FF4"/>
    <w:rsid w:val="009E327C"/>
    <w:rsid w:val="009E333B"/>
    <w:rsid w:val="009E3376"/>
    <w:rsid w:val="009E361F"/>
    <w:rsid w:val="009E3AD4"/>
    <w:rsid w:val="009E3C35"/>
    <w:rsid w:val="009E40FF"/>
    <w:rsid w:val="009E4159"/>
    <w:rsid w:val="009E4268"/>
    <w:rsid w:val="009E43FF"/>
    <w:rsid w:val="009E454F"/>
    <w:rsid w:val="009E46DC"/>
    <w:rsid w:val="009E46EE"/>
    <w:rsid w:val="009E4993"/>
    <w:rsid w:val="009E49D8"/>
    <w:rsid w:val="009E4F02"/>
    <w:rsid w:val="009E4FCF"/>
    <w:rsid w:val="009E5204"/>
    <w:rsid w:val="009E529D"/>
    <w:rsid w:val="009E5657"/>
    <w:rsid w:val="009E5755"/>
    <w:rsid w:val="009E5773"/>
    <w:rsid w:val="009E58D1"/>
    <w:rsid w:val="009E617F"/>
    <w:rsid w:val="009E63A3"/>
    <w:rsid w:val="009E64B1"/>
    <w:rsid w:val="009E6760"/>
    <w:rsid w:val="009E6C2B"/>
    <w:rsid w:val="009E6C3A"/>
    <w:rsid w:val="009E71CA"/>
    <w:rsid w:val="009E78AB"/>
    <w:rsid w:val="009E7A97"/>
    <w:rsid w:val="009E7B7C"/>
    <w:rsid w:val="009E7E9A"/>
    <w:rsid w:val="009F034D"/>
    <w:rsid w:val="009F05C7"/>
    <w:rsid w:val="009F07B9"/>
    <w:rsid w:val="009F1008"/>
    <w:rsid w:val="009F114A"/>
    <w:rsid w:val="009F14DA"/>
    <w:rsid w:val="009F167C"/>
    <w:rsid w:val="009F1A53"/>
    <w:rsid w:val="009F1CB1"/>
    <w:rsid w:val="009F2352"/>
    <w:rsid w:val="009F248D"/>
    <w:rsid w:val="009F24F3"/>
    <w:rsid w:val="009F265E"/>
    <w:rsid w:val="009F295F"/>
    <w:rsid w:val="009F29E7"/>
    <w:rsid w:val="009F2B4B"/>
    <w:rsid w:val="009F2C2B"/>
    <w:rsid w:val="009F2FE4"/>
    <w:rsid w:val="009F3024"/>
    <w:rsid w:val="009F3092"/>
    <w:rsid w:val="009F314D"/>
    <w:rsid w:val="009F356B"/>
    <w:rsid w:val="009F35C7"/>
    <w:rsid w:val="009F35D5"/>
    <w:rsid w:val="009F37DD"/>
    <w:rsid w:val="009F37F9"/>
    <w:rsid w:val="009F385B"/>
    <w:rsid w:val="009F3A4B"/>
    <w:rsid w:val="009F3AD0"/>
    <w:rsid w:val="009F3DAC"/>
    <w:rsid w:val="009F3E3E"/>
    <w:rsid w:val="009F4048"/>
    <w:rsid w:val="009F40EF"/>
    <w:rsid w:val="009F4448"/>
    <w:rsid w:val="009F45A7"/>
    <w:rsid w:val="009F4816"/>
    <w:rsid w:val="009F4846"/>
    <w:rsid w:val="009F4877"/>
    <w:rsid w:val="009F49AD"/>
    <w:rsid w:val="009F4EA9"/>
    <w:rsid w:val="009F4FC3"/>
    <w:rsid w:val="009F55E9"/>
    <w:rsid w:val="009F58BD"/>
    <w:rsid w:val="009F5CBF"/>
    <w:rsid w:val="009F5D07"/>
    <w:rsid w:val="009F5E05"/>
    <w:rsid w:val="009F5F24"/>
    <w:rsid w:val="009F600F"/>
    <w:rsid w:val="009F6154"/>
    <w:rsid w:val="009F65E9"/>
    <w:rsid w:val="009F66F9"/>
    <w:rsid w:val="009F6709"/>
    <w:rsid w:val="009F6754"/>
    <w:rsid w:val="009F6759"/>
    <w:rsid w:val="009F675A"/>
    <w:rsid w:val="009F6BCF"/>
    <w:rsid w:val="009F6C0F"/>
    <w:rsid w:val="009F6E0C"/>
    <w:rsid w:val="009F73C1"/>
    <w:rsid w:val="009F7442"/>
    <w:rsid w:val="009F74AA"/>
    <w:rsid w:val="009F74AB"/>
    <w:rsid w:val="009F7665"/>
    <w:rsid w:val="009F77EC"/>
    <w:rsid w:val="009F7905"/>
    <w:rsid w:val="009F7922"/>
    <w:rsid w:val="009F7971"/>
    <w:rsid w:val="009F7C21"/>
    <w:rsid w:val="009F7D17"/>
    <w:rsid w:val="00A000D1"/>
    <w:rsid w:val="00A0054C"/>
    <w:rsid w:val="00A0081D"/>
    <w:rsid w:val="00A009EF"/>
    <w:rsid w:val="00A00DA1"/>
    <w:rsid w:val="00A00EEC"/>
    <w:rsid w:val="00A010AB"/>
    <w:rsid w:val="00A010D4"/>
    <w:rsid w:val="00A011AF"/>
    <w:rsid w:val="00A0127E"/>
    <w:rsid w:val="00A01456"/>
    <w:rsid w:val="00A01595"/>
    <w:rsid w:val="00A017A7"/>
    <w:rsid w:val="00A01A1F"/>
    <w:rsid w:val="00A01C5C"/>
    <w:rsid w:val="00A01DD6"/>
    <w:rsid w:val="00A02336"/>
    <w:rsid w:val="00A02434"/>
    <w:rsid w:val="00A02B7B"/>
    <w:rsid w:val="00A02D4C"/>
    <w:rsid w:val="00A02E39"/>
    <w:rsid w:val="00A02FB7"/>
    <w:rsid w:val="00A0354C"/>
    <w:rsid w:val="00A0366C"/>
    <w:rsid w:val="00A0386F"/>
    <w:rsid w:val="00A03B58"/>
    <w:rsid w:val="00A03C25"/>
    <w:rsid w:val="00A046FD"/>
    <w:rsid w:val="00A04ACE"/>
    <w:rsid w:val="00A04AED"/>
    <w:rsid w:val="00A04C5D"/>
    <w:rsid w:val="00A04FE6"/>
    <w:rsid w:val="00A04FE7"/>
    <w:rsid w:val="00A04FEA"/>
    <w:rsid w:val="00A0551E"/>
    <w:rsid w:val="00A058AC"/>
    <w:rsid w:val="00A058AE"/>
    <w:rsid w:val="00A0595B"/>
    <w:rsid w:val="00A05A7E"/>
    <w:rsid w:val="00A05BDD"/>
    <w:rsid w:val="00A05D2B"/>
    <w:rsid w:val="00A05EF7"/>
    <w:rsid w:val="00A05F20"/>
    <w:rsid w:val="00A05F3B"/>
    <w:rsid w:val="00A0623C"/>
    <w:rsid w:val="00A062B1"/>
    <w:rsid w:val="00A063B4"/>
    <w:rsid w:val="00A06419"/>
    <w:rsid w:val="00A06954"/>
    <w:rsid w:val="00A06EE1"/>
    <w:rsid w:val="00A0739F"/>
    <w:rsid w:val="00A07681"/>
    <w:rsid w:val="00A07890"/>
    <w:rsid w:val="00A078F0"/>
    <w:rsid w:val="00A07D47"/>
    <w:rsid w:val="00A100E9"/>
    <w:rsid w:val="00A10556"/>
    <w:rsid w:val="00A10881"/>
    <w:rsid w:val="00A109C3"/>
    <w:rsid w:val="00A10A77"/>
    <w:rsid w:val="00A10B9C"/>
    <w:rsid w:val="00A10D61"/>
    <w:rsid w:val="00A10D83"/>
    <w:rsid w:val="00A10FC9"/>
    <w:rsid w:val="00A11083"/>
    <w:rsid w:val="00A1123A"/>
    <w:rsid w:val="00A115F1"/>
    <w:rsid w:val="00A116B9"/>
    <w:rsid w:val="00A117C1"/>
    <w:rsid w:val="00A117DE"/>
    <w:rsid w:val="00A118CE"/>
    <w:rsid w:val="00A11C09"/>
    <w:rsid w:val="00A11D39"/>
    <w:rsid w:val="00A12322"/>
    <w:rsid w:val="00A126F5"/>
    <w:rsid w:val="00A1272A"/>
    <w:rsid w:val="00A12900"/>
    <w:rsid w:val="00A12B3E"/>
    <w:rsid w:val="00A12BDA"/>
    <w:rsid w:val="00A1301F"/>
    <w:rsid w:val="00A1340F"/>
    <w:rsid w:val="00A135C0"/>
    <w:rsid w:val="00A135C6"/>
    <w:rsid w:val="00A1374D"/>
    <w:rsid w:val="00A13FB2"/>
    <w:rsid w:val="00A14089"/>
    <w:rsid w:val="00A140DA"/>
    <w:rsid w:val="00A141FC"/>
    <w:rsid w:val="00A142FF"/>
    <w:rsid w:val="00A145B2"/>
    <w:rsid w:val="00A14BE6"/>
    <w:rsid w:val="00A14C23"/>
    <w:rsid w:val="00A14FB8"/>
    <w:rsid w:val="00A14FE7"/>
    <w:rsid w:val="00A15174"/>
    <w:rsid w:val="00A15292"/>
    <w:rsid w:val="00A1577B"/>
    <w:rsid w:val="00A1587B"/>
    <w:rsid w:val="00A15CB8"/>
    <w:rsid w:val="00A15D6D"/>
    <w:rsid w:val="00A15FA4"/>
    <w:rsid w:val="00A16302"/>
    <w:rsid w:val="00A16421"/>
    <w:rsid w:val="00A1648B"/>
    <w:rsid w:val="00A16AFB"/>
    <w:rsid w:val="00A170A4"/>
    <w:rsid w:val="00A17254"/>
    <w:rsid w:val="00A1750B"/>
    <w:rsid w:val="00A17826"/>
    <w:rsid w:val="00A17A50"/>
    <w:rsid w:val="00A17BDA"/>
    <w:rsid w:val="00A17C88"/>
    <w:rsid w:val="00A17CA0"/>
    <w:rsid w:val="00A17D43"/>
    <w:rsid w:val="00A2007D"/>
    <w:rsid w:val="00A20344"/>
    <w:rsid w:val="00A20728"/>
    <w:rsid w:val="00A20741"/>
    <w:rsid w:val="00A207C8"/>
    <w:rsid w:val="00A20855"/>
    <w:rsid w:val="00A20937"/>
    <w:rsid w:val="00A20AB8"/>
    <w:rsid w:val="00A20AC4"/>
    <w:rsid w:val="00A20BE8"/>
    <w:rsid w:val="00A20C17"/>
    <w:rsid w:val="00A20C7F"/>
    <w:rsid w:val="00A20DC6"/>
    <w:rsid w:val="00A213EF"/>
    <w:rsid w:val="00A21828"/>
    <w:rsid w:val="00A21933"/>
    <w:rsid w:val="00A21A4D"/>
    <w:rsid w:val="00A21A6F"/>
    <w:rsid w:val="00A21FAD"/>
    <w:rsid w:val="00A21FE4"/>
    <w:rsid w:val="00A221D7"/>
    <w:rsid w:val="00A2252E"/>
    <w:rsid w:val="00A2288D"/>
    <w:rsid w:val="00A22BFB"/>
    <w:rsid w:val="00A22D50"/>
    <w:rsid w:val="00A23A06"/>
    <w:rsid w:val="00A23A9F"/>
    <w:rsid w:val="00A23BF5"/>
    <w:rsid w:val="00A23D48"/>
    <w:rsid w:val="00A23E95"/>
    <w:rsid w:val="00A23EAB"/>
    <w:rsid w:val="00A23EEC"/>
    <w:rsid w:val="00A23F0F"/>
    <w:rsid w:val="00A2407E"/>
    <w:rsid w:val="00A2409F"/>
    <w:rsid w:val="00A241F7"/>
    <w:rsid w:val="00A242A5"/>
    <w:rsid w:val="00A24613"/>
    <w:rsid w:val="00A24823"/>
    <w:rsid w:val="00A24A4E"/>
    <w:rsid w:val="00A25281"/>
    <w:rsid w:val="00A25421"/>
    <w:rsid w:val="00A256CC"/>
    <w:rsid w:val="00A25CA7"/>
    <w:rsid w:val="00A25D0B"/>
    <w:rsid w:val="00A25F79"/>
    <w:rsid w:val="00A26227"/>
    <w:rsid w:val="00A26434"/>
    <w:rsid w:val="00A26AC6"/>
    <w:rsid w:val="00A26B0A"/>
    <w:rsid w:val="00A26E30"/>
    <w:rsid w:val="00A26F29"/>
    <w:rsid w:val="00A2707C"/>
    <w:rsid w:val="00A270DA"/>
    <w:rsid w:val="00A2713A"/>
    <w:rsid w:val="00A2737C"/>
    <w:rsid w:val="00A27A86"/>
    <w:rsid w:val="00A27B23"/>
    <w:rsid w:val="00A27C1F"/>
    <w:rsid w:val="00A27CEF"/>
    <w:rsid w:val="00A27D1E"/>
    <w:rsid w:val="00A27E19"/>
    <w:rsid w:val="00A27F2C"/>
    <w:rsid w:val="00A27FBE"/>
    <w:rsid w:val="00A304C4"/>
    <w:rsid w:val="00A304D1"/>
    <w:rsid w:val="00A304D7"/>
    <w:rsid w:val="00A305F5"/>
    <w:rsid w:val="00A3071C"/>
    <w:rsid w:val="00A30833"/>
    <w:rsid w:val="00A30B56"/>
    <w:rsid w:val="00A30C4B"/>
    <w:rsid w:val="00A30CCA"/>
    <w:rsid w:val="00A30D13"/>
    <w:rsid w:val="00A30DAA"/>
    <w:rsid w:val="00A30F19"/>
    <w:rsid w:val="00A30F6A"/>
    <w:rsid w:val="00A30FA9"/>
    <w:rsid w:val="00A3103E"/>
    <w:rsid w:val="00A311BD"/>
    <w:rsid w:val="00A3124B"/>
    <w:rsid w:val="00A31344"/>
    <w:rsid w:val="00A31AD7"/>
    <w:rsid w:val="00A31CA3"/>
    <w:rsid w:val="00A31D05"/>
    <w:rsid w:val="00A31EDA"/>
    <w:rsid w:val="00A3201F"/>
    <w:rsid w:val="00A321CB"/>
    <w:rsid w:val="00A322F7"/>
    <w:rsid w:val="00A32669"/>
    <w:rsid w:val="00A326AF"/>
    <w:rsid w:val="00A328E2"/>
    <w:rsid w:val="00A32B4B"/>
    <w:rsid w:val="00A32D29"/>
    <w:rsid w:val="00A33028"/>
    <w:rsid w:val="00A33181"/>
    <w:rsid w:val="00A331B5"/>
    <w:rsid w:val="00A332B2"/>
    <w:rsid w:val="00A33A1A"/>
    <w:rsid w:val="00A33DE5"/>
    <w:rsid w:val="00A33F37"/>
    <w:rsid w:val="00A33FE7"/>
    <w:rsid w:val="00A3411E"/>
    <w:rsid w:val="00A34178"/>
    <w:rsid w:val="00A34413"/>
    <w:rsid w:val="00A34525"/>
    <w:rsid w:val="00A345CE"/>
    <w:rsid w:val="00A34744"/>
    <w:rsid w:val="00A3496C"/>
    <w:rsid w:val="00A34B47"/>
    <w:rsid w:val="00A34C6F"/>
    <w:rsid w:val="00A34EEA"/>
    <w:rsid w:val="00A35128"/>
    <w:rsid w:val="00A3532B"/>
    <w:rsid w:val="00A354B0"/>
    <w:rsid w:val="00A362EE"/>
    <w:rsid w:val="00A3642B"/>
    <w:rsid w:val="00A36613"/>
    <w:rsid w:val="00A36623"/>
    <w:rsid w:val="00A3688F"/>
    <w:rsid w:val="00A369F7"/>
    <w:rsid w:val="00A36A5B"/>
    <w:rsid w:val="00A36EB7"/>
    <w:rsid w:val="00A36FD6"/>
    <w:rsid w:val="00A3700B"/>
    <w:rsid w:val="00A37251"/>
    <w:rsid w:val="00A37782"/>
    <w:rsid w:val="00A377A7"/>
    <w:rsid w:val="00A37863"/>
    <w:rsid w:val="00A37CF4"/>
    <w:rsid w:val="00A37FEF"/>
    <w:rsid w:val="00A4000F"/>
    <w:rsid w:val="00A401F9"/>
    <w:rsid w:val="00A404AF"/>
    <w:rsid w:val="00A407B2"/>
    <w:rsid w:val="00A4098F"/>
    <w:rsid w:val="00A409A1"/>
    <w:rsid w:val="00A41042"/>
    <w:rsid w:val="00A4143A"/>
    <w:rsid w:val="00A41698"/>
    <w:rsid w:val="00A41746"/>
    <w:rsid w:val="00A4190D"/>
    <w:rsid w:val="00A41991"/>
    <w:rsid w:val="00A41CAF"/>
    <w:rsid w:val="00A425CC"/>
    <w:rsid w:val="00A426F5"/>
    <w:rsid w:val="00A42BB2"/>
    <w:rsid w:val="00A42BD9"/>
    <w:rsid w:val="00A42D43"/>
    <w:rsid w:val="00A42D9D"/>
    <w:rsid w:val="00A42DCD"/>
    <w:rsid w:val="00A42ECB"/>
    <w:rsid w:val="00A4305F"/>
    <w:rsid w:val="00A430B9"/>
    <w:rsid w:val="00A43220"/>
    <w:rsid w:val="00A434A3"/>
    <w:rsid w:val="00A4370E"/>
    <w:rsid w:val="00A439B9"/>
    <w:rsid w:val="00A43CAB"/>
    <w:rsid w:val="00A43F74"/>
    <w:rsid w:val="00A442B5"/>
    <w:rsid w:val="00A446A3"/>
    <w:rsid w:val="00A446BE"/>
    <w:rsid w:val="00A44ACF"/>
    <w:rsid w:val="00A44EE8"/>
    <w:rsid w:val="00A44FDD"/>
    <w:rsid w:val="00A45687"/>
    <w:rsid w:val="00A4582F"/>
    <w:rsid w:val="00A4595E"/>
    <w:rsid w:val="00A45A24"/>
    <w:rsid w:val="00A45A5A"/>
    <w:rsid w:val="00A46308"/>
    <w:rsid w:val="00A46555"/>
    <w:rsid w:val="00A46673"/>
    <w:rsid w:val="00A466B7"/>
    <w:rsid w:val="00A46C49"/>
    <w:rsid w:val="00A46F9A"/>
    <w:rsid w:val="00A470CF"/>
    <w:rsid w:val="00A4723C"/>
    <w:rsid w:val="00A476F6"/>
    <w:rsid w:val="00A479E3"/>
    <w:rsid w:val="00A47DB9"/>
    <w:rsid w:val="00A47E55"/>
    <w:rsid w:val="00A47EE1"/>
    <w:rsid w:val="00A5017C"/>
    <w:rsid w:val="00A50238"/>
    <w:rsid w:val="00A505BA"/>
    <w:rsid w:val="00A50710"/>
    <w:rsid w:val="00A50A39"/>
    <w:rsid w:val="00A50EAF"/>
    <w:rsid w:val="00A50FB9"/>
    <w:rsid w:val="00A51480"/>
    <w:rsid w:val="00A5152F"/>
    <w:rsid w:val="00A517F6"/>
    <w:rsid w:val="00A51FF5"/>
    <w:rsid w:val="00A5212B"/>
    <w:rsid w:val="00A52187"/>
    <w:rsid w:val="00A521B5"/>
    <w:rsid w:val="00A524A3"/>
    <w:rsid w:val="00A52793"/>
    <w:rsid w:val="00A527DD"/>
    <w:rsid w:val="00A52837"/>
    <w:rsid w:val="00A52B47"/>
    <w:rsid w:val="00A52BC9"/>
    <w:rsid w:val="00A52C4E"/>
    <w:rsid w:val="00A532CC"/>
    <w:rsid w:val="00A5338C"/>
    <w:rsid w:val="00A5349A"/>
    <w:rsid w:val="00A5367A"/>
    <w:rsid w:val="00A53913"/>
    <w:rsid w:val="00A53B62"/>
    <w:rsid w:val="00A53D55"/>
    <w:rsid w:val="00A53EB2"/>
    <w:rsid w:val="00A53F65"/>
    <w:rsid w:val="00A54059"/>
    <w:rsid w:val="00A54453"/>
    <w:rsid w:val="00A5447C"/>
    <w:rsid w:val="00A54692"/>
    <w:rsid w:val="00A54AAF"/>
    <w:rsid w:val="00A55297"/>
    <w:rsid w:val="00A5531F"/>
    <w:rsid w:val="00A553A4"/>
    <w:rsid w:val="00A55412"/>
    <w:rsid w:val="00A55429"/>
    <w:rsid w:val="00A555CE"/>
    <w:rsid w:val="00A5586B"/>
    <w:rsid w:val="00A55B18"/>
    <w:rsid w:val="00A55B9A"/>
    <w:rsid w:val="00A55D4F"/>
    <w:rsid w:val="00A55EE9"/>
    <w:rsid w:val="00A56359"/>
    <w:rsid w:val="00A566B3"/>
    <w:rsid w:val="00A5671E"/>
    <w:rsid w:val="00A56B28"/>
    <w:rsid w:val="00A56B2A"/>
    <w:rsid w:val="00A56BD5"/>
    <w:rsid w:val="00A56CCA"/>
    <w:rsid w:val="00A56DC9"/>
    <w:rsid w:val="00A56DCC"/>
    <w:rsid w:val="00A56DF7"/>
    <w:rsid w:val="00A5704D"/>
    <w:rsid w:val="00A57103"/>
    <w:rsid w:val="00A576F5"/>
    <w:rsid w:val="00A577C9"/>
    <w:rsid w:val="00A57821"/>
    <w:rsid w:val="00A57941"/>
    <w:rsid w:val="00A57A3C"/>
    <w:rsid w:val="00A57B84"/>
    <w:rsid w:val="00A57FEE"/>
    <w:rsid w:val="00A601A3"/>
    <w:rsid w:val="00A60806"/>
    <w:rsid w:val="00A60B66"/>
    <w:rsid w:val="00A60C64"/>
    <w:rsid w:val="00A60CCD"/>
    <w:rsid w:val="00A60FDC"/>
    <w:rsid w:val="00A6148C"/>
    <w:rsid w:val="00A615A9"/>
    <w:rsid w:val="00A61AAA"/>
    <w:rsid w:val="00A61F23"/>
    <w:rsid w:val="00A62262"/>
    <w:rsid w:val="00A62534"/>
    <w:rsid w:val="00A6256D"/>
    <w:rsid w:val="00A627AA"/>
    <w:rsid w:val="00A62B19"/>
    <w:rsid w:val="00A62D05"/>
    <w:rsid w:val="00A62D79"/>
    <w:rsid w:val="00A62EB4"/>
    <w:rsid w:val="00A62FEB"/>
    <w:rsid w:val="00A630C5"/>
    <w:rsid w:val="00A6334B"/>
    <w:rsid w:val="00A63A6E"/>
    <w:rsid w:val="00A64026"/>
    <w:rsid w:val="00A6454D"/>
    <w:rsid w:val="00A646F8"/>
    <w:rsid w:val="00A64729"/>
    <w:rsid w:val="00A64999"/>
    <w:rsid w:val="00A64CEE"/>
    <w:rsid w:val="00A64D84"/>
    <w:rsid w:val="00A65138"/>
    <w:rsid w:val="00A6555E"/>
    <w:rsid w:val="00A65792"/>
    <w:rsid w:val="00A65875"/>
    <w:rsid w:val="00A65AEB"/>
    <w:rsid w:val="00A65E3C"/>
    <w:rsid w:val="00A661D8"/>
    <w:rsid w:val="00A66264"/>
    <w:rsid w:val="00A6652C"/>
    <w:rsid w:val="00A6655E"/>
    <w:rsid w:val="00A669E9"/>
    <w:rsid w:val="00A66A62"/>
    <w:rsid w:val="00A66CA2"/>
    <w:rsid w:val="00A66D66"/>
    <w:rsid w:val="00A66E4F"/>
    <w:rsid w:val="00A67053"/>
    <w:rsid w:val="00A671B6"/>
    <w:rsid w:val="00A671D7"/>
    <w:rsid w:val="00A67256"/>
    <w:rsid w:val="00A6733D"/>
    <w:rsid w:val="00A676A2"/>
    <w:rsid w:val="00A67982"/>
    <w:rsid w:val="00A679E5"/>
    <w:rsid w:val="00A67E49"/>
    <w:rsid w:val="00A67F1B"/>
    <w:rsid w:val="00A702AD"/>
    <w:rsid w:val="00A702F6"/>
    <w:rsid w:val="00A70784"/>
    <w:rsid w:val="00A70D37"/>
    <w:rsid w:val="00A70D38"/>
    <w:rsid w:val="00A70DB7"/>
    <w:rsid w:val="00A70E2B"/>
    <w:rsid w:val="00A71007"/>
    <w:rsid w:val="00A71129"/>
    <w:rsid w:val="00A7148A"/>
    <w:rsid w:val="00A716AB"/>
    <w:rsid w:val="00A71F5C"/>
    <w:rsid w:val="00A71F60"/>
    <w:rsid w:val="00A721D2"/>
    <w:rsid w:val="00A7254C"/>
    <w:rsid w:val="00A726AE"/>
    <w:rsid w:val="00A729C3"/>
    <w:rsid w:val="00A72B0F"/>
    <w:rsid w:val="00A72CB4"/>
    <w:rsid w:val="00A72D22"/>
    <w:rsid w:val="00A72DA4"/>
    <w:rsid w:val="00A72E8D"/>
    <w:rsid w:val="00A72F90"/>
    <w:rsid w:val="00A7308D"/>
    <w:rsid w:val="00A7314F"/>
    <w:rsid w:val="00A73212"/>
    <w:rsid w:val="00A73281"/>
    <w:rsid w:val="00A73427"/>
    <w:rsid w:val="00A734C9"/>
    <w:rsid w:val="00A7398B"/>
    <w:rsid w:val="00A73B76"/>
    <w:rsid w:val="00A73D12"/>
    <w:rsid w:val="00A743BC"/>
    <w:rsid w:val="00A7482A"/>
    <w:rsid w:val="00A74B34"/>
    <w:rsid w:val="00A7527D"/>
    <w:rsid w:val="00A754EF"/>
    <w:rsid w:val="00A75591"/>
    <w:rsid w:val="00A756E4"/>
    <w:rsid w:val="00A7578C"/>
    <w:rsid w:val="00A758FF"/>
    <w:rsid w:val="00A75B27"/>
    <w:rsid w:val="00A75FC0"/>
    <w:rsid w:val="00A7606D"/>
    <w:rsid w:val="00A76074"/>
    <w:rsid w:val="00A76214"/>
    <w:rsid w:val="00A76419"/>
    <w:rsid w:val="00A765D7"/>
    <w:rsid w:val="00A7662D"/>
    <w:rsid w:val="00A76722"/>
    <w:rsid w:val="00A76D4E"/>
    <w:rsid w:val="00A76F6E"/>
    <w:rsid w:val="00A7730C"/>
    <w:rsid w:val="00A77527"/>
    <w:rsid w:val="00A77808"/>
    <w:rsid w:val="00A77CBD"/>
    <w:rsid w:val="00A77E9D"/>
    <w:rsid w:val="00A8009D"/>
    <w:rsid w:val="00A801F8"/>
    <w:rsid w:val="00A8020F"/>
    <w:rsid w:val="00A802A1"/>
    <w:rsid w:val="00A803D9"/>
    <w:rsid w:val="00A8075D"/>
    <w:rsid w:val="00A80847"/>
    <w:rsid w:val="00A809D4"/>
    <w:rsid w:val="00A80E69"/>
    <w:rsid w:val="00A80FE5"/>
    <w:rsid w:val="00A81043"/>
    <w:rsid w:val="00A810A5"/>
    <w:rsid w:val="00A810FB"/>
    <w:rsid w:val="00A812F3"/>
    <w:rsid w:val="00A81BF2"/>
    <w:rsid w:val="00A81ED9"/>
    <w:rsid w:val="00A82267"/>
    <w:rsid w:val="00A82A02"/>
    <w:rsid w:val="00A82ADB"/>
    <w:rsid w:val="00A82B11"/>
    <w:rsid w:val="00A82D7A"/>
    <w:rsid w:val="00A83B01"/>
    <w:rsid w:val="00A83EC8"/>
    <w:rsid w:val="00A84021"/>
    <w:rsid w:val="00A8402B"/>
    <w:rsid w:val="00A841F6"/>
    <w:rsid w:val="00A842C4"/>
    <w:rsid w:val="00A845C0"/>
    <w:rsid w:val="00A848E9"/>
    <w:rsid w:val="00A84AFE"/>
    <w:rsid w:val="00A84BD1"/>
    <w:rsid w:val="00A84D35"/>
    <w:rsid w:val="00A84E9B"/>
    <w:rsid w:val="00A84F67"/>
    <w:rsid w:val="00A84FEF"/>
    <w:rsid w:val="00A85266"/>
    <w:rsid w:val="00A85490"/>
    <w:rsid w:val="00A8585F"/>
    <w:rsid w:val="00A86373"/>
    <w:rsid w:val="00A8674C"/>
    <w:rsid w:val="00A8684F"/>
    <w:rsid w:val="00A86994"/>
    <w:rsid w:val="00A86AA0"/>
    <w:rsid w:val="00A86E4B"/>
    <w:rsid w:val="00A87186"/>
    <w:rsid w:val="00A87262"/>
    <w:rsid w:val="00A87320"/>
    <w:rsid w:val="00A87348"/>
    <w:rsid w:val="00A87712"/>
    <w:rsid w:val="00A877FD"/>
    <w:rsid w:val="00A90009"/>
    <w:rsid w:val="00A9011C"/>
    <w:rsid w:val="00A901F0"/>
    <w:rsid w:val="00A9044D"/>
    <w:rsid w:val="00A90662"/>
    <w:rsid w:val="00A90C15"/>
    <w:rsid w:val="00A90C22"/>
    <w:rsid w:val="00A90D29"/>
    <w:rsid w:val="00A9116E"/>
    <w:rsid w:val="00A91171"/>
    <w:rsid w:val="00A91235"/>
    <w:rsid w:val="00A91377"/>
    <w:rsid w:val="00A916F0"/>
    <w:rsid w:val="00A91EF7"/>
    <w:rsid w:val="00A9272C"/>
    <w:rsid w:val="00A927B3"/>
    <w:rsid w:val="00A92805"/>
    <w:rsid w:val="00A92C83"/>
    <w:rsid w:val="00A9368A"/>
    <w:rsid w:val="00A937FD"/>
    <w:rsid w:val="00A939A7"/>
    <w:rsid w:val="00A939E5"/>
    <w:rsid w:val="00A93A68"/>
    <w:rsid w:val="00A93BFA"/>
    <w:rsid w:val="00A93C4F"/>
    <w:rsid w:val="00A93EB0"/>
    <w:rsid w:val="00A943D0"/>
    <w:rsid w:val="00A94623"/>
    <w:rsid w:val="00A94ABD"/>
    <w:rsid w:val="00A94C55"/>
    <w:rsid w:val="00A95175"/>
    <w:rsid w:val="00A9518A"/>
    <w:rsid w:val="00A95631"/>
    <w:rsid w:val="00A95693"/>
    <w:rsid w:val="00A95715"/>
    <w:rsid w:val="00A95848"/>
    <w:rsid w:val="00A958B8"/>
    <w:rsid w:val="00A95C98"/>
    <w:rsid w:val="00A95E54"/>
    <w:rsid w:val="00A95EDD"/>
    <w:rsid w:val="00A95F99"/>
    <w:rsid w:val="00A9642F"/>
    <w:rsid w:val="00A965AF"/>
    <w:rsid w:val="00A96639"/>
    <w:rsid w:val="00A967EE"/>
    <w:rsid w:val="00A96CA1"/>
    <w:rsid w:val="00A96F80"/>
    <w:rsid w:val="00A97090"/>
    <w:rsid w:val="00A975FA"/>
    <w:rsid w:val="00A97730"/>
    <w:rsid w:val="00A977F8"/>
    <w:rsid w:val="00A97AF6"/>
    <w:rsid w:val="00A97B7C"/>
    <w:rsid w:val="00A97BBE"/>
    <w:rsid w:val="00A97D5E"/>
    <w:rsid w:val="00AA03B2"/>
    <w:rsid w:val="00AA0493"/>
    <w:rsid w:val="00AA099F"/>
    <w:rsid w:val="00AA0DE9"/>
    <w:rsid w:val="00AA0F7A"/>
    <w:rsid w:val="00AA122D"/>
    <w:rsid w:val="00AA124C"/>
    <w:rsid w:val="00AA1610"/>
    <w:rsid w:val="00AA1775"/>
    <w:rsid w:val="00AA2377"/>
    <w:rsid w:val="00AA240E"/>
    <w:rsid w:val="00AA24F8"/>
    <w:rsid w:val="00AA260D"/>
    <w:rsid w:val="00AA2978"/>
    <w:rsid w:val="00AA29CD"/>
    <w:rsid w:val="00AA2AAA"/>
    <w:rsid w:val="00AA2B64"/>
    <w:rsid w:val="00AA2D41"/>
    <w:rsid w:val="00AA2EC7"/>
    <w:rsid w:val="00AA3020"/>
    <w:rsid w:val="00AA3078"/>
    <w:rsid w:val="00AA320F"/>
    <w:rsid w:val="00AA3349"/>
    <w:rsid w:val="00AA3523"/>
    <w:rsid w:val="00AA364E"/>
    <w:rsid w:val="00AA3810"/>
    <w:rsid w:val="00AA3A8F"/>
    <w:rsid w:val="00AA3C36"/>
    <w:rsid w:val="00AA3DAF"/>
    <w:rsid w:val="00AA3FFB"/>
    <w:rsid w:val="00AA420B"/>
    <w:rsid w:val="00AA440F"/>
    <w:rsid w:val="00AA446D"/>
    <w:rsid w:val="00AA454D"/>
    <w:rsid w:val="00AA4742"/>
    <w:rsid w:val="00AA47EC"/>
    <w:rsid w:val="00AA4B83"/>
    <w:rsid w:val="00AA4C38"/>
    <w:rsid w:val="00AA51F5"/>
    <w:rsid w:val="00AA5562"/>
    <w:rsid w:val="00AA57A8"/>
    <w:rsid w:val="00AA5829"/>
    <w:rsid w:val="00AA58C5"/>
    <w:rsid w:val="00AA5B34"/>
    <w:rsid w:val="00AA5E21"/>
    <w:rsid w:val="00AA5E5D"/>
    <w:rsid w:val="00AA5FBA"/>
    <w:rsid w:val="00AA60B4"/>
    <w:rsid w:val="00AA6526"/>
    <w:rsid w:val="00AA68A4"/>
    <w:rsid w:val="00AA68B9"/>
    <w:rsid w:val="00AA6996"/>
    <w:rsid w:val="00AA6AE5"/>
    <w:rsid w:val="00AA6F66"/>
    <w:rsid w:val="00AA726D"/>
    <w:rsid w:val="00AA74C7"/>
    <w:rsid w:val="00AA753C"/>
    <w:rsid w:val="00AA79C7"/>
    <w:rsid w:val="00AA7AF9"/>
    <w:rsid w:val="00AA7DD5"/>
    <w:rsid w:val="00AB0248"/>
    <w:rsid w:val="00AB070E"/>
    <w:rsid w:val="00AB0A51"/>
    <w:rsid w:val="00AB0B38"/>
    <w:rsid w:val="00AB0C59"/>
    <w:rsid w:val="00AB0E3B"/>
    <w:rsid w:val="00AB120C"/>
    <w:rsid w:val="00AB17A6"/>
    <w:rsid w:val="00AB27A7"/>
    <w:rsid w:val="00AB2B64"/>
    <w:rsid w:val="00AB2BD4"/>
    <w:rsid w:val="00AB2E53"/>
    <w:rsid w:val="00AB35D4"/>
    <w:rsid w:val="00AB3AF6"/>
    <w:rsid w:val="00AB3D61"/>
    <w:rsid w:val="00AB430E"/>
    <w:rsid w:val="00AB432B"/>
    <w:rsid w:val="00AB45A4"/>
    <w:rsid w:val="00AB488A"/>
    <w:rsid w:val="00AB4E63"/>
    <w:rsid w:val="00AB4F37"/>
    <w:rsid w:val="00AB5268"/>
    <w:rsid w:val="00AB56B8"/>
    <w:rsid w:val="00AB5857"/>
    <w:rsid w:val="00AB5D50"/>
    <w:rsid w:val="00AB670F"/>
    <w:rsid w:val="00AB6A32"/>
    <w:rsid w:val="00AB6AFA"/>
    <w:rsid w:val="00AB6D2C"/>
    <w:rsid w:val="00AB6F2D"/>
    <w:rsid w:val="00AB7108"/>
    <w:rsid w:val="00AB72AA"/>
    <w:rsid w:val="00AB75A1"/>
    <w:rsid w:val="00AB77C1"/>
    <w:rsid w:val="00AB7BE4"/>
    <w:rsid w:val="00AB7E9C"/>
    <w:rsid w:val="00AC005F"/>
    <w:rsid w:val="00AC06D3"/>
    <w:rsid w:val="00AC10D7"/>
    <w:rsid w:val="00AC12A2"/>
    <w:rsid w:val="00AC151F"/>
    <w:rsid w:val="00AC183D"/>
    <w:rsid w:val="00AC19E6"/>
    <w:rsid w:val="00AC1B3F"/>
    <w:rsid w:val="00AC1B6A"/>
    <w:rsid w:val="00AC1C36"/>
    <w:rsid w:val="00AC1C3F"/>
    <w:rsid w:val="00AC1C42"/>
    <w:rsid w:val="00AC1D6E"/>
    <w:rsid w:val="00AC1E3D"/>
    <w:rsid w:val="00AC2380"/>
    <w:rsid w:val="00AC23BA"/>
    <w:rsid w:val="00AC24EA"/>
    <w:rsid w:val="00AC270E"/>
    <w:rsid w:val="00AC2C82"/>
    <w:rsid w:val="00AC2D58"/>
    <w:rsid w:val="00AC2D7A"/>
    <w:rsid w:val="00AC316A"/>
    <w:rsid w:val="00AC3994"/>
    <w:rsid w:val="00AC39FB"/>
    <w:rsid w:val="00AC3AD0"/>
    <w:rsid w:val="00AC3BC3"/>
    <w:rsid w:val="00AC3C18"/>
    <w:rsid w:val="00AC3C1A"/>
    <w:rsid w:val="00AC3C55"/>
    <w:rsid w:val="00AC3E9B"/>
    <w:rsid w:val="00AC4117"/>
    <w:rsid w:val="00AC4255"/>
    <w:rsid w:val="00AC4404"/>
    <w:rsid w:val="00AC452C"/>
    <w:rsid w:val="00AC4752"/>
    <w:rsid w:val="00AC4819"/>
    <w:rsid w:val="00AC4A95"/>
    <w:rsid w:val="00AC4B69"/>
    <w:rsid w:val="00AC4B71"/>
    <w:rsid w:val="00AC4BDD"/>
    <w:rsid w:val="00AC4BF4"/>
    <w:rsid w:val="00AC4C7C"/>
    <w:rsid w:val="00AC4EEA"/>
    <w:rsid w:val="00AC53A2"/>
    <w:rsid w:val="00AC53D6"/>
    <w:rsid w:val="00AC58DA"/>
    <w:rsid w:val="00AC5A3F"/>
    <w:rsid w:val="00AC5CBE"/>
    <w:rsid w:val="00AC5D2C"/>
    <w:rsid w:val="00AC5FB8"/>
    <w:rsid w:val="00AC60E7"/>
    <w:rsid w:val="00AC6746"/>
    <w:rsid w:val="00AC67E4"/>
    <w:rsid w:val="00AC6963"/>
    <w:rsid w:val="00AC6AFF"/>
    <w:rsid w:val="00AC7139"/>
    <w:rsid w:val="00AC7244"/>
    <w:rsid w:val="00AC78F6"/>
    <w:rsid w:val="00AC7A59"/>
    <w:rsid w:val="00AD0475"/>
    <w:rsid w:val="00AD04CA"/>
    <w:rsid w:val="00AD04F5"/>
    <w:rsid w:val="00AD089B"/>
    <w:rsid w:val="00AD0A59"/>
    <w:rsid w:val="00AD0B1C"/>
    <w:rsid w:val="00AD0C11"/>
    <w:rsid w:val="00AD0FFA"/>
    <w:rsid w:val="00AD1021"/>
    <w:rsid w:val="00AD116C"/>
    <w:rsid w:val="00AD13FD"/>
    <w:rsid w:val="00AD189D"/>
    <w:rsid w:val="00AD1C36"/>
    <w:rsid w:val="00AD2335"/>
    <w:rsid w:val="00AD2340"/>
    <w:rsid w:val="00AD24D4"/>
    <w:rsid w:val="00AD2615"/>
    <w:rsid w:val="00AD270A"/>
    <w:rsid w:val="00AD2CD1"/>
    <w:rsid w:val="00AD348C"/>
    <w:rsid w:val="00AD3565"/>
    <w:rsid w:val="00AD3621"/>
    <w:rsid w:val="00AD37E1"/>
    <w:rsid w:val="00AD3B1A"/>
    <w:rsid w:val="00AD3E1A"/>
    <w:rsid w:val="00AD4037"/>
    <w:rsid w:val="00AD4320"/>
    <w:rsid w:val="00AD45F7"/>
    <w:rsid w:val="00AD46CF"/>
    <w:rsid w:val="00AD474B"/>
    <w:rsid w:val="00AD4BEA"/>
    <w:rsid w:val="00AD4CD5"/>
    <w:rsid w:val="00AD4D27"/>
    <w:rsid w:val="00AD4D6F"/>
    <w:rsid w:val="00AD506F"/>
    <w:rsid w:val="00AD50A8"/>
    <w:rsid w:val="00AD529C"/>
    <w:rsid w:val="00AD585C"/>
    <w:rsid w:val="00AD5B11"/>
    <w:rsid w:val="00AD5C08"/>
    <w:rsid w:val="00AD5CA5"/>
    <w:rsid w:val="00AD5D9F"/>
    <w:rsid w:val="00AD5FF5"/>
    <w:rsid w:val="00AD6005"/>
    <w:rsid w:val="00AD61CD"/>
    <w:rsid w:val="00AD66C5"/>
    <w:rsid w:val="00AD6B0B"/>
    <w:rsid w:val="00AD6D2F"/>
    <w:rsid w:val="00AD6D6B"/>
    <w:rsid w:val="00AD6E0D"/>
    <w:rsid w:val="00AD70A0"/>
    <w:rsid w:val="00AD75A8"/>
    <w:rsid w:val="00AD7712"/>
    <w:rsid w:val="00AD7A0F"/>
    <w:rsid w:val="00AD7AFA"/>
    <w:rsid w:val="00AD7ED4"/>
    <w:rsid w:val="00AE019C"/>
    <w:rsid w:val="00AE023F"/>
    <w:rsid w:val="00AE05F0"/>
    <w:rsid w:val="00AE07FE"/>
    <w:rsid w:val="00AE0B1A"/>
    <w:rsid w:val="00AE0C48"/>
    <w:rsid w:val="00AE0C8E"/>
    <w:rsid w:val="00AE0EC8"/>
    <w:rsid w:val="00AE0F99"/>
    <w:rsid w:val="00AE0FF3"/>
    <w:rsid w:val="00AE11FC"/>
    <w:rsid w:val="00AE155E"/>
    <w:rsid w:val="00AE1BCB"/>
    <w:rsid w:val="00AE1D89"/>
    <w:rsid w:val="00AE1F35"/>
    <w:rsid w:val="00AE1FF4"/>
    <w:rsid w:val="00AE21D0"/>
    <w:rsid w:val="00AE2314"/>
    <w:rsid w:val="00AE254B"/>
    <w:rsid w:val="00AE29AD"/>
    <w:rsid w:val="00AE2AC9"/>
    <w:rsid w:val="00AE2CD4"/>
    <w:rsid w:val="00AE31C2"/>
    <w:rsid w:val="00AE3352"/>
    <w:rsid w:val="00AE377B"/>
    <w:rsid w:val="00AE37F8"/>
    <w:rsid w:val="00AE3862"/>
    <w:rsid w:val="00AE3877"/>
    <w:rsid w:val="00AE387B"/>
    <w:rsid w:val="00AE4674"/>
    <w:rsid w:val="00AE4939"/>
    <w:rsid w:val="00AE4A88"/>
    <w:rsid w:val="00AE4BAA"/>
    <w:rsid w:val="00AE4C35"/>
    <w:rsid w:val="00AE4D92"/>
    <w:rsid w:val="00AE516E"/>
    <w:rsid w:val="00AE54A3"/>
    <w:rsid w:val="00AE5637"/>
    <w:rsid w:val="00AE5AB6"/>
    <w:rsid w:val="00AE5C18"/>
    <w:rsid w:val="00AE5F53"/>
    <w:rsid w:val="00AE6543"/>
    <w:rsid w:val="00AE6659"/>
    <w:rsid w:val="00AE6EAE"/>
    <w:rsid w:val="00AE7176"/>
    <w:rsid w:val="00AE7411"/>
    <w:rsid w:val="00AE74A8"/>
    <w:rsid w:val="00AE7578"/>
    <w:rsid w:val="00AE78CE"/>
    <w:rsid w:val="00AE793C"/>
    <w:rsid w:val="00AE7BF9"/>
    <w:rsid w:val="00AE7C7D"/>
    <w:rsid w:val="00AE7D27"/>
    <w:rsid w:val="00AE7D66"/>
    <w:rsid w:val="00AE7ED2"/>
    <w:rsid w:val="00AE7F10"/>
    <w:rsid w:val="00AF0006"/>
    <w:rsid w:val="00AF0975"/>
    <w:rsid w:val="00AF0D7A"/>
    <w:rsid w:val="00AF109D"/>
    <w:rsid w:val="00AF14B8"/>
    <w:rsid w:val="00AF16A9"/>
    <w:rsid w:val="00AF16CC"/>
    <w:rsid w:val="00AF1708"/>
    <w:rsid w:val="00AF1B0E"/>
    <w:rsid w:val="00AF1D13"/>
    <w:rsid w:val="00AF2387"/>
    <w:rsid w:val="00AF275A"/>
    <w:rsid w:val="00AF2964"/>
    <w:rsid w:val="00AF29A4"/>
    <w:rsid w:val="00AF2D90"/>
    <w:rsid w:val="00AF2F6E"/>
    <w:rsid w:val="00AF30B6"/>
    <w:rsid w:val="00AF30C5"/>
    <w:rsid w:val="00AF3479"/>
    <w:rsid w:val="00AF34C0"/>
    <w:rsid w:val="00AF38EA"/>
    <w:rsid w:val="00AF3972"/>
    <w:rsid w:val="00AF3C18"/>
    <w:rsid w:val="00AF3F7C"/>
    <w:rsid w:val="00AF3F94"/>
    <w:rsid w:val="00AF3F95"/>
    <w:rsid w:val="00AF3FE5"/>
    <w:rsid w:val="00AF417D"/>
    <w:rsid w:val="00AF41DE"/>
    <w:rsid w:val="00AF4253"/>
    <w:rsid w:val="00AF4548"/>
    <w:rsid w:val="00AF455B"/>
    <w:rsid w:val="00AF460B"/>
    <w:rsid w:val="00AF4835"/>
    <w:rsid w:val="00AF496D"/>
    <w:rsid w:val="00AF4E28"/>
    <w:rsid w:val="00AF54A1"/>
    <w:rsid w:val="00AF54CE"/>
    <w:rsid w:val="00AF5623"/>
    <w:rsid w:val="00AF5741"/>
    <w:rsid w:val="00AF5A17"/>
    <w:rsid w:val="00AF5A28"/>
    <w:rsid w:val="00AF5A38"/>
    <w:rsid w:val="00AF5C62"/>
    <w:rsid w:val="00AF5CDC"/>
    <w:rsid w:val="00AF63E0"/>
    <w:rsid w:val="00AF64E4"/>
    <w:rsid w:val="00AF69F8"/>
    <w:rsid w:val="00AF6B35"/>
    <w:rsid w:val="00AF6F2F"/>
    <w:rsid w:val="00AF720B"/>
    <w:rsid w:val="00AF73F4"/>
    <w:rsid w:val="00AF7962"/>
    <w:rsid w:val="00AF7B41"/>
    <w:rsid w:val="00AF7CBE"/>
    <w:rsid w:val="00AF7EBB"/>
    <w:rsid w:val="00B00077"/>
    <w:rsid w:val="00B002B7"/>
    <w:rsid w:val="00B005EC"/>
    <w:rsid w:val="00B0070A"/>
    <w:rsid w:val="00B007D0"/>
    <w:rsid w:val="00B008DE"/>
    <w:rsid w:val="00B00995"/>
    <w:rsid w:val="00B009C6"/>
    <w:rsid w:val="00B00A00"/>
    <w:rsid w:val="00B00E6F"/>
    <w:rsid w:val="00B01209"/>
    <w:rsid w:val="00B017E3"/>
    <w:rsid w:val="00B01904"/>
    <w:rsid w:val="00B01B41"/>
    <w:rsid w:val="00B01B9E"/>
    <w:rsid w:val="00B01D7C"/>
    <w:rsid w:val="00B02038"/>
    <w:rsid w:val="00B025AB"/>
    <w:rsid w:val="00B02D46"/>
    <w:rsid w:val="00B033FD"/>
    <w:rsid w:val="00B03F1F"/>
    <w:rsid w:val="00B046D2"/>
    <w:rsid w:val="00B04727"/>
    <w:rsid w:val="00B04771"/>
    <w:rsid w:val="00B0477B"/>
    <w:rsid w:val="00B04851"/>
    <w:rsid w:val="00B048A1"/>
    <w:rsid w:val="00B04CBA"/>
    <w:rsid w:val="00B051D8"/>
    <w:rsid w:val="00B05294"/>
    <w:rsid w:val="00B05629"/>
    <w:rsid w:val="00B05716"/>
    <w:rsid w:val="00B05827"/>
    <w:rsid w:val="00B05BDF"/>
    <w:rsid w:val="00B05C69"/>
    <w:rsid w:val="00B05C96"/>
    <w:rsid w:val="00B05DA5"/>
    <w:rsid w:val="00B05EA5"/>
    <w:rsid w:val="00B0619F"/>
    <w:rsid w:val="00B0621F"/>
    <w:rsid w:val="00B0628C"/>
    <w:rsid w:val="00B06374"/>
    <w:rsid w:val="00B06A11"/>
    <w:rsid w:val="00B06A7F"/>
    <w:rsid w:val="00B06FCB"/>
    <w:rsid w:val="00B06FDE"/>
    <w:rsid w:val="00B0719E"/>
    <w:rsid w:val="00B07230"/>
    <w:rsid w:val="00B07236"/>
    <w:rsid w:val="00B072DE"/>
    <w:rsid w:val="00B07902"/>
    <w:rsid w:val="00B07B80"/>
    <w:rsid w:val="00B07FB4"/>
    <w:rsid w:val="00B10CD7"/>
    <w:rsid w:val="00B11028"/>
    <w:rsid w:val="00B112ED"/>
    <w:rsid w:val="00B113DC"/>
    <w:rsid w:val="00B11449"/>
    <w:rsid w:val="00B11827"/>
    <w:rsid w:val="00B11D3C"/>
    <w:rsid w:val="00B11E71"/>
    <w:rsid w:val="00B126D8"/>
    <w:rsid w:val="00B12751"/>
    <w:rsid w:val="00B12791"/>
    <w:rsid w:val="00B12802"/>
    <w:rsid w:val="00B129DA"/>
    <w:rsid w:val="00B12EAE"/>
    <w:rsid w:val="00B12ECC"/>
    <w:rsid w:val="00B12F78"/>
    <w:rsid w:val="00B13298"/>
    <w:rsid w:val="00B13C32"/>
    <w:rsid w:val="00B14163"/>
    <w:rsid w:val="00B142BC"/>
    <w:rsid w:val="00B144B1"/>
    <w:rsid w:val="00B147D2"/>
    <w:rsid w:val="00B14863"/>
    <w:rsid w:val="00B14E2A"/>
    <w:rsid w:val="00B150FA"/>
    <w:rsid w:val="00B1515C"/>
    <w:rsid w:val="00B151E3"/>
    <w:rsid w:val="00B151F1"/>
    <w:rsid w:val="00B158CD"/>
    <w:rsid w:val="00B15C1E"/>
    <w:rsid w:val="00B15C72"/>
    <w:rsid w:val="00B15EAF"/>
    <w:rsid w:val="00B15EC1"/>
    <w:rsid w:val="00B16099"/>
    <w:rsid w:val="00B16405"/>
    <w:rsid w:val="00B167C4"/>
    <w:rsid w:val="00B16C0B"/>
    <w:rsid w:val="00B17178"/>
    <w:rsid w:val="00B17C7D"/>
    <w:rsid w:val="00B17DC8"/>
    <w:rsid w:val="00B17DCE"/>
    <w:rsid w:val="00B17DE3"/>
    <w:rsid w:val="00B17E7B"/>
    <w:rsid w:val="00B2037B"/>
    <w:rsid w:val="00B2050F"/>
    <w:rsid w:val="00B20673"/>
    <w:rsid w:val="00B20916"/>
    <w:rsid w:val="00B20DDB"/>
    <w:rsid w:val="00B20EFC"/>
    <w:rsid w:val="00B210AC"/>
    <w:rsid w:val="00B2121B"/>
    <w:rsid w:val="00B2150C"/>
    <w:rsid w:val="00B21581"/>
    <w:rsid w:val="00B217C8"/>
    <w:rsid w:val="00B21861"/>
    <w:rsid w:val="00B21AD5"/>
    <w:rsid w:val="00B21D31"/>
    <w:rsid w:val="00B220DF"/>
    <w:rsid w:val="00B22137"/>
    <w:rsid w:val="00B2232A"/>
    <w:rsid w:val="00B229A0"/>
    <w:rsid w:val="00B229CE"/>
    <w:rsid w:val="00B22BB9"/>
    <w:rsid w:val="00B22C20"/>
    <w:rsid w:val="00B22D57"/>
    <w:rsid w:val="00B22DFD"/>
    <w:rsid w:val="00B2334D"/>
    <w:rsid w:val="00B234AE"/>
    <w:rsid w:val="00B234C3"/>
    <w:rsid w:val="00B236D6"/>
    <w:rsid w:val="00B23712"/>
    <w:rsid w:val="00B23876"/>
    <w:rsid w:val="00B239AD"/>
    <w:rsid w:val="00B23B4A"/>
    <w:rsid w:val="00B23CEF"/>
    <w:rsid w:val="00B23E77"/>
    <w:rsid w:val="00B242C0"/>
    <w:rsid w:val="00B245A6"/>
    <w:rsid w:val="00B24694"/>
    <w:rsid w:val="00B246A3"/>
    <w:rsid w:val="00B24737"/>
    <w:rsid w:val="00B24943"/>
    <w:rsid w:val="00B24961"/>
    <w:rsid w:val="00B24AE2"/>
    <w:rsid w:val="00B24C04"/>
    <w:rsid w:val="00B24C82"/>
    <w:rsid w:val="00B24CA7"/>
    <w:rsid w:val="00B24E8E"/>
    <w:rsid w:val="00B24EDA"/>
    <w:rsid w:val="00B2531F"/>
    <w:rsid w:val="00B25582"/>
    <w:rsid w:val="00B25708"/>
    <w:rsid w:val="00B2596C"/>
    <w:rsid w:val="00B25A44"/>
    <w:rsid w:val="00B25C67"/>
    <w:rsid w:val="00B25C75"/>
    <w:rsid w:val="00B25CA0"/>
    <w:rsid w:val="00B25D8C"/>
    <w:rsid w:val="00B25E43"/>
    <w:rsid w:val="00B25E95"/>
    <w:rsid w:val="00B25FCC"/>
    <w:rsid w:val="00B2611C"/>
    <w:rsid w:val="00B2646C"/>
    <w:rsid w:val="00B264A2"/>
    <w:rsid w:val="00B26653"/>
    <w:rsid w:val="00B26C6A"/>
    <w:rsid w:val="00B26DAF"/>
    <w:rsid w:val="00B26ED8"/>
    <w:rsid w:val="00B27147"/>
    <w:rsid w:val="00B272BD"/>
    <w:rsid w:val="00B2758E"/>
    <w:rsid w:val="00B2781A"/>
    <w:rsid w:val="00B27C5A"/>
    <w:rsid w:val="00B27C90"/>
    <w:rsid w:val="00B27CE2"/>
    <w:rsid w:val="00B27D0F"/>
    <w:rsid w:val="00B27DB6"/>
    <w:rsid w:val="00B300E5"/>
    <w:rsid w:val="00B30307"/>
    <w:rsid w:val="00B3044F"/>
    <w:rsid w:val="00B30453"/>
    <w:rsid w:val="00B304BC"/>
    <w:rsid w:val="00B3095D"/>
    <w:rsid w:val="00B30C4E"/>
    <w:rsid w:val="00B30F93"/>
    <w:rsid w:val="00B30FDA"/>
    <w:rsid w:val="00B314A6"/>
    <w:rsid w:val="00B314BB"/>
    <w:rsid w:val="00B31642"/>
    <w:rsid w:val="00B31740"/>
    <w:rsid w:val="00B3199E"/>
    <w:rsid w:val="00B31EA5"/>
    <w:rsid w:val="00B32451"/>
    <w:rsid w:val="00B32641"/>
    <w:rsid w:val="00B3265C"/>
    <w:rsid w:val="00B32A4A"/>
    <w:rsid w:val="00B32AE9"/>
    <w:rsid w:val="00B32B81"/>
    <w:rsid w:val="00B32BD7"/>
    <w:rsid w:val="00B32CA7"/>
    <w:rsid w:val="00B33307"/>
    <w:rsid w:val="00B3334D"/>
    <w:rsid w:val="00B33478"/>
    <w:rsid w:val="00B334B0"/>
    <w:rsid w:val="00B33656"/>
    <w:rsid w:val="00B338EF"/>
    <w:rsid w:val="00B33BE5"/>
    <w:rsid w:val="00B33D70"/>
    <w:rsid w:val="00B33D87"/>
    <w:rsid w:val="00B33F06"/>
    <w:rsid w:val="00B33FC1"/>
    <w:rsid w:val="00B3451C"/>
    <w:rsid w:val="00B346C2"/>
    <w:rsid w:val="00B346E1"/>
    <w:rsid w:val="00B34913"/>
    <w:rsid w:val="00B34F31"/>
    <w:rsid w:val="00B353B5"/>
    <w:rsid w:val="00B3565C"/>
    <w:rsid w:val="00B3566F"/>
    <w:rsid w:val="00B356C0"/>
    <w:rsid w:val="00B357E6"/>
    <w:rsid w:val="00B35B35"/>
    <w:rsid w:val="00B35C11"/>
    <w:rsid w:val="00B361DC"/>
    <w:rsid w:val="00B3624E"/>
    <w:rsid w:val="00B3636C"/>
    <w:rsid w:val="00B3660F"/>
    <w:rsid w:val="00B36676"/>
    <w:rsid w:val="00B36948"/>
    <w:rsid w:val="00B36996"/>
    <w:rsid w:val="00B36E86"/>
    <w:rsid w:val="00B36EC2"/>
    <w:rsid w:val="00B36F4C"/>
    <w:rsid w:val="00B36FAE"/>
    <w:rsid w:val="00B372AA"/>
    <w:rsid w:val="00B37515"/>
    <w:rsid w:val="00B377A1"/>
    <w:rsid w:val="00B377A2"/>
    <w:rsid w:val="00B37D65"/>
    <w:rsid w:val="00B37EB1"/>
    <w:rsid w:val="00B400BC"/>
    <w:rsid w:val="00B40347"/>
    <w:rsid w:val="00B4036B"/>
    <w:rsid w:val="00B40936"/>
    <w:rsid w:val="00B40964"/>
    <w:rsid w:val="00B40B6E"/>
    <w:rsid w:val="00B419CB"/>
    <w:rsid w:val="00B41A3E"/>
    <w:rsid w:val="00B41C0F"/>
    <w:rsid w:val="00B41E68"/>
    <w:rsid w:val="00B41ED4"/>
    <w:rsid w:val="00B41EFE"/>
    <w:rsid w:val="00B42069"/>
    <w:rsid w:val="00B42156"/>
    <w:rsid w:val="00B42280"/>
    <w:rsid w:val="00B422B6"/>
    <w:rsid w:val="00B423AD"/>
    <w:rsid w:val="00B424E3"/>
    <w:rsid w:val="00B42512"/>
    <w:rsid w:val="00B4252A"/>
    <w:rsid w:val="00B42576"/>
    <w:rsid w:val="00B425CF"/>
    <w:rsid w:val="00B427CF"/>
    <w:rsid w:val="00B42AF8"/>
    <w:rsid w:val="00B42BEF"/>
    <w:rsid w:val="00B42BFB"/>
    <w:rsid w:val="00B42D01"/>
    <w:rsid w:val="00B42D30"/>
    <w:rsid w:val="00B42DF4"/>
    <w:rsid w:val="00B42F90"/>
    <w:rsid w:val="00B42FEC"/>
    <w:rsid w:val="00B4308A"/>
    <w:rsid w:val="00B43588"/>
    <w:rsid w:val="00B435AD"/>
    <w:rsid w:val="00B43778"/>
    <w:rsid w:val="00B43A1F"/>
    <w:rsid w:val="00B43A2A"/>
    <w:rsid w:val="00B43A54"/>
    <w:rsid w:val="00B43CF9"/>
    <w:rsid w:val="00B43E38"/>
    <w:rsid w:val="00B43EE8"/>
    <w:rsid w:val="00B44292"/>
    <w:rsid w:val="00B4442C"/>
    <w:rsid w:val="00B445C5"/>
    <w:rsid w:val="00B4465F"/>
    <w:rsid w:val="00B446EC"/>
    <w:rsid w:val="00B4484F"/>
    <w:rsid w:val="00B44975"/>
    <w:rsid w:val="00B44BAF"/>
    <w:rsid w:val="00B44D6E"/>
    <w:rsid w:val="00B44FC1"/>
    <w:rsid w:val="00B45870"/>
    <w:rsid w:val="00B45906"/>
    <w:rsid w:val="00B45937"/>
    <w:rsid w:val="00B4596F"/>
    <w:rsid w:val="00B459E2"/>
    <w:rsid w:val="00B45A53"/>
    <w:rsid w:val="00B45BCD"/>
    <w:rsid w:val="00B45CE3"/>
    <w:rsid w:val="00B45D16"/>
    <w:rsid w:val="00B45D28"/>
    <w:rsid w:val="00B45F31"/>
    <w:rsid w:val="00B45FC9"/>
    <w:rsid w:val="00B46AF2"/>
    <w:rsid w:val="00B46CFD"/>
    <w:rsid w:val="00B4718C"/>
    <w:rsid w:val="00B471FD"/>
    <w:rsid w:val="00B47249"/>
    <w:rsid w:val="00B47405"/>
    <w:rsid w:val="00B4762A"/>
    <w:rsid w:val="00B47AAA"/>
    <w:rsid w:val="00B47AD8"/>
    <w:rsid w:val="00B50060"/>
    <w:rsid w:val="00B5021C"/>
    <w:rsid w:val="00B507E5"/>
    <w:rsid w:val="00B5080B"/>
    <w:rsid w:val="00B50938"/>
    <w:rsid w:val="00B50956"/>
    <w:rsid w:val="00B50D1C"/>
    <w:rsid w:val="00B510FF"/>
    <w:rsid w:val="00B5168A"/>
    <w:rsid w:val="00B51707"/>
    <w:rsid w:val="00B517FA"/>
    <w:rsid w:val="00B519EE"/>
    <w:rsid w:val="00B51D6D"/>
    <w:rsid w:val="00B51D9B"/>
    <w:rsid w:val="00B51F55"/>
    <w:rsid w:val="00B52321"/>
    <w:rsid w:val="00B524BA"/>
    <w:rsid w:val="00B528ED"/>
    <w:rsid w:val="00B529BC"/>
    <w:rsid w:val="00B52A70"/>
    <w:rsid w:val="00B52AAB"/>
    <w:rsid w:val="00B52D0C"/>
    <w:rsid w:val="00B5324C"/>
    <w:rsid w:val="00B5324F"/>
    <w:rsid w:val="00B53256"/>
    <w:rsid w:val="00B53320"/>
    <w:rsid w:val="00B53798"/>
    <w:rsid w:val="00B537BA"/>
    <w:rsid w:val="00B53B96"/>
    <w:rsid w:val="00B53E22"/>
    <w:rsid w:val="00B54013"/>
    <w:rsid w:val="00B54064"/>
    <w:rsid w:val="00B542AD"/>
    <w:rsid w:val="00B542BD"/>
    <w:rsid w:val="00B54669"/>
    <w:rsid w:val="00B547BB"/>
    <w:rsid w:val="00B54A62"/>
    <w:rsid w:val="00B54AB8"/>
    <w:rsid w:val="00B54E14"/>
    <w:rsid w:val="00B54FBC"/>
    <w:rsid w:val="00B554AF"/>
    <w:rsid w:val="00B554D7"/>
    <w:rsid w:val="00B55589"/>
    <w:rsid w:val="00B555E3"/>
    <w:rsid w:val="00B556E0"/>
    <w:rsid w:val="00B55A4E"/>
    <w:rsid w:val="00B55C86"/>
    <w:rsid w:val="00B55CCC"/>
    <w:rsid w:val="00B55CCF"/>
    <w:rsid w:val="00B56105"/>
    <w:rsid w:val="00B56196"/>
    <w:rsid w:val="00B565D9"/>
    <w:rsid w:val="00B56858"/>
    <w:rsid w:val="00B56A0D"/>
    <w:rsid w:val="00B56B89"/>
    <w:rsid w:val="00B56BC8"/>
    <w:rsid w:val="00B56F45"/>
    <w:rsid w:val="00B56FB6"/>
    <w:rsid w:val="00B57150"/>
    <w:rsid w:val="00B571F2"/>
    <w:rsid w:val="00B5724E"/>
    <w:rsid w:val="00B57367"/>
    <w:rsid w:val="00B573D4"/>
    <w:rsid w:val="00B574AB"/>
    <w:rsid w:val="00B57583"/>
    <w:rsid w:val="00B57912"/>
    <w:rsid w:val="00B57BA1"/>
    <w:rsid w:val="00B57C04"/>
    <w:rsid w:val="00B57CC7"/>
    <w:rsid w:val="00B57D5F"/>
    <w:rsid w:val="00B57F32"/>
    <w:rsid w:val="00B6012F"/>
    <w:rsid w:val="00B607D3"/>
    <w:rsid w:val="00B60C3A"/>
    <w:rsid w:val="00B60FE2"/>
    <w:rsid w:val="00B61103"/>
    <w:rsid w:val="00B6112D"/>
    <w:rsid w:val="00B61278"/>
    <w:rsid w:val="00B6131E"/>
    <w:rsid w:val="00B616AE"/>
    <w:rsid w:val="00B6188F"/>
    <w:rsid w:val="00B619FA"/>
    <w:rsid w:val="00B61A23"/>
    <w:rsid w:val="00B61B99"/>
    <w:rsid w:val="00B61D2B"/>
    <w:rsid w:val="00B61F15"/>
    <w:rsid w:val="00B6232A"/>
    <w:rsid w:val="00B62492"/>
    <w:rsid w:val="00B6249B"/>
    <w:rsid w:val="00B625C9"/>
    <w:rsid w:val="00B62620"/>
    <w:rsid w:val="00B626DF"/>
    <w:rsid w:val="00B62856"/>
    <w:rsid w:val="00B629A9"/>
    <w:rsid w:val="00B62DFA"/>
    <w:rsid w:val="00B6344A"/>
    <w:rsid w:val="00B636FC"/>
    <w:rsid w:val="00B639D7"/>
    <w:rsid w:val="00B63BE4"/>
    <w:rsid w:val="00B63CE1"/>
    <w:rsid w:val="00B63D51"/>
    <w:rsid w:val="00B640B7"/>
    <w:rsid w:val="00B64108"/>
    <w:rsid w:val="00B645C6"/>
    <w:rsid w:val="00B646A1"/>
    <w:rsid w:val="00B649FF"/>
    <w:rsid w:val="00B651E9"/>
    <w:rsid w:val="00B652AF"/>
    <w:rsid w:val="00B652D4"/>
    <w:rsid w:val="00B653CC"/>
    <w:rsid w:val="00B65454"/>
    <w:rsid w:val="00B6553C"/>
    <w:rsid w:val="00B655C6"/>
    <w:rsid w:val="00B65624"/>
    <w:rsid w:val="00B65825"/>
    <w:rsid w:val="00B65A91"/>
    <w:rsid w:val="00B65AD8"/>
    <w:rsid w:val="00B65B5C"/>
    <w:rsid w:val="00B65CC9"/>
    <w:rsid w:val="00B65F8E"/>
    <w:rsid w:val="00B65FD6"/>
    <w:rsid w:val="00B66109"/>
    <w:rsid w:val="00B667EC"/>
    <w:rsid w:val="00B669D1"/>
    <w:rsid w:val="00B66C01"/>
    <w:rsid w:val="00B67661"/>
    <w:rsid w:val="00B679C8"/>
    <w:rsid w:val="00B67A57"/>
    <w:rsid w:val="00B67C11"/>
    <w:rsid w:val="00B67FEF"/>
    <w:rsid w:val="00B70128"/>
    <w:rsid w:val="00B70DDB"/>
    <w:rsid w:val="00B710A1"/>
    <w:rsid w:val="00B7125E"/>
    <w:rsid w:val="00B716D0"/>
    <w:rsid w:val="00B71A3D"/>
    <w:rsid w:val="00B71B60"/>
    <w:rsid w:val="00B71F08"/>
    <w:rsid w:val="00B71F32"/>
    <w:rsid w:val="00B721BA"/>
    <w:rsid w:val="00B7231B"/>
    <w:rsid w:val="00B725EE"/>
    <w:rsid w:val="00B728F9"/>
    <w:rsid w:val="00B72A93"/>
    <w:rsid w:val="00B72B2C"/>
    <w:rsid w:val="00B72B97"/>
    <w:rsid w:val="00B72BC0"/>
    <w:rsid w:val="00B72EFE"/>
    <w:rsid w:val="00B72F27"/>
    <w:rsid w:val="00B734F5"/>
    <w:rsid w:val="00B73746"/>
    <w:rsid w:val="00B73A07"/>
    <w:rsid w:val="00B73ABD"/>
    <w:rsid w:val="00B73B5A"/>
    <w:rsid w:val="00B73C08"/>
    <w:rsid w:val="00B73F23"/>
    <w:rsid w:val="00B743A6"/>
    <w:rsid w:val="00B747A2"/>
    <w:rsid w:val="00B747AA"/>
    <w:rsid w:val="00B7487A"/>
    <w:rsid w:val="00B748BA"/>
    <w:rsid w:val="00B74932"/>
    <w:rsid w:val="00B75108"/>
    <w:rsid w:val="00B7517C"/>
    <w:rsid w:val="00B75317"/>
    <w:rsid w:val="00B75533"/>
    <w:rsid w:val="00B7565C"/>
    <w:rsid w:val="00B75B73"/>
    <w:rsid w:val="00B75C81"/>
    <w:rsid w:val="00B75EBE"/>
    <w:rsid w:val="00B76485"/>
    <w:rsid w:val="00B766D8"/>
    <w:rsid w:val="00B76836"/>
    <w:rsid w:val="00B76A87"/>
    <w:rsid w:val="00B77350"/>
    <w:rsid w:val="00B77377"/>
    <w:rsid w:val="00B77387"/>
    <w:rsid w:val="00B77686"/>
    <w:rsid w:val="00B776C9"/>
    <w:rsid w:val="00B77854"/>
    <w:rsid w:val="00B77AD6"/>
    <w:rsid w:val="00B77AFA"/>
    <w:rsid w:val="00B77B47"/>
    <w:rsid w:val="00B77C58"/>
    <w:rsid w:val="00B77DC5"/>
    <w:rsid w:val="00B77FEA"/>
    <w:rsid w:val="00B80110"/>
    <w:rsid w:val="00B80285"/>
    <w:rsid w:val="00B80459"/>
    <w:rsid w:val="00B8058A"/>
    <w:rsid w:val="00B80885"/>
    <w:rsid w:val="00B80B16"/>
    <w:rsid w:val="00B80C89"/>
    <w:rsid w:val="00B8112F"/>
    <w:rsid w:val="00B8156D"/>
    <w:rsid w:val="00B81937"/>
    <w:rsid w:val="00B81B7F"/>
    <w:rsid w:val="00B81C21"/>
    <w:rsid w:val="00B81F48"/>
    <w:rsid w:val="00B8200B"/>
    <w:rsid w:val="00B82092"/>
    <w:rsid w:val="00B82922"/>
    <w:rsid w:val="00B82A6C"/>
    <w:rsid w:val="00B82D6D"/>
    <w:rsid w:val="00B82E47"/>
    <w:rsid w:val="00B835EF"/>
    <w:rsid w:val="00B8361F"/>
    <w:rsid w:val="00B83714"/>
    <w:rsid w:val="00B837F7"/>
    <w:rsid w:val="00B83B16"/>
    <w:rsid w:val="00B83BE6"/>
    <w:rsid w:val="00B83DC4"/>
    <w:rsid w:val="00B8406D"/>
    <w:rsid w:val="00B8417A"/>
    <w:rsid w:val="00B841C0"/>
    <w:rsid w:val="00B843F2"/>
    <w:rsid w:val="00B8462E"/>
    <w:rsid w:val="00B848B8"/>
    <w:rsid w:val="00B84AC0"/>
    <w:rsid w:val="00B84BB9"/>
    <w:rsid w:val="00B8505B"/>
    <w:rsid w:val="00B85145"/>
    <w:rsid w:val="00B85163"/>
    <w:rsid w:val="00B85261"/>
    <w:rsid w:val="00B8586E"/>
    <w:rsid w:val="00B85902"/>
    <w:rsid w:val="00B8590A"/>
    <w:rsid w:val="00B85B79"/>
    <w:rsid w:val="00B85D21"/>
    <w:rsid w:val="00B86365"/>
    <w:rsid w:val="00B865D4"/>
    <w:rsid w:val="00B865F4"/>
    <w:rsid w:val="00B866A4"/>
    <w:rsid w:val="00B867AE"/>
    <w:rsid w:val="00B86896"/>
    <w:rsid w:val="00B8692A"/>
    <w:rsid w:val="00B8692E"/>
    <w:rsid w:val="00B86CD9"/>
    <w:rsid w:val="00B87379"/>
    <w:rsid w:val="00B87563"/>
    <w:rsid w:val="00B8762D"/>
    <w:rsid w:val="00B8767C"/>
    <w:rsid w:val="00B877DF"/>
    <w:rsid w:val="00B87A1D"/>
    <w:rsid w:val="00B87A4B"/>
    <w:rsid w:val="00B87DE5"/>
    <w:rsid w:val="00B87E6F"/>
    <w:rsid w:val="00B87EB3"/>
    <w:rsid w:val="00B87F64"/>
    <w:rsid w:val="00B907B0"/>
    <w:rsid w:val="00B90A42"/>
    <w:rsid w:val="00B90C0C"/>
    <w:rsid w:val="00B90CBD"/>
    <w:rsid w:val="00B9114E"/>
    <w:rsid w:val="00B912FC"/>
    <w:rsid w:val="00B9135F"/>
    <w:rsid w:val="00B91491"/>
    <w:rsid w:val="00B91548"/>
    <w:rsid w:val="00B915C8"/>
    <w:rsid w:val="00B9165A"/>
    <w:rsid w:val="00B91744"/>
    <w:rsid w:val="00B91837"/>
    <w:rsid w:val="00B91984"/>
    <w:rsid w:val="00B91A62"/>
    <w:rsid w:val="00B91C32"/>
    <w:rsid w:val="00B91D36"/>
    <w:rsid w:val="00B920B5"/>
    <w:rsid w:val="00B92361"/>
    <w:rsid w:val="00B9259E"/>
    <w:rsid w:val="00B92ADB"/>
    <w:rsid w:val="00B92C02"/>
    <w:rsid w:val="00B92D2C"/>
    <w:rsid w:val="00B92EE4"/>
    <w:rsid w:val="00B92F6E"/>
    <w:rsid w:val="00B93296"/>
    <w:rsid w:val="00B932DF"/>
    <w:rsid w:val="00B933C7"/>
    <w:rsid w:val="00B93764"/>
    <w:rsid w:val="00B93BDE"/>
    <w:rsid w:val="00B93C87"/>
    <w:rsid w:val="00B9418E"/>
    <w:rsid w:val="00B94607"/>
    <w:rsid w:val="00B94768"/>
    <w:rsid w:val="00B948CF"/>
    <w:rsid w:val="00B9492A"/>
    <w:rsid w:val="00B95450"/>
    <w:rsid w:val="00B9552D"/>
    <w:rsid w:val="00B956D2"/>
    <w:rsid w:val="00B95856"/>
    <w:rsid w:val="00B95A80"/>
    <w:rsid w:val="00B95CAB"/>
    <w:rsid w:val="00B95E10"/>
    <w:rsid w:val="00B9610A"/>
    <w:rsid w:val="00B9658C"/>
    <w:rsid w:val="00B9668B"/>
    <w:rsid w:val="00B969B7"/>
    <w:rsid w:val="00B970A8"/>
    <w:rsid w:val="00B972AA"/>
    <w:rsid w:val="00B97388"/>
    <w:rsid w:val="00B9758E"/>
    <w:rsid w:val="00B975BE"/>
    <w:rsid w:val="00B975C5"/>
    <w:rsid w:val="00B9773B"/>
    <w:rsid w:val="00B978E4"/>
    <w:rsid w:val="00B97A23"/>
    <w:rsid w:val="00B97EC1"/>
    <w:rsid w:val="00BA00B8"/>
    <w:rsid w:val="00BA0202"/>
    <w:rsid w:val="00BA045C"/>
    <w:rsid w:val="00BA05E1"/>
    <w:rsid w:val="00BA0A6C"/>
    <w:rsid w:val="00BA0B51"/>
    <w:rsid w:val="00BA0DF0"/>
    <w:rsid w:val="00BA0F62"/>
    <w:rsid w:val="00BA126B"/>
    <w:rsid w:val="00BA1456"/>
    <w:rsid w:val="00BA17E4"/>
    <w:rsid w:val="00BA1A84"/>
    <w:rsid w:val="00BA1AD0"/>
    <w:rsid w:val="00BA1B79"/>
    <w:rsid w:val="00BA1C02"/>
    <w:rsid w:val="00BA2167"/>
    <w:rsid w:val="00BA2751"/>
    <w:rsid w:val="00BA2B31"/>
    <w:rsid w:val="00BA2D96"/>
    <w:rsid w:val="00BA2E19"/>
    <w:rsid w:val="00BA32E9"/>
    <w:rsid w:val="00BA3446"/>
    <w:rsid w:val="00BA34FA"/>
    <w:rsid w:val="00BA3FDB"/>
    <w:rsid w:val="00BA406B"/>
    <w:rsid w:val="00BA40E3"/>
    <w:rsid w:val="00BA4473"/>
    <w:rsid w:val="00BA4509"/>
    <w:rsid w:val="00BA4698"/>
    <w:rsid w:val="00BA46C7"/>
    <w:rsid w:val="00BA4769"/>
    <w:rsid w:val="00BA47DB"/>
    <w:rsid w:val="00BA4ECE"/>
    <w:rsid w:val="00BA5291"/>
    <w:rsid w:val="00BA56DB"/>
    <w:rsid w:val="00BA5CE2"/>
    <w:rsid w:val="00BA5D6B"/>
    <w:rsid w:val="00BA5D70"/>
    <w:rsid w:val="00BA5EF1"/>
    <w:rsid w:val="00BA6027"/>
    <w:rsid w:val="00BA6264"/>
    <w:rsid w:val="00BA63D5"/>
    <w:rsid w:val="00BA66E6"/>
    <w:rsid w:val="00BA67FB"/>
    <w:rsid w:val="00BA6D64"/>
    <w:rsid w:val="00BA6E7B"/>
    <w:rsid w:val="00BA70C6"/>
    <w:rsid w:val="00BA7365"/>
    <w:rsid w:val="00BA77AA"/>
    <w:rsid w:val="00BA7A19"/>
    <w:rsid w:val="00BA7BD5"/>
    <w:rsid w:val="00BA7ECC"/>
    <w:rsid w:val="00BA7EFD"/>
    <w:rsid w:val="00BA7FBC"/>
    <w:rsid w:val="00BB006F"/>
    <w:rsid w:val="00BB02CF"/>
    <w:rsid w:val="00BB0376"/>
    <w:rsid w:val="00BB0B74"/>
    <w:rsid w:val="00BB0BB0"/>
    <w:rsid w:val="00BB1390"/>
    <w:rsid w:val="00BB1393"/>
    <w:rsid w:val="00BB145E"/>
    <w:rsid w:val="00BB1539"/>
    <w:rsid w:val="00BB171C"/>
    <w:rsid w:val="00BB17BE"/>
    <w:rsid w:val="00BB180D"/>
    <w:rsid w:val="00BB1997"/>
    <w:rsid w:val="00BB19E2"/>
    <w:rsid w:val="00BB19EC"/>
    <w:rsid w:val="00BB1F52"/>
    <w:rsid w:val="00BB202F"/>
    <w:rsid w:val="00BB2284"/>
    <w:rsid w:val="00BB34EE"/>
    <w:rsid w:val="00BB3577"/>
    <w:rsid w:val="00BB3683"/>
    <w:rsid w:val="00BB3870"/>
    <w:rsid w:val="00BB3A68"/>
    <w:rsid w:val="00BB3A78"/>
    <w:rsid w:val="00BB3BF6"/>
    <w:rsid w:val="00BB3CEF"/>
    <w:rsid w:val="00BB40CB"/>
    <w:rsid w:val="00BB4515"/>
    <w:rsid w:val="00BB47E8"/>
    <w:rsid w:val="00BB47EC"/>
    <w:rsid w:val="00BB4C30"/>
    <w:rsid w:val="00BB4D34"/>
    <w:rsid w:val="00BB50F2"/>
    <w:rsid w:val="00BB512F"/>
    <w:rsid w:val="00BB5132"/>
    <w:rsid w:val="00BB5162"/>
    <w:rsid w:val="00BB528A"/>
    <w:rsid w:val="00BB52EE"/>
    <w:rsid w:val="00BB55E2"/>
    <w:rsid w:val="00BB55E6"/>
    <w:rsid w:val="00BB5636"/>
    <w:rsid w:val="00BB5978"/>
    <w:rsid w:val="00BB5FF2"/>
    <w:rsid w:val="00BB67C6"/>
    <w:rsid w:val="00BB69CC"/>
    <w:rsid w:val="00BB69FA"/>
    <w:rsid w:val="00BB6B54"/>
    <w:rsid w:val="00BB6CE2"/>
    <w:rsid w:val="00BB6EC3"/>
    <w:rsid w:val="00BB6FF1"/>
    <w:rsid w:val="00BB713E"/>
    <w:rsid w:val="00BB72D8"/>
    <w:rsid w:val="00BB76C5"/>
    <w:rsid w:val="00BB775F"/>
    <w:rsid w:val="00BB77D1"/>
    <w:rsid w:val="00BB7E60"/>
    <w:rsid w:val="00BC0097"/>
    <w:rsid w:val="00BC0113"/>
    <w:rsid w:val="00BC02AC"/>
    <w:rsid w:val="00BC02EA"/>
    <w:rsid w:val="00BC03C9"/>
    <w:rsid w:val="00BC091F"/>
    <w:rsid w:val="00BC097A"/>
    <w:rsid w:val="00BC0A5C"/>
    <w:rsid w:val="00BC0B7A"/>
    <w:rsid w:val="00BC0C4E"/>
    <w:rsid w:val="00BC0CB1"/>
    <w:rsid w:val="00BC1340"/>
    <w:rsid w:val="00BC176A"/>
    <w:rsid w:val="00BC1998"/>
    <w:rsid w:val="00BC1DA5"/>
    <w:rsid w:val="00BC1E06"/>
    <w:rsid w:val="00BC1F03"/>
    <w:rsid w:val="00BC1F6F"/>
    <w:rsid w:val="00BC1F71"/>
    <w:rsid w:val="00BC246F"/>
    <w:rsid w:val="00BC2833"/>
    <w:rsid w:val="00BC2C81"/>
    <w:rsid w:val="00BC2CEF"/>
    <w:rsid w:val="00BC2D1A"/>
    <w:rsid w:val="00BC31E7"/>
    <w:rsid w:val="00BC33C8"/>
    <w:rsid w:val="00BC36D2"/>
    <w:rsid w:val="00BC3826"/>
    <w:rsid w:val="00BC387D"/>
    <w:rsid w:val="00BC3B6B"/>
    <w:rsid w:val="00BC3C61"/>
    <w:rsid w:val="00BC3EBB"/>
    <w:rsid w:val="00BC47B5"/>
    <w:rsid w:val="00BC4957"/>
    <w:rsid w:val="00BC4C9F"/>
    <w:rsid w:val="00BC5068"/>
    <w:rsid w:val="00BC5152"/>
    <w:rsid w:val="00BC5466"/>
    <w:rsid w:val="00BC585C"/>
    <w:rsid w:val="00BC5894"/>
    <w:rsid w:val="00BC5ABA"/>
    <w:rsid w:val="00BC5D7C"/>
    <w:rsid w:val="00BC5E15"/>
    <w:rsid w:val="00BC5E45"/>
    <w:rsid w:val="00BC5F07"/>
    <w:rsid w:val="00BC6262"/>
    <w:rsid w:val="00BC644A"/>
    <w:rsid w:val="00BC688B"/>
    <w:rsid w:val="00BC696D"/>
    <w:rsid w:val="00BC6B5E"/>
    <w:rsid w:val="00BC6B6D"/>
    <w:rsid w:val="00BC719F"/>
    <w:rsid w:val="00BC72FE"/>
    <w:rsid w:val="00BC74BE"/>
    <w:rsid w:val="00BC7635"/>
    <w:rsid w:val="00BC79E9"/>
    <w:rsid w:val="00BD0382"/>
    <w:rsid w:val="00BD0494"/>
    <w:rsid w:val="00BD0719"/>
    <w:rsid w:val="00BD0815"/>
    <w:rsid w:val="00BD0B10"/>
    <w:rsid w:val="00BD11F6"/>
    <w:rsid w:val="00BD145A"/>
    <w:rsid w:val="00BD1535"/>
    <w:rsid w:val="00BD1FDE"/>
    <w:rsid w:val="00BD2265"/>
    <w:rsid w:val="00BD2369"/>
    <w:rsid w:val="00BD240C"/>
    <w:rsid w:val="00BD26BE"/>
    <w:rsid w:val="00BD26C6"/>
    <w:rsid w:val="00BD2806"/>
    <w:rsid w:val="00BD2922"/>
    <w:rsid w:val="00BD295D"/>
    <w:rsid w:val="00BD2A3F"/>
    <w:rsid w:val="00BD2E61"/>
    <w:rsid w:val="00BD3253"/>
    <w:rsid w:val="00BD33E4"/>
    <w:rsid w:val="00BD34E9"/>
    <w:rsid w:val="00BD3519"/>
    <w:rsid w:val="00BD35B9"/>
    <w:rsid w:val="00BD37A9"/>
    <w:rsid w:val="00BD3819"/>
    <w:rsid w:val="00BD39BA"/>
    <w:rsid w:val="00BD3D0C"/>
    <w:rsid w:val="00BD410A"/>
    <w:rsid w:val="00BD41DD"/>
    <w:rsid w:val="00BD4571"/>
    <w:rsid w:val="00BD45C9"/>
    <w:rsid w:val="00BD4B43"/>
    <w:rsid w:val="00BD4D0B"/>
    <w:rsid w:val="00BD4DFB"/>
    <w:rsid w:val="00BD5039"/>
    <w:rsid w:val="00BD51DE"/>
    <w:rsid w:val="00BD543C"/>
    <w:rsid w:val="00BD54EF"/>
    <w:rsid w:val="00BD564D"/>
    <w:rsid w:val="00BD5866"/>
    <w:rsid w:val="00BD5BCA"/>
    <w:rsid w:val="00BD5CD1"/>
    <w:rsid w:val="00BD6009"/>
    <w:rsid w:val="00BD624E"/>
    <w:rsid w:val="00BD6364"/>
    <w:rsid w:val="00BD65F0"/>
    <w:rsid w:val="00BD6621"/>
    <w:rsid w:val="00BD66D3"/>
    <w:rsid w:val="00BD6706"/>
    <w:rsid w:val="00BD6763"/>
    <w:rsid w:val="00BD677F"/>
    <w:rsid w:val="00BD67DA"/>
    <w:rsid w:val="00BD6872"/>
    <w:rsid w:val="00BD6BE2"/>
    <w:rsid w:val="00BD6EBB"/>
    <w:rsid w:val="00BD738B"/>
    <w:rsid w:val="00BD7835"/>
    <w:rsid w:val="00BD78D4"/>
    <w:rsid w:val="00BD79F4"/>
    <w:rsid w:val="00BD7A76"/>
    <w:rsid w:val="00BD7B77"/>
    <w:rsid w:val="00BD7CA9"/>
    <w:rsid w:val="00BE0169"/>
    <w:rsid w:val="00BE01C6"/>
    <w:rsid w:val="00BE07E5"/>
    <w:rsid w:val="00BE0899"/>
    <w:rsid w:val="00BE0C7B"/>
    <w:rsid w:val="00BE0EFD"/>
    <w:rsid w:val="00BE119D"/>
    <w:rsid w:val="00BE19D4"/>
    <w:rsid w:val="00BE1C1D"/>
    <w:rsid w:val="00BE1C6C"/>
    <w:rsid w:val="00BE1F73"/>
    <w:rsid w:val="00BE215B"/>
    <w:rsid w:val="00BE2271"/>
    <w:rsid w:val="00BE245E"/>
    <w:rsid w:val="00BE24D2"/>
    <w:rsid w:val="00BE2650"/>
    <w:rsid w:val="00BE270D"/>
    <w:rsid w:val="00BE29B5"/>
    <w:rsid w:val="00BE2BAC"/>
    <w:rsid w:val="00BE2C4B"/>
    <w:rsid w:val="00BE2D45"/>
    <w:rsid w:val="00BE2D87"/>
    <w:rsid w:val="00BE30B7"/>
    <w:rsid w:val="00BE3162"/>
    <w:rsid w:val="00BE3392"/>
    <w:rsid w:val="00BE33E9"/>
    <w:rsid w:val="00BE3599"/>
    <w:rsid w:val="00BE3B3F"/>
    <w:rsid w:val="00BE3BEB"/>
    <w:rsid w:val="00BE3CF4"/>
    <w:rsid w:val="00BE3DCC"/>
    <w:rsid w:val="00BE3EFA"/>
    <w:rsid w:val="00BE3F3E"/>
    <w:rsid w:val="00BE3F77"/>
    <w:rsid w:val="00BE41B7"/>
    <w:rsid w:val="00BE41FB"/>
    <w:rsid w:val="00BE4654"/>
    <w:rsid w:val="00BE4782"/>
    <w:rsid w:val="00BE4B17"/>
    <w:rsid w:val="00BE4B1E"/>
    <w:rsid w:val="00BE4B82"/>
    <w:rsid w:val="00BE4D08"/>
    <w:rsid w:val="00BE4DEE"/>
    <w:rsid w:val="00BE4FD2"/>
    <w:rsid w:val="00BE4FF4"/>
    <w:rsid w:val="00BE5036"/>
    <w:rsid w:val="00BE52A2"/>
    <w:rsid w:val="00BE58A4"/>
    <w:rsid w:val="00BE69D3"/>
    <w:rsid w:val="00BE6B1F"/>
    <w:rsid w:val="00BE74FF"/>
    <w:rsid w:val="00BE7B40"/>
    <w:rsid w:val="00BE7BEB"/>
    <w:rsid w:val="00BE7C70"/>
    <w:rsid w:val="00BE7D0E"/>
    <w:rsid w:val="00BE7DA4"/>
    <w:rsid w:val="00BE7F84"/>
    <w:rsid w:val="00BF002C"/>
    <w:rsid w:val="00BF00B0"/>
    <w:rsid w:val="00BF017C"/>
    <w:rsid w:val="00BF02BD"/>
    <w:rsid w:val="00BF0365"/>
    <w:rsid w:val="00BF0467"/>
    <w:rsid w:val="00BF047F"/>
    <w:rsid w:val="00BF054B"/>
    <w:rsid w:val="00BF058F"/>
    <w:rsid w:val="00BF06C0"/>
    <w:rsid w:val="00BF08BA"/>
    <w:rsid w:val="00BF095C"/>
    <w:rsid w:val="00BF0B06"/>
    <w:rsid w:val="00BF0BA8"/>
    <w:rsid w:val="00BF0C1E"/>
    <w:rsid w:val="00BF0D73"/>
    <w:rsid w:val="00BF0DCC"/>
    <w:rsid w:val="00BF0FA7"/>
    <w:rsid w:val="00BF1267"/>
    <w:rsid w:val="00BF1431"/>
    <w:rsid w:val="00BF1775"/>
    <w:rsid w:val="00BF1C87"/>
    <w:rsid w:val="00BF1EB6"/>
    <w:rsid w:val="00BF1EF7"/>
    <w:rsid w:val="00BF22FB"/>
    <w:rsid w:val="00BF2340"/>
    <w:rsid w:val="00BF235F"/>
    <w:rsid w:val="00BF247C"/>
    <w:rsid w:val="00BF24FB"/>
    <w:rsid w:val="00BF2B30"/>
    <w:rsid w:val="00BF2C85"/>
    <w:rsid w:val="00BF2E1F"/>
    <w:rsid w:val="00BF30FA"/>
    <w:rsid w:val="00BF31A1"/>
    <w:rsid w:val="00BF32E7"/>
    <w:rsid w:val="00BF33C8"/>
    <w:rsid w:val="00BF35A4"/>
    <w:rsid w:val="00BF35C0"/>
    <w:rsid w:val="00BF36C1"/>
    <w:rsid w:val="00BF39E8"/>
    <w:rsid w:val="00BF3B24"/>
    <w:rsid w:val="00BF3B34"/>
    <w:rsid w:val="00BF3D43"/>
    <w:rsid w:val="00BF3F27"/>
    <w:rsid w:val="00BF3F46"/>
    <w:rsid w:val="00BF4326"/>
    <w:rsid w:val="00BF446B"/>
    <w:rsid w:val="00BF45FC"/>
    <w:rsid w:val="00BF4704"/>
    <w:rsid w:val="00BF47C9"/>
    <w:rsid w:val="00BF4904"/>
    <w:rsid w:val="00BF4A23"/>
    <w:rsid w:val="00BF4AA6"/>
    <w:rsid w:val="00BF4B2F"/>
    <w:rsid w:val="00BF4F74"/>
    <w:rsid w:val="00BF5374"/>
    <w:rsid w:val="00BF5811"/>
    <w:rsid w:val="00BF59F8"/>
    <w:rsid w:val="00BF5CB4"/>
    <w:rsid w:val="00BF5E71"/>
    <w:rsid w:val="00BF5EDD"/>
    <w:rsid w:val="00BF6047"/>
    <w:rsid w:val="00BF6078"/>
    <w:rsid w:val="00BF6144"/>
    <w:rsid w:val="00BF627B"/>
    <w:rsid w:val="00BF6292"/>
    <w:rsid w:val="00BF6543"/>
    <w:rsid w:val="00BF6914"/>
    <w:rsid w:val="00BF69D0"/>
    <w:rsid w:val="00BF6B9C"/>
    <w:rsid w:val="00BF6BC2"/>
    <w:rsid w:val="00BF7540"/>
    <w:rsid w:val="00BF78E5"/>
    <w:rsid w:val="00BF798E"/>
    <w:rsid w:val="00BF7A41"/>
    <w:rsid w:val="00BF7B78"/>
    <w:rsid w:val="00BF7C54"/>
    <w:rsid w:val="00C0012E"/>
    <w:rsid w:val="00C005EF"/>
    <w:rsid w:val="00C00A14"/>
    <w:rsid w:val="00C00BD0"/>
    <w:rsid w:val="00C00BFE"/>
    <w:rsid w:val="00C00FC7"/>
    <w:rsid w:val="00C0101F"/>
    <w:rsid w:val="00C011DB"/>
    <w:rsid w:val="00C0139F"/>
    <w:rsid w:val="00C0146E"/>
    <w:rsid w:val="00C01549"/>
    <w:rsid w:val="00C015A3"/>
    <w:rsid w:val="00C015BD"/>
    <w:rsid w:val="00C017B9"/>
    <w:rsid w:val="00C0193F"/>
    <w:rsid w:val="00C01A29"/>
    <w:rsid w:val="00C01BF8"/>
    <w:rsid w:val="00C01C66"/>
    <w:rsid w:val="00C01E9E"/>
    <w:rsid w:val="00C02593"/>
    <w:rsid w:val="00C0270F"/>
    <w:rsid w:val="00C02808"/>
    <w:rsid w:val="00C029A2"/>
    <w:rsid w:val="00C029BE"/>
    <w:rsid w:val="00C029E5"/>
    <w:rsid w:val="00C02EE3"/>
    <w:rsid w:val="00C0361E"/>
    <w:rsid w:val="00C03741"/>
    <w:rsid w:val="00C03A7B"/>
    <w:rsid w:val="00C03B80"/>
    <w:rsid w:val="00C03DFB"/>
    <w:rsid w:val="00C03EB5"/>
    <w:rsid w:val="00C040E4"/>
    <w:rsid w:val="00C042AA"/>
    <w:rsid w:val="00C045B4"/>
    <w:rsid w:val="00C046DD"/>
    <w:rsid w:val="00C04C0A"/>
    <w:rsid w:val="00C04C8D"/>
    <w:rsid w:val="00C04CEC"/>
    <w:rsid w:val="00C04F05"/>
    <w:rsid w:val="00C0540F"/>
    <w:rsid w:val="00C055F1"/>
    <w:rsid w:val="00C05874"/>
    <w:rsid w:val="00C05A8D"/>
    <w:rsid w:val="00C05BB0"/>
    <w:rsid w:val="00C05BDE"/>
    <w:rsid w:val="00C05C67"/>
    <w:rsid w:val="00C05ECA"/>
    <w:rsid w:val="00C061B1"/>
    <w:rsid w:val="00C063A4"/>
    <w:rsid w:val="00C0652A"/>
    <w:rsid w:val="00C0665A"/>
    <w:rsid w:val="00C06751"/>
    <w:rsid w:val="00C06B44"/>
    <w:rsid w:val="00C06C8D"/>
    <w:rsid w:val="00C06FDC"/>
    <w:rsid w:val="00C07560"/>
    <w:rsid w:val="00C0760D"/>
    <w:rsid w:val="00C07BD2"/>
    <w:rsid w:val="00C07D38"/>
    <w:rsid w:val="00C1002B"/>
    <w:rsid w:val="00C10156"/>
    <w:rsid w:val="00C1098D"/>
    <w:rsid w:val="00C11423"/>
    <w:rsid w:val="00C117A4"/>
    <w:rsid w:val="00C1186E"/>
    <w:rsid w:val="00C119C9"/>
    <w:rsid w:val="00C11AB6"/>
    <w:rsid w:val="00C12038"/>
    <w:rsid w:val="00C12631"/>
    <w:rsid w:val="00C12886"/>
    <w:rsid w:val="00C12F36"/>
    <w:rsid w:val="00C130F1"/>
    <w:rsid w:val="00C13147"/>
    <w:rsid w:val="00C13590"/>
    <w:rsid w:val="00C136E5"/>
    <w:rsid w:val="00C13817"/>
    <w:rsid w:val="00C13AEB"/>
    <w:rsid w:val="00C13FED"/>
    <w:rsid w:val="00C1435D"/>
    <w:rsid w:val="00C14520"/>
    <w:rsid w:val="00C146D3"/>
    <w:rsid w:val="00C1474F"/>
    <w:rsid w:val="00C1487D"/>
    <w:rsid w:val="00C14C0C"/>
    <w:rsid w:val="00C14C2D"/>
    <w:rsid w:val="00C14E2C"/>
    <w:rsid w:val="00C150B9"/>
    <w:rsid w:val="00C1515F"/>
    <w:rsid w:val="00C1518E"/>
    <w:rsid w:val="00C15291"/>
    <w:rsid w:val="00C15501"/>
    <w:rsid w:val="00C15519"/>
    <w:rsid w:val="00C1596A"/>
    <w:rsid w:val="00C15A3B"/>
    <w:rsid w:val="00C15B33"/>
    <w:rsid w:val="00C15C3B"/>
    <w:rsid w:val="00C15DB0"/>
    <w:rsid w:val="00C16797"/>
    <w:rsid w:val="00C167C0"/>
    <w:rsid w:val="00C16A06"/>
    <w:rsid w:val="00C16B73"/>
    <w:rsid w:val="00C16F05"/>
    <w:rsid w:val="00C16F6B"/>
    <w:rsid w:val="00C17217"/>
    <w:rsid w:val="00C17C4A"/>
    <w:rsid w:val="00C17DED"/>
    <w:rsid w:val="00C17F5D"/>
    <w:rsid w:val="00C20390"/>
    <w:rsid w:val="00C2055F"/>
    <w:rsid w:val="00C206BA"/>
    <w:rsid w:val="00C2089F"/>
    <w:rsid w:val="00C20CF9"/>
    <w:rsid w:val="00C20FFE"/>
    <w:rsid w:val="00C210A2"/>
    <w:rsid w:val="00C2134C"/>
    <w:rsid w:val="00C214BF"/>
    <w:rsid w:val="00C216C7"/>
    <w:rsid w:val="00C217E3"/>
    <w:rsid w:val="00C2196C"/>
    <w:rsid w:val="00C21CC0"/>
    <w:rsid w:val="00C21D75"/>
    <w:rsid w:val="00C2232A"/>
    <w:rsid w:val="00C224D4"/>
    <w:rsid w:val="00C225AB"/>
    <w:rsid w:val="00C2262C"/>
    <w:rsid w:val="00C22706"/>
    <w:rsid w:val="00C22855"/>
    <w:rsid w:val="00C2297D"/>
    <w:rsid w:val="00C229EA"/>
    <w:rsid w:val="00C22B82"/>
    <w:rsid w:val="00C22FE2"/>
    <w:rsid w:val="00C230B0"/>
    <w:rsid w:val="00C23260"/>
    <w:rsid w:val="00C232B6"/>
    <w:rsid w:val="00C23330"/>
    <w:rsid w:val="00C23407"/>
    <w:rsid w:val="00C23801"/>
    <w:rsid w:val="00C239C8"/>
    <w:rsid w:val="00C23E11"/>
    <w:rsid w:val="00C24005"/>
    <w:rsid w:val="00C2422E"/>
    <w:rsid w:val="00C24270"/>
    <w:rsid w:val="00C24DF8"/>
    <w:rsid w:val="00C2500F"/>
    <w:rsid w:val="00C256D3"/>
    <w:rsid w:val="00C25730"/>
    <w:rsid w:val="00C25982"/>
    <w:rsid w:val="00C25EAC"/>
    <w:rsid w:val="00C25ED1"/>
    <w:rsid w:val="00C25F17"/>
    <w:rsid w:val="00C2601E"/>
    <w:rsid w:val="00C26606"/>
    <w:rsid w:val="00C2660D"/>
    <w:rsid w:val="00C267D0"/>
    <w:rsid w:val="00C26926"/>
    <w:rsid w:val="00C26CF5"/>
    <w:rsid w:val="00C26FAB"/>
    <w:rsid w:val="00C270D9"/>
    <w:rsid w:val="00C2788A"/>
    <w:rsid w:val="00C27BAD"/>
    <w:rsid w:val="00C27C1D"/>
    <w:rsid w:val="00C27E5C"/>
    <w:rsid w:val="00C30089"/>
    <w:rsid w:val="00C30128"/>
    <w:rsid w:val="00C30632"/>
    <w:rsid w:val="00C30773"/>
    <w:rsid w:val="00C30B7E"/>
    <w:rsid w:val="00C30D34"/>
    <w:rsid w:val="00C30DC4"/>
    <w:rsid w:val="00C313B3"/>
    <w:rsid w:val="00C31627"/>
    <w:rsid w:val="00C31CB7"/>
    <w:rsid w:val="00C3222E"/>
    <w:rsid w:val="00C3263F"/>
    <w:rsid w:val="00C327BC"/>
    <w:rsid w:val="00C32A74"/>
    <w:rsid w:val="00C32E11"/>
    <w:rsid w:val="00C33160"/>
    <w:rsid w:val="00C33688"/>
    <w:rsid w:val="00C338AF"/>
    <w:rsid w:val="00C33951"/>
    <w:rsid w:val="00C33A14"/>
    <w:rsid w:val="00C33A52"/>
    <w:rsid w:val="00C33B39"/>
    <w:rsid w:val="00C33C59"/>
    <w:rsid w:val="00C33DAF"/>
    <w:rsid w:val="00C33E08"/>
    <w:rsid w:val="00C33EBC"/>
    <w:rsid w:val="00C34225"/>
    <w:rsid w:val="00C34275"/>
    <w:rsid w:val="00C343F2"/>
    <w:rsid w:val="00C344F2"/>
    <w:rsid w:val="00C34554"/>
    <w:rsid w:val="00C347C2"/>
    <w:rsid w:val="00C34C5C"/>
    <w:rsid w:val="00C34CB2"/>
    <w:rsid w:val="00C34F84"/>
    <w:rsid w:val="00C35231"/>
    <w:rsid w:val="00C35298"/>
    <w:rsid w:val="00C3542F"/>
    <w:rsid w:val="00C357E6"/>
    <w:rsid w:val="00C35C46"/>
    <w:rsid w:val="00C35D4A"/>
    <w:rsid w:val="00C3633F"/>
    <w:rsid w:val="00C36600"/>
    <w:rsid w:val="00C3662C"/>
    <w:rsid w:val="00C3693E"/>
    <w:rsid w:val="00C36B96"/>
    <w:rsid w:val="00C36BD9"/>
    <w:rsid w:val="00C36F89"/>
    <w:rsid w:val="00C3713C"/>
    <w:rsid w:val="00C37610"/>
    <w:rsid w:val="00C378F5"/>
    <w:rsid w:val="00C37CE0"/>
    <w:rsid w:val="00C37CE5"/>
    <w:rsid w:val="00C400E7"/>
    <w:rsid w:val="00C4021C"/>
    <w:rsid w:val="00C40341"/>
    <w:rsid w:val="00C40496"/>
    <w:rsid w:val="00C40806"/>
    <w:rsid w:val="00C409B9"/>
    <w:rsid w:val="00C40C3A"/>
    <w:rsid w:val="00C40D3B"/>
    <w:rsid w:val="00C41017"/>
    <w:rsid w:val="00C41276"/>
    <w:rsid w:val="00C413BE"/>
    <w:rsid w:val="00C413C0"/>
    <w:rsid w:val="00C4148F"/>
    <w:rsid w:val="00C4187D"/>
    <w:rsid w:val="00C4189C"/>
    <w:rsid w:val="00C4196E"/>
    <w:rsid w:val="00C419C0"/>
    <w:rsid w:val="00C41B2F"/>
    <w:rsid w:val="00C41E62"/>
    <w:rsid w:val="00C42031"/>
    <w:rsid w:val="00C4205E"/>
    <w:rsid w:val="00C42710"/>
    <w:rsid w:val="00C42926"/>
    <w:rsid w:val="00C42C3D"/>
    <w:rsid w:val="00C42CC2"/>
    <w:rsid w:val="00C42DAC"/>
    <w:rsid w:val="00C42DAF"/>
    <w:rsid w:val="00C42FF0"/>
    <w:rsid w:val="00C43060"/>
    <w:rsid w:val="00C43205"/>
    <w:rsid w:val="00C433B7"/>
    <w:rsid w:val="00C436FC"/>
    <w:rsid w:val="00C43AE7"/>
    <w:rsid w:val="00C43BB7"/>
    <w:rsid w:val="00C43D55"/>
    <w:rsid w:val="00C43E70"/>
    <w:rsid w:val="00C443F6"/>
    <w:rsid w:val="00C4440E"/>
    <w:rsid w:val="00C446FF"/>
    <w:rsid w:val="00C44805"/>
    <w:rsid w:val="00C4488C"/>
    <w:rsid w:val="00C44BA0"/>
    <w:rsid w:val="00C44BE7"/>
    <w:rsid w:val="00C45017"/>
    <w:rsid w:val="00C4507A"/>
    <w:rsid w:val="00C45722"/>
    <w:rsid w:val="00C45F2C"/>
    <w:rsid w:val="00C460A2"/>
    <w:rsid w:val="00C46365"/>
    <w:rsid w:val="00C4660A"/>
    <w:rsid w:val="00C46934"/>
    <w:rsid w:val="00C46C46"/>
    <w:rsid w:val="00C47212"/>
    <w:rsid w:val="00C4721B"/>
    <w:rsid w:val="00C475C9"/>
    <w:rsid w:val="00C4796E"/>
    <w:rsid w:val="00C47B14"/>
    <w:rsid w:val="00C47B48"/>
    <w:rsid w:val="00C47BC7"/>
    <w:rsid w:val="00C47FCA"/>
    <w:rsid w:val="00C50030"/>
    <w:rsid w:val="00C50678"/>
    <w:rsid w:val="00C50685"/>
    <w:rsid w:val="00C50728"/>
    <w:rsid w:val="00C5076F"/>
    <w:rsid w:val="00C50CE7"/>
    <w:rsid w:val="00C50E66"/>
    <w:rsid w:val="00C50FC2"/>
    <w:rsid w:val="00C510DA"/>
    <w:rsid w:val="00C516F4"/>
    <w:rsid w:val="00C51A12"/>
    <w:rsid w:val="00C51F2E"/>
    <w:rsid w:val="00C52211"/>
    <w:rsid w:val="00C523AB"/>
    <w:rsid w:val="00C524AA"/>
    <w:rsid w:val="00C524C6"/>
    <w:rsid w:val="00C526DD"/>
    <w:rsid w:val="00C528D6"/>
    <w:rsid w:val="00C52BBC"/>
    <w:rsid w:val="00C52F75"/>
    <w:rsid w:val="00C5304B"/>
    <w:rsid w:val="00C53190"/>
    <w:rsid w:val="00C532D5"/>
    <w:rsid w:val="00C533E8"/>
    <w:rsid w:val="00C538F0"/>
    <w:rsid w:val="00C53A23"/>
    <w:rsid w:val="00C53ABB"/>
    <w:rsid w:val="00C53C03"/>
    <w:rsid w:val="00C54080"/>
    <w:rsid w:val="00C540BC"/>
    <w:rsid w:val="00C543D9"/>
    <w:rsid w:val="00C543EA"/>
    <w:rsid w:val="00C544B4"/>
    <w:rsid w:val="00C54721"/>
    <w:rsid w:val="00C54A5A"/>
    <w:rsid w:val="00C54BAD"/>
    <w:rsid w:val="00C54BCE"/>
    <w:rsid w:val="00C54E22"/>
    <w:rsid w:val="00C54E2D"/>
    <w:rsid w:val="00C54E83"/>
    <w:rsid w:val="00C552EC"/>
    <w:rsid w:val="00C55568"/>
    <w:rsid w:val="00C55580"/>
    <w:rsid w:val="00C555D8"/>
    <w:rsid w:val="00C55664"/>
    <w:rsid w:val="00C55784"/>
    <w:rsid w:val="00C5623F"/>
    <w:rsid w:val="00C5631B"/>
    <w:rsid w:val="00C56669"/>
    <w:rsid w:val="00C5680B"/>
    <w:rsid w:val="00C5686B"/>
    <w:rsid w:val="00C56E71"/>
    <w:rsid w:val="00C56FE2"/>
    <w:rsid w:val="00C57067"/>
    <w:rsid w:val="00C575F2"/>
    <w:rsid w:val="00C57714"/>
    <w:rsid w:val="00C57745"/>
    <w:rsid w:val="00C57E17"/>
    <w:rsid w:val="00C57E2B"/>
    <w:rsid w:val="00C60035"/>
    <w:rsid w:val="00C603CB"/>
    <w:rsid w:val="00C60419"/>
    <w:rsid w:val="00C607E7"/>
    <w:rsid w:val="00C60A03"/>
    <w:rsid w:val="00C60E90"/>
    <w:rsid w:val="00C6139B"/>
    <w:rsid w:val="00C61498"/>
    <w:rsid w:val="00C61645"/>
    <w:rsid w:val="00C616A5"/>
    <w:rsid w:val="00C61774"/>
    <w:rsid w:val="00C618A2"/>
    <w:rsid w:val="00C61939"/>
    <w:rsid w:val="00C61C23"/>
    <w:rsid w:val="00C61E10"/>
    <w:rsid w:val="00C61EB7"/>
    <w:rsid w:val="00C61ED8"/>
    <w:rsid w:val="00C62008"/>
    <w:rsid w:val="00C6265A"/>
    <w:rsid w:val="00C62CBE"/>
    <w:rsid w:val="00C62D25"/>
    <w:rsid w:val="00C62F7E"/>
    <w:rsid w:val="00C62FA7"/>
    <w:rsid w:val="00C6317B"/>
    <w:rsid w:val="00C631C9"/>
    <w:rsid w:val="00C6378B"/>
    <w:rsid w:val="00C63AAF"/>
    <w:rsid w:val="00C63AFA"/>
    <w:rsid w:val="00C63F55"/>
    <w:rsid w:val="00C64112"/>
    <w:rsid w:val="00C644EC"/>
    <w:rsid w:val="00C646EE"/>
    <w:rsid w:val="00C6492A"/>
    <w:rsid w:val="00C649B8"/>
    <w:rsid w:val="00C6529D"/>
    <w:rsid w:val="00C65532"/>
    <w:rsid w:val="00C65594"/>
    <w:rsid w:val="00C6564F"/>
    <w:rsid w:val="00C658D4"/>
    <w:rsid w:val="00C65DD4"/>
    <w:rsid w:val="00C65EA6"/>
    <w:rsid w:val="00C6624A"/>
    <w:rsid w:val="00C6638F"/>
    <w:rsid w:val="00C664B5"/>
    <w:rsid w:val="00C6658C"/>
    <w:rsid w:val="00C66759"/>
    <w:rsid w:val="00C66AD0"/>
    <w:rsid w:val="00C66D34"/>
    <w:rsid w:val="00C66E60"/>
    <w:rsid w:val="00C66FCB"/>
    <w:rsid w:val="00C67267"/>
    <w:rsid w:val="00C6754E"/>
    <w:rsid w:val="00C675F2"/>
    <w:rsid w:val="00C67612"/>
    <w:rsid w:val="00C6769D"/>
    <w:rsid w:val="00C676DF"/>
    <w:rsid w:val="00C6774E"/>
    <w:rsid w:val="00C67882"/>
    <w:rsid w:val="00C679B5"/>
    <w:rsid w:val="00C67BD2"/>
    <w:rsid w:val="00C67DBB"/>
    <w:rsid w:val="00C67E02"/>
    <w:rsid w:val="00C7058C"/>
    <w:rsid w:val="00C70745"/>
    <w:rsid w:val="00C70A6A"/>
    <w:rsid w:val="00C70EF5"/>
    <w:rsid w:val="00C70F59"/>
    <w:rsid w:val="00C70FD9"/>
    <w:rsid w:val="00C710E8"/>
    <w:rsid w:val="00C712CB"/>
    <w:rsid w:val="00C719D7"/>
    <w:rsid w:val="00C71EBE"/>
    <w:rsid w:val="00C71FD3"/>
    <w:rsid w:val="00C720B5"/>
    <w:rsid w:val="00C72216"/>
    <w:rsid w:val="00C726C8"/>
    <w:rsid w:val="00C72869"/>
    <w:rsid w:val="00C72E46"/>
    <w:rsid w:val="00C72FDE"/>
    <w:rsid w:val="00C730DB"/>
    <w:rsid w:val="00C731BB"/>
    <w:rsid w:val="00C7334C"/>
    <w:rsid w:val="00C735F2"/>
    <w:rsid w:val="00C73634"/>
    <w:rsid w:val="00C73637"/>
    <w:rsid w:val="00C73742"/>
    <w:rsid w:val="00C7379B"/>
    <w:rsid w:val="00C73D01"/>
    <w:rsid w:val="00C73D0D"/>
    <w:rsid w:val="00C73D89"/>
    <w:rsid w:val="00C73DBE"/>
    <w:rsid w:val="00C74037"/>
    <w:rsid w:val="00C7423F"/>
    <w:rsid w:val="00C7453A"/>
    <w:rsid w:val="00C74609"/>
    <w:rsid w:val="00C74977"/>
    <w:rsid w:val="00C74B53"/>
    <w:rsid w:val="00C74B70"/>
    <w:rsid w:val="00C74CC6"/>
    <w:rsid w:val="00C74E86"/>
    <w:rsid w:val="00C74EB0"/>
    <w:rsid w:val="00C750C9"/>
    <w:rsid w:val="00C7531E"/>
    <w:rsid w:val="00C75607"/>
    <w:rsid w:val="00C75776"/>
    <w:rsid w:val="00C75E6E"/>
    <w:rsid w:val="00C75E73"/>
    <w:rsid w:val="00C76266"/>
    <w:rsid w:val="00C762B2"/>
    <w:rsid w:val="00C76492"/>
    <w:rsid w:val="00C766A7"/>
    <w:rsid w:val="00C77125"/>
    <w:rsid w:val="00C77183"/>
    <w:rsid w:val="00C7733A"/>
    <w:rsid w:val="00C7737C"/>
    <w:rsid w:val="00C775CB"/>
    <w:rsid w:val="00C77A32"/>
    <w:rsid w:val="00C77C8C"/>
    <w:rsid w:val="00C80119"/>
    <w:rsid w:val="00C801FB"/>
    <w:rsid w:val="00C80292"/>
    <w:rsid w:val="00C802F1"/>
    <w:rsid w:val="00C804AD"/>
    <w:rsid w:val="00C804BD"/>
    <w:rsid w:val="00C804E9"/>
    <w:rsid w:val="00C8078A"/>
    <w:rsid w:val="00C80961"/>
    <w:rsid w:val="00C80C8B"/>
    <w:rsid w:val="00C80FF4"/>
    <w:rsid w:val="00C813E0"/>
    <w:rsid w:val="00C814EA"/>
    <w:rsid w:val="00C8177A"/>
    <w:rsid w:val="00C81B8F"/>
    <w:rsid w:val="00C81F9B"/>
    <w:rsid w:val="00C8234C"/>
    <w:rsid w:val="00C823F3"/>
    <w:rsid w:val="00C82632"/>
    <w:rsid w:val="00C82BF5"/>
    <w:rsid w:val="00C82E35"/>
    <w:rsid w:val="00C83038"/>
    <w:rsid w:val="00C832A6"/>
    <w:rsid w:val="00C83A04"/>
    <w:rsid w:val="00C8407D"/>
    <w:rsid w:val="00C84634"/>
    <w:rsid w:val="00C84741"/>
    <w:rsid w:val="00C84813"/>
    <w:rsid w:val="00C84C3D"/>
    <w:rsid w:val="00C85357"/>
    <w:rsid w:val="00C8552A"/>
    <w:rsid w:val="00C855D2"/>
    <w:rsid w:val="00C856F4"/>
    <w:rsid w:val="00C86140"/>
    <w:rsid w:val="00C861A4"/>
    <w:rsid w:val="00C863E0"/>
    <w:rsid w:val="00C86AAD"/>
    <w:rsid w:val="00C86BFA"/>
    <w:rsid w:val="00C86C41"/>
    <w:rsid w:val="00C87079"/>
    <w:rsid w:val="00C870B3"/>
    <w:rsid w:val="00C871CE"/>
    <w:rsid w:val="00C8725D"/>
    <w:rsid w:val="00C872E2"/>
    <w:rsid w:val="00C873A0"/>
    <w:rsid w:val="00C8758B"/>
    <w:rsid w:val="00C877B7"/>
    <w:rsid w:val="00C87818"/>
    <w:rsid w:val="00C87A8B"/>
    <w:rsid w:val="00C87AF3"/>
    <w:rsid w:val="00C87CCE"/>
    <w:rsid w:val="00C87E98"/>
    <w:rsid w:val="00C9014A"/>
    <w:rsid w:val="00C90206"/>
    <w:rsid w:val="00C9050E"/>
    <w:rsid w:val="00C905A7"/>
    <w:rsid w:val="00C905FC"/>
    <w:rsid w:val="00C90632"/>
    <w:rsid w:val="00C9068D"/>
    <w:rsid w:val="00C9070E"/>
    <w:rsid w:val="00C90756"/>
    <w:rsid w:val="00C90761"/>
    <w:rsid w:val="00C90A7E"/>
    <w:rsid w:val="00C910D7"/>
    <w:rsid w:val="00C916D6"/>
    <w:rsid w:val="00C917F3"/>
    <w:rsid w:val="00C918D6"/>
    <w:rsid w:val="00C91A75"/>
    <w:rsid w:val="00C91D17"/>
    <w:rsid w:val="00C91EB1"/>
    <w:rsid w:val="00C91FC2"/>
    <w:rsid w:val="00C921F2"/>
    <w:rsid w:val="00C92721"/>
    <w:rsid w:val="00C927CD"/>
    <w:rsid w:val="00C9285F"/>
    <w:rsid w:val="00C929E2"/>
    <w:rsid w:val="00C92F47"/>
    <w:rsid w:val="00C9322E"/>
    <w:rsid w:val="00C9332C"/>
    <w:rsid w:val="00C93434"/>
    <w:rsid w:val="00C93516"/>
    <w:rsid w:val="00C935FB"/>
    <w:rsid w:val="00C937AA"/>
    <w:rsid w:val="00C937EB"/>
    <w:rsid w:val="00C93A65"/>
    <w:rsid w:val="00C93EE2"/>
    <w:rsid w:val="00C943E6"/>
    <w:rsid w:val="00C94409"/>
    <w:rsid w:val="00C945D8"/>
    <w:rsid w:val="00C947DB"/>
    <w:rsid w:val="00C94803"/>
    <w:rsid w:val="00C94A26"/>
    <w:rsid w:val="00C94D96"/>
    <w:rsid w:val="00C94DAF"/>
    <w:rsid w:val="00C95208"/>
    <w:rsid w:val="00C95277"/>
    <w:rsid w:val="00C95321"/>
    <w:rsid w:val="00C95465"/>
    <w:rsid w:val="00C956B2"/>
    <w:rsid w:val="00C95772"/>
    <w:rsid w:val="00C95865"/>
    <w:rsid w:val="00C95E46"/>
    <w:rsid w:val="00C95F07"/>
    <w:rsid w:val="00C95FDC"/>
    <w:rsid w:val="00C961F6"/>
    <w:rsid w:val="00C96323"/>
    <w:rsid w:val="00C963B5"/>
    <w:rsid w:val="00C96470"/>
    <w:rsid w:val="00C96572"/>
    <w:rsid w:val="00C966CA"/>
    <w:rsid w:val="00C967EA"/>
    <w:rsid w:val="00C968BA"/>
    <w:rsid w:val="00C9691B"/>
    <w:rsid w:val="00C96983"/>
    <w:rsid w:val="00C96CEC"/>
    <w:rsid w:val="00C96F48"/>
    <w:rsid w:val="00C970A9"/>
    <w:rsid w:val="00C97216"/>
    <w:rsid w:val="00C97D6A"/>
    <w:rsid w:val="00C97D9D"/>
    <w:rsid w:val="00CA0920"/>
    <w:rsid w:val="00CA0E86"/>
    <w:rsid w:val="00CA10A1"/>
    <w:rsid w:val="00CA10E7"/>
    <w:rsid w:val="00CA1271"/>
    <w:rsid w:val="00CA12DC"/>
    <w:rsid w:val="00CA1745"/>
    <w:rsid w:val="00CA1891"/>
    <w:rsid w:val="00CA1902"/>
    <w:rsid w:val="00CA1908"/>
    <w:rsid w:val="00CA191A"/>
    <w:rsid w:val="00CA1E88"/>
    <w:rsid w:val="00CA2155"/>
    <w:rsid w:val="00CA21D4"/>
    <w:rsid w:val="00CA2247"/>
    <w:rsid w:val="00CA2762"/>
    <w:rsid w:val="00CA28E2"/>
    <w:rsid w:val="00CA2E9F"/>
    <w:rsid w:val="00CA31CD"/>
    <w:rsid w:val="00CA32E6"/>
    <w:rsid w:val="00CA33E0"/>
    <w:rsid w:val="00CA3480"/>
    <w:rsid w:val="00CA3690"/>
    <w:rsid w:val="00CA382B"/>
    <w:rsid w:val="00CA3EA6"/>
    <w:rsid w:val="00CA3FBD"/>
    <w:rsid w:val="00CA408E"/>
    <w:rsid w:val="00CA42D7"/>
    <w:rsid w:val="00CA49BD"/>
    <w:rsid w:val="00CA4A6E"/>
    <w:rsid w:val="00CA4A74"/>
    <w:rsid w:val="00CA4C64"/>
    <w:rsid w:val="00CA4E58"/>
    <w:rsid w:val="00CA4F28"/>
    <w:rsid w:val="00CA51C8"/>
    <w:rsid w:val="00CA562C"/>
    <w:rsid w:val="00CA56A8"/>
    <w:rsid w:val="00CA56AB"/>
    <w:rsid w:val="00CA5744"/>
    <w:rsid w:val="00CA5874"/>
    <w:rsid w:val="00CA5A7E"/>
    <w:rsid w:val="00CA5BA6"/>
    <w:rsid w:val="00CA5E73"/>
    <w:rsid w:val="00CA60C0"/>
    <w:rsid w:val="00CA631A"/>
    <w:rsid w:val="00CA655C"/>
    <w:rsid w:val="00CA6681"/>
    <w:rsid w:val="00CA6E3C"/>
    <w:rsid w:val="00CA70BC"/>
    <w:rsid w:val="00CA71C2"/>
    <w:rsid w:val="00CA749C"/>
    <w:rsid w:val="00CA7596"/>
    <w:rsid w:val="00CA7880"/>
    <w:rsid w:val="00CA7B21"/>
    <w:rsid w:val="00CA7BF6"/>
    <w:rsid w:val="00CA7CB3"/>
    <w:rsid w:val="00CA7DA0"/>
    <w:rsid w:val="00CA7E3F"/>
    <w:rsid w:val="00CA7EFC"/>
    <w:rsid w:val="00CA7FF6"/>
    <w:rsid w:val="00CB023D"/>
    <w:rsid w:val="00CB0253"/>
    <w:rsid w:val="00CB060E"/>
    <w:rsid w:val="00CB0868"/>
    <w:rsid w:val="00CB096F"/>
    <w:rsid w:val="00CB0AB1"/>
    <w:rsid w:val="00CB0C67"/>
    <w:rsid w:val="00CB0E90"/>
    <w:rsid w:val="00CB10A5"/>
    <w:rsid w:val="00CB15B4"/>
    <w:rsid w:val="00CB17E1"/>
    <w:rsid w:val="00CB185A"/>
    <w:rsid w:val="00CB1A50"/>
    <w:rsid w:val="00CB1CF2"/>
    <w:rsid w:val="00CB2033"/>
    <w:rsid w:val="00CB2556"/>
    <w:rsid w:val="00CB2606"/>
    <w:rsid w:val="00CB292F"/>
    <w:rsid w:val="00CB2961"/>
    <w:rsid w:val="00CB2ADE"/>
    <w:rsid w:val="00CB2CC2"/>
    <w:rsid w:val="00CB2D15"/>
    <w:rsid w:val="00CB2E04"/>
    <w:rsid w:val="00CB2E60"/>
    <w:rsid w:val="00CB30BF"/>
    <w:rsid w:val="00CB3123"/>
    <w:rsid w:val="00CB325A"/>
    <w:rsid w:val="00CB3301"/>
    <w:rsid w:val="00CB3AA6"/>
    <w:rsid w:val="00CB3F63"/>
    <w:rsid w:val="00CB411C"/>
    <w:rsid w:val="00CB43E0"/>
    <w:rsid w:val="00CB43E3"/>
    <w:rsid w:val="00CB4502"/>
    <w:rsid w:val="00CB458D"/>
    <w:rsid w:val="00CB45DE"/>
    <w:rsid w:val="00CB4653"/>
    <w:rsid w:val="00CB46AD"/>
    <w:rsid w:val="00CB4948"/>
    <w:rsid w:val="00CB4FF4"/>
    <w:rsid w:val="00CB520C"/>
    <w:rsid w:val="00CB5351"/>
    <w:rsid w:val="00CB53D9"/>
    <w:rsid w:val="00CB59DE"/>
    <w:rsid w:val="00CB5A34"/>
    <w:rsid w:val="00CB5B18"/>
    <w:rsid w:val="00CB5FA8"/>
    <w:rsid w:val="00CB602D"/>
    <w:rsid w:val="00CB615C"/>
    <w:rsid w:val="00CB6478"/>
    <w:rsid w:val="00CB69B6"/>
    <w:rsid w:val="00CB6B32"/>
    <w:rsid w:val="00CB6C6A"/>
    <w:rsid w:val="00CB6D83"/>
    <w:rsid w:val="00CB6E3E"/>
    <w:rsid w:val="00CB7196"/>
    <w:rsid w:val="00CB71C3"/>
    <w:rsid w:val="00CB726C"/>
    <w:rsid w:val="00CB7511"/>
    <w:rsid w:val="00CB7535"/>
    <w:rsid w:val="00CB782B"/>
    <w:rsid w:val="00CB7878"/>
    <w:rsid w:val="00CB7B8A"/>
    <w:rsid w:val="00CB7C30"/>
    <w:rsid w:val="00CC008E"/>
    <w:rsid w:val="00CC01A3"/>
    <w:rsid w:val="00CC028C"/>
    <w:rsid w:val="00CC09D6"/>
    <w:rsid w:val="00CC0A4A"/>
    <w:rsid w:val="00CC0A8F"/>
    <w:rsid w:val="00CC0B56"/>
    <w:rsid w:val="00CC0F8D"/>
    <w:rsid w:val="00CC1119"/>
    <w:rsid w:val="00CC153A"/>
    <w:rsid w:val="00CC162E"/>
    <w:rsid w:val="00CC184F"/>
    <w:rsid w:val="00CC187B"/>
    <w:rsid w:val="00CC1C0D"/>
    <w:rsid w:val="00CC1C7F"/>
    <w:rsid w:val="00CC206D"/>
    <w:rsid w:val="00CC2190"/>
    <w:rsid w:val="00CC21D2"/>
    <w:rsid w:val="00CC2225"/>
    <w:rsid w:val="00CC23C1"/>
    <w:rsid w:val="00CC25D7"/>
    <w:rsid w:val="00CC2820"/>
    <w:rsid w:val="00CC299D"/>
    <w:rsid w:val="00CC2DD1"/>
    <w:rsid w:val="00CC2E72"/>
    <w:rsid w:val="00CC2F9B"/>
    <w:rsid w:val="00CC2FCA"/>
    <w:rsid w:val="00CC306B"/>
    <w:rsid w:val="00CC3419"/>
    <w:rsid w:val="00CC3423"/>
    <w:rsid w:val="00CC367F"/>
    <w:rsid w:val="00CC3B63"/>
    <w:rsid w:val="00CC3C08"/>
    <w:rsid w:val="00CC3E0A"/>
    <w:rsid w:val="00CC400B"/>
    <w:rsid w:val="00CC415A"/>
    <w:rsid w:val="00CC4318"/>
    <w:rsid w:val="00CC46CD"/>
    <w:rsid w:val="00CC48E4"/>
    <w:rsid w:val="00CC4C5A"/>
    <w:rsid w:val="00CC4C7E"/>
    <w:rsid w:val="00CC4DE8"/>
    <w:rsid w:val="00CC50E9"/>
    <w:rsid w:val="00CC5301"/>
    <w:rsid w:val="00CC57A9"/>
    <w:rsid w:val="00CC5906"/>
    <w:rsid w:val="00CC5B1F"/>
    <w:rsid w:val="00CC5ECC"/>
    <w:rsid w:val="00CC6066"/>
    <w:rsid w:val="00CC64AB"/>
    <w:rsid w:val="00CC68CB"/>
    <w:rsid w:val="00CC6924"/>
    <w:rsid w:val="00CC69DE"/>
    <w:rsid w:val="00CC6C99"/>
    <w:rsid w:val="00CC6EC7"/>
    <w:rsid w:val="00CC71DD"/>
    <w:rsid w:val="00CC72D6"/>
    <w:rsid w:val="00CC771A"/>
    <w:rsid w:val="00CC7FDC"/>
    <w:rsid w:val="00CD0484"/>
    <w:rsid w:val="00CD0570"/>
    <w:rsid w:val="00CD073E"/>
    <w:rsid w:val="00CD0953"/>
    <w:rsid w:val="00CD0AE7"/>
    <w:rsid w:val="00CD0BAB"/>
    <w:rsid w:val="00CD0BE7"/>
    <w:rsid w:val="00CD0D7B"/>
    <w:rsid w:val="00CD0DD6"/>
    <w:rsid w:val="00CD0E27"/>
    <w:rsid w:val="00CD1107"/>
    <w:rsid w:val="00CD1CA4"/>
    <w:rsid w:val="00CD1EC4"/>
    <w:rsid w:val="00CD2030"/>
    <w:rsid w:val="00CD230A"/>
    <w:rsid w:val="00CD2397"/>
    <w:rsid w:val="00CD24AF"/>
    <w:rsid w:val="00CD25CA"/>
    <w:rsid w:val="00CD25E6"/>
    <w:rsid w:val="00CD2692"/>
    <w:rsid w:val="00CD294C"/>
    <w:rsid w:val="00CD2C56"/>
    <w:rsid w:val="00CD2CAC"/>
    <w:rsid w:val="00CD306B"/>
    <w:rsid w:val="00CD3183"/>
    <w:rsid w:val="00CD331F"/>
    <w:rsid w:val="00CD33AC"/>
    <w:rsid w:val="00CD344E"/>
    <w:rsid w:val="00CD34B7"/>
    <w:rsid w:val="00CD34D7"/>
    <w:rsid w:val="00CD3734"/>
    <w:rsid w:val="00CD3784"/>
    <w:rsid w:val="00CD3AE7"/>
    <w:rsid w:val="00CD3B0B"/>
    <w:rsid w:val="00CD3B28"/>
    <w:rsid w:val="00CD3CD3"/>
    <w:rsid w:val="00CD3F45"/>
    <w:rsid w:val="00CD4322"/>
    <w:rsid w:val="00CD440B"/>
    <w:rsid w:val="00CD459B"/>
    <w:rsid w:val="00CD463D"/>
    <w:rsid w:val="00CD46B1"/>
    <w:rsid w:val="00CD46C0"/>
    <w:rsid w:val="00CD4768"/>
    <w:rsid w:val="00CD47E2"/>
    <w:rsid w:val="00CD493D"/>
    <w:rsid w:val="00CD4A3A"/>
    <w:rsid w:val="00CD4AC2"/>
    <w:rsid w:val="00CD4B7A"/>
    <w:rsid w:val="00CD4D6E"/>
    <w:rsid w:val="00CD505B"/>
    <w:rsid w:val="00CD5061"/>
    <w:rsid w:val="00CD560F"/>
    <w:rsid w:val="00CD58FC"/>
    <w:rsid w:val="00CD5970"/>
    <w:rsid w:val="00CD5A0E"/>
    <w:rsid w:val="00CD5B26"/>
    <w:rsid w:val="00CD5B75"/>
    <w:rsid w:val="00CD5CAB"/>
    <w:rsid w:val="00CD5E77"/>
    <w:rsid w:val="00CD6033"/>
    <w:rsid w:val="00CD60F5"/>
    <w:rsid w:val="00CD6301"/>
    <w:rsid w:val="00CD6818"/>
    <w:rsid w:val="00CD6B27"/>
    <w:rsid w:val="00CD6DA2"/>
    <w:rsid w:val="00CD6F30"/>
    <w:rsid w:val="00CD6F74"/>
    <w:rsid w:val="00CD7251"/>
    <w:rsid w:val="00CD72A5"/>
    <w:rsid w:val="00CD75B8"/>
    <w:rsid w:val="00CD7607"/>
    <w:rsid w:val="00CD77FA"/>
    <w:rsid w:val="00CD7ABE"/>
    <w:rsid w:val="00CE06B7"/>
    <w:rsid w:val="00CE08DA"/>
    <w:rsid w:val="00CE0A29"/>
    <w:rsid w:val="00CE0C31"/>
    <w:rsid w:val="00CE0F41"/>
    <w:rsid w:val="00CE107E"/>
    <w:rsid w:val="00CE15C1"/>
    <w:rsid w:val="00CE17ED"/>
    <w:rsid w:val="00CE181C"/>
    <w:rsid w:val="00CE18F8"/>
    <w:rsid w:val="00CE19F0"/>
    <w:rsid w:val="00CE211D"/>
    <w:rsid w:val="00CE2427"/>
    <w:rsid w:val="00CE244D"/>
    <w:rsid w:val="00CE2472"/>
    <w:rsid w:val="00CE2996"/>
    <w:rsid w:val="00CE2CCB"/>
    <w:rsid w:val="00CE3183"/>
    <w:rsid w:val="00CE319E"/>
    <w:rsid w:val="00CE3429"/>
    <w:rsid w:val="00CE361B"/>
    <w:rsid w:val="00CE3D29"/>
    <w:rsid w:val="00CE3FB2"/>
    <w:rsid w:val="00CE44B7"/>
    <w:rsid w:val="00CE4545"/>
    <w:rsid w:val="00CE48F1"/>
    <w:rsid w:val="00CE53BE"/>
    <w:rsid w:val="00CE5973"/>
    <w:rsid w:val="00CE5CAE"/>
    <w:rsid w:val="00CE5D3D"/>
    <w:rsid w:val="00CE5F4E"/>
    <w:rsid w:val="00CE61AF"/>
    <w:rsid w:val="00CE63AE"/>
    <w:rsid w:val="00CE65A4"/>
    <w:rsid w:val="00CE698E"/>
    <w:rsid w:val="00CE69C8"/>
    <w:rsid w:val="00CE6A77"/>
    <w:rsid w:val="00CE6E1B"/>
    <w:rsid w:val="00CE6F38"/>
    <w:rsid w:val="00CE7201"/>
    <w:rsid w:val="00CE730E"/>
    <w:rsid w:val="00CE762E"/>
    <w:rsid w:val="00CE7663"/>
    <w:rsid w:val="00CE7692"/>
    <w:rsid w:val="00CE789D"/>
    <w:rsid w:val="00CF007D"/>
    <w:rsid w:val="00CF00D0"/>
    <w:rsid w:val="00CF01A0"/>
    <w:rsid w:val="00CF0A20"/>
    <w:rsid w:val="00CF0BB0"/>
    <w:rsid w:val="00CF0BD2"/>
    <w:rsid w:val="00CF0C60"/>
    <w:rsid w:val="00CF0D49"/>
    <w:rsid w:val="00CF0F23"/>
    <w:rsid w:val="00CF1265"/>
    <w:rsid w:val="00CF1718"/>
    <w:rsid w:val="00CF1E79"/>
    <w:rsid w:val="00CF1F4E"/>
    <w:rsid w:val="00CF1F94"/>
    <w:rsid w:val="00CF1FF1"/>
    <w:rsid w:val="00CF1FFB"/>
    <w:rsid w:val="00CF201A"/>
    <w:rsid w:val="00CF205D"/>
    <w:rsid w:val="00CF22A9"/>
    <w:rsid w:val="00CF22D0"/>
    <w:rsid w:val="00CF2319"/>
    <w:rsid w:val="00CF2694"/>
    <w:rsid w:val="00CF27C2"/>
    <w:rsid w:val="00CF292F"/>
    <w:rsid w:val="00CF2A2D"/>
    <w:rsid w:val="00CF2B07"/>
    <w:rsid w:val="00CF2D6B"/>
    <w:rsid w:val="00CF2F24"/>
    <w:rsid w:val="00CF31C4"/>
    <w:rsid w:val="00CF3250"/>
    <w:rsid w:val="00CF33E8"/>
    <w:rsid w:val="00CF3591"/>
    <w:rsid w:val="00CF37EA"/>
    <w:rsid w:val="00CF3A4A"/>
    <w:rsid w:val="00CF3EE1"/>
    <w:rsid w:val="00CF461A"/>
    <w:rsid w:val="00CF467D"/>
    <w:rsid w:val="00CF48B9"/>
    <w:rsid w:val="00CF4980"/>
    <w:rsid w:val="00CF4AA3"/>
    <w:rsid w:val="00CF4DB5"/>
    <w:rsid w:val="00CF4EF3"/>
    <w:rsid w:val="00CF5137"/>
    <w:rsid w:val="00CF5277"/>
    <w:rsid w:val="00CF54D0"/>
    <w:rsid w:val="00CF5E18"/>
    <w:rsid w:val="00CF6177"/>
    <w:rsid w:val="00CF6669"/>
    <w:rsid w:val="00CF67C6"/>
    <w:rsid w:val="00CF68FD"/>
    <w:rsid w:val="00CF697B"/>
    <w:rsid w:val="00CF6B77"/>
    <w:rsid w:val="00CF6BF0"/>
    <w:rsid w:val="00CF6D72"/>
    <w:rsid w:val="00CF6D8F"/>
    <w:rsid w:val="00CF6DED"/>
    <w:rsid w:val="00CF6F35"/>
    <w:rsid w:val="00CF6FF1"/>
    <w:rsid w:val="00CF7209"/>
    <w:rsid w:val="00CF73DE"/>
    <w:rsid w:val="00CF7C41"/>
    <w:rsid w:val="00CF7CB1"/>
    <w:rsid w:val="00CF7D08"/>
    <w:rsid w:val="00CF7DB0"/>
    <w:rsid w:val="00CF7EE4"/>
    <w:rsid w:val="00D00486"/>
    <w:rsid w:val="00D0072A"/>
    <w:rsid w:val="00D007EC"/>
    <w:rsid w:val="00D01052"/>
    <w:rsid w:val="00D01082"/>
    <w:rsid w:val="00D011F8"/>
    <w:rsid w:val="00D0123D"/>
    <w:rsid w:val="00D01254"/>
    <w:rsid w:val="00D01654"/>
    <w:rsid w:val="00D01AE7"/>
    <w:rsid w:val="00D01F0D"/>
    <w:rsid w:val="00D02076"/>
    <w:rsid w:val="00D02315"/>
    <w:rsid w:val="00D02489"/>
    <w:rsid w:val="00D02520"/>
    <w:rsid w:val="00D0277F"/>
    <w:rsid w:val="00D02A30"/>
    <w:rsid w:val="00D02E1B"/>
    <w:rsid w:val="00D02F60"/>
    <w:rsid w:val="00D0341A"/>
    <w:rsid w:val="00D0344A"/>
    <w:rsid w:val="00D03A6F"/>
    <w:rsid w:val="00D03DA7"/>
    <w:rsid w:val="00D03DAF"/>
    <w:rsid w:val="00D04543"/>
    <w:rsid w:val="00D0463D"/>
    <w:rsid w:val="00D0535A"/>
    <w:rsid w:val="00D053CB"/>
    <w:rsid w:val="00D05486"/>
    <w:rsid w:val="00D056B7"/>
    <w:rsid w:val="00D05AC9"/>
    <w:rsid w:val="00D061AD"/>
    <w:rsid w:val="00D0634E"/>
    <w:rsid w:val="00D066B6"/>
    <w:rsid w:val="00D06817"/>
    <w:rsid w:val="00D06ADA"/>
    <w:rsid w:val="00D06B72"/>
    <w:rsid w:val="00D06EAD"/>
    <w:rsid w:val="00D06FC9"/>
    <w:rsid w:val="00D07441"/>
    <w:rsid w:val="00D074C8"/>
    <w:rsid w:val="00D076A2"/>
    <w:rsid w:val="00D07A3A"/>
    <w:rsid w:val="00D07DD1"/>
    <w:rsid w:val="00D07E66"/>
    <w:rsid w:val="00D07ED7"/>
    <w:rsid w:val="00D101FB"/>
    <w:rsid w:val="00D10259"/>
    <w:rsid w:val="00D10288"/>
    <w:rsid w:val="00D1030F"/>
    <w:rsid w:val="00D104E0"/>
    <w:rsid w:val="00D105D2"/>
    <w:rsid w:val="00D1075D"/>
    <w:rsid w:val="00D1086F"/>
    <w:rsid w:val="00D10899"/>
    <w:rsid w:val="00D10ADE"/>
    <w:rsid w:val="00D10CAE"/>
    <w:rsid w:val="00D111C6"/>
    <w:rsid w:val="00D1142E"/>
    <w:rsid w:val="00D119B6"/>
    <w:rsid w:val="00D11A52"/>
    <w:rsid w:val="00D11C10"/>
    <w:rsid w:val="00D11E0A"/>
    <w:rsid w:val="00D1219A"/>
    <w:rsid w:val="00D127C0"/>
    <w:rsid w:val="00D12832"/>
    <w:rsid w:val="00D1284A"/>
    <w:rsid w:val="00D12889"/>
    <w:rsid w:val="00D130AD"/>
    <w:rsid w:val="00D130F2"/>
    <w:rsid w:val="00D13308"/>
    <w:rsid w:val="00D1354F"/>
    <w:rsid w:val="00D1359B"/>
    <w:rsid w:val="00D1367B"/>
    <w:rsid w:val="00D13BE5"/>
    <w:rsid w:val="00D14034"/>
    <w:rsid w:val="00D1435C"/>
    <w:rsid w:val="00D14417"/>
    <w:rsid w:val="00D14871"/>
    <w:rsid w:val="00D14AAC"/>
    <w:rsid w:val="00D14C0F"/>
    <w:rsid w:val="00D14C56"/>
    <w:rsid w:val="00D14CFF"/>
    <w:rsid w:val="00D14F11"/>
    <w:rsid w:val="00D1508F"/>
    <w:rsid w:val="00D150D3"/>
    <w:rsid w:val="00D153AA"/>
    <w:rsid w:val="00D153D0"/>
    <w:rsid w:val="00D15593"/>
    <w:rsid w:val="00D156A7"/>
    <w:rsid w:val="00D156E5"/>
    <w:rsid w:val="00D15819"/>
    <w:rsid w:val="00D158D6"/>
    <w:rsid w:val="00D15D08"/>
    <w:rsid w:val="00D1611F"/>
    <w:rsid w:val="00D16480"/>
    <w:rsid w:val="00D169CB"/>
    <w:rsid w:val="00D169DD"/>
    <w:rsid w:val="00D16A9F"/>
    <w:rsid w:val="00D16BD5"/>
    <w:rsid w:val="00D170F1"/>
    <w:rsid w:val="00D1732A"/>
    <w:rsid w:val="00D173BD"/>
    <w:rsid w:val="00D17573"/>
    <w:rsid w:val="00D17E41"/>
    <w:rsid w:val="00D17F0D"/>
    <w:rsid w:val="00D20169"/>
    <w:rsid w:val="00D204F3"/>
    <w:rsid w:val="00D20860"/>
    <w:rsid w:val="00D20A2B"/>
    <w:rsid w:val="00D20E55"/>
    <w:rsid w:val="00D21147"/>
    <w:rsid w:val="00D2131E"/>
    <w:rsid w:val="00D21358"/>
    <w:rsid w:val="00D214FC"/>
    <w:rsid w:val="00D21570"/>
    <w:rsid w:val="00D21A35"/>
    <w:rsid w:val="00D21B15"/>
    <w:rsid w:val="00D21E99"/>
    <w:rsid w:val="00D21F99"/>
    <w:rsid w:val="00D2245C"/>
    <w:rsid w:val="00D22726"/>
    <w:rsid w:val="00D22895"/>
    <w:rsid w:val="00D22993"/>
    <w:rsid w:val="00D22DED"/>
    <w:rsid w:val="00D22F2F"/>
    <w:rsid w:val="00D22FEB"/>
    <w:rsid w:val="00D23237"/>
    <w:rsid w:val="00D232DE"/>
    <w:rsid w:val="00D23618"/>
    <w:rsid w:val="00D2397C"/>
    <w:rsid w:val="00D23B69"/>
    <w:rsid w:val="00D23CD8"/>
    <w:rsid w:val="00D23DA6"/>
    <w:rsid w:val="00D24AA3"/>
    <w:rsid w:val="00D25735"/>
    <w:rsid w:val="00D25980"/>
    <w:rsid w:val="00D25CD6"/>
    <w:rsid w:val="00D25D66"/>
    <w:rsid w:val="00D25DF1"/>
    <w:rsid w:val="00D25F96"/>
    <w:rsid w:val="00D26169"/>
    <w:rsid w:val="00D261BF"/>
    <w:rsid w:val="00D26349"/>
    <w:rsid w:val="00D26673"/>
    <w:rsid w:val="00D268F8"/>
    <w:rsid w:val="00D26905"/>
    <w:rsid w:val="00D27052"/>
    <w:rsid w:val="00D273A2"/>
    <w:rsid w:val="00D27648"/>
    <w:rsid w:val="00D27A9C"/>
    <w:rsid w:val="00D27F0B"/>
    <w:rsid w:val="00D300C0"/>
    <w:rsid w:val="00D303AE"/>
    <w:rsid w:val="00D30984"/>
    <w:rsid w:val="00D309C9"/>
    <w:rsid w:val="00D30BA8"/>
    <w:rsid w:val="00D30BF7"/>
    <w:rsid w:val="00D30CEC"/>
    <w:rsid w:val="00D3109B"/>
    <w:rsid w:val="00D31579"/>
    <w:rsid w:val="00D31580"/>
    <w:rsid w:val="00D316D0"/>
    <w:rsid w:val="00D3190F"/>
    <w:rsid w:val="00D31E94"/>
    <w:rsid w:val="00D31EB9"/>
    <w:rsid w:val="00D31F07"/>
    <w:rsid w:val="00D31F80"/>
    <w:rsid w:val="00D3200E"/>
    <w:rsid w:val="00D323FA"/>
    <w:rsid w:val="00D324C4"/>
    <w:rsid w:val="00D325E3"/>
    <w:rsid w:val="00D328FC"/>
    <w:rsid w:val="00D32A2B"/>
    <w:rsid w:val="00D3311F"/>
    <w:rsid w:val="00D33140"/>
    <w:rsid w:val="00D3318F"/>
    <w:rsid w:val="00D33282"/>
    <w:rsid w:val="00D33314"/>
    <w:rsid w:val="00D334AF"/>
    <w:rsid w:val="00D3379A"/>
    <w:rsid w:val="00D33880"/>
    <w:rsid w:val="00D33B8E"/>
    <w:rsid w:val="00D33F6E"/>
    <w:rsid w:val="00D34018"/>
    <w:rsid w:val="00D3421A"/>
    <w:rsid w:val="00D34BC4"/>
    <w:rsid w:val="00D34CA6"/>
    <w:rsid w:val="00D34D6F"/>
    <w:rsid w:val="00D34FE2"/>
    <w:rsid w:val="00D3512C"/>
    <w:rsid w:val="00D35229"/>
    <w:rsid w:val="00D353A6"/>
    <w:rsid w:val="00D354F5"/>
    <w:rsid w:val="00D35B30"/>
    <w:rsid w:val="00D35CC9"/>
    <w:rsid w:val="00D35D26"/>
    <w:rsid w:val="00D35F01"/>
    <w:rsid w:val="00D3602E"/>
    <w:rsid w:val="00D36133"/>
    <w:rsid w:val="00D365FD"/>
    <w:rsid w:val="00D36626"/>
    <w:rsid w:val="00D36659"/>
    <w:rsid w:val="00D368E1"/>
    <w:rsid w:val="00D36A82"/>
    <w:rsid w:val="00D36F8A"/>
    <w:rsid w:val="00D37118"/>
    <w:rsid w:val="00D371D2"/>
    <w:rsid w:val="00D3728E"/>
    <w:rsid w:val="00D37676"/>
    <w:rsid w:val="00D37D36"/>
    <w:rsid w:val="00D37F15"/>
    <w:rsid w:val="00D402F7"/>
    <w:rsid w:val="00D4036C"/>
    <w:rsid w:val="00D403F1"/>
    <w:rsid w:val="00D40525"/>
    <w:rsid w:val="00D4083B"/>
    <w:rsid w:val="00D40BCD"/>
    <w:rsid w:val="00D41062"/>
    <w:rsid w:val="00D4133E"/>
    <w:rsid w:val="00D41522"/>
    <w:rsid w:val="00D41744"/>
    <w:rsid w:val="00D41A59"/>
    <w:rsid w:val="00D41C36"/>
    <w:rsid w:val="00D41D85"/>
    <w:rsid w:val="00D41DD2"/>
    <w:rsid w:val="00D4234C"/>
    <w:rsid w:val="00D429D1"/>
    <w:rsid w:val="00D42F9F"/>
    <w:rsid w:val="00D4312D"/>
    <w:rsid w:val="00D4324F"/>
    <w:rsid w:val="00D432D8"/>
    <w:rsid w:val="00D43302"/>
    <w:rsid w:val="00D4331A"/>
    <w:rsid w:val="00D4346F"/>
    <w:rsid w:val="00D4350B"/>
    <w:rsid w:val="00D43542"/>
    <w:rsid w:val="00D435AF"/>
    <w:rsid w:val="00D436CD"/>
    <w:rsid w:val="00D437E0"/>
    <w:rsid w:val="00D43A5E"/>
    <w:rsid w:val="00D43C4F"/>
    <w:rsid w:val="00D44528"/>
    <w:rsid w:val="00D4460D"/>
    <w:rsid w:val="00D44759"/>
    <w:rsid w:val="00D44787"/>
    <w:rsid w:val="00D4480E"/>
    <w:rsid w:val="00D44CBC"/>
    <w:rsid w:val="00D44E92"/>
    <w:rsid w:val="00D44F45"/>
    <w:rsid w:val="00D45127"/>
    <w:rsid w:val="00D4520E"/>
    <w:rsid w:val="00D454CC"/>
    <w:rsid w:val="00D45936"/>
    <w:rsid w:val="00D45AE4"/>
    <w:rsid w:val="00D45B18"/>
    <w:rsid w:val="00D4602A"/>
    <w:rsid w:val="00D46070"/>
    <w:rsid w:val="00D46157"/>
    <w:rsid w:val="00D4615F"/>
    <w:rsid w:val="00D461B9"/>
    <w:rsid w:val="00D46289"/>
    <w:rsid w:val="00D462D4"/>
    <w:rsid w:val="00D464D1"/>
    <w:rsid w:val="00D46539"/>
    <w:rsid w:val="00D46540"/>
    <w:rsid w:val="00D4670F"/>
    <w:rsid w:val="00D46831"/>
    <w:rsid w:val="00D46CD6"/>
    <w:rsid w:val="00D46FEC"/>
    <w:rsid w:val="00D472B2"/>
    <w:rsid w:val="00D47387"/>
    <w:rsid w:val="00D47420"/>
    <w:rsid w:val="00D47E1B"/>
    <w:rsid w:val="00D47E4E"/>
    <w:rsid w:val="00D47ECE"/>
    <w:rsid w:val="00D501B9"/>
    <w:rsid w:val="00D50651"/>
    <w:rsid w:val="00D506CB"/>
    <w:rsid w:val="00D506F8"/>
    <w:rsid w:val="00D50AE4"/>
    <w:rsid w:val="00D50D50"/>
    <w:rsid w:val="00D50DDB"/>
    <w:rsid w:val="00D50F21"/>
    <w:rsid w:val="00D51B93"/>
    <w:rsid w:val="00D51BE0"/>
    <w:rsid w:val="00D51E1A"/>
    <w:rsid w:val="00D51E35"/>
    <w:rsid w:val="00D523A2"/>
    <w:rsid w:val="00D523A6"/>
    <w:rsid w:val="00D525AD"/>
    <w:rsid w:val="00D525B6"/>
    <w:rsid w:val="00D52983"/>
    <w:rsid w:val="00D52A27"/>
    <w:rsid w:val="00D52A80"/>
    <w:rsid w:val="00D52C35"/>
    <w:rsid w:val="00D52E9B"/>
    <w:rsid w:val="00D53011"/>
    <w:rsid w:val="00D5313D"/>
    <w:rsid w:val="00D531A2"/>
    <w:rsid w:val="00D53537"/>
    <w:rsid w:val="00D5356B"/>
    <w:rsid w:val="00D53808"/>
    <w:rsid w:val="00D538E2"/>
    <w:rsid w:val="00D53E41"/>
    <w:rsid w:val="00D53E56"/>
    <w:rsid w:val="00D53ECB"/>
    <w:rsid w:val="00D54208"/>
    <w:rsid w:val="00D544FD"/>
    <w:rsid w:val="00D548CE"/>
    <w:rsid w:val="00D549D3"/>
    <w:rsid w:val="00D54D29"/>
    <w:rsid w:val="00D54D9D"/>
    <w:rsid w:val="00D54EB8"/>
    <w:rsid w:val="00D552C4"/>
    <w:rsid w:val="00D55BA5"/>
    <w:rsid w:val="00D55BF9"/>
    <w:rsid w:val="00D55ECE"/>
    <w:rsid w:val="00D563DC"/>
    <w:rsid w:val="00D56430"/>
    <w:rsid w:val="00D5654B"/>
    <w:rsid w:val="00D569F6"/>
    <w:rsid w:val="00D56B7D"/>
    <w:rsid w:val="00D56BD9"/>
    <w:rsid w:val="00D56C47"/>
    <w:rsid w:val="00D56C77"/>
    <w:rsid w:val="00D56CE6"/>
    <w:rsid w:val="00D56E07"/>
    <w:rsid w:val="00D56E64"/>
    <w:rsid w:val="00D572D6"/>
    <w:rsid w:val="00D5793E"/>
    <w:rsid w:val="00D57A7D"/>
    <w:rsid w:val="00D57EFD"/>
    <w:rsid w:val="00D60051"/>
    <w:rsid w:val="00D600CE"/>
    <w:rsid w:val="00D6082A"/>
    <w:rsid w:val="00D60B4B"/>
    <w:rsid w:val="00D60C09"/>
    <w:rsid w:val="00D60D75"/>
    <w:rsid w:val="00D60E9D"/>
    <w:rsid w:val="00D618AB"/>
    <w:rsid w:val="00D61A35"/>
    <w:rsid w:val="00D61B08"/>
    <w:rsid w:val="00D61D3F"/>
    <w:rsid w:val="00D61D85"/>
    <w:rsid w:val="00D61E1A"/>
    <w:rsid w:val="00D62170"/>
    <w:rsid w:val="00D62831"/>
    <w:rsid w:val="00D62834"/>
    <w:rsid w:val="00D628BD"/>
    <w:rsid w:val="00D62D0E"/>
    <w:rsid w:val="00D63038"/>
    <w:rsid w:val="00D6332D"/>
    <w:rsid w:val="00D63677"/>
    <w:rsid w:val="00D63AD7"/>
    <w:rsid w:val="00D63B34"/>
    <w:rsid w:val="00D63C73"/>
    <w:rsid w:val="00D64028"/>
    <w:rsid w:val="00D641AF"/>
    <w:rsid w:val="00D6433B"/>
    <w:rsid w:val="00D6448F"/>
    <w:rsid w:val="00D645A3"/>
    <w:rsid w:val="00D645D6"/>
    <w:rsid w:val="00D6483E"/>
    <w:rsid w:val="00D64C10"/>
    <w:rsid w:val="00D64F9A"/>
    <w:rsid w:val="00D6501C"/>
    <w:rsid w:val="00D65165"/>
    <w:rsid w:val="00D652EE"/>
    <w:rsid w:val="00D6559A"/>
    <w:rsid w:val="00D6597F"/>
    <w:rsid w:val="00D65CB9"/>
    <w:rsid w:val="00D65D60"/>
    <w:rsid w:val="00D65E15"/>
    <w:rsid w:val="00D65F0D"/>
    <w:rsid w:val="00D661B3"/>
    <w:rsid w:val="00D6623E"/>
    <w:rsid w:val="00D665F2"/>
    <w:rsid w:val="00D666AC"/>
    <w:rsid w:val="00D66B17"/>
    <w:rsid w:val="00D66B1F"/>
    <w:rsid w:val="00D66E10"/>
    <w:rsid w:val="00D6717E"/>
    <w:rsid w:val="00D67201"/>
    <w:rsid w:val="00D675F9"/>
    <w:rsid w:val="00D6772D"/>
    <w:rsid w:val="00D6779C"/>
    <w:rsid w:val="00D6782D"/>
    <w:rsid w:val="00D67A26"/>
    <w:rsid w:val="00D67A92"/>
    <w:rsid w:val="00D67AEC"/>
    <w:rsid w:val="00D67B09"/>
    <w:rsid w:val="00D67FFB"/>
    <w:rsid w:val="00D700CC"/>
    <w:rsid w:val="00D7018B"/>
    <w:rsid w:val="00D70203"/>
    <w:rsid w:val="00D70817"/>
    <w:rsid w:val="00D70C7B"/>
    <w:rsid w:val="00D7113B"/>
    <w:rsid w:val="00D7186C"/>
    <w:rsid w:val="00D71906"/>
    <w:rsid w:val="00D71B46"/>
    <w:rsid w:val="00D71C07"/>
    <w:rsid w:val="00D71F49"/>
    <w:rsid w:val="00D72226"/>
    <w:rsid w:val="00D723BB"/>
    <w:rsid w:val="00D723DA"/>
    <w:rsid w:val="00D72530"/>
    <w:rsid w:val="00D7256A"/>
    <w:rsid w:val="00D72737"/>
    <w:rsid w:val="00D72F07"/>
    <w:rsid w:val="00D7323D"/>
    <w:rsid w:val="00D73631"/>
    <w:rsid w:val="00D7376D"/>
    <w:rsid w:val="00D73A09"/>
    <w:rsid w:val="00D73EDD"/>
    <w:rsid w:val="00D74337"/>
    <w:rsid w:val="00D749A5"/>
    <w:rsid w:val="00D74B19"/>
    <w:rsid w:val="00D74B72"/>
    <w:rsid w:val="00D74BCE"/>
    <w:rsid w:val="00D74CBE"/>
    <w:rsid w:val="00D74DD4"/>
    <w:rsid w:val="00D7554E"/>
    <w:rsid w:val="00D758BC"/>
    <w:rsid w:val="00D75CBA"/>
    <w:rsid w:val="00D76021"/>
    <w:rsid w:val="00D760D5"/>
    <w:rsid w:val="00D7645F"/>
    <w:rsid w:val="00D766C9"/>
    <w:rsid w:val="00D766D6"/>
    <w:rsid w:val="00D766FC"/>
    <w:rsid w:val="00D7675B"/>
    <w:rsid w:val="00D767DE"/>
    <w:rsid w:val="00D76C13"/>
    <w:rsid w:val="00D76C81"/>
    <w:rsid w:val="00D76D59"/>
    <w:rsid w:val="00D76F03"/>
    <w:rsid w:val="00D770C7"/>
    <w:rsid w:val="00D7780F"/>
    <w:rsid w:val="00D77EE6"/>
    <w:rsid w:val="00D8002C"/>
    <w:rsid w:val="00D80037"/>
    <w:rsid w:val="00D80319"/>
    <w:rsid w:val="00D80340"/>
    <w:rsid w:val="00D8094C"/>
    <w:rsid w:val="00D80D72"/>
    <w:rsid w:val="00D81315"/>
    <w:rsid w:val="00D815D4"/>
    <w:rsid w:val="00D8166A"/>
    <w:rsid w:val="00D81D5A"/>
    <w:rsid w:val="00D8225C"/>
    <w:rsid w:val="00D823C4"/>
    <w:rsid w:val="00D8280A"/>
    <w:rsid w:val="00D8290B"/>
    <w:rsid w:val="00D82E20"/>
    <w:rsid w:val="00D82FFA"/>
    <w:rsid w:val="00D8311B"/>
    <w:rsid w:val="00D8331E"/>
    <w:rsid w:val="00D834CE"/>
    <w:rsid w:val="00D838AD"/>
    <w:rsid w:val="00D8396C"/>
    <w:rsid w:val="00D83A3D"/>
    <w:rsid w:val="00D83D99"/>
    <w:rsid w:val="00D83E63"/>
    <w:rsid w:val="00D83E94"/>
    <w:rsid w:val="00D83EF4"/>
    <w:rsid w:val="00D8406D"/>
    <w:rsid w:val="00D842CD"/>
    <w:rsid w:val="00D842F5"/>
    <w:rsid w:val="00D843CD"/>
    <w:rsid w:val="00D845DB"/>
    <w:rsid w:val="00D84967"/>
    <w:rsid w:val="00D8496E"/>
    <w:rsid w:val="00D84A3E"/>
    <w:rsid w:val="00D84B8E"/>
    <w:rsid w:val="00D84FB4"/>
    <w:rsid w:val="00D854F7"/>
    <w:rsid w:val="00D8575F"/>
    <w:rsid w:val="00D8593B"/>
    <w:rsid w:val="00D85D45"/>
    <w:rsid w:val="00D85FBC"/>
    <w:rsid w:val="00D8623B"/>
    <w:rsid w:val="00D86540"/>
    <w:rsid w:val="00D866DF"/>
    <w:rsid w:val="00D86875"/>
    <w:rsid w:val="00D86928"/>
    <w:rsid w:val="00D86A6D"/>
    <w:rsid w:val="00D86D25"/>
    <w:rsid w:val="00D86EA8"/>
    <w:rsid w:val="00D86F50"/>
    <w:rsid w:val="00D8760A"/>
    <w:rsid w:val="00D8792F"/>
    <w:rsid w:val="00D87980"/>
    <w:rsid w:val="00D8799E"/>
    <w:rsid w:val="00D87D7F"/>
    <w:rsid w:val="00D87D8B"/>
    <w:rsid w:val="00D90673"/>
    <w:rsid w:val="00D90A71"/>
    <w:rsid w:val="00D90C48"/>
    <w:rsid w:val="00D90EDD"/>
    <w:rsid w:val="00D90F38"/>
    <w:rsid w:val="00D91346"/>
    <w:rsid w:val="00D9143F"/>
    <w:rsid w:val="00D91803"/>
    <w:rsid w:val="00D91DA9"/>
    <w:rsid w:val="00D91FE4"/>
    <w:rsid w:val="00D92222"/>
    <w:rsid w:val="00D926CA"/>
    <w:rsid w:val="00D92A4E"/>
    <w:rsid w:val="00D92B1F"/>
    <w:rsid w:val="00D92CEB"/>
    <w:rsid w:val="00D92D9A"/>
    <w:rsid w:val="00D92F18"/>
    <w:rsid w:val="00D9300D"/>
    <w:rsid w:val="00D930D5"/>
    <w:rsid w:val="00D930D8"/>
    <w:rsid w:val="00D93122"/>
    <w:rsid w:val="00D9352D"/>
    <w:rsid w:val="00D936A7"/>
    <w:rsid w:val="00D938D8"/>
    <w:rsid w:val="00D93948"/>
    <w:rsid w:val="00D93D9F"/>
    <w:rsid w:val="00D93EDD"/>
    <w:rsid w:val="00D93FAF"/>
    <w:rsid w:val="00D9470F"/>
    <w:rsid w:val="00D94851"/>
    <w:rsid w:val="00D94C57"/>
    <w:rsid w:val="00D94D6F"/>
    <w:rsid w:val="00D94F52"/>
    <w:rsid w:val="00D95029"/>
    <w:rsid w:val="00D952A3"/>
    <w:rsid w:val="00D95477"/>
    <w:rsid w:val="00D9568B"/>
    <w:rsid w:val="00D958D9"/>
    <w:rsid w:val="00D95E85"/>
    <w:rsid w:val="00D96028"/>
    <w:rsid w:val="00D96098"/>
    <w:rsid w:val="00D96159"/>
    <w:rsid w:val="00D9641E"/>
    <w:rsid w:val="00D96442"/>
    <w:rsid w:val="00D96617"/>
    <w:rsid w:val="00D969CC"/>
    <w:rsid w:val="00D96A31"/>
    <w:rsid w:val="00D96B63"/>
    <w:rsid w:val="00D96C05"/>
    <w:rsid w:val="00D96F4B"/>
    <w:rsid w:val="00D97214"/>
    <w:rsid w:val="00D9734F"/>
    <w:rsid w:val="00D97590"/>
    <w:rsid w:val="00D97C49"/>
    <w:rsid w:val="00DA0210"/>
    <w:rsid w:val="00DA045F"/>
    <w:rsid w:val="00DA05AD"/>
    <w:rsid w:val="00DA05B0"/>
    <w:rsid w:val="00DA0963"/>
    <w:rsid w:val="00DA0E1D"/>
    <w:rsid w:val="00DA108D"/>
    <w:rsid w:val="00DA11BD"/>
    <w:rsid w:val="00DA128E"/>
    <w:rsid w:val="00DA1988"/>
    <w:rsid w:val="00DA1AAE"/>
    <w:rsid w:val="00DA1C10"/>
    <w:rsid w:val="00DA1EA6"/>
    <w:rsid w:val="00DA1EB1"/>
    <w:rsid w:val="00DA2470"/>
    <w:rsid w:val="00DA2626"/>
    <w:rsid w:val="00DA26D3"/>
    <w:rsid w:val="00DA278A"/>
    <w:rsid w:val="00DA27F7"/>
    <w:rsid w:val="00DA281F"/>
    <w:rsid w:val="00DA2867"/>
    <w:rsid w:val="00DA289C"/>
    <w:rsid w:val="00DA2A15"/>
    <w:rsid w:val="00DA378D"/>
    <w:rsid w:val="00DA37D0"/>
    <w:rsid w:val="00DA3850"/>
    <w:rsid w:val="00DA3919"/>
    <w:rsid w:val="00DA3AE9"/>
    <w:rsid w:val="00DA3B28"/>
    <w:rsid w:val="00DA3BD3"/>
    <w:rsid w:val="00DA3C1D"/>
    <w:rsid w:val="00DA3CBF"/>
    <w:rsid w:val="00DA40AA"/>
    <w:rsid w:val="00DA40CE"/>
    <w:rsid w:val="00DA42A2"/>
    <w:rsid w:val="00DA4495"/>
    <w:rsid w:val="00DA4573"/>
    <w:rsid w:val="00DA45DF"/>
    <w:rsid w:val="00DA47CC"/>
    <w:rsid w:val="00DA4F0A"/>
    <w:rsid w:val="00DA5489"/>
    <w:rsid w:val="00DA54DB"/>
    <w:rsid w:val="00DA5A99"/>
    <w:rsid w:val="00DA5B88"/>
    <w:rsid w:val="00DA5CDB"/>
    <w:rsid w:val="00DA6221"/>
    <w:rsid w:val="00DA6364"/>
    <w:rsid w:val="00DA64B8"/>
    <w:rsid w:val="00DA6618"/>
    <w:rsid w:val="00DA6766"/>
    <w:rsid w:val="00DA6DBE"/>
    <w:rsid w:val="00DA6E06"/>
    <w:rsid w:val="00DA6E92"/>
    <w:rsid w:val="00DA6F61"/>
    <w:rsid w:val="00DA6FD3"/>
    <w:rsid w:val="00DA7CB3"/>
    <w:rsid w:val="00DA7E0A"/>
    <w:rsid w:val="00DB0632"/>
    <w:rsid w:val="00DB0AD3"/>
    <w:rsid w:val="00DB0BA9"/>
    <w:rsid w:val="00DB0F3F"/>
    <w:rsid w:val="00DB116D"/>
    <w:rsid w:val="00DB1174"/>
    <w:rsid w:val="00DB14F0"/>
    <w:rsid w:val="00DB152B"/>
    <w:rsid w:val="00DB16E0"/>
    <w:rsid w:val="00DB1867"/>
    <w:rsid w:val="00DB1A77"/>
    <w:rsid w:val="00DB1AFC"/>
    <w:rsid w:val="00DB1C08"/>
    <w:rsid w:val="00DB2459"/>
    <w:rsid w:val="00DB279E"/>
    <w:rsid w:val="00DB2832"/>
    <w:rsid w:val="00DB2D2A"/>
    <w:rsid w:val="00DB2E9E"/>
    <w:rsid w:val="00DB3370"/>
    <w:rsid w:val="00DB342B"/>
    <w:rsid w:val="00DB3461"/>
    <w:rsid w:val="00DB348F"/>
    <w:rsid w:val="00DB3623"/>
    <w:rsid w:val="00DB365E"/>
    <w:rsid w:val="00DB376E"/>
    <w:rsid w:val="00DB37BB"/>
    <w:rsid w:val="00DB37FB"/>
    <w:rsid w:val="00DB3918"/>
    <w:rsid w:val="00DB39CC"/>
    <w:rsid w:val="00DB3DFB"/>
    <w:rsid w:val="00DB40EF"/>
    <w:rsid w:val="00DB4663"/>
    <w:rsid w:val="00DB4908"/>
    <w:rsid w:val="00DB4B58"/>
    <w:rsid w:val="00DB50CD"/>
    <w:rsid w:val="00DB5D1C"/>
    <w:rsid w:val="00DB5FC5"/>
    <w:rsid w:val="00DB610A"/>
    <w:rsid w:val="00DB6130"/>
    <w:rsid w:val="00DB6190"/>
    <w:rsid w:val="00DB63D2"/>
    <w:rsid w:val="00DB69F9"/>
    <w:rsid w:val="00DB6CCA"/>
    <w:rsid w:val="00DB7052"/>
    <w:rsid w:val="00DB77FD"/>
    <w:rsid w:val="00DB7844"/>
    <w:rsid w:val="00DB7895"/>
    <w:rsid w:val="00DB799A"/>
    <w:rsid w:val="00DB7B11"/>
    <w:rsid w:val="00DB7C8B"/>
    <w:rsid w:val="00DB7D8A"/>
    <w:rsid w:val="00DB7F66"/>
    <w:rsid w:val="00DC03A4"/>
    <w:rsid w:val="00DC03FD"/>
    <w:rsid w:val="00DC149D"/>
    <w:rsid w:val="00DC1726"/>
    <w:rsid w:val="00DC1794"/>
    <w:rsid w:val="00DC186C"/>
    <w:rsid w:val="00DC18DB"/>
    <w:rsid w:val="00DC1942"/>
    <w:rsid w:val="00DC1EBB"/>
    <w:rsid w:val="00DC1F91"/>
    <w:rsid w:val="00DC2050"/>
    <w:rsid w:val="00DC2086"/>
    <w:rsid w:val="00DC213D"/>
    <w:rsid w:val="00DC2240"/>
    <w:rsid w:val="00DC2322"/>
    <w:rsid w:val="00DC2562"/>
    <w:rsid w:val="00DC27C9"/>
    <w:rsid w:val="00DC28D1"/>
    <w:rsid w:val="00DC2AD3"/>
    <w:rsid w:val="00DC3399"/>
    <w:rsid w:val="00DC37F0"/>
    <w:rsid w:val="00DC389B"/>
    <w:rsid w:val="00DC42F2"/>
    <w:rsid w:val="00DC43ED"/>
    <w:rsid w:val="00DC455E"/>
    <w:rsid w:val="00DC457A"/>
    <w:rsid w:val="00DC4584"/>
    <w:rsid w:val="00DC46BB"/>
    <w:rsid w:val="00DC4A46"/>
    <w:rsid w:val="00DC51E9"/>
    <w:rsid w:val="00DC551D"/>
    <w:rsid w:val="00DC552A"/>
    <w:rsid w:val="00DC58C7"/>
    <w:rsid w:val="00DC5C46"/>
    <w:rsid w:val="00DC5C9A"/>
    <w:rsid w:val="00DC5D56"/>
    <w:rsid w:val="00DC5F3C"/>
    <w:rsid w:val="00DC60B6"/>
    <w:rsid w:val="00DC6188"/>
    <w:rsid w:val="00DC6352"/>
    <w:rsid w:val="00DC6793"/>
    <w:rsid w:val="00DC699E"/>
    <w:rsid w:val="00DC6A65"/>
    <w:rsid w:val="00DC6AC8"/>
    <w:rsid w:val="00DC6B5F"/>
    <w:rsid w:val="00DC6D4A"/>
    <w:rsid w:val="00DC6EE1"/>
    <w:rsid w:val="00DC72DD"/>
    <w:rsid w:val="00DC7319"/>
    <w:rsid w:val="00DC78C6"/>
    <w:rsid w:val="00DC7C0B"/>
    <w:rsid w:val="00DC7C47"/>
    <w:rsid w:val="00DC7DDE"/>
    <w:rsid w:val="00DC7EE0"/>
    <w:rsid w:val="00DD011E"/>
    <w:rsid w:val="00DD04D6"/>
    <w:rsid w:val="00DD0999"/>
    <w:rsid w:val="00DD1220"/>
    <w:rsid w:val="00DD16E9"/>
    <w:rsid w:val="00DD1810"/>
    <w:rsid w:val="00DD19A6"/>
    <w:rsid w:val="00DD1D2F"/>
    <w:rsid w:val="00DD220C"/>
    <w:rsid w:val="00DD248A"/>
    <w:rsid w:val="00DD2511"/>
    <w:rsid w:val="00DD289E"/>
    <w:rsid w:val="00DD298D"/>
    <w:rsid w:val="00DD2EAB"/>
    <w:rsid w:val="00DD319F"/>
    <w:rsid w:val="00DD322B"/>
    <w:rsid w:val="00DD35C2"/>
    <w:rsid w:val="00DD3600"/>
    <w:rsid w:val="00DD3856"/>
    <w:rsid w:val="00DD3B18"/>
    <w:rsid w:val="00DD40D7"/>
    <w:rsid w:val="00DD41FD"/>
    <w:rsid w:val="00DD4C22"/>
    <w:rsid w:val="00DD4C26"/>
    <w:rsid w:val="00DD4CA6"/>
    <w:rsid w:val="00DD4EE1"/>
    <w:rsid w:val="00DD4F10"/>
    <w:rsid w:val="00DD5025"/>
    <w:rsid w:val="00DD52B2"/>
    <w:rsid w:val="00DD5397"/>
    <w:rsid w:val="00DD577E"/>
    <w:rsid w:val="00DD5A19"/>
    <w:rsid w:val="00DD5B32"/>
    <w:rsid w:val="00DD5C26"/>
    <w:rsid w:val="00DD5D1B"/>
    <w:rsid w:val="00DD6184"/>
    <w:rsid w:val="00DD6268"/>
    <w:rsid w:val="00DD6563"/>
    <w:rsid w:val="00DD6735"/>
    <w:rsid w:val="00DD677C"/>
    <w:rsid w:val="00DD6A1E"/>
    <w:rsid w:val="00DD6B73"/>
    <w:rsid w:val="00DD73A1"/>
    <w:rsid w:val="00DD73A5"/>
    <w:rsid w:val="00DD7623"/>
    <w:rsid w:val="00DD79EC"/>
    <w:rsid w:val="00DE0369"/>
    <w:rsid w:val="00DE0575"/>
    <w:rsid w:val="00DE09DC"/>
    <w:rsid w:val="00DE0C70"/>
    <w:rsid w:val="00DE0E2F"/>
    <w:rsid w:val="00DE0F7B"/>
    <w:rsid w:val="00DE1056"/>
    <w:rsid w:val="00DE11A7"/>
    <w:rsid w:val="00DE184A"/>
    <w:rsid w:val="00DE1A65"/>
    <w:rsid w:val="00DE1C9E"/>
    <w:rsid w:val="00DE1FF3"/>
    <w:rsid w:val="00DE21F5"/>
    <w:rsid w:val="00DE22D6"/>
    <w:rsid w:val="00DE25EE"/>
    <w:rsid w:val="00DE287F"/>
    <w:rsid w:val="00DE28CA"/>
    <w:rsid w:val="00DE2D8C"/>
    <w:rsid w:val="00DE30D2"/>
    <w:rsid w:val="00DE3307"/>
    <w:rsid w:val="00DE33EB"/>
    <w:rsid w:val="00DE33F0"/>
    <w:rsid w:val="00DE34F9"/>
    <w:rsid w:val="00DE3730"/>
    <w:rsid w:val="00DE4120"/>
    <w:rsid w:val="00DE430C"/>
    <w:rsid w:val="00DE44FB"/>
    <w:rsid w:val="00DE4745"/>
    <w:rsid w:val="00DE4945"/>
    <w:rsid w:val="00DE4954"/>
    <w:rsid w:val="00DE495A"/>
    <w:rsid w:val="00DE4AA8"/>
    <w:rsid w:val="00DE51E8"/>
    <w:rsid w:val="00DE544E"/>
    <w:rsid w:val="00DE5575"/>
    <w:rsid w:val="00DE5631"/>
    <w:rsid w:val="00DE564A"/>
    <w:rsid w:val="00DE5824"/>
    <w:rsid w:val="00DE5896"/>
    <w:rsid w:val="00DE5C67"/>
    <w:rsid w:val="00DE5D43"/>
    <w:rsid w:val="00DE5DB6"/>
    <w:rsid w:val="00DE602B"/>
    <w:rsid w:val="00DE6086"/>
    <w:rsid w:val="00DE60D0"/>
    <w:rsid w:val="00DE6569"/>
    <w:rsid w:val="00DE6594"/>
    <w:rsid w:val="00DE6624"/>
    <w:rsid w:val="00DE6724"/>
    <w:rsid w:val="00DE68EC"/>
    <w:rsid w:val="00DE6B4E"/>
    <w:rsid w:val="00DE6C3E"/>
    <w:rsid w:val="00DE6D08"/>
    <w:rsid w:val="00DE6F45"/>
    <w:rsid w:val="00DE756E"/>
    <w:rsid w:val="00DE7B94"/>
    <w:rsid w:val="00DE7CFA"/>
    <w:rsid w:val="00DE7E52"/>
    <w:rsid w:val="00DF0187"/>
    <w:rsid w:val="00DF0349"/>
    <w:rsid w:val="00DF0484"/>
    <w:rsid w:val="00DF04D9"/>
    <w:rsid w:val="00DF0A03"/>
    <w:rsid w:val="00DF0CFC"/>
    <w:rsid w:val="00DF13F2"/>
    <w:rsid w:val="00DF14BE"/>
    <w:rsid w:val="00DF1B1F"/>
    <w:rsid w:val="00DF1B48"/>
    <w:rsid w:val="00DF1D6B"/>
    <w:rsid w:val="00DF26AB"/>
    <w:rsid w:val="00DF2753"/>
    <w:rsid w:val="00DF2765"/>
    <w:rsid w:val="00DF2A00"/>
    <w:rsid w:val="00DF2AAD"/>
    <w:rsid w:val="00DF2C41"/>
    <w:rsid w:val="00DF2D3A"/>
    <w:rsid w:val="00DF30DC"/>
    <w:rsid w:val="00DF3560"/>
    <w:rsid w:val="00DF3A9F"/>
    <w:rsid w:val="00DF3AA3"/>
    <w:rsid w:val="00DF4318"/>
    <w:rsid w:val="00DF4BD5"/>
    <w:rsid w:val="00DF51C7"/>
    <w:rsid w:val="00DF5354"/>
    <w:rsid w:val="00DF53A4"/>
    <w:rsid w:val="00DF542D"/>
    <w:rsid w:val="00DF5FB8"/>
    <w:rsid w:val="00DF622F"/>
    <w:rsid w:val="00DF6A69"/>
    <w:rsid w:val="00DF6B75"/>
    <w:rsid w:val="00DF6D40"/>
    <w:rsid w:val="00DF6D5E"/>
    <w:rsid w:val="00DF7492"/>
    <w:rsid w:val="00DF758B"/>
    <w:rsid w:val="00DF76B2"/>
    <w:rsid w:val="00DF770A"/>
    <w:rsid w:val="00DF776A"/>
    <w:rsid w:val="00DF77BC"/>
    <w:rsid w:val="00DF787E"/>
    <w:rsid w:val="00DF7A88"/>
    <w:rsid w:val="00DF7FE7"/>
    <w:rsid w:val="00E00456"/>
    <w:rsid w:val="00E00512"/>
    <w:rsid w:val="00E0053A"/>
    <w:rsid w:val="00E008DA"/>
    <w:rsid w:val="00E00B0D"/>
    <w:rsid w:val="00E00CA8"/>
    <w:rsid w:val="00E00F38"/>
    <w:rsid w:val="00E0122B"/>
    <w:rsid w:val="00E01451"/>
    <w:rsid w:val="00E01529"/>
    <w:rsid w:val="00E0177D"/>
    <w:rsid w:val="00E0195A"/>
    <w:rsid w:val="00E01A3A"/>
    <w:rsid w:val="00E01D0A"/>
    <w:rsid w:val="00E01D4E"/>
    <w:rsid w:val="00E0214B"/>
    <w:rsid w:val="00E021B1"/>
    <w:rsid w:val="00E023A6"/>
    <w:rsid w:val="00E02D12"/>
    <w:rsid w:val="00E02EBB"/>
    <w:rsid w:val="00E03024"/>
    <w:rsid w:val="00E03463"/>
    <w:rsid w:val="00E0362C"/>
    <w:rsid w:val="00E03D88"/>
    <w:rsid w:val="00E041DF"/>
    <w:rsid w:val="00E04200"/>
    <w:rsid w:val="00E0421A"/>
    <w:rsid w:val="00E047DA"/>
    <w:rsid w:val="00E04939"/>
    <w:rsid w:val="00E04B22"/>
    <w:rsid w:val="00E04B48"/>
    <w:rsid w:val="00E04BA4"/>
    <w:rsid w:val="00E04D77"/>
    <w:rsid w:val="00E053E0"/>
    <w:rsid w:val="00E058B9"/>
    <w:rsid w:val="00E058E9"/>
    <w:rsid w:val="00E05B81"/>
    <w:rsid w:val="00E05BF0"/>
    <w:rsid w:val="00E05DF0"/>
    <w:rsid w:val="00E0604F"/>
    <w:rsid w:val="00E0606D"/>
    <w:rsid w:val="00E06129"/>
    <w:rsid w:val="00E06249"/>
    <w:rsid w:val="00E064A0"/>
    <w:rsid w:val="00E064E7"/>
    <w:rsid w:val="00E066A8"/>
    <w:rsid w:val="00E06771"/>
    <w:rsid w:val="00E06810"/>
    <w:rsid w:val="00E06A15"/>
    <w:rsid w:val="00E06EEF"/>
    <w:rsid w:val="00E06F49"/>
    <w:rsid w:val="00E07176"/>
    <w:rsid w:val="00E073CA"/>
    <w:rsid w:val="00E07C56"/>
    <w:rsid w:val="00E07C8B"/>
    <w:rsid w:val="00E07CB5"/>
    <w:rsid w:val="00E07E5A"/>
    <w:rsid w:val="00E07EF7"/>
    <w:rsid w:val="00E1000F"/>
    <w:rsid w:val="00E10A2F"/>
    <w:rsid w:val="00E10CF1"/>
    <w:rsid w:val="00E10DE3"/>
    <w:rsid w:val="00E10ED1"/>
    <w:rsid w:val="00E10F3D"/>
    <w:rsid w:val="00E113B2"/>
    <w:rsid w:val="00E116BE"/>
    <w:rsid w:val="00E119AE"/>
    <w:rsid w:val="00E11CCD"/>
    <w:rsid w:val="00E11D2B"/>
    <w:rsid w:val="00E11DDF"/>
    <w:rsid w:val="00E11F5E"/>
    <w:rsid w:val="00E11F67"/>
    <w:rsid w:val="00E12421"/>
    <w:rsid w:val="00E1251B"/>
    <w:rsid w:val="00E125B2"/>
    <w:rsid w:val="00E128A9"/>
    <w:rsid w:val="00E12C1E"/>
    <w:rsid w:val="00E12C61"/>
    <w:rsid w:val="00E12CB4"/>
    <w:rsid w:val="00E1301A"/>
    <w:rsid w:val="00E13121"/>
    <w:rsid w:val="00E13A94"/>
    <w:rsid w:val="00E14101"/>
    <w:rsid w:val="00E142E3"/>
    <w:rsid w:val="00E14471"/>
    <w:rsid w:val="00E14829"/>
    <w:rsid w:val="00E148D5"/>
    <w:rsid w:val="00E14B45"/>
    <w:rsid w:val="00E14EB7"/>
    <w:rsid w:val="00E153EF"/>
    <w:rsid w:val="00E15578"/>
    <w:rsid w:val="00E155BA"/>
    <w:rsid w:val="00E15981"/>
    <w:rsid w:val="00E16044"/>
    <w:rsid w:val="00E1620D"/>
    <w:rsid w:val="00E16243"/>
    <w:rsid w:val="00E16259"/>
    <w:rsid w:val="00E162F1"/>
    <w:rsid w:val="00E168A5"/>
    <w:rsid w:val="00E16EAF"/>
    <w:rsid w:val="00E16ED8"/>
    <w:rsid w:val="00E172DB"/>
    <w:rsid w:val="00E176AF"/>
    <w:rsid w:val="00E17947"/>
    <w:rsid w:val="00E17A15"/>
    <w:rsid w:val="00E17E93"/>
    <w:rsid w:val="00E17F89"/>
    <w:rsid w:val="00E2055D"/>
    <w:rsid w:val="00E20564"/>
    <w:rsid w:val="00E20664"/>
    <w:rsid w:val="00E20D2A"/>
    <w:rsid w:val="00E21115"/>
    <w:rsid w:val="00E211B1"/>
    <w:rsid w:val="00E211B3"/>
    <w:rsid w:val="00E21236"/>
    <w:rsid w:val="00E21579"/>
    <w:rsid w:val="00E21E3B"/>
    <w:rsid w:val="00E21FCC"/>
    <w:rsid w:val="00E221F3"/>
    <w:rsid w:val="00E22938"/>
    <w:rsid w:val="00E22D95"/>
    <w:rsid w:val="00E22E10"/>
    <w:rsid w:val="00E2306E"/>
    <w:rsid w:val="00E2353B"/>
    <w:rsid w:val="00E23684"/>
    <w:rsid w:val="00E238A7"/>
    <w:rsid w:val="00E23996"/>
    <w:rsid w:val="00E2431E"/>
    <w:rsid w:val="00E2461A"/>
    <w:rsid w:val="00E24A25"/>
    <w:rsid w:val="00E24F1A"/>
    <w:rsid w:val="00E24F78"/>
    <w:rsid w:val="00E24FE8"/>
    <w:rsid w:val="00E25066"/>
    <w:rsid w:val="00E25247"/>
    <w:rsid w:val="00E25310"/>
    <w:rsid w:val="00E2551E"/>
    <w:rsid w:val="00E2556E"/>
    <w:rsid w:val="00E256AD"/>
    <w:rsid w:val="00E25A29"/>
    <w:rsid w:val="00E260FA"/>
    <w:rsid w:val="00E2638F"/>
    <w:rsid w:val="00E263FF"/>
    <w:rsid w:val="00E264DA"/>
    <w:rsid w:val="00E26AD8"/>
    <w:rsid w:val="00E26C3C"/>
    <w:rsid w:val="00E26FF3"/>
    <w:rsid w:val="00E270DC"/>
    <w:rsid w:val="00E277F1"/>
    <w:rsid w:val="00E27821"/>
    <w:rsid w:val="00E27933"/>
    <w:rsid w:val="00E27958"/>
    <w:rsid w:val="00E279EF"/>
    <w:rsid w:val="00E27B0A"/>
    <w:rsid w:val="00E27B33"/>
    <w:rsid w:val="00E27B41"/>
    <w:rsid w:val="00E30299"/>
    <w:rsid w:val="00E302E2"/>
    <w:rsid w:val="00E302FA"/>
    <w:rsid w:val="00E3041F"/>
    <w:rsid w:val="00E30490"/>
    <w:rsid w:val="00E304D8"/>
    <w:rsid w:val="00E30730"/>
    <w:rsid w:val="00E30A53"/>
    <w:rsid w:val="00E30B05"/>
    <w:rsid w:val="00E30D01"/>
    <w:rsid w:val="00E30D14"/>
    <w:rsid w:val="00E30D69"/>
    <w:rsid w:val="00E31053"/>
    <w:rsid w:val="00E3110E"/>
    <w:rsid w:val="00E312C6"/>
    <w:rsid w:val="00E313CC"/>
    <w:rsid w:val="00E31641"/>
    <w:rsid w:val="00E31725"/>
    <w:rsid w:val="00E31796"/>
    <w:rsid w:val="00E31BDE"/>
    <w:rsid w:val="00E31C6F"/>
    <w:rsid w:val="00E31D7D"/>
    <w:rsid w:val="00E320EE"/>
    <w:rsid w:val="00E32141"/>
    <w:rsid w:val="00E328CB"/>
    <w:rsid w:val="00E329E9"/>
    <w:rsid w:val="00E32CEC"/>
    <w:rsid w:val="00E32DA5"/>
    <w:rsid w:val="00E3300A"/>
    <w:rsid w:val="00E33121"/>
    <w:rsid w:val="00E33568"/>
    <w:rsid w:val="00E33899"/>
    <w:rsid w:val="00E33D6B"/>
    <w:rsid w:val="00E33F29"/>
    <w:rsid w:val="00E340FA"/>
    <w:rsid w:val="00E3468D"/>
    <w:rsid w:val="00E34A47"/>
    <w:rsid w:val="00E34A51"/>
    <w:rsid w:val="00E34AE2"/>
    <w:rsid w:val="00E34C05"/>
    <w:rsid w:val="00E34FAD"/>
    <w:rsid w:val="00E352A8"/>
    <w:rsid w:val="00E3542B"/>
    <w:rsid w:val="00E3559A"/>
    <w:rsid w:val="00E3590A"/>
    <w:rsid w:val="00E35BD9"/>
    <w:rsid w:val="00E35C0D"/>
    <w:rsid w:val="00E35EB4"/>
    <w:rsid w:val="00E35F65"/>
    <w:rsid w:val="00E35FEC"/>
    <w:rsid w:val="00E3614C"/>
    <w:rsid w:val="00E3632C"/>
    <w:rsid w:val="00E3640F"/>
    <w:rsid w:val="00E36479"/>
    <w:rsid w:val="00E3670B"/>
    <w:rsid w:val="00E367EB"/>
    <w:rsid w:val="00E3688D"/>
    <w:rsid w:val="00E368E0"/>
    <w:rsid w:val="00E36A70"/>
    <w:rsid w:val="00E36C16"/>
    <w:rsid w:val="00E36C1E"/>
    <w:rsid w:val="00E36CA0"/>
    <w:rsid w:val="00E36D99"/>
    <w:rsid w:val="00E36EDF"/>
    <w:rsid w:val="00E37780"/>
    <w:rsid w:val="00E3787D"/>
    <w:rsid w:val="00E37A89"/>
    <w:rsid w:val="00E37DA4"/>
    <w:rsid w:val="00E37FC3"/>
    <w:rsid w:val="00E40101"/>
    <w:rsid w:val="00E4072E"/>
    <w:rsid w:val="00E4092D"/>
    <w:rsid w:val="00E40A6B"/>
    <w:rsid w:val="00E40B62"/>
    <w:rsid w:val="00E40BE2"/>
    <w:rsid w:val="00E40C69"/>
    <w:rsid w:val="00E41443"/>
    <w:rsid w:val="00E41891"/>
    <w:rsid w:val="00E4195A"/>
    <w:rsid w:val="00E41B48"/>
    <w:rsid w:val="00E41B77"/>
    <w:rsid w:val="00E41D1D"/>
    <w:rsid w:val="00E41D67"/>
    <w:rsid w:val="00E41E26"/>
    <w:rsid w:val="00E41F8C"/>
    <w:rsid w:val="00E42108"/>
    <w:rsid w:val="00E42347"/>
    <w:rsid w:val="00E424D8"/>
    <w:rsid w:val="00E428B7"/>
    <w:rsid w:val="00E42C9F"/>
    <w:rsid w:val="00E430D4"/>
    <w:rsid w:val="00E43443"/>
    <w:rsid w:val="00E43613"/>
    <w:rsid w:val="00E438E2"/>
    <w:rsid w:val="00E43C58"/>
    <w:rsid w:val="00E43C63"/>
    <w:rsid w:val="00E43F85"/>
    <w:rsid w:val="00E441C6"/>
    <w:rsid w:val="00E44328"/>
    <w:rsid w:val="00E44522"/>
    <w:rsid w:val="00E4465C"/>
    <w:rsid w:val="00E44704"/>
    <w:rsid w:val="00E448EC"/>
    <w:rsid w:val="00E44BFF"/>
    <w:rsid w:val="00E44C99"/>
    <w:rsid w:val="00E44CEC"/>
    <w:rsid w:val="00E44F81"/>
    <w:rsid w:val="00E45074"/>
    <w:rsid w:val="00E451EC"/>
    <w:rsid w:val="00E45216"/>
    <w:rsid w:val="00E45429"/>
    <w:rsid w:val="00E45448"/>
    <w:rsid w:val="00E4581C"/>
    <w:rsid w:val="00E45940"/>
    <w:rsid w:val="00E459B8"/>
    <w:rsid w:val="00E45D2F"/>
    <w:rsid w:val="00E45EBB"/>
    <w:rsid w:val="00E45F86"/>
    <w:rsid w:val="00E462F6"/>
    <w:rsid w:val="00E465EE"/>
    <w:rsid w:val="00E46858"/>
    <w:rsid w:val="00E46DD4"/>
    <w:rsid w:val="00E46E1B"/>
    <w:rsid w:val="00E46EEC"/>
    <w:rsid w:val="00E471D5"/>
    <w:rsid w:val="00E472A7"/>
    <w:rsid w:val="00E472B1"/>
    <w:rsid w:val="00E47371"/>
    <w:rsid w:val="00E4741F"/>
    <w:rsid w:val="00E47528"/>
    <w:rsid w:val="00E47949"/>
    <w:rsid w:val="00E479B1"/>
    <w:rsid w:val="00E47A9E"/>
    <w:rsid w:val="00E47D5F"/>
    <w:rsid w:val="00E47DC7"/>
    <w:rsid w:val="00E47F7A"/>
    <w:rsid w:val="00E50062"/>
    <w:rsid w:val="00E50155"/>
    <w:rsid w:val="00E502FB"/>
    <w:rsid w:val="00E504D1"/>
    <w:rsid w:val="00E5051B"/>
    <w:rsid w:val="00E507BB"/>
    <w:rsid w:val="00E50841"/>
    <w:rsid w:val="00E5093A"/>
    <w:rsid w:val="00E50D5B"/>
    <w:rsid w:val="00E50DBE"/>
    <w:rsid w:val="00E50EF9"/>
    <w:rsid w:val="00E51137"/>
    <w:rsid w:val="00E51237"/>
    <w:rsid w:val="00E512A7"/>
    <w:rsid w:val="00E51407"/>
    <w:rsid w:val="00E5152D"/>
    <w:rsid w:val="00E516BE"/>
    <w:rsid w:val="00E51C7A"/>
    <w:rsid w:val="00E51E63"/>
    <w:rsid w:val="00E526AE"/>
    <w:rsid w:val="00E526DB"/>
    <w:rsid w:val="00E52F2C"/>
    <w:rsid w:val="00E52FEC"/>
    <w:rsid w:val="00E53074"/>
    <w:rsid w:val="00E532AE"/>
    <w:rsid w:val="00E533DB"/>
    <w:rsid w:val="00E5365C"/>
    <w:rsid w:val="00E53717"/>
    <w:rsid w:val="00E53859"/>
    <w:rsid w:val="00E539DD"/>
    <w:rsid w:val="00E53ADE"/>
    <w:rsid w:val="00E54045"/>
    <w:rsid w:val="00E540C6"/>
    <w:rsid w:val="00E540E7"/>
    <w:rsid w:val="00E54426"/>
    <w:rsid w:val="00E544A6"/>
    <w:rsid w:val="00E544F9"/>
    <w:rsid w:val="00E54632"/>
    <w:rsid w:val="00E5482C"/>
    <w:rsid w:val="00E54B19"/>
    <w:rsid w:val="00E54B85"/>
    <w:rsid w:val="00E54BB6"/>
    <w:rsid w:val="00E54C80"/>
    <w:rsid w:val="00E54CA9"/>
    <w:rsid w:val="00E54CAC"/>
    <w:rsid w:val="00E54D80"/>
    <w:rsid w:val="00E54FE3"/>
    <w:rsid w:val="00E5501A"/>
    <w:rsid w:val="00E55124"/>
    <w:rsid w:val="00E55172"/>
    <w:rsid w:val="00E55207"/>
    <w:rsid w:val="00E55791"/>
    <w:rsid w:val="00E55965"/>
    <w:rsid w:val="00E55B5E"/>
    <w:rsid w:val="00E55C6D"/>
    <w:rsid w:val="00E55E14"/>
    <w:rsid w:val="00E55FBB"/>
    <w:rsid w:val="00E56231"/>
    <w:rsid w:val="00E56521"/>
    <w:rsid w:val="00E566DB"/>
    <w:rsid w:val="00E56751"/>
    <w:rsid w:val="00E56891"/>
    <w:rsid w:val="00E5698F"/>
    <w:rsid w:val="00E569CB"/>
    <w:rsid w:val="00E56B82"/>
    <w:rsid w:val="00E56F3B"/>
    <w:rsid w:val="00E56FB8"/>
    <w:rsid w:val="00E57025"/>
    <w:rsid w:val="00E57578"/>
    <w:rsid w:val="00E57592"/>
    <w:rsid w:val="00E576CF"/>
    <w:rsid w:val="00E57A0C"/>
    <w:rsid w:val="00E57E2D"/>
    <w:rsid w:val="00E6001E"/>
    <w:rsid w:val="00E604B1"/>
    <w:rsid w:val="00E6089A"/>
    <w:rsid w:val="00E609C2"/>
    <w:rsid w:val="00E60E84"/>
    <w:rsid w:val="00E60F74"/>
    <w:rsid w:val="00E6142C"/>
    <w:rsid w:val="00E615DB"/>
    <w:rsid w:val="00E61846"/>
    <w:rsid w:val="00E61A6E"/>
    <w:rsid w:val="00E621D5"/>
    <w:rsid w:val="00E6262A"/>
    <w:rsid w:val="00E629F9"/>
    <w:rsid w:val="00E62B2B"/>
    <w:rsid w:val="00E63595"/>
    <w:rsid w:val="00E6382B"/>
    <w:rsid w:val="00E63B4D"/>
    <w:rsid w:val="00E63CA1"/>
    <w:rsid w:val="00E63CD4"/>
    <w:rsid w:val="00E63EE0"/>
    <w:rsid w:val="00E63F5E"/>
    <w:rsid w:val="00E6423D"/>
    <w:rsid w:val="00E645C4"/>
    <w:rsid w:val="00E6481D"/>
    <w:rsid w:val="00E64890"/>
    <w:rsid w:val="00E649B1"/>
    <w:rsid w:val="00E64BCF"/>
    <w:rsid w:val="00E64C46"/>
    <w:rsid w:val="00E64F00"/>
    <w:rsid w:val="00E6500A"/>
    <w:rsid w:val="00E6502C"/>
    <w:rsid w:val="00E65394"/>
    <w:rsid w:val="00E6563B"/>
    <w:rsid w:val="00E656A8"/>
    <w:rsid w:val="00E65701"/>
    <w:rsid w:val="00E65778"/>
    <w:rsid w:val="00E65970"/>
    <w:rsid w:val="00E65A25"/>
    <w:rsid w:val="00E65BD6"/>
    <w:rsid w:val="00E65C71"/>
    <w:rsid w:val="00E65EB3"/>
    <w:rsid w:val="00E662C5"/>
    <w:rsid w:val="00E6632D"/>
    <w:rsid w:val="00E665CB"/>
    <w:rsid w:val="00E66762"/>
    <w:rsid w:val="00E66A83"/>
    <w:rsid w:val="00E66B77"/>
    <w:rsid w:val="00E66E3D"/>
    <w:rsid w:val="00E66EA5"/>
    <w:rsid w:val="00E670CB"/>
    <w:rsid w:val="00E6740F"/>
    <w:rsid w:val="00E7021C"/>
    <w:rsid w:val="00E70503"/>
    <w:rsid w:val="00E70675"/>
    <w:rsid w:val="00E708A4"/>
    <w:rsid w:val="00E70E94"/>
    <w:rsid w:val="00E710F4"/>
    <w:rsid w:val="00E710FD"/>
    <w:rsid w:val="00E71386"/>
    <w:rsid w:val="00E71448"/>
    <w:rsid w:val="00E717FE"/>
    <w:rsid w:val="00E71951"/>
    <w:rsid w:val="00E722B3"/>
    <w:rsid w:val="00E7233F"/>
    <w:rsid w:val="00E72607"/>
    <w:rsid w:val="00E726AA"/>
    <w:rsid w:val="00E726B9"/>
    <w:rsid w:val="00E726EE"/>
    <w:rsid w:val="00E72C66"/>
    <w:rsid w:val="00E72D6A"/>
    <w:rsid w:val="00E72EA9"/>
    <w:rsid w:val="00E72EB4"/>
    <w:rsid w:val="00E72EC5"/>
    <w:rsid w:val="00E73266"/>
    <w:rsid w:val="00E732DA"/>
    <w:rsid w:val="00E73369"/>
    <w:rsid w:val="00E733CC"/>
    <w:rsid w:val="00E7390F"/>
    <w:rsid w:val="00E73AB1"/>
    <w:rsid w:val="00E73C23"/>
    <w:rsid w:val="00E73E8B"/>
    <w:rsid w:val="00E73FA1"/>
    <w:rsid w:val="00E742FB"/>
    <w:rsid w:val="00E745C5"/>
    <w:rsid w:val="00E747D7"/>
    <w:rsid w:val="00E75123"/>
    <w:rsid w:val="00E7598E"/>
    <w:rsid w:val="00E75A6C"/>
    <w:rsid w:val="00E75C25"/>
    <w:rsid w:val="00E75F8B"/>
    <w:rsid w:val="00E76133"/>
    <w:rsid w:val="00E761CD"/>
    <w:rsid w:val="00E763FF"/>
    <w:rsid w:val="00E764D5"/>
    <w:rsid w:val="00E7652C"/>
    <w:rsid w:val="00E768C4"/>
    <w:rsid w:val="00E76B6D"/>
    <w:rsid w:val="00E76EE6"/>
    <w:rsid w:val="00E77241"/>
    <w:rsid w:val="00E77406"/>
    <w:rsid w:val="00E77482"/>
    <w:rsid w:val="00E776B4"/>
    <w:rsid w:val="00E77AFA"/>
    <w:rsid w:val="00E77BC2"/>
    <w:rsid w:val="00E77C76"/>
    <w:rsid w:val="00E77FD9"/>
    <w:rsid w:val="00E77FDF"/>
    <w:rsid w:val="00E80417"/>
    <w:rsid w:val="00E80F50"/>
    <w:rsid w:val="00E81250"/>
    <w:rsid w:val="00E8136A"/>
    <w:rsid w:val="00E81716"/>
    <w:rsid w:val="00E81767"/>
    <w:rsid w:val="00E81798"/>
    <w:rsid w:val="00E8180E"/>
    <w:rsid w:val="00E81C8F"/>
    <w:rsid w:val="00E82056"/>
    <w:rsid w:val="00E822CA"/>
    <w:rsid w:val="00E823CD"/>
    <w:rsid w:val="00E8263D"/>
    <w:rsid w:val="00E8278E"/>
    <w:rsid w:val="00E82A44"/>
    <w:rsid w:val="00E82AA9"/>
    <w:rsid w:val="00E82D1C"/>
    <w:rsid w:val="00E82EF7"/>
    <w:rsid w:val="00E833BB"/>
    <w:rsid w:val="00E833E1"/>
    <w:rsid w:val="00E836DB"/>
    <w:rsid w:val="00E8388D"/>
    <w:rsid w:val="00E839FE"/>
    <w:rsid w:val="00E83C2C"/>
    <w:rsid w:val="00E83E7C"/>
    <w:rsid w:val="00E83F44"/>
    <w:rsid w:val="00E8447C"/>
    <w:rsid w:val="00E84938"/>
    <w:rsid w:val="00E84A25"/>
    <w:rsid w:val="00E84A63"/>
    <w:rsid w:val="00E84CA2"/>
    <w:rsid w:val="00E8503B"/>
    <w:rsid w:val="00E85306"/>
    <w:rsid w:val="00E85395"/>
    <w:rsid w:val="00E85583"/>
    <w:rsid w:val="00E85992"/>
    <w:rsid w:val="00E85AB4"/>
    <w:rsid w:val="00E85F7E"/>
    <w:rsid w:val="00E86307"/>
    <w:rsid w:val="00E863BD"/>
    <w:rsid w:val="00E8692F"/>
    <w:rsid w:val="00E86F6C"/>
    <w:rsid w:val="00E87038"/>
    <w:rsid w:val="00E870B8"/>
    <w:rsid w:val="00E870D6"/>
    <w:rsid w:val="00E871B3"/>
    <w:rsid w:val="00E87294"/>
    <w:rsid w:val="00E873A0"/>
    <w:rsid w:val="00E8747D"/>
    <w:rsid w:val="00E874ED"/>
    <w:rsid w:val="00E876E4"/>
    <w:rsid w:val="00E877AD"/>
    <w:rsid w:val="00E878E4"/>
    <w:rsid w:val="00E879E3"/>
    <w:rsid w:val="00E87EA7"/>
    <w:rsid w:val="00E9007E"/>
    <w:rsid w:val="00E900E7"/>
    <w:rsid w:val="00E90364"/>
    <w:rsid w:val="00E903BA"/>
    <w:rsid w:val="00E906E5"/>
    <w:rsid w:val="00E906FD"/>
    <w:rsid w:val="00E91005"/>
    <w:rsid w:val="00E91015"/>
    <w:rsid w:val="00E91068"/>
    <w:rsid w:val="00E9113B"/>
    <w:rsid w:val="00E91443"/>
    <w:rsid w:val="00E9146C"/>
    <w:rsid w:val="00E914CB"/>
    <w:rsid w:val="00E9193A"/>
    <w:rsid w:val="00E91E45"/>
    <w:rsid w:val="00E91F29"/>
    <w:rsid w:val="00E92481"/>
    <w:rsid w:val="00E92547"/>
    <w:rsid w:val="00E92787"/>
    <w:rsid w:val="00E927E3"/>
    <w:rsid w:val="00E92FEA"/>
    <w:rsid w:val="00E93084"/>
    <w:rsid w:val="00E93352"/>
    <w:rsid w:val="00E93402"/>
    <w:rsid w:val="00E934F4"/>
    <w:rsid w:val="00E93576"/>
    <w:rsid w:val="00E935E9"/>
    <w:rsid w:val="00E9372A"/>
    <w:rsid w:val="00E939F9"/>
    <w:rsid w:val="00E93AF7"/>
    <w:rsid w:val="00E94550"/>
    <w:rsid w:val="00E949AF"/>
    <w:rsid w:val="00E949F5"/>
    <w:rsid w:val="00E94AB6"/>
    <w:rsid w:val="00E94D2C"/>
    <w:rsid w:val="00E94EEB"/>
    <w:rsid w:val="00E9561D"/>
    <w:rsid w:val="00E95836"/>
    <w:rsid w:val="00E95DB3"/>
    <w:rsid w:val="00E96017"/>
    <w:rsid w:val="00E960F8"/>
    <w:rsid w:val="00E962B0"/>
    <w:rsid w:val="00E962EB"/>
    <w:rsid w:val="00E96605"/>
    <w:rsid w:val="00E96793"/>
    <w:rsid w:val="00E96975"/>
    <w:rsid w:val="00E96CC2"/>
    <w:rsid w:val="00E96E45"/>
    <w:rsid w:val="00E96E56"/>
    <w:rsid w:val="00E96E72"/>
    <w:rsid w:val="00E96FB5"/>
    <w:rsid w:val="00E97477"/>
    <w:rsid w:val="00E974EE"/>
    <w:rsid w:val="00E9753B"/>
    <w:rsid w:val="00E97839"/>
    <w:rsid w:val="00E97899"/>
    <w:rsid w:val="00E97E51"/>
    <w:rsid w:val="00EA0062"/>
    <w:rsid w:val="00EA00FB"/>
    <w:rsid w:val="00EA0261"/>
    <w:rsid w:val="00EA0313"/>
    <w:rsid w:val="00EA042B"/>
    <w:rsid w:val="00EA0682"/>
    <w:rsid w:val="00EA06D1"/>
    <w:rsid w:val="00EA07C4"/>
    <w:rsid w:val="00EA097F"/>
    <w:rsid w:val="00EA122B"/>
    <w:rsid w:val="00EA128B"/>
    <w:rsid w:val="00EA155E"/>
    <w:rsid w:val="00EA1932"/>
    <w:rsid w:val="00EA19FB"/>
    <w:rsid w:val="00EA1A66"/>
    <w:rsid w:val="00EA1B10"/>
    <w:rsid w:val="00EA1B12"/>
    <w:rsid w:val="00EA1BA5"/>
    <w:rsid w:val="00EA1DA8"/>
    <w:rsid w:val="00EA1EB6"/>
    <w:rsid w:val="00EA2269"/>
    <w:rsid w:val="00EA233E"/>
    <w:rsid w:val="00EA26FB"/>
    <w:rsid w:val="00EA27FF"/>
    <w:rsid w:val="00EA2C72"/>
    <w:rsid w:val="00EA2ED7"/>
    <w:rsid w:val="00EA2FBF"/>
    <w:rsid w:val="00EA331E"/>
    <w:rsid w:val="00EA35CB"/>
    <w:rsid w:val="00EA35D4"/>
    <w:rsid w:val="00EA3A2E"/>
    <w:rsid w:val="00EA3EAE"/>
    <w:rsid w:val="00EA3ED6"/>
    <w:rsid w:val="00EA4069"/>
    <w:rsid w:val="00EA409B"/>
    <w:rsid w:val="00EA40F4"/>
    <w:rsid w:val="00EA4287"/>
    <w:rsid w:val="00EA47AF"/>
    <w:rsid w:val="00EA4D1C"/>
    <w:rsid w:val="00EA4EC2"/>
    <w:rsid w:val="00EA50EB"/>
    <w:rsid w:val="00EA51D2"/>
    <w:rsid w:val="00EA5414"/>
    <w:rsid w:val="00EA548B"/>
    <w:rsid w:val="00EA555D"/>
    <w:rsid w:val="00EA5868"/>
    <w:rsid w:val="00EA5A36"/>
    <w:rsid w:val="00EA5A38"/>
    <w:rsid w:val="00EA5C1D"/>
    <w:rsid w:val="00EA61E3"/>
    <w:rsid w:val="00EA6275"/>
    <w:rsid w:val="00EA6301"/>
    <w:rsid w:val="00EA636C"/>
    <w:rsid w:val="00EA63C2"/>
    <w:rsid w:val="00EA661D"/>
    <w:rsid w:val="00EA6766"/>
    <w:rsid w:val="00EA683E"/>
    <w:rsid w:val="00EA6D4B"/>
    <w:rsid w:val="00EA6DEB"/>
    <w:rsid w:val="00EA7015"/>
    <w:rsid w:val="00EA76E4"/>
    <w:rsid w:val="00EA797A"/>
    <w:rsid w:val="00EA7A2D"/>
    <w:rsid w:val="00EA7B80"/>
    <w:rsid w:val="00EB00F7"/>
    <w:rsid w:val="00EB01FB"/>
    <w:rsid w:val="00EB0277"/>
    <w:rsid w:val="00EB0490"/>
    <w:rsid w:val="00EB05FB"/>
    <w:rsid w:val="00EB0980"/>
    <w:rsid w:val="00EB0A8F"/>
    <w:rsid w:val="00EB0C9D"/>
    <w:rsid w:val="00EB1748"/>
    <w:rsid w:val="00EB1882"/>
    <w:rsid w:val="00EB19D2"/>
    <w:rsid w:val="00EB1C8A"/>
    <w:rsid w:val="00EB1CDD"/>
    <w:rsid w:val="00EB1D73"/>
    <w:rsid w:val="00EB1D7A"/>
    <w:rsid w:val="00EB1F48"/>
    <w:rsid w:val="00EB20EF"/>
    <w:rsid w:val="00EB24BC"/>
    <w:rsid w:val="00EB2502"/>
    <w:rsid w:val="00EB257D"/>
    <w:rsid w:val="00EB25AD"/>
    <w:rsid w:val="00EB27B0"/>
    <w:rsid w:val="00EB2A81"/>
    <w:rsid w:val="00EB2E43"/>
    <w:rsid w:val="00EB2E6A"/>
    <w:rsid w:val="00EB2FA0"/>
    <w:rsid w:val="00EB31C9"/>
    <w:rsid w:val="00EB3530"/>
    <w:rsid w:val="00EB3769"/>
    <w:rsid w:val="00EB379D"/>
    <w:rsid w:val="00EB3AE7"/>
    <w:rsid w:val="00EB40CD"/>
    <w:rsid w:val="00EB40EB"/>
    <w:rsid w:val="00EB42C3"/>
    <w:rsid w:val="00EB4330"/>
    <w:rsid w:val="00EB49ED"/>
    <w:rsid w:val="00EB4EF0"/>
    <w:rsid w:val="00EB50EA"/>
    <w:rsid w:val="00EB557E"/>
    <w:rsid w:val="00EB59DC"/>
    <w:rsid w:val="00EB5A10"/>
    <w:rsid w:val="00EB5D49"/>
    <w:rsid w:val="00EB5D77"/>
    <w:rsid w:val="00EB5DA2"/>
    <w:rsid w:val="00EB5E57"/>
    <w:rsid w:val="00EB5FC2"/>
    <w:rsid w:val="00EB6153"/>
    <w:rsid w:val="00EB6249"/>
    <w:rsid w:val="00EB6459"/>
    <w:rsid w:val="00EB65E5"/>
    <w:rsid w:val="00EB6853"/>
    <w:rsid w:val="00EB68B6"/>
    <w:rsid w:val="00EB6AA9"/>
    <w:rsid w:val="00EB6C36"/>
    <w:rsid w:val="00EB6C3E"/>
    <w:rsid w:val="00EB6EAD"/>
    <w:rsid w:val="00EB6EB3"/>
    <w:rsid w:val="00EB7184"/>
    <w:rsid w:val="00EB72CD"/>
    <w:rsid w:val="00EB7636"/>
    <w:rsid w:val="00EB779B"/>
    <w:rsid w:val="00EB77AE"/>
    <w:rsid w:val="00EB78B4"/>
    <w:rsid w:val="00EB79CA"/>
    <w:rsid w:val="00EB7BBB"/>
    <w:rsid w:val="00EB7DF2"/>
    <w:rsid w:val="00EB7E88"/>
    <w:rsid w:val="00EB7ED8"/>
    <w:rsid w:val="00EC0158"/>
    <w:rsid w:val="00EC0182"/>
    <w:rsid w:val="00EC0544"/>
    <w:rsid w:val="00EC0679"/>
    <w:rsid w:val="00EC06D6"/>
    <w:rsid w:val="00EC08DF"/>
    <w:rsid w:val="00EC094B"/>
    <w:rsid w:val="00EC0CA4"/>
    <w:rsid w:val="00EC0F14"/>
    <w:rsid w:val="00EC0FFD"/>
    <w:rsid w:val="00EC10B9"/>
    <w:rsid w:val="00EC116A"/>
    <w:rsid w:val="00EC14DE"/>
    <w:rsid w:val="00EC16C4"/>
    <w:rsid w:val="00EC16E2"/>
    <w:rsid w:val="00EC1854"/>
    <w:rsid w:val="00EC1C15"/>
    <w:rsid w:val="00EC1F55"/>
    <w:rsid w:val="00EC203E"/>
    <w:rsid w:val="00EC214D"/>
    <w:rsid w:val="00EC2182"/>
    <w:rsid w:val="00EC28FD"/>
    <w:rsid w:val="00EC293A"/>
    <w:rsid w:val="00EC2B22"/>
    <w:rsid w:val="00EC2DDC"/>
    <w:rsid w:val="00EC2EC4"/>
    <w:rsid w:val="00EC30DA"/>
    <w:rsid w:val="00EC30E9"/>
    <w:rsid w:val="00EC357F"/>
    <w:rsid w:val="00EC3731"/>
    <w:rsid w:val="00EC3751"/>
    <w:rsid w:val="00EC3987"/>
    <w:rsid w:val="00EC3A52"/>
    <w:rsid w:val="00EC404A"/>
    <w:rsid w:val="00EC40F9"/>
    <w:rsid w:val="00EC4827"/>
    <w:rsid w:val="00EC4B38"/>
    <w:rsid w:val="00EC4C32"/>
    <w:rsid w:val="00EC4C7A"/>
    <w:rsid w:val="00EC4DFD"/>
    <w:rsid w:val="00EC4F51"/>
    <w:rsid w:val="00EC4FAC"/>
    <w:rsid w:val="00EC50F1"/>
    <w:rsid w:val="00EC5329"/>
    <w:rsid w:val="00EC5422"/>
    <w:rsid w:val="00EC5669"/>
    <w:rsid w:val="00EC5BF4"/>
    <w:rsid w:val="00EC6581"/>
    <w:rsid w:val="00EC669B"/>
    <w:rsid w:val="00EC6865"/>
    <w:rsid w:val="00EC6AB8"/>
    <w:rsid w:val="00EC6AC2"/>
    <w:rsid w:val="00EC6BF4"/>
    <w:rsid w:val="00EC6C19"/>
    <w:rsid w:val="00EC6C80"/>
    <w:rsid w:val="00EC6DB1"/>
    <w:rsid w:val="00EC6F36"/>
    <w:rsid w:val="00EC70AE"/>
    <w:rsid w:val="00EC7324"/>
    <w:rsid w:val="00EC7B46"/>
    <w:rsid w:val="00EC7E07"/>
    <w:rsid w:val="00EC7EF4"/>
    <w:rsid w:val="00ED094D"/>
    <w:rsid w:val="00ED0A8B"/>
    <w:rsid w:val="00ED0AD2"/>
    <w:rsid w:val="00ED0B32"/>
    <w:rsid w:val="00ED0C1E"/>
    <w:rsid w:val="00ED0C8E"/>
    <w:rsid w:val="00ED0ED0"/>
    <w:rsid w:val="00ED1038"/>
    <w:rsid w:val="00ED123D"/>
    <w:rsid w:val="00ED13EF"/>
    <w:rsid w:val="00ED158B"/>
    <w:rsid w:val="00ED1605"/>
    <w:rsid w:val="00ED1D8D"/>
    <w:rsid w:val="00ED2078"/>
    <w:rsid w:val="00ED21BF"/>
    <w:rsid w:val="00ED21CE"/>
    <w:rsid w:val="00ED2370"/>
    <w:rsid w:val="00ED25AC"/>
    <w:rsid w:val="00ED2849"/>
    <w:rsid w:val="00ED2877"/>
    <w:rsid w:val="00ED28F5"/>
    <w:rsid w:val="00ED2934"/>
    <w:rsid w:val="00ED29A2"/>
    <w:rsid w:val="00ED2DC9"/>
    <w:rsid w:val="00ED2F10"/>
    <w:rsid w:val="00ED2FF6"/>
    <w:rsid w:val="00ED337E"/>
    <w:rsid w:val="00ED3483"/>
    <w:rsid w:val="00ED3753"/>
    <w:rsid w:val="00ED381B"/>
    <w:rsid w:val="00ED3924"/>
    <w:rsid w:val="00ED4162"/>
    <w:rsid w:val="00ED430A"/>
    <w:rsid w:val="00ED4510"/>
    <w:rsid w:val="00ED45D6"/>
    <w:rsid w:val="00ED4617"/>
    <w:rsid w:val="00ED4BAF"/>
    <w:rsid w:val="00ED4D4D"/>
    <w:rsid w:val="00ED4E73"/>
    <w:rsid w:val="00ED52EE"/>
    <w:rsid w:val="00ED53BA"/>
    <w:rsid w:val="00ED540B"/>
    <w:rsid w:val="00ED561E"/>
    <w:rsid w:val="00ED5CC5"/>
    <w:rsid w:val="00ED5FCC"/>
    <w:rsid w:val="00ED5FF3"/>
    <w:rsid w:val="00ED613E"/>
    <w:rsid w:val="00ED6430"/>
    <w:rsid w:val="00ED67AB"/>
    <w:rsid w:val="00ED6982"/>
    <w:rsid w:val="00ED69BA"/>
    <w:rsid w:val="00ED69CB"/>
    <w:rsid w:val="00ED6BC6"/>
    <w:rsid w:val="00ED7230"/>
    <w:rsid w:val="00ED74C4"/>
    <w:rsid w:val="00ED7E28"/>
    <w:rsid w:val="00ED7E55"/>
    <w:rsid w:val="00ED7EE0"/>
    <w:rsid w:val="00EE0146"/>
    <w:rsid w:val="00EE014B"/>
    <w:rsid w:val="00EE02EB"/>
    <w:rsid w:val="00EE034B"/>
    <w:rsid w:val="00EE0706"/>
    <w:rsid w:val="00EE0846"/>
    <w:rsid w:val="00EE089C"/>
    <w:rsid w:val="00EE08D7"/>
    <w:rsid w:val="00EE0C3A"/>
    <w:rsid w:val="00EE1025"/>
    <w:rsid w:val="00EE123F"/>
    <w:rsid w:val="00EE1514"/>
    <w:rsid w:val="00EE15B6"/>
    <w:rsid w:val="00EE1C12"/>
    <w:rsid w:val="00EE1DDD"/>
    <w:rsid w:val="00EE1EBF"/>
    <w:rsid w:val="00EE20FD"/>
    <w:rsid w:val="00EE211B"/>
    <w:rsid w:val="00EE22DA"/>
    <w:rsid w:val="00EE2B80"/>
    <w:rsid w:val="00EE2C04"/>
    <w:rsid w:val="00EE30DA"/>
    <w:rsid w:val="00EE30FC"/>
    <w:rsid w:val="00EE317E"/>
    <w:rsid w:val="00EE3191"/>
    <w:rsid w:val="00EE3725"/>
    <w:rsid w:val="00EE3B3D"/>
    <w:rsid w:val="00EE3BDD"/>
    <w:rsid w:val="00EE3DA7"/>
    <w:rsid w:val="00EE3E20"/>
    <w:rsid w:val="00EE4397"/>
    <w:rsid w:val="00EE45CB"/>
    <w:rsid w:val="00EE4725"/>
    <w:rsid w:val="00EE4D6F"/>
    <w:rsid w:val="00EE4DA3"/>
    <w:rsid w:val="00EE4DBB"/>
    <w:rsid w:val="00EE4E2D"/>
    <w:rsid w:val="00EE50F5"/>
    <w:rsid w:val="00EE5203"/>
    <w:rsid w:val="00EE5441"/>
    <w:rsid w:val="00EE5598"/>
    <w:rsid w:val="00EE5703"/>
    <w:rsid w:val="00EE5888"/>
    <w:rsid w:val="00EE5C41"/>
    <w:rsid w:val="00EE5DB7"/>
    <w:rsid w:val="00EE5EE1"/>
    <w:rsid w:val="00EE5F63"/>
    <w:rsid w:val="00EE6381"/>
    <w:rsid w:val="00EE68A1"/>
    <w:rsid w:val="00EE6E37"/>
    <w:rsid w:val="00EE70D6"/>
    <w:rsid w:val="00EE7830"/>
    <w:rsid w:val="00EE7870"/>
    <w:rsid w:val="00EE7CC3"/>
    <w:rsid w:val="00EF021C"/>
    <w:rsid w:val="00EF05D7"/>
    <w:rsid w:val="00EF089F"/>
    <w:rsid w:val="00EF0E03"/>
    <w:rsid w:val="00EF169A"/>
    <w:rsid w:val="00EF16E0"/>
    <w:rsid w:val="00EF17D7"/>
    <w:rsid w:val="00EF195E"/>
    <w:rsid w:val="00EF1FE1"/>
    <w:rsid w:val="00EF1FFD"/>
    <w:rsid w:val="00EF26E4"/>
    <w:rsid w:val="00EF27FB"/>
    <w:rsid w:val="00EF299C"/>
    <w:rsid w:val="00EF2B66"/>
    <w:rsid w:val="00EF2D7D"/>
    <w:rsid w:val="00EF3034"/>
    <w:rsid w:val="00EF36F3"/>
    <w:rsid w:val="00EF3AD0"/>
    <w:rsid w:val="00EF3EE6"/>
    <w:rsid w:val="00EF423F"/>
    <w:rsid w:val="00EF4594"/>
    <w:rsid w:val="00EF4947"/>
    <w:rsid w:val="00EF5536"/>
    <w:rsid w:val="00EF570F"/>
    <w:rsid w:val="00EF5A60"/>
    <w:rsid w:val="00EF5B1A"/>
    <w:rsid w:val="00EF5DAD"/>
    <w:rsid w:val="00EF5E46"/>
    <w:rsid w:val="00EF5EE6"/>
    <w:rsid w:val="00EF5FA4"/>
    <w:rsid w:val="00EF61BD"/>
    <w:rsid w:val="00EF6271"/>
    <w:rsid w:val="00EF6420"/>
    <w:rsid w:val="00EF6A4C"/>
    <w:rsid w:val="00EF6AE7"/>
    <w:rsid w:val="00EF6DB6"/>
    <w:rsid w:val="00EF6EEC"/>
    <w:rsid w:val="00EF6F1D"/>
    <w:rsid w:val="00EF71ED"/>
    <w:rsid w:val="00EF72B3"/>
    <w:rsid w:val="00EF74A4"/>
    <w:rsid w:val="00EF766B"/>
    <w:rsid w:val="00EF7F0D"/>
    <w:rsid w:val="00EF7F8D"/>
    <w:rsid w:val="00F001E2"/>
    <w:rsid w:val="00F0052E"/>
    <w:rsid w:val="00F00548"/>
    <w:rsid w:val="00F006F2"/>
    <w:rsid w:val="00F008C3"/>
    <w:rsid w:val="00F009B0"/>
    <w:rsid w:val="00F009D1"/>
    <w:rsid w:val="00F00C38"/>
    <w:rsid w:val="00F00C62"/>
    <w:rsid w:val="00F00CF6"/>
    <w:rsid w:val="00F00E63"/>
    <w:rsid w:val="00F00E87"/>
    <w:rsid w:val="00F00F07"/>
    <w:rsid w:val="00F00F7A"/>
    <w:rsid w:val="00F0107F"/>
    <w:rsid w:val="00F01320"/>
    <w:rsid w:val="00F01597"/>
    <w:rsid w:val="00F01831"/>
    <w:rsid w:val="00F01CD1"/>
    <w:rsid w:val="00F01E0E"/>
    <w:rsid w:val="00F0228B"/>
    <w:rsid w:val="00F027D1"/>
    <w:rsid w:val="00F02B16"/>
    <w:rsid w:val="00F02B5F"/>
    <w:rsid w:val="00F03244"/>
    <w:rsid w:val="00F03B0E"/>
    <w:rsid w:val="00F03F54"/>
    <w:rsid w:val="00F03FFC"/>
    <w:rsid w:val="00F04088"/>
    <w:rsid w:val="00F04204"/>
    <w:rsid w:val="00F0487F"/>
    <w:rsid w:val="00F04C9F"/>
    <w:rsid w:val="00F04F17"/>
    <w:rsid w:val="00F051AC"/>
    <w:rsid w:val="00F0524E"/>
    <w:rsid w:val="00F05439"/>
    <w:rsid w:val="00F05963"/>
    <w:rsid w:val="00F05A90"/>
    <w:rsid w:val="00F05EDB"/>
    <w:rsid w:val="00F0655B"/>
    <w:rsid w:val="00F06628"/>
    <w:rsid w:val="00F06802"/>
    <w:rsid w:val="00F06924"/>
    <w:rsid w:val="00F06984"/>
    <w:rsid w:val="00F06C1C"/>
    <w:rsid w:val="00F06C32"/>
    <w:rsid w:val="00F077B2"/>
    <w:rsid w:val="00F07837"/>
    <w:rsid w:val="00F0799D"/>
    <w:rsid w:val="00F07A4C"/>
    <w:rsid w:val="00F07A6B"/>
    <w:rsid w:val="00F07B52"/>
    <w:rsid w:val="00F07F70"/>
    <w:rsid w:val="00F0866D"/>
    <w:rsid w:val="00F102BB"/>
    <w:rsid w:val="00F103C7"/>
    <w:rsid w:val="00F10A1E"/>
    <w:rsid w:val="00F10B5C"/>
    <w:rsid w:val="00F10C66"/>
    <w:rsid w:val="00F10D38"/>
    <w:rsid w:val="00F1165D"/>
    <w:rsid w:val="00F11A62"/>
    <w:rsid w:val="00F11CD4"/>
    <w:rsid w:val="00F11ED0"/>
    <w:rsid w:val="00F1211A"/>
    <w:rsid w:val="00F122B7"/>
    <w:rsid w:val="00F1231B"/>
    <w:rsid w:val="00F12417"/>
    <w:rsid w:val="00F1285A"/>
    <w:rsid w:val="00F12881"/>
    <w:rsid w:val="00F12A4C"/>
    <w:rsid w:val="00F12C92"/>
    <w:rsid w:val="00F12E17"/>
    <w:rsid w:val="00F12F58"/>
    <w:rsid w:val="00F13020"/>
    <w:rsid w:val="00F131FA"/>
    <w:rsid w:val="00F132B9"/>
    <w:rsid w:val="00F133E7"/>
    <w:rsid w:val="00F13B63"/>
    <w:rsid w:val="00F13D35"/>
    <w:rsid w:val="00F13D89"/>
    <w:rsid w:val="00F13DA3"/>
    <w:rsid w:val="00F13E49"/>
    <w:rsid w:val="00F1401A"/>
    <w:rsid w:val="00F142D2"/>
    <w:rsid w:val="00F14663"/>
    <w:rsid w:val="00F14669"/>
    <w:rsid w:val="00F14F92"/>
    <w:rsid w:val="00F15387"/>
    <w:rsid w:val="00F15477"/>
    <w:rsid w:val="00F15866"/>
    <w:rsid w:val="00F15879"/>
    <w:rsid w:val="00F158D7"/>
    <w:rsid w:val="00F15B21"/>
    <w:rsid w:val="00F15BA6"/>
    <w:rsid w:val="00F15BF5"/>
    <w:rsid w:val="00F16111"/>
    <w:rsid w:val="00F170BA"/>
    <w:rsid w:val="00F172AF"/>
    <w:rsid w:val="00F172C7"/>
    <w:rsid w:val="00F17392"/>
    <w:rsid w:val="00F17703"/>
    <w:rsid w:val="00F1778E"/>
    <w:rsid w:val="00F177E0"/>
    <w:rsid w:val="00F1782D"/>
    <w:rsid w:val="00F17A25"/>
    <w:rsid w:val="00F17B66"/>
    <w:rsid w:val="00F17E09"/>
    <w:rsid w:val="00F17E34"/>
    <w:rsid w:val="00F17F10"/>
    <w:rsid w:val="00F201B9"/>
    <w:rsid w:val="00F20290"/>
    <w:rsid w:val="00F202C2"/>
    <w:rsid w:val="00F202F7"/>
    <w:rsid w:val="00F20596"/>
    <w:rsid w:val="00F206AC"/>
    <w:rsid w:val="00F20B3C"/>
    <w:rsid w:val="00F20C86"/>
    <w:rsid w:val="00F20EFF"/>
    <w:rsid w:val="00F210E4"/>
    <w:rsid w:val="00F21541"/>
    <w:rsid w:val="00F2186C"/>
    <w:rsid w:val="00F218CC"/>
    <w:rsid w:val="00F219D2"/>
    <w:rsid w:val="00F21D17"/>
    <w:rsid w:val="00F21E4F"/>
    <w:rsid w:val="00F2259B"/>
    <w:rsid w:val="00F2266E"/>
    <w:rsid w:val="00F22874"/>
    <w:rsid w:val="00F22A69"/>
    <w:rsid w:val="00F23253"/>
    <w:rsid w:val="00F23734"/>
    <w:rsid w:val="00F2377B"/>
    <w:rsid w:val="00F238E1"/>
    <w:rsid w:val="00F23A0A"/>
    <w:rsid w:val="00F23B28"/>
    <w:rsid w:val="00F23BB7"/>
    <w:rsid w:val="00F23DC1"/>
    <w:rsid w:val="00F23E67"/>
    <w:rsid w:val="00F23E98"/>
    <w:rsid w:val="00F2491B"/>
    <w:rsid w:val="00F24935"/>
    <w:rsid w:val="00F24C1A"/>
    <w:rsid w:val="00F24C2B"/>
    <w:rsid w:val="00F24FF8"/>
    <w:rsid w:val="00F2547B"/>
    <w:rsid w:val="00F2575A"/>
    <w:rsid w:val="00F2579B"/>
    <w:rsid w:val="00F25864"/>
    <w:rsid w:val="00F25986"/>
    <w:rsid w:val="00F25B35"/>
    <w:rsid w:val="00F25D25"/>
    <w:rsid w:val="00F25DAC"/>
    <w:rsid w:val="00F26192"/>
    <w:rsid w:val="00F26381"/>
    <w:rsid w:val="00F2641F"/>
    <w:rsid w:val="00F264E1"/>
    <w:rsid w:val="00F26541"/>
    <w:rsid w:val="00F26862"/>
    <w:rsid w:val="00F268CD"/>
    <w:rsid w:val="00F26985"/>
    <w:rsid w:val="00F26A0A"/>
    <w:rsid w:val="00F26C4D"/>
    <w:rsid w:val="00F26C9C"/>
    <w:rsid w:val="00F26D9D"/>
    <w:rsid w:val="00F26DBC"/>
    <w:rsid w:val="00F26E8B"/>
    <w:rsid w:val="00F26F3B"/>
    <w:rsid w:val="00F27067"/>
    <w:rsid w:val="00F2718C"/>
    <w:rsid w:val="00F2721D"/>
    <w:rsid w:val="00F2732F"/>
    <w:rsid w:val="00F27824"/>
    <w:rsid w:val="00F27EDE"/>
    <w:rsid w:val="00F27F1C"/>
    <w:rsid w:val="00F3009F"/>
    <w:rsid w:val="00F302C7"/>
    <w:rsid w:val="00F3051C"/>
    <w:rsid w:val="00F30B77"/>
    <w:rsid w:val="00F30B88"/>
    <w:rsid w:val="00F30BA7"/>
    <w:rsid w:val="00F31350"/>
    <w:rsid w:val="00F3136E"/>
    <w:rsid w:val="00F3170F"/>
    <w:rsid w:val="00F318B3"/>
    <w:rsid w:val="00F32020"/>
    <w:rsid w:val="00F32108"/>
    <w:rsid w:val="00F32CCB"/>
    <w:rsid w:val="00F32FC1"/>
    <w:rsid w:val="00F330EE"/>
    <w:rsid w:val="00F33276"/>
    <w:rsid w:val="00F33408"/>
    <w:rsid w:val="00F3368C"/>
    <w:rsid w:val="00F336EA"/>
    <w:rsid w:val="00F33717"/>
    <w:rsid w:val="00F33EC9"/>
    <w:rsid w:val="00F34419"/>
    <w:rsid w:val="00F344DC"/>
    <w:rsid w:val="00F346BA"/>
    <w:rsid w:val="00F348AA"/>
    <w:rsid w:val="00F34B0E"/>
    <w:rsid w:val="00F34CC1"/>
    <w:rsid w:val="00F34E99"/>
    <w:rsid w:val="00F34EE3"/>
    <w:rsid w:val="00F34F11"/>
    <w:rsid w:val="00F34F60"/>
    <w:rsid w:val="00F358AC"/>
    <w:rsid w:val="00F36008"/>
    <w:rsid w:val="00F36517"/>
    <w:rsid w:val="00F36529"/>
    <w:rsid w:val="00F3688F"/>
    <w:rsid w:val="00F36B92"/>
    <w:rsid w:val="00F37045"/>
    <w:rsid w:val="00F3721B"/>
    <w:rsid w:val="00F37301"/>
    <w:rsid w:val="00F3730D"/>
    <w:rsid w:val="00F3732C"/>
    <w:rsid w:val="00F37407"/>
    <w:rsid w:val="00F3771C"/>
    <w:rsid w:val="00F37B86"/>
    <w:rsid w:val="00F37CC2"/>
    <w:rsid w:val="00F37D6B"/>
    <w:rsid w:val="00F404C5"/>
    <w:rsid w:val="00F40789"/>
    <w:rsid w:val="00F408B7"/>
    <w:rsid w:val="00F408F6"/>
    <w:rsid w:val="00F40A54"/>
    <w:rsid w:val="00F40B24"/>
    <w:rsid w:val="00F40B2F"/>
    <w:rsid w:val="00F40B3B"/>
    <w:rsid w:val="00F40C44"/>
    <w:rsid w:val="00F40D51"/>
    <w:rsid w:val="00F40D5A"/>
    <w:rsid w:val="00F41198"/>
    <w:rsid w:val="00F41882"/>
    <w:rsid w:val="00F41CB4"/>
    <w:rsid w:val="00F421E5"/>
    <w:rsid w:val="00F422C1"/>
    <w:rsid w:val="00F423ED"/>
    <w:rsid w:val="00F4254D"/>
    <w:rsid w:val="00F4256D"/>
    <w:rsid w:val="00F42992"/>
    <w:rsid w:val="00F42B27"/>
    <w:rsid w:val="00F42B6E"/>
    <w:rsid w:val="00F431C1"/>
    <w:rsid w:val="00F433C4"/>
    <w:rsid w:val="00F4348D"/>
    <w:rsid w:val="00F43BE9"/>
    <w:rsid w:val="00F43C0E"/>
    <w:rsid w:val="00F444B8"/>
    <w:rsid w:val="00F44650"/>
    <w:rsid w:val="00F449CB"/>
    <w:rsid w:val="00F44B3E"/>
    <w:rsid w:val="00F44CE9"/>
    <w:rsid w:val="00F44D3B"/>
    <w:rsid w:val="00F44DC6"/>
    <w:rsid w:val="00F45836"/>
    <w:rsid w:val="00F458D1"/>
    <w:rsid w:val="00F45A89"/>
    <w:rsid w:val="00F45E02"/>
    <w:rsid w:val="00F45EF8"/>
    <w:rsid w:val="00F4611F"/>
    <w:rsid w:val="00F46481"/>
    <w:rsid w:val="00F46514"/>
    <w:rsid w:val="00F46720"/>
    <w:rsid w:val="00F46789"/>
    <w:rsid w:val="00F46AA7"/>
    <w:rsid w:val="00F46C19"/>
    <w:rsid w:val="00F46C71"/>
    <w:rsid w:val="00F46C88"/>
    <w:rsid w:val="00F46C8B"/>
    <w:rsid w:val="00F46C8C"/>
    <w:rsid w:val="00F47010"/>
    <w:rsid w:val="00F47123"/>
    <w:rsid w:val="00F4721E"/>
    <w:rsid w:val="00F47234"/>
    <w:rsid w:val="00F473F9"/>
    <w:rsid w:val="00F47731"/>
    <w:rsid w:val="00F478A4"/>
    <w:rsid w:val="00F47A63"/>
    <w:rsid w:val="00F47BA9"/>
    <w:rsid w:val="00F47BD8"/>
    <w:rsid w:val="00F47CA4"/>
    <w:rsid w:val="00F47CCC"/>
    <w:rsid w:val="00F47EFD"/>
    <w:rsid w:val="00F47F7D"/>
    <w:rsid w:val="00F50250"/>
    <w:rsid w:val="00F5070C"/>
    <w:rsid w:val="00F5086F"/>
    <w:rsid w:val="00F50FDF"/>
    <w:rsid w:val="00F510D9"/>
    <w:rsid w:val="00F512D8"/>
    <w:rsid w:val="00F5142E"/>
    <w:rsid w:val="00F5152C"/>
    <w:rsid w:val="00F516F2"/>
    <w:rsid w:val="00F5185A"/>
    <w:rsid w:val="00F51994"/>
    <w:rsid w:val="00F51F88"/>
    <w:rsid w:val="00F51FC6"/>
    <w:rsid w:val="00F525B3"/>
    <w:rsid w:val="00F52652"/>
    <w:rsid w:val="00F527F2"/>
    <w:rsid w:val="00F529D7"/>
    <w:rsid w:val="00F52A16"/>
    <w:rsid w:val="00F52C01"/>
    <w:rsid w:val="00F52D0B"/>
    <w:rsid w:val="00F52D1A"/>
    <w:rsid w:val="00F52E07"/>
    <w:rsid w:val="00F5339C"/>
    <w:rsid w:val="00F53442"/>
    <w:rsid w:val="00F5352E"/>
    <w:rsid w:val="00F539CE"/>
    <w:rsid w:val="00F53C8E"/>
    <w:rsid w:val="00F53C9B"/>
    <w:rsid w:val="00F53D1B"/>
    <w:rsid w:val="00F5424A"/>
    <w:rsid w:val="00F544F3"/>
    <w:rsid w:val="00F546EC"/>
    <w:rsid w:val="00F54BC9"/>
    <w:rsid w:val="00F552A8"/>
    <w:rsid w:val="00F553A2"/>
    <w:rsid w:val="00F556BB"/>
    <w:rsid w:val="00F557FC"/>
    <w:rsid w:val="00F5584A"/>
    <w:rsid w:val="00F55A8D"/>
    <w:rsid w:val="00F55DD1"/>
    <w:rsid w:val="00F55EF1"/>
    <w:rsid w:val="00F55FB2"/>
    <w:rsid w:val="00F561F2"/>
    <w:rsid w:val="00F56226"/>
    <w:rsid w:val="00F5657B"/>
    <w:rsid w:val="00F56729"/>
    <w:rsid w:val="00F56CA8"/>
    <w:rsid w:val="00F56E36"/>
    <w:rsid w:val="00F56EE5"/>
    <w:rsid w:val="00F57336"/>
    <w:rsid w:val="00F5764D"/>
    <w:rsid w:val="00F5768F"/>
    <w:rsid w:val="00F57A69"/>
    <w:rsid w:val="00F57CE4"/>
    <w:rsid w:val="00F601CA"/>
    <w:rsid w:val="00F60455"/>
    <w:rsid w:val="00F608EB"/>
    <w:rsid w:val="00F60DFE"/>
    <w:rsid w:val="00F60F0B"/>
    <w:rsid w:val="00F60F78"/>
    <w:rsid w:val="00F60FE6"/>
    <w:rsid w:val="00F6105D"/>
    <w:rsid w:val="00F614A8"/>
    <w:rsid w:val="00F6163C"/>
    <w:rsid w:val="00F61698"/>
    <w:rsid w:val="00F61800"/>
    <w:rsid w:val="00F61905"/>
    <w:rsid w:val="00F6194A"/>
    <w:rsid w:val="00F61B8E"/>
    <w:rsid w:val="00F61E1E"/>
    <w:rsid w:val="00F61F29"/>
    <w:rsid w:val="00F61F32"/>
    <w:rsid w:val="00F620AD"/>
    <w:rsid w:val="00F62D13"/>
    <w:rsid w:val="00F631EB"/>
    <w:rsid w:val="00F632CF"/>
    <w:rsid w:val="00F63327"/>
    <w:rsid w:val="00F6344A"/>
    <w:rsid w:val="00F63981"/>
    <w:rsid w:val="00F639B6"/>
    <w:rsid w:val="00F63BBD"/>
    <w:rsid w:val="00F63BC7"/>
    <w:rsid w:val="00F63BDE"/>
    <w:rsid w:val="00F64188"/>
    <w:rsid w:val="00F64291"/>
    <w:rsid w:val="00F64AA0"/>
    <w:rsid w:val="00F64AF4"/>
    <w:rsid w:val="00F64F7F"/>
    <w:rsid w:val="00F64F83"/>
    <w:rsid w:val="00F64F8C"/>
    <w:rsid w:val="00F6501D"/>
    <w:rsid w:val="00F65437"/>
    <w:rsid w:val="00F658EB"/>
    <w:rsid w:val="00F6596C"/>
    <w:rsid w:val="00F66154"/>
    <w:rsid w:val="00F6625E"/>
    <w:rsid w:val="00F66382"/>
    <w:rsid w:val="00F663EB"/>
    <w:rsid w:val="00F663FF"/>
    <w:rsid w:val="00F66466"/>
    <w:rsid w:val="00F66525"/>
    <w:rsid w:val="00F666AB"/>
    <w:rsid w:val="00F667D2"/>
    <w:rsid w:val="00F667D8"/>
    <w:rsid w:val="00F669D6"/>
    <w:rsid w:val="00F66B36"/>
    <w:rsid w:val="00F66C6B"/>
    <w:rsid w:val="00F66C78"/>
    <w:rsid w:val="00F67471"/>
    <w:rsid w:val="00F67801"/>
    <w:rsid w:val="00F67824"/>
    <w:rsid w:val="00F67CE3"/>
    <w:rsid w:val="00F67CE4"/>
    <w:rsid w:val="00F67D3C"/>
    <w:rsid w:val="00F67D9B"/>
    <w:rsid w:val="00F703CF"/>
    <w:rsid w:val="00F70632"/>
    <w:rsid w:val="00F707C4"/>
    <w:rsid w:val="00F70872"/>
    <w:rsid w:val="00F70992"/>
    <w:rsid w:val="00F709AD"/>
    <w:rsid w:val="00F70AC3"/>
    <w:rsid w:val="00F70AF6"/>
    <w:rsid w:val="00F70BDF"/>
    <w:rsid w:val="00F71187"/>
    <w:rsid w:val="00F712BC"/>
    <w:rsid w:val="00F71377"/>
    <w:rsid w:val="00F71927"/>
    <w:rsid w:val="00F71C3B"/>
    <w:rsid w:val="00F71E9B"/>
    <w:rsid w:val="00F71EBE"/>
    <w:rsid w:val="00F72386"/>
    <w:rsid w:val="00F723F0"/>
    <w:rsid w:val="00F72435"/>
    <w:rsid w:val="00F7257D"/>
    <w:rsid w:val="00F72724"/>
    <w:rsid w:val="00F72845"/>
    <w:rsid w:val="00F72C46"/>
    <w:rsid w:val="00F72E80"/>
    <w:rsid w:val="00F73708"/>
    <w:rsid w:val="00F7394E"/>
    <w:rsid w:val="00F7440B"/>
    <w:rsid w:val="00F74578"/>
    <w:rsid w:val="00F745DB"/>
    <w:rsid w:val="00F7468E"/>
    <w:rsid w:val="00F74898"/>
    <w:rsid w:val="00F74EA5"/>
    <w:rsid w:val="00F75032"/>
    <w:rsid w:val="00F750B7"/>
    <w:rsid w:val="00F753A4"/>
    <w:rsid w:val="00F7549E"/>
    <w:rsid w:val="00F75618"/>
    <w:rsid w:val="00F7564A"/>
    <w:rsid w:val="00F7597E"/>
    <w:rsid w:val="00F75D42"/>
    <w:rsid w:val="00F760DF"/>
    <w:rsid w:val="00F763DB"/>
    <w:rsid w:val="00F76A5C"/>
    <w:rsid w:val="00F76C43"/>
    <w:rsid w:val="00F76E10"/>
    <w:rsid w:val="00F76E7A"/>
    <w:rsid w:val="00F76EA4"/>
    <w:rsid w:val="00F76F78"/>
    <w:rsid w:val="00F76F80"/>
    <w:rsid w:val="00F77272"/>
    <w:rsid w:val="00F77524"/>
    <w:rsid w:val="00F77A92"/>
    <w:rsid w:val="00F77AE5"/>
    <w:rsid w:val="00F77B88"/>
    <w:rsid w:val="00F77BA0"/>
    <w:rsid w:val="00F77D47"/>
    <w:rsid w:val="00F77E87"/>
    <w:rsid w:val="00F8003F"/>
    <w:rsid w:val="00F800F7"/>
    <w:rsid w:val="00F80162"/>
    <w:rsid w:val="00F8018A"/>
    <w:rsid w:val="00F80835"/>
    <w:rsid w:val="00F80998"/>
    <w:rsid w:val="00F81069"/>
    <w:rsid w:val="00F81108"/>
    <w:rsid w:val="00F8125F"/>
    <w:rsid w:val="00F81688"/>
    <w:rsid w:val="00F81884"/>
    <w:rsid w:val="00F818DB"/>
    <w:rsid w:val="00F819F9"/>
    <w:rsid w:val="00F81A01"/>
    <w:rsid w:val="00F81D5D"/>
    <w:rsid w:val="00F81EBD"/>
    <w:rsid w:val="00F82187"/>
    <w:rsid w:val="00F82318"/>
    <w:rsid w:val="00F824D2"/>
    <w:rsid w:val="00F8259E"/>
    <w:rsid w:val="00F825F7"/>
    <w:rsid w:val="00F82B13"/>
    <w:rsid w:val="00F83891"/>
    <w:rsid w:val="00F83A4C"/>
    <w:rsid w:val="00F83A9F"/>
    <w:rsid w:val="00F83B53"/>
    <w:rsid w:val="00F83B7A"/>
    <w:rsid w:val="00F83C93"/>
    <w:rsid w:val="00F8456E"/>
    <w:rsid w:val="00F84691"/>
    <w:rsid w:val="00F847F2"/>
    <w:rsid w:val="00F84852"/>
    <w:rsid w:val="00F8493C"/>
    <w:rsid w:val="00F84A69"/>
    <w:rsid w:val="00F84B62"/>
    <w:rsid w:val="00F84B7C"/>
    <w:rsid w:val="00F84F69"/>
    <w:rsid w:val="00F85023"/>
    <w:rsid w:val="00F850D2"/>
    <w:rsid w:val="00F85310"/>
    <w:rsid w:val="00F855A8"/>
    <w:rsid w:val="00F857CD"/>
    <w:rsid w:val="00F8601F"/>
    <w:rsid w:val="00F86598"/>
    <w:rsid w:val="00F866F5"/>
    <w:rsid w:val="00F86C8F"/>
    <w:rsid w:val="00F86CDE"/>
    <w:rsid w:val="00F86D03"/>
    <w:rsid w:val="00F86EE1"/>
    <w:rsid w:val="00F86F01"/>
    <w:rsid w:val="00F870FA"/>
    <w:rsid w:val="00F87177"/>
    <w:rsid w:val="00F8725F"/>
    <w:rsid w:val="00F87750"/>
    <w:rsid w:val="00F87A63"/>
    <w:rsid w:val="00F87C26"/>
    <w:rsid w:val="00F87F26"/>
    <w:rsid w:val="00F90090"/>
    <w:rsid w:val="00F9015E"/>
    <w:rsid w:val="00F9086D"/>
    <w:rsid w:val="00F9093F"/>
    <w:rsid w:val="00F90A56"/>
    <w:rsid w:val="00F90B4E"/>
    <w:rsid w:val="00F90E31"/>
    <w:rsid w:val="00F913AF"/>
    <w:rsid w:val="00F91518"/>
    <w:rsid w:val="00F91970"/>
    <w:rsid w:val="00F919CC"/>
    <w:rsid w:val="00F91C24"/>
    <w:rsid w:val="00F91F62"/>
    <w:rsid w:val="00F9213B"/>
    <w:rsid w:val="00F92151"/>
    <w:rsid w:val="00F92363"/>
    <w:rsid w:val="00F925AE"/>
    <w:rsid w:val="00F9273F"/>
    <w:rsid w:val="00F9276F"/>
    <w:rsid w:val="00F92962"/>
    <w:rsid w:val="00F9296C"/>
    <w:rsid w:val="00F929DC"/>
    <w:rsid w:val="00F92A38"/>
    <w:rsid w:val="00F92B9B"/>
    <w:rsid w:val="00F931EF"/>
    <w:rsid w:val="00F937B3"/>
    <w:rsid w:val="00F93A89"/>
    <w:rsid w:val="00F93AAF"/>
    <w:rsid w:val="00F940DD"/>
    <w:rsid w:val="00F941F9"/>
    <w:rsid w:val="00F94481"/>
    <w:rsid w:val="00F9450D"/>
    <w:rsid w:val="00F94577"/>
    <w:rsid w:val="00F9482D"/>
    <w:rsid w:val="00F9489E"/>
    <w:rsid w:val="00F94D2D"/>
    <w:rsid w:val="00F94DB7"/>
    <w:rsid w:val="00F94EB1"/>
    <w:rsid w:val="00F95301"/>
    <w:rsid w:val="00F953AB"/>
    <w:rsid w:val="00F9543F"/>
    <w:rsid w:val="00F95586"/>
    <w:rsid w:val="00F9590F"/>
    <w:rsid w:val="00F95A85"/>
    <w:rsid w:val="00F95B71"/>
    <w:rsid w:val="00F95DEE"/>
    <w:rsid w:val="00F96544"/>
    <w:rsid w:val="00F96559"/>
    <w:rsid w:val="00F96B3F"/>
    <w:rsid w:val="00F96C98"/>
    <w:rsid w:val="00F96F50"/>
    <w:rsid w:val="00F9705B"/>
    <w:rsid w:val="00F97074"/>
    <w:rsid w:val="00F972AF"/>
    <w:rsid w:val="00F97433"/>
    <w:rsid w:val="00F974EC"/>
    <w:rsid w:val="00F9762B"/>
    <w:rsid w:val="00F97938"/>
    <w:rsid w:val="00F97ABE"/>
    <w:rsid w:val="00F97AC5"/>
    <w:rsid w:val="00F97DC7"/>
    <w:rsid w:val="00F97FF8"/>
    <w:rsid w:val="00FA0064"/>
    <w:rsid w:val="00FA00F6"/>
    <w:rsid w:val="00FA0261"/>
    <w:rsid w:val="00FA03D9"/>
    <w:rsid w:val="00FA04DB"/>
    <w:rsid w:val="00FA0762"/>
    <w:rsid w:val="00FA07D7"/>
    <w:rsid w:val="00FA0BD8"/>
    <w:rsid w:val="00FA1C6B"/>
    <w:rsid w:val="00FA21FC"/>
    <w:rsid w:val="00FA22E2"/>
    <w:rsid w:val="00FA2464"/>
    <w:rsid w:val="00FA2468"/>
    <w:rsid w:val="00FA269E"/>
    <w:rsid w:val="00FA289E"/>
    <w:rsid w:val="00FA2960"/>
    <w:rsid w:val="00FA2DED"/>
    <w:rsid w:val="00FA32FE"/>
    <w:rsid w:val="00FA33ED"/>
    <w:rsid w:val="00FA3A0D"/>
    <w:rsid w:val="00FA3BC8"/>
    <w:rsid w:val="00FA3C56"/>
    <w:rsid w:val="00FA3F0E"/>
    <w:rsid w:val="00FA4B47"/>
    <w:rsid w:val="00FA4B90"/>
    <w:rsid w:val="00FA4DCF"/>
    <w:rsid w:val="00FA4DD2"/>
    <w:rsid w:val="00FA5218"/>
    <w:rsid w:val="00FA5770"/>
    <w:rsid w:val="00FA5979"/>
    <w:rsid w:val="00FA5E68"/>
    <w:rsid w:val="00FA6532"/>
    <w:rsid w:val="00FA663B"/>
    <w:rsid w:val="00FA664F"/>
    <w:rsid w:val="00FA6C66"/>
    <w:rsid w:val="00FA6CCB"/>
    <w:rsid w:val="00FA70BB"/>
    <w:rsid w:val="00FA7259"/>
    <w:rsid w:val="00FA7348"/>
    <w:rsid w:val="00FA76AF"/>
    <w:rsid w:val="00FA76D8"/>
    <w:rsid w:val="00FA7809"/>
    <w:rsid w:val="00FA78A5"/>
    <w:rsid w:val="00FA792F"/>
    <w:rsid w:val="00FA7B06"/>
    <w:rsid w:val="00FA7E12"/>
    <w:rsid w:val="00FB0CA8"/>
    <w:rsid w:val="00FB0ECD"/>
    <w:rsid w:val="00FB105C"/>
    <w:rsid w:val="00FB11B7"/>
    <w:rsid w:val="00FB15AF"/>
    <w:rsid w:val="00FB1819"/>
    <w:rsid w:val="00FB1E86"/>
    <w:rsid w:val="00FB1F8F"/>
    <w:rsid w:val="00FB20D7"/>
    <w:rsid w:val="00FB22E2"/>
    <w:rsid w:val="00FB2320"/>
    <w:rsid w:val="00FB262A"/>
    <w:rsid w:val="00FB264B"/>
    <w:rsid w:val="00FB285F"/>
    <w:rsid w:val="00FB2861"/>
    <w:rsid w:val="00FB2AE0"/>
    <w:rsid w:val="00FB2D3D"/>
    <w:rsid w:val="00FB3135"/>
    <w:rsid w:val="00FB324C"/>
    <w:rsid w:val="00FB38BC"/>
    <w:rsid w:val="00FB3B32"/>
    <w:rsid w:val="00FB3C7A"/>
    <w:rsid w:val="00FB3CF1"/>
    <w:rsid w:val="00FB3FD9"/>
    <w:rsid w:val="00FB42F1"/>
    <w:rsid w:val="00FB4551"/>
    <w:rsid w:val="00FB457F"/>
    <w:rsid w:val="00FB4682"/>
    <w:rsid w:val="00FB47A4"/>
    <w:rsid w:val="00FB486A"/>
    <w:rsid w:val="00FB4A5C"/>
    <w:rsid w:val="00FB507A"/>
    <w:rsid w:val="00FB59BA"/>
    <w:rsid w:val="00FB5F03"/>
    <w:rsid w:val="00FB60CF"/>
    <w:rsid w:val="00FB627F"/>
    <w:rsid w:val="00FB64FA"/>
    <w:rsid w:val="00FB6509"/>
    <w:rsid w:val="00FB6557"/>
    <w:rsid w:val="00FB66D6"/>
    <w:rsid w:val="00FB6841"/>
    <w:rsid w:val="00FB6A3F"/>
    <w:rsid w:val="00FB6B1F"/>
    <w:rsid w:val="00FB6B2F"/>
    <w:rsid w:val="00FB703D"/>
    <w:rsid w:val="00FB70E1"/>
    <w:rsid w:val="00FB77EB"/>
    <w:rsid w:val="00FB7A2F"/>
    <w:rsid w:val="00FB7CEB"/>
    <w:rsid w:val="00FB7D63"/>
    <w:rsid w:val="00FC02F0"/>
    <w:rsid w:val="00FC0824"/>
    <w:rsid w:val="00FC0A20"/>
    <w:rsid w:val="00FC10ED"/>
    <w:rsid w:val="00FC12BE"/>
    <w:rsid w:val="00FC1424"/>
    <w:rsid w:val="00FC18F9"/>
    <w:rsid w:val="00FC1B0A"/>
    <w:rsid w:val="00FC1C08"/>
    <w:rsid w:val="00FC1DD8"/>
    <w:rsid w:val="00FC21FA"/>
    <w:rsid w:val="00FC22D6"/>
    <w:rsid w:val="00FC22D9"/>
    <w:rsid w:val="00FC2CD5"/>
    <w:rsid w:val="00FC3035"/>
    <w:rsid w:val="00FC3310"/>
    <w:rsid w:val="00FC3698"/>
    <w:rsid w:val="00FC36C6"/>
    <w:rsid w:val="00FC385C"/>
    <w:rsid w:val="00FC387B"/>
    <w:rsid w:val="00FC38C2"/>
    <w:rsid w:val="00FC3995"/>
    <w:rsid w:val="00FC4016"/>
    <w:rsid w:val="00FC461D"/>
    <w:rsid w:val="00FC4B85"/>
    <w:rsid w:val="00FC4B9E"/>
    <w:rsid w:val="00FC4C1B"/>
    <w:rsid w:val="00FC4D0A"/>
    <w:rsid w:val="00FC4DC1"/>
    <w:rsid w:val="00FC4F29"/>
    <w:rsid w:val="00FC4FEB"/>
    <w:rsid w:val="00FC503E"/>
    <w:rsid w:val="00FC50B2"/>
    <w:rsid w:val="00FC516D"/>
    <w:rsid w:val="00FC5551"/>
    <w:rsid w:val="00FC570D"/>
    <w:rsid w:val="00FC57E6"/>
    <w:rsid w:val="00FC5918"/>
    <w:rsid w:val="00FC5BE9"/>
    <w:rsid w:val="00FC5FEE"/>
    <w:rsid w:val="00FC6081"/>
    <w:rsid w:val="00FC60E6"/>
    <w:rsid w:val="00FC633E"/>
    <w:rsid w:val="00FC639B"/>
    <w:rsid w:val="00FC6442"/>
    <w:rsid w:val="00FC6449"/>
    <w:rsid w:val="00FC652B"/>
    <w:rsid w:val="00FC6603"/>
    <w:rsid w:val="00FC6A74"/>
    <w:rsid w:val="00FC6D97"/>
    <w:rsid w:val="00FC6DCD"/>
    <w:rsid w:val="00FC7137"/>
    <w:rsid w:val="00FC7149"/>
    <w:rsid w:val="00FC7649"/>
    <w:rsid w:val="00FC780B"/>
    <w:rsid w:val="00FC789B"/>
    <w:rsid w:val="00FC7968"/>
    <w:rsid w:val="00FC79CD"/>
    <w:rsid w:val="00FC7A00"/>
    <w:rsid w:val="00FC7EAC"/>
    <w:rsid w:val="00FC7FB3"/>
    <w:rsid w:val="00FD03A1"/>
    <w:rsid w:val="00FD063D"/>
    <w:rsid w:val="00FD0773"/>
    <w:rsid w:val="00FD08FE"/>
    <w:rsid w:val="00FD0A51"/>
    <w:rsid w:val="00FD0C4B"/>
    <w:rsid w:val="00FD0F24"/>
    <w:rsid w:val="00FD10AD"/>
    <w:rsid w:val="00FD117C"/>
    <w:rsid w:val="00FD121B"/>
    <w:rsid w:val="00FD12C1"/>
    <w:rsid w:val="00FD149F"/>
    <w:rsid w:val="00FD15CA"/>
    <w:rsid w:val="00FD172B"/>
    <w:rsid w:val="00FD18AC"/>
    <w:rsid w:val="00FD19A1"/>
    <w:rsid w:val="00FD1C7C"/>
    <w:rsid w:val="00FD1D6A"/>
    <w:rsid w:val="00FD1EF0"/>
    <w:rsid w:val="00FD2173"/>
    <w:rsid w:val="00FD249C"/>
    <w:rsid w:val="00FD2645"/>
    <w:rsid w:val="00FD26D0"/>
    <w:rsid w:val="00FD272B"/>
    <w:rsid w:val="00FD288A"/>
    <w:rsid w:val="00FD2A80"/>
    <w:rsid w:val="00FD2DB4"/>
    <w:rsid w:val="00FD2F8B"/>
    <w:rsid w:val="00FD304D"/>
    <w:rsid w:val="00FD30E3"/>
    <w:rsid w:val="00FD3225"/>
    <w:rsid w:val="00FD3429"/>
    <w:rsid w:val="00FD34C0"/>
    <w:rsid w:val="00FD377B"/>
    <w:rsid w:val="00FD37CF"/>
    <w:rsid w:val="00FD41EE"/>
    <w:rsid w:val="00FD4250"/>
    <w:rsid w:val="00FD427D"/>
    <w:rsid w:val="00FD45D3"/>
    <w:rsid w:val="00FD4916"/>
    <w:rsid w:val="00FD4E28"/>
    <w:rsid w:val="00FD4F90"/>
    <w:rsid w:val="00FD5191"/>
    <w:rsid w:val="00FD51DC"/>
    <w:rsid w:val="00FD5247"/>
    <w:rsid w:val="00FD5437"/>
    <w:rsid w:val="00FD5652"/>
    <w:rsid w:val="00FD570D"/>
    <w:rsid w:val="00FD5AC4"/>
    <w:rsid w:val="00FD5CBF"/>
    <w:rsid w:val="00FD60BA"/>
    <w:rsid w:val="00FD66F0"/>
    <w:rsid w:val="00FD6A65"/>
    <w:rsid w:val="00FD6E72"/>
    <w:rsid w:val="00FD6FDE"/>
    <w:rsid w:val="00FD755D"/>
    <w:rsid w:val="00FD7B7F"/>
    <w:rsid w:val="00FD7C56"/>
    <w:rsid w:val="00FE020D"/>
    <w:rsid w:val="00FE037F"/>
    <w:rsid w:val="00FE04CB"/>
    <w:rsid w:val="00FE059C"/>
    <w:rsid w:val="00FE063B"/>
    <w:rsid w:val="00FE06E1"/>
    <w:rsid w:val="00FE07BC"/>
    <w:rsid w:val="00FE092E"/>
    <w:rsid w:val="00FE0ABF"/>
    <w:rsid w:val="00FE0C70"/>
    <w:rsid w:val="00FE0C80"/>
    <w:rsid w:val="00FE0D86"/>
    <w:rsid w:val="00FE0F16"/>
    <w:rsid w:val="00FE0F20"/>
    <w:rsid w:val="00FE0F8C"/>
    <w:rsid w:val="00FE1B23"/>
    <w:rsid w:val="00FE1C35"/>
    <w:rsid w:val="00FE1DC4"/>
    <w:rsid w:val="00FE24D3"/>
    <w:rsid w:val="00FE24E0"/>
    <w:rsid w:val="00FE28C1"/>
    <w:rsid w:val="00FE2C5E"/>
    <w:rsid w:val="00FE2D83"/>
    <w:rsid w:val="00FE2E5E"/>
    <w:rsid w:val="00FE3024"/>
    <w:rsid w:val="00FE3568"/>
    <w:rsid w:val="00FE37D8"/>
    <w:rsid w:val="00FE3850"/>
    <w:rsid w:val="00FE3D17"/>
    <w:rsid w:val="00FE402B"/>
    <w:rsid w:val="00FE417A"/>
    <w:rsid w:val="00FE459D"/>
    <w:rsid w:val="00FE46BC"/>
    <w:rsid w:val="00FE4B9B"/>
    <w:rsid w:val="00FE4C47"/>
    <w:rsid w:val="00FE4ED1"/>
    <w:rsid w:val="00FE5051"/>
    <w:rsid w:val="00FE541D"/>
    <w:rsid w:val="00FE54D6"/>
    <w:rsid w:val="00FE5A8C"/>
    <w:rsid w:val="00FE5BFB"/>
    <w:rsid w:val="00FE5C38"/>
    <w:rsid w:val="00FE5CB3"/>
    <w:rsid w:val="00FE5D39"/>
    <w:rsid w:val="00FE6628"/>
    <w:rsid w:val="00FE676A"/>
    <w:rsid w:val="00FE69C2"/>
    <w:rsid w:val="00FE69F7"/>
    <w:rsid w:val="00FE69FF"/>
    <w:rsid w:val="00FE6AC5"/>
    <w:rsid w:val="00FE6C11"/>
    <w:rsid w:val="00FE7044"/>
    <w:rsid w:val="00FE7045"/>
    <w:rsid w:val="00FE7548"/>
    <w:rsid w:val="00FE76FE"/>
    <w:rsid w:val="00FE7796"/>
    <w:rsid w:val="00FE784D"/>
    <w:rsid w:val="00FE790E"/>
    <w:rsid w:val="00FE7B1F"/>
    <w:rsid w:val="00FE7B72"/>
    <w:rsid w:val="00FE7E05"/>
    <w:rsid w:val="00FF0328"/>
    <w:rsid w:val="00FF0755"/>
    <w:rsid w:val="00FF0B61"/>
    <w:rsid w:val="00FF0EB1"/>
    <w:rsid w:val="00FF1091"/>
    <w:rsid w:val="00FF10A4"/>
    <w:rsid w:val="00FF1218"/>
    <w:rsid w:val="00FF1616"/>
    <w:rsid w:val="00FF270E"/>
    <w:rsid w:val="00FF27BA"/>
    <w:rsid w:val="00FF27BC"/>
    <w:rsid w:val="00FF28B2"/>
    <w:rsid w:val="00FF297C"/>
    <w:rsid w:val="00FF2B8A"/>
    <w:rsid w:val="00FF2CFA"/>
    <w:rsid w:val="00FF2EAE"/>
    <w:rsid w:val="00FF35DD"/>
    <w:rsid w:val="00FF3663"/>
    <w:rsid w:val="00FF3BA3"/>
    <w:rsid w:val="00FF3C45"/>
    <w:rsid w:val="00FF3C63"/>
    <w:rsid w:val="00FF4215"/>
    <w:rsid w:val="00FF4252"/>
    <w:rsid w:val="00FF428A"/>
    <w:rsid w:val="00FF42DC"/>
    <w:rsid w:val="00FF4818"/>
    <w:rsid w:val="00FF4BE7"/>
    <w:rsid w:val="00FF4D48"/>
    <w:rsid w:val="00FF4EB7"/>
    <w:rsid w:val="00FF4F53"/>
    <w:rsid w:val="00FF51B8"/>
    <w:rsid w:val="00FF5228"/>
    <w:rsid w:val="00FF55FD"/>
    <w:rsid w:val="00FF5715"/>
    <w:rsid w:val="00FF5799"/>
    <w:rsid w:val="00FF5A1D"/>
    <w:rsid w:val="00FF5B65"/>
    <w:rsid w:val="00FF5C9E"/>
    <w:rsid w:val="00FF673B"/>
    <w:rsid w:val="00FF6BDB"/>
    <w:rsid w:val="00FF6CFE"/>
    <w:rsid w:val="00FF711A"/>
    <w:rsid w:val="00FF7444"/>
    <w:rsid w:val="00FF761D"/>
    <w:rsid w:val="00FF7647"/>
    <w:rsid w:val="00FF76B3"/>
    <w:rsid w:val="00FF77D9"/>
    <w:rsid w:val="00FF78BF"/>
    <w:rsid w:val="00FF7ABA"/>
    <w:rsid w:val="00FF7DD1"/>
    <w:rsid w:val="00FF7F59"/>
    <w:rsid w:val="01342296"/>
    <w:rsid w:val="015779C1"/>
    <w:rsid w:val="0181EF81"/>
    <w:rsid w:val="019B8C6D"/>
    <w:rsid w:val="01C24AB2"/>
    <w:rsid w:val="01E4A85D"/>
    <w:rsid w:val="0215E730"/>
    <w:rsid w:val="02A11EC0"/>
    <w:rsid w:val="02AE4F13"/>
    <w:rsid w:val="02E4107A"/>
    <w:rsid w:val="03745F2B"/>
    <w:rsid w:val="0384A79E"/>
    <w:rsid w:val="03E999C4"/>
    <w:rsid w:val="049EE813"/>
    <w:rsid w:val="050B3C76"/>
    <w:rsid w:val="05391AD6"/>
    <w:rsid w:val="055B4BC1"/>
    <w:rsid w:val="056BF515"/>
    <w:rsid w:val="0574741E"/>
    <w:rsid w:val="0589CB8A"/>
    <w:rsid w:val="05BA3A50"/>
    <w:rsid w:val="05BE421C"/>
    <w:rsid w:val="061B759E"/>
    <w:rsid w:val="0646185E"/>
    <w:rsid w:val="065FDBB8"/>
    <w:rsid w:val="06BA634D"/>
    <w:rsid w:val="06C45974"/>
    <w:rsid w:val="06CE48FC"/>
    <w:rsid w:val="0751058A"/>
    <w:rsid w:val="07866BFE"/>
    <w:rsid w:val="07B0D41B"/>
    <w:rsid w:val="07C9E169"/>
    <w:rsid w:val="07D1B6B8"/>
    <w:rsid w:val="07D9A43E"/>
    <w:rsid w:val="081D6C3D"/>
    <w:rsid w:val="0890AFD8"/>
    <w:rsid w:val="0892EC83"/>
    <w:rsid w:val="09BCFD26"/>
    <w:rsid w:val="09BE2D44"/>
    <w:rsid w:val="09CC665E"/>
    <w:rsid w:val="09E309BC"/>
    <w:rsid w:val="0A11EEAA"/>
    <w:rsid w:val="0A487DB1"/>
    <w:rsid w:val="0A85FCBB"/>
    <w:rsid w:val="0A9B1016"/>
    <w:rsid w:val="0B6C8F2E"/>
    <w:rsid w:val="0B98FE2A"/>
    <w:rsid w:val="0BCE84B1"/>
    <w:rsid w:val="0C39425C"/>
    <w:rsid w:val="0CB76604"/>
    <w:rsid w:val="0D9C203D"/>
    <w:rsid w:val="0DF5CFF9"/>
    <w:rsid w:val="0E0D1661"/>
    <w:rsid w:val="0E40F83C"/>
    <w:rsid w:val="0E7D1C49"/>
    <w:rsid w:val="0E84A99E"/>
    <w:rsid w:val="0EE9757E"/>
    <w:rsid w:val="0F5F1E63"/>
    <w:rsid w:val="1059A90E"/>
    <w:rsid w:val="106BAA85"/>
    <w:rsid w:val="10B5CAF9"/>
    <w:rsid w:val="10E83E19"/>
    <w:rsid w:val="10F7B935"/>
    <w:rsid w:val="1191AD3A"/>
    <w:rsid w:val="1194E7DA"/>
    <w:rsid w:val="119A56E6"/>
    <w:rsid w:val="11A2EEE4"/>
    <w:rsid w:val="124FE085"/>
    <w:rsid w:val="127BBD63"/>
    <w:rsid w:val="130FBD2D"/>
    <w:rsid w:val="13F97A2D"/>
    <w:rsid w:val="142D38A6"/>
    <w:rsid w:val="1454E462"/>
    <w:rsid w:val="151E1CD6"/>
    <w:rsid w:val="154B65F7"/>
    <w:rsid w:val="1565315B"/>
    <w:rsid w:val="15BB3E0E"/>
    <w:rsid w:val="16167700"/>
    <w:rsid w:val="164846D8"/>
    <w:rsid w:val="174CC4BA"/>
    <w:rsid w:val="17822FAA"/>
    <w:rsid w:val="17BD9E32"/>
    <w:rsid w:val="17C52CCD"/>
    <w:rsid w:val="1866C0C3"/>
    <w:rsid w:val="18A15B8D"/>
    <w:rsid w:val="18C1A727"/>
    <w:rsid w:val="18CCDE41"/>
    <w:rsid w:val="1967E200"/>
    <w:rsid w:val="19A4701F"/>
    <w:rsid w:val="1A4D05FF"/>
    <w:rsid w:val="1ABB2439"/>
    <w:rsid w:val="1B00B2A0"/>
    <w:rsid w:val="1B052091"/>
    <w:rsid w:val="1B0E406D"/>
    <w:rsid w:val="1B2768CA"/>
    <w:rsid w:val="1B2CE609"/>
    <w:rsid w:val="1B9C4743"/>
    <w:rsid w:val="1B9DB204"/>
    <w:rsid w:val="1BB5B742"/>
    <w:rsid w:val="1BE0B10F"/>
    <w:rsid w:val="1BE27D6C"/>
    <w:rsid w:val="1C08EF29"/>
    <w:rsid w:val="1C2D0E2F"/>
    <w:rsid w:val="1C39C539"/>
    <w:rsid w:val="1C40F51A"/>
    <w:rsid w:val="1CA2967F"/>
    <w:rsid w:val="1CA43273"/>
    <w:rsid w:val="1CE5E79F"/>
    <w:rsid w:val="1D0ADE8E"/>
    <w:rsid w:val="1D15CC85"/>
    <w:rsid w:val="1D765EEB"/>
    <w:rsid w:val="1D9FCE7F"/>
    <w:rsid w:val="1DBE30A6"/>
    <w:rsid w:val="1DC7C93F"/>
    <w:rsid w:val="1DE286CD"/>
    <w:rsid w:val="1E758D25"/>
    <w:rsid w:val="1EB58158"/>
    <w:rsid w:val="1EE505F3"/>
    <w:rsid w:val="1F1851D1"/>
    <w:rsid w:val="1F7B0254"/>
    <w:rsid w:val="1F7B7A3B"/>
    <w:rsid w:val="2061B507"/>
    <w:rsid w:val="2065020D"/>
    <w:rsid w:val="2098771E"/>
    <w:rsid w:val="216BB6F5"/>
    <w:rsid w:val="21BB8F9F"/>
    <w:rsid w:val="2211EDBB"/>
    <w:rsid w:val="221CA6B5"/>
    <w:rsid w:val="2280B24F"/>
    <w:rsid w:val="2290E66F"/>
    <w:rsid w:val="234B94F7"/>
    <w:rsid w:val="235D4CE1"/>
    <w:rsid w:val="2378F122"/>
    <w:rsid w:val="23F875D7"/>
    <w:rsid w:val="240F9F21"/>
    <w:rsid w:val="24837193"/>
    <w:rsid w:val="254C0F70"/>
    <w:rsid w:val="25C7EFB9"/>
    <w:rsid w:val="266A1B71"/>
    <w:rsid w:val="266B2228"/>
    <w:rsid w:val="275A0702"/>
    <w:rsid w:val="27803709"/>
    <w:rsid w:val="27A46DE4"/>
    <w:rsid w:val="2805EBD2"/>
    <w:rsid w:val="2839B730"/>
    <w:rsid w:val="2857503C"/>
    <w:rsid w:val="287D122B"/>
    <w:rsid w:val="28C01503"/>
    <w:rsid w:val="28C5EF3A"/>
    <w:rsid w:val="28E46198"/>
    <w:rsid w:val="290E6E6D"/>
    <w:rsid w:val="291A8D16"/>
    <w:rsid w:val="2A01CBBE"/>
    <w:rsid w:val="2A40A722"/>
    <w:rsid w:val="2A513A96"/>
    <w:rsid w:val="2A51596E"/>
    <w:rsid w:val="2A632E6C"/>
    <w:rsid w:val="2AECE1A3"/>
    <w:rsid w:val="2AF47D0B"/>
    <w:rsid w:val="2B238852"/>
    <w:rsid w:val="2B825B43"/>
    <w:rsid w:val="2B845315"/>
    <w:rsid w:val="2B950986"/>
    <w:rsid w:val="2C1A9597"/>
    <w:rsid w:val="2C1FC417"/>
    <w:rsid w:val="2C327C27"/>
    <w:rsid w:val="2CA647C3"/>
    <w:rsid w:val="2CD17F1C"/>
    <w:rsid w:val="2D04221D"/>
    <w:rsid w:val="2D3A5F6E"/>
    <w:rsid w:val="2D41A32F"/>
    <w:rsid w:val="2E414462"/>
    <w:rsid w:val="2E62ED89"/>
    <w:rsid w:val="2EEF72F9"/>
    <w:rsid w:val="2EF40265"/>
    <w:rsid w:val="2F10C54A"/>
    <w:rsid w:val="2F8755D8"/>
    <w:rsid w:val="3024CBD8"/>
    <w:rsid w:val="306638B6"/>
    <w:rsid w:val="30BF49D4"/>
    <w:rsid w:val="317194B4"/>
    <w:rsid w:val="31F2DC72"/>
    <w:rsid w:val="32190607"/>
    <w:rsid w:val="321BBB95"/>
    <w:rsid w:val="325E2FC7"/>
    <w:rsid w:val="32867488"/>
    <w:rsid w:val="32ABDD8A"/>
    <w:rsid w:val="32EF0E11"/>
    <w:rsid w:val="331EF8E2"/>
    <w:rsid w:val="334B7592"/>
    <w:rsid w:val="334DB6E1"/>
    <w:rsid w:val="33AB90B7"/>
    <w:rsid w:val="33B00D87"/>
    <w:rsid w:val="33D14954"/>
    <w:rsid w:val="343C2F95"/>
    <w:rsid w:val="353032AF"/>
    <w:rsid w:val="355DDD14"/>
    <w:rsid w:val="356C7660"/>
    <w:rsid w:val="35A5E113"/>
    <w:rsid w:val="3623141A"/>
    <w:rsid w:val="362D54DD"/>
    <w:rsid w:val="366716DE"/>
    <w:rsid w:val="3704A063"/>
    <w:rsid w:val="371BD72F"/>
    <w:rsid w:val="378B51B1"/>
    <w:rsid w:val="37ED5346"/>
    <w:rsid w:val="3879AD4A"/>
    <w:rsid w:val="38A53B57"/>
    <w:rsid w:val="3963941D"/>
    <w:rsid w:val="39E31DEF"/>
    <w:rsid w:val="3AB07EA4"/>
    <w:rsid w:val="3B8F4A25"/>
    <w:rsid w:val="3B90FABE"/>
    <w:rsid w:val="3BBC2FCD"/>
    <w:rsid w:val="3BBC8698"/>
    <w:rsid w:val="3C7AF235"/>
    <w:rsid w:val="3CC5CEAA"/>
    <w:rsid w:val="3D1AC1F1"/>
    <w:rsid w:val="3D256CE0"/>
    <w:rsid w:val="3D4B0E05"/>
    <w:rsid w:val="3D6D2AB7"/>
    <w:rsid w:val="3DBD6AF0"/>
    <w:rsid w:val="3DC4F64B"/>
    <w:rsid w:val="3E390A8D"/>
    <w:rsid w:val="3E559BB1"/>
    <w:rsid w:val="3E96DA9C"/>
    <w:rsid w:val="3F0AD2D2"/>
    <w:rsid w:val="3F4B9BF9"/>
    <w:rsid w:val="3F6190F5"/>
    <w:rsid w:val="3F6942A3"/>
    <w:rsid w:val="3F6D5B23"/>
    <w:rsid w:val="3F6EFA8A"/>
    <w:rsid w:val="3F97454B"/>
    <w:rsid w:val="3FB3B327"/>
    <w:rsid w:val="400B89A8"/>
    <w:rsid w:val="405DFCC8"/>
    <w:rsid w:val="40835DCC"/>
    <w:rsid w:val="40B49EC8"/>
    <w:rsid w:val="41725A2D"/>
    <w:rsid w:val="427D5331"/>
    <w:rsid w:val="434341B9"/>
    <w:rsid w:val="43611EC0"/>
    <w:rsid w:val="43E45E73"/>
    <w:rsid w:val="43FDD8B1"/>
    <w:rsid w:val="440EF9A5"/>
    <w:rsid w:val="44282202"/>
    <w:rsid w:val="4480F146"/>
    <w:rsid w:val="44CBF370"/>
    <w:rsid w:val="44CFD2CA"/>
    <w:rsid w:val="44E16A47"/>
    <w:rsid w:val="44FF5801"/>
    <w:rsid w:val="45E1360E"/>
    <w:rsid w:val="45E14402"/>
    <w:rsid w:val="4672ABD0"/>
    <w:rsid w:val="46A0EC38"/>
    <w:rsid w:val="474EEC94"/>
    <w:rsid w:val="478F60A2"/>
    <w:rsid w:val="47E3CCE2"/>
    <w:rsid w:val="47F3E6FA"/>
    <w:rsid w:val="48A32BB8"/>
    <w:rsid w:val="48DC9762"/>
    <w:rsid w:val="490F883E"/>
    <w:rsid w:val="491708A5"/>
    <w:rsid w:val="494EF403"/>
    <w:rsid w:val="49818F8C"/>
    <w:rsid w:val="49B84CBE"/>
    <w:rsid w:val="49CDEB40"/>
    <w:rsid w:val="4A025C51"/>
    <w:rsid w:val="4A0FF7F8"/>
    <w:rsid w:val="4ABDCA06"/>
    <w:rsid w:val="4BB267BC"/>
    <w:rsid w:val="4C05EB0F"/>
    <w:rsid w:val="4C099AFC"/>
    <w:rsid w:val="4C4524F4"/>
    <w:rsid w:val="4C46F8EF"/>
    <w:rsid w:val="4C75ED30"/>
    <w:rsid w:val="4D12D78C"/>
    <w:rsid w:val="4D14839B"/>
    <w:rsid w:val="4D22C89D"/>
    <w:rsid w:val="4D7CD2B6"/>
    <w:rsid w:val="4D9E10AC"/>
    <w:rsid w:val="4DCB9FB1"/>
    <w:rsid w:val="4E1E721B"/>
    <w:rsid w:val="4E489D6A"/>
    <w:rsid w:val="4E5500AF"/>
    <w:rsid w:val="4EEEFB87"/>
    <w:rsid w:val="4EFE5D47"/>
    <w:rsid w:val="4F28F993"/>
    <w:rsid w:val="4F40D61C"/>
    <w:rsid w:val="5019F54B"/>
    <w:rsid w:val="50241CEE"/>
    <w:rsid w:val="502B93F1"/>
    <w:rsid w:val="5054D9BE"/>
    <w:rsid w:val="505E979C"/>
    <w:rsid w:val="506B44E1"/>
    <w:rsid w:val="515DA613"/>
    <w:rsid w:val="518E6DA7"/>
    <w:rsid w:val="519ECD4D"/>
    <w:rsid w:val="51F89CF2"/>
    <w:rsid w:val="522BCDF1"/>
    <w:rsid w:val="52D05D70"/>
    <w:rsid w:val="5317B5C0"/>
    <w:rsid w:val="533D2566"/>
    <w:rsid w:val="536D97C9"/>
    <w:rsid w:val="5413D97C"/>
    <w:rsid w:val="544BF718"/>
    <w:rsid w:val="548926B1"/>
    <w:rsid w:val="54C44233"/>
    <w:rsid w:val="550E01BA"/>
    <w:rsid w:val="551F7CED"/>
    <w:rsid w:val="55434396"/>
    <w:rsid w:val="558404C4"/>
    <w:rsid w:val="55D228A7"/>
    <w:rsid w:val="55EB5104"/>
    <w:rsid w:val="55FEE5F2"/>
    <w:rsid w:val="5609C81B"/>
    <w:rsid w:val="565F43A8"/>
    <w:rsid w:val="56995AB3"/>
    <w:rsid w:val="570AD0ED"/>
    <w:rsid w:val="5764D9D9"/>
    <w:rsid w:val="57E79692"/>
    <w:rsid w:val="5921BB8F"/>
    <w:rsid w:val="59AF12EC"/>
    <w:rsid w:val="5A7A5389"/>
    <w:rsid w:val="5A88F781"/>
    <w:rsid w:val="5A98E7E2"/>
    <w:rsid w:val="5AB01CB7"/>
    <w:rsid w:val="5ABE79F6"/>
    <w:rsid w:val="5ADC0EB9"/>
    <w:rsid w:val="5AE58B31"/>
    <w:rsid w:val="5B021ED0"/>
    <w:rsid w:val="5B033E28"/>
    <w:rsid w:val="5B34BCBF"/>
    <w:rsid w:val="5B7DAE01"/>
    <w:rsid w:val="5BF56FB3"/>
    <w:rsid w:val="5C112DAA"/>
    <w:rsid w:val="5CFE135F"/>
    <w:rsid w:val="5D1EDA39"/>
    <w:rsid w:val="5D6F39AD"/>
    <w:rsid w:val="5D7629A6"/>
    <w:rsid w:val="5D9032A3"/>
    <w:rsid w:val="5DC035D9"/>
    <w:rsid w:val="5DDCC1D2"/>
    <w:rsid w:val="5E3723F4"/>
    <w:rsid w:val="5E4B3BA8"/>
    <w:rsid w:val="5E71AB9B"/>
    <w:rsid w:val="5F6533C9"/>
    <w:rsid w:val="5FA7ED9A"/>
    <w:rsid w:val="607CEB4F"/>
    <w:rsid w:val="60FAB7CD"/>
    <w:rsid w:val="611EB903"/>
    <w:rsid w:val="617063E0"/>
    <w:rsid w:val="617A2FE8"/>
    <w:rsid w:val="618900C3"/>
    <w:rsid w:val="618F058A"/>
    <w:rsid w:val="6199FC6C"/>
    <w:rsid w:val="61AC9C9E"/>
    <w:rsid w:val="6307D78D"/>
    <w:rsid w:val="632E3B9A"/>
    <w:rsid w:val="63430A78"/>
    <w:rsid w:val="63C0604D"/>
    <w:rsid w:val="63EA52C3"/>
    <w:rsid w:val="63FD9D61"/>
    <w:rsid w:val="64193032"/>
    <w:rsid w:val="65544E31"/>
    <w:rsid w:val="65710120"/>
    <w:rsid w:val="65731175"/>
    <w:rsid w:val="65B64240"/>
    <w:rsid w:val="65DB9A89"/>
    <w:rsid w:val="664EEA3B"/>
    <w:rsid w:val="6693C1F2"/>
    <w:rsid w:val="669F2A6B"/>
    <w:rsid w:val="66D71D2B"/>
    <w:rsid w:val="66DDA9D4"/>
    <w:rsid w:val="66F39017"/>
    <w:rsid w:val="6708E23B"/>
    <w:rsid w:val="6708FB4A"/>
    <w:rsid w:val="67438173"/>
    <w:rsid w:val="677F5D6A"/>
    <w:rsid w:val="67AC88BB"/>
    <w:rsid w:val="67E566E0"/>
    <w:rsid w:val="681105FD"/>
    <w:rsid w:val="681FEF2D"/>
    <w:rsid w:val="6882C79D"/>
    <w:rsid w:val="68CAC795"/>
    <w:rsid w:val="6943F06F"/>
    <w:rsid w:val="69550408"/>
    <w:rsid w:val="69790D4D"/>
    <w:rsid w:val="69BEE3BB"/>
    <w:rsid w:val="69D91137"/>
    <w:rsid w:val="6A333418"/>
    <w:rsid w:val="6AD97BBB"/>
    <w:rsid w:val="6BFA2D70"/>
    <w:rsid w:val="6CA16B76"/>
    <w:rsid w:val="6CA97A7F"/>
    <w:rsid w:val="6CCD4285"/>
    <w:rsid w:val="6CFEF0D3"/>
    <w:rsid w:val="6D16AA39"/>
    <w:rsid w:val="6D1FECF2"/>
    <w:rsid w:val="6DB1C277"/>
    <w:rsid w:val="6E750DA8"/>
    <w:rsid w:val="6E95CC43"/>
    <w:rsid w:val="6F0FCC69"/>
    <w:rsid w:val="6F2F875E"/>
    <w:rsid w:val="6F642D30"/>
    <w:rsid w:val="70B3B782"/>
    <w:rsid w:val="70FC9B71"/>
    <w:rsid w:val="710795D7"/>
    <w:rsid w:val="71DA7CE0"/>
    <w:rsid w:val="722437CC"/>
    <w:rsid w:val="72349D04"/>
    <w:rsid w:val="72465D8B"/>
    <w:rsid w:val="7256FD8D"/>
    <w:rsid w:val="7288B5DE"/>
    <w:rsid w:val="72B5C972"/>
    <w:rsid w:val="73330863"/>
    <w:rsid w:val="738F3F32"/>
    <w:rsid w:val="739EC383"/>
    <w:rsid w:val="743FE5BF"/>
    <w:rsid w:val="744365D2"/>
    <w:rsid w:val="74489C93"/>
    <w:rsid w:val="74505748"/>
    <w:rsid w:val="7477DFAC"/>
    <w:rsid w:val="747D42D5"/>
    <w:rsid w:val="747FE8B6"/>
    <w:rsid w:val="74B73C4B"/>
    <w:rsid w:val="74BF5A83"/>
    <w:rsid w:val="74CE665E"/>
    <w:rsid w:val="75017F63"/>
    <w:rsid w:val="75D426CB"/>
    <w:rsid w:val="75D94440"/>
    <w:rsid w:val="7615BF18"/>
    <w:rsid w:val="7641C4FF"/>
    <w:rsid w:val="7662D32F"/>
    <w:rsid w:val="766D367A"/>
    <w:rsid w:val="76A1F5B5"/>
    <w:rsid w:val="771F59BB"/>
    <w:rsid w:val="77A4F69E"/>
    <w:rsid w:val="77AEADC2"/>
    <w:rsid w:val="77EE3207"/>
    <w:rsid w:val="78847C27"/>
    <w:rsid w:val="78940241"/>
    <w:rsid w:val="78945858"/>
    <w:rsid w:val="78C4B9F9"/>
    <w:rsid w:val="7A307E73"/>
    <w:rsid w:val="7A71ABCD"/>
    <w:rsid w:val="7A86A08C"/>
    <w:rsid w:val="7AA34DAF"/>
    <w:rsid w:val="7AA68306"/>
    <w:rsid w:val="7AE92DAA"/>
    <w:rsid w:val="7BCEC017"/>
    <w:rsid w:val="7BF9B7AA"/>
    <w:rsid w:val="7C2F2132"/>
    <w:rsid w:val="7C9DDD5F"/>
    <w:rsid w:val="7CB35354"/>
    <w:rsid w:val="7D294C5C"/>
    <w:rsid w:val="7D657FFF"/>
    <w:rsid w:val="7D891B54"/>
    <w:rsid w:val="7DA18ED5"/>
    <w:rsid w:val="7DC6BD30"/>
    <w:rsid w:val="7DDE1131"/>
    <w:rsid w:val="7DDE23C8"/>
    <w:rsid w:val="7DEC7903"/>
    <w:rsid w:val="7E0DF1EA"/>
    <w:rsid w:val="7E2F5D60"/>
    <w:rsid w:val="7E8272AE"/>
    <w:rsid w:val="7EFBBBB9"/>
    <w:rsid w:val="7F0CE02B"/>
    <w:rsid w:val="7F8765C2"/>
    <w:rsid w:val="7FC6A4D2"/>
    <w:rsid w:val="7FE95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25A3E6"/>
  <w15:chartTrackingRefBased/>
  <w15:docId w15:val="{073C12B2-BB60-4F9F-96BD-43E4B090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EastAsia" w:hAnsi="Source Sans Pro" w:cs="Arial"/>
        <w:color w:val="444444"/>
        <w:sz w:val="18"/>
        <w:szCs w:val="16"/>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8"/>
  </w:style>
  <w:style w:type="paragraph" w:styleId="Heading1">
    <w:name w:val="heading 1"/>
    <w:basedOn w:val="Normal"/>
    <w:link w:val="Heading1Char"/>
    <w:uiPriority w:val="9"/>
    <w:rsid w:val="00592A8A"/>
    <w:pPr>
      <w:keepNext/>
      <w:keepLines/>
      <w:spacing w:after="480"/>
      <w:contextualSpacing/>
      <w:jc w:val="right"/>
      <w:outlineLvl w:val="0"/>
    </w:pPr>
    <w:rPr>
      <w:rFonts w:asciiTheme="majorHAnsi" w:eastAsiaTheme="majorEastAsia" w:hAnsiTheme="majorHAnsi" w:cstheme="majorBidi"/>
      <w:b/>
      <w:bCs/>
      <w:caps/>
      <w:color w:val="101E2F"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101E2F"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0B141F"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0B141F"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0B141F"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0B141F"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0B141F"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6486F"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6486F"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101E2F"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101E2F"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0B141F"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3C70AC" w:themeColor="text1" w:themeTint="A6"/>
    </w:rPr>
  </w:style>
  <w:style w:type="paragraph" w:styleId="Footer">
    <w:name w:val="footer"/>
    <w:basedOn w:val="Normal"/>
    <w:link w:val="FooterChar"/>
    <w:uiPriority w:val="99"/>
    <w:rsid w:val="00E62B2B"/>
    <w:pPr>
      <w:spacing w:after="0"/>
    </w:pPr>
  </w:style>
  <w:style w:type="character" w:customStyle="1" w:styleId="FooterChar">
    <w:name w:val="Footer Char"/>
    <w:basedOn w:val="DefaultParagraphFont"/>
    <w:link w:val="Footer"/>
    <w:uiPriority w:val="99"/>
    <w:rsid w:val="00E62B2B"/>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315C8E" w:themeColor="text1" w:themeTint="BF"/>
    </w:rPr>
  </w:style>
  <w:style w:type="character" w:customStyle="1" w:styleId="QuoteChar">
    <w:name w:val="Quote Char"/>
    <w:basedOn w:val="DefaultParagraphFont"/>
    <w:link w:val="Quote"/>
    <w:uiPriority w:val="29"/>
    <w:semiHidden/>
    <w:rsid w:val="00F009B0"/>
    <w:rPr>
      <w:i/>
      <w:iCs/>
      <w:color w:val="315C8E"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0B141F" w:themeColor="accent1" w:themeShade="80"/>
        <w:bottom w:val="single" w:sz="4" w:space="10" w:color="0B141F" w:themeColor="accent1" w:themeShade="80"/>
      </w:pBdr>
      <w:spacing w:before="360" w:after="360"/>
      <w:jc w:val="center"/>
    </w:pPr>
    <w:rPr>
      <w:i/>
      <w:iCs/>
      <w:color w:val="0B141F" w:themeColor="accent1" w:themeShade="80"/>
    </w:rPr>
  </w:style>
  <w:style w:type="character" w:customStyle="1" w:styleId="IntenseQuoteChar">
    <w:name w:val="Intense Quote Char"/>
    <w:basedOn w:val="DefaultParagraphFont"/>
    <w:link w:val="IntenseQuote"/>
    <w:uiPriority w:val="30"/>
    <w:semiHidden/>
    <w:rsid w:val="00737C01"/>
    <w:rPr>
      <w:i/>
      <w:iCs/>
      <w:color w:val="0B141F"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3C71AE"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3C71AE"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0B141F"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0B141F" w:themeColor="accent1" w:themeShade="80"/>
        <w:left w:val="single" w:sz="2" w:space="10" w:color="0B141F" w:themeColor="accent1" w:themeShade="80"/>
        <w:bottom w:val="single" w:sz="2" w:space="10" w:color="0B141F" w:themeColor="accent1" w:themeShade="80"/>
        <w:right w:val="single" w:sz="2" w:space="10" w:color="0B141F" w:themeColor="accent1" w:themeShade="80"/>
      </w:pBdr>
      <w:ind w:left="1152" w:right="1152"/>
    </w:pPr>
    <w:rPr>
      <w:i/>
      <w:iCs/>
      <w:color w:val="0B141F"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style>
  <w:style w:type="character" w:customStyle="1" w:styleId="BodyText3Char">
    <w:name w:val="Body Text 3 Char"/>
    <w:basedOn w:val="DefaultParagraphFont"/>
    <w:link w:val="BodyText3"/>
    <w:uiPriority w:val="99"/>
    <w:semiHidden/>
    <w:rsid w:val="00EA4EC2"/>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style>
  <w:style w:type="character" w:customStyle="1" w:styleId="BodyTextIndent3Char">
    <w:name w:val="Body Text Indent 3 Char"/>
    <w:basedOn w:val="DefaultParagraphFont"/>
    <w:link w:val="BodyTextIndent3"/>
    <w:uiPriority w:val="99"/>
    <w:semiHidden/>
    <w:rsid w:val="00EA4EC2"/>
  </w:style>
  <w:style w:type="paragraph" w:styleId="Caption">
    <w:name w:val="caption"/>
    <w:basedOn w:val="Normal"/>
    <w:next w:val="Normal"/>
    <w:uiPriority w:val="35"/>
    <w:semiHidden/>
    <w:unhideWhenUsed/>
    <w:qFormat/>
    <w:rsid w:val="00EA4EC2"/>
    <w:pPr>
      <w:spacing w:after="200"/>
    </w:pPr>
    <w:rPr>
      <w:i/>
      <w:iCs/>
      <w:color w:val="E97412"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C0D2E9" w:themeFill="text1" w:themeFillTint="33"/>
    </w:tcPr>
    <w:tblStylePr w:type="firstRow">
      <w:rPr>
        <w:b/>
        <w:bCs/>
      </w:rPr>
      <w:tblPr/>
      <w:tcPr>
        <w:shd w:val="clear" w:color="auto" w:fill="81A6D3" w:themeFill="text1" w:themeFillTint="66"/>
      </w:tcPr>
    </w:tblStylePr>
    <w:tblStylePr w:type="lastRow">
      <w:rPr>
        <w:b/>
        <w:bCs/>
        <w:color w:val="16293F" w:themeColor="text1"/>
      </w:rPr>
      <w:tblPr/>
      <w:tcPr>
        <w:shd w:val="clear" w:color="auto" w:fill="81A6D3" w:themeFill="text1" w:themeFillTint="66"/>
      </w:tcPr>
    </w:tblStylePr>
    <w:tblStylePr w:type="firstCol">
      <w:rPr>
        <w:color w:val="FFFFFF" w:themeColor="background1"/>
      </w:rPr>
      <w:tblPr/>
      <w:tcPr>
        <w:shd w:val="clear" w:color="auto" w:fill="101E2F" w:themeFill="text1" w:themeFillShade="BF"/>
      </w:tcPr>
    </w:tblStylePr>
    <w:tblStylePr w:type="lastCol">
      <w:rPr>
        <w:color w:val="FFFFFF" w:themeColor="background1"/>
      </w:rPr>
      <w:tblPr/>
      <w:tcPr>
        <w:shd w:val="clear" w:color="auto" w:fill="101E2F" w:themeFill="text1" w:themeFillShade="BF"/>
      </w:tcPr>
    </w:tblStylePr>
    <w:tblStylePr w:type="band1Vert">
      <w:tblPr/>
      <w:tcPr>
        <w:shd w:val="clear" w:color="auto" w:fill="6291C8" w:themeFill="text1" w:themeFillTint="7F"/>
      </w:tcPr>
    </w:tblStylePr>
    <w:tblStylePr w:type="band1Horz">
      <w:tblPr/>
      <w:tcPr>
        <w:shd w:val="clear" w:color="auto" w:fill="6291C8" w:themeFill="text1" w:themeFillTint="7F"/>
      </w:tcPr>
    </w:tblStylePr>
  </w:style>
  <w:style w:type="table" w:styleId="ColorfulGrid-Accent1">
    <w:name w:val="Colorful Grid Accent 1"/>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C0D2E9" w:themeFill="accent1" w:themeFillTint="33"/>
    </w:tcPr>
    <w:tblStylePr w:type="firstRow">
      <w:rPr>
        <w:b/>
        <w:bCs/>
      </w:rPr>
      <w:tblPr/>
      <w:tcPr>
        <w:shd w:val="clear" w:color="auto" w:fill="81A6D3" w:themeFill="accent1" w:themeFillTint="66"/>
      </w:tcPr>
    </w:tblStylePr>
    <w:tblStylePr w:type="lastRow">
      <w:rPr>
        <w:b/>
        <w:bCs/>
        <w:color w:val="16293F" w:themeColor="text1"/>
      </w:rPr>
      <w:tblPr/>
      <w:tcPr>
        <w:shd w:val="clear" w:color="auto" w:fill="81A6D3" w:themeFill="accent1" w:themeFillTint="66"/>
      </w:tcPr>
    </w:tblStylePr>
    <w:tblStylePr w:type="firstCol">
      <w:rPr>
        <w:color w:val="FFFFFF" w:themeColor="background1"/>
      </w:rPr>
      <w:tblPr/>
      <w:tcPr>
        <w:shd w:val="clear" w:color="auto" w:fill="101E2F" w:themeFill="accent1" w:themeFillShade="BF"/>
      </w:tcPr>
    </w:tblStylePr>
    <w:tblStylePr w:type="lastCol">
      <w:rPr>
        <w:color w:val="FFFFFF" w:themeColor="background1"/>
      </w:rPr>
      <w:tblPr/>
      <w:tcPr>
        <w:shd w:val="clear" w:color="auto" w:fill="101E2F" w:themeFill="accent1" w:themeFillShade="BF"/>
      </w:tcPr>
    </w:tblStylePr>
    <w:tblStylePr w:type="band1Vert">
      <w:tblPr/>
      <w:tcPr>
        <w:shd w:val="clear" w:color="auto" w:fill="6291C8" w:themeFill="accent1" w:themeFillTint="7F"/>
      </w:tcPr>
    </w:tblStylePr>
    <w:tblStylePr w:type="band1Horz">
      <w:tblPr/>
      <w:tcPr>
        <w:shd w:val="clear" w:color="auto" w:fill="6291C8" w:themeFill="accent1" w:themeFillTint="7F"/>
      </w:tcPr>
    </w:tblStylePr>
  </w:style>
  <w:style w:type="table" w:styleId="ColorfulGrid-Accent2">
    <w:name w:val="Colorful Grid Accent 2"/>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BBDBFF" w:themeFill="accent2" w:themeFillTint="33"/>
    </w:tcPr>
    <w:tblStylePr w:type="firstRow">
      <w:rPr>
        <w:b/>
        <w:bCs/>
      </w:rPr>
      <w:tblPr/>
      <w:tcPr>
        <w:shd w:val="clear" w:color="auto" w:fill="77B8FF" w:themeFill="accent2" w:themeFillTint="66"/>
      </w:tcPr>
    </w:tblStylePr>
    <w:tblStylePr w:type="lastRow">
      <w:rPr>
        <w:b/>
        <w:bCs/>
        <w:color w:val="16293F" w:themeColor="text1"/>
      </w:rPr>
      <w:tblPr/>
      <w:tcPr>
        <w:shd w:val="clear" w:color="auto" w:fill="77B8FF" w:themeFill="accent2" w:themeFillTint="66"/>
      </w:tcPr>
    </w:tblStylePr>
    <w:tblStylePr w:type="firstCol">
      <w:rPr>
        <w:color w:val="FFFFFF" w:themeColor="background1"/>
      </w:rPr>
      <w:tblPr/>
      <w:tcPr>
        <w:shd w:val="clear" w:color="auto" w:fill="003D7F" w:themeFill="accent2" w:themeFillShade="BF"/>
      </w:tcPr>
    </w:tblStylePr>
    <w:tblStylePr w:type="lastCol">
      <w:rPr>
        <w:color w:val="FFFFFF" w:themeColor="background1"/>
      </w:rPr>
      <w:tblPr/>
      <w:tcPr>
        <w:shd w:val="clear" w:color="auto" w:fill="003D7F" w:themeFill="accent2" w:themeFillShade="BF"/>
      </w:tcPr>
    </w:tblStylePr>
    <w:tblStylePr w:type="band1Vert">
      <w:tblPr/>
      <w:tcPr>
        <w:shd w:val="clear" w:color="auto" w:fill="55A7FF" w:themeFill="accent2" w:themeFillTint="7F"/>
      </w:tcPr>
    </w:tblStylePr>
    <w:tblStylePr w:type="band1Horz">
      <w:tblPr/>
      <w:tcPr>
        <w:shd w:val="clear" w:color="auto" w:fill="55A7FF" w:themeFill="accent2" w:themeFillTint="7F"/>
      </w:tcPr>
    </w:tblStylePr>
  </w:style>
  <w:style w:type="table" w:styleId="ColorfulGrid-Accent3">
    <w:name w:val="Colorful Grid Accent 3"/>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D2E8FF" w:themeFill="accent3" w:themeFillTint="33"/>
    </w:tcPr>
    <w:tblStylePr w:type="firstRow">
      <w:rPr>
        <w:b/>
        <w:bCs/>
      </w:rPr>
      <w:tblPr/>
      <w:tcPr>
        <w:shd w:val="clear" w:color="auto" w:fill="A5D1FF" w:themeFill="accent3" w:themeFillTint="66"/>
      </w:tcPr>
    </w:tblStylePr>
    <w:tblStylePr w:type="lastRow">
      <w:rPr>
        <w:b/>
        <w:bCs/>
        <w:color w:val="16293F" w:themeColor="text1"/>
      </w:rPr>
      <w:tblPr/>
      <w:tcPr>
        <w:shd w:val="clear" w:color="auto" w:fill="A5D1FF" w:themeFill="accent3" w:themeFillTint="66"/>
      </w:tcPr>
    </w:tblStylePr>
    <w:tblStylePr w:type="firstCol">
      <w:rPr>
        <w:color w:val="FFFFFF" w:themeColor="background1"/>
      </w:rPr>
      <w:tblPr/>
      <w:tcPr>
        <w:shd w:val="clear" w:color="auto" w:fill="006AD6" w:themeFill="accent3" w:themeFillShade="BF"/>
      </w:tcPr>
    </w:tblStylePr>
    <w:tblStylePr w:type="lastCol">
      <w:rPr>
        <w:color w:val="FFFFFF" w:themeColor="background1"/>
      </w:rPr>
      <w:tblPr/>
      <w:tcPr>
        <w:shd w:val="clear" w:color="auto" w:fill="006AD6" w:themeFill="accent3" w:themeFillShade="BF"/>
      </w:tcPr>
    </w:tblStylePr>
    <w:tblStylePr w:type="band1Vert">
      <w:tblPr/>
      <w:tcPr>
        <w:shd w:val="clear" w:color="auto" w:fill="8FC6FF" w:themeFill="accent3" w:themeFillTint="7F"/>
      </w:tcPr>
    </w:tblStylePr>
    <w:tblStylePr w:type="band1Horz">
      <w:tblPr/>
      <w:tcPr>
        <w:shd w:val="clear" w:color="auto" w:fill="8FC6FF" w:themeFill="accent3" w:themeFillTint="7F"/>
      </w:tcPr>
    </w:tblStylePr>
  </w:style>
  <w:style w:type="table" w:styleId="ColorfulGrid-Accent4">
    <w:name w:val="Colorful Grid Accent 4"/>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E4E8ED" w:themeFill="accent4" w:themeFillTint="33"/>
    </w:tcPr>
    <w:tblStylePr w:type="firstRow">
      <w:rPr>
        <w:b/>
        <w:bCs/>
      </w:rPr>
      <w:tblPr/>
      <w:tcPr>
        <w:shd w:val="clear" w:color="auto" w:fill="CAD2DB" w:themeFill="accent4" w:themeFillTint="66"/>
      </w:tcPr>
    </w:tblStylePr>
    <w:tblStylePr w:type="lastRow">
      <w:rPr>
        <w:b/>
        <w:bCs/>
        <w:color w:val="16293F" w:themeColor="text1"/>
      </w:rPr>
      <w:tblPr/>
      <w:tcPr>
        <w:shd w:val="clear" w:color="auto" w:fill="CAD2DB" w:themeFill="accent4" w:themeFillTint="66"/>
      </w:tcPr>
    </w:tblStylePr>
    <w:tblStylePr w:type="firstCol">
      <w:rPr>
        <w:color w:val="FFFFFF" w:themeColor="background1"/>
      </w:rPr>
      <w:tblPr/>
      <w:tcPr>
        <w:shd w:val="clear" w:color="auto" w:fill="566C82" w:themeFill="accent4" w:themeFillShade="BF"/>
      </w:tcPr>
    </w:tblStylePr>
    <w:tblStylePr w:type="lastCol">
      <w:rPr>
        <w:color w:val="FFFFFF" w:themeColor="background1"/>
      </w:rPr>
      <w:tblPr/>
      <w:tcPr>
        <w:shd w:val="clear" w:color="auto" w:fill="566C82" w:themeFill="accent4" w:themeFillShade="BF"/>
      </w:tcPr>
    </w:tblStylePr>
    <w:tblStylePr w:type="band1Vert">
      <w:tblPr/>
      <w:tcPr>
        <w:shd w:val="clear" w:color="auto" w:fill="BDC8D3" w:themeFill="accent4" w:themeFillTint="7F"/>
      </w:tcPr>
    </w:tblStylePr>
    <w:tblStylePr w:type="band1Horz">
      <w:tblPr/>
      <w:tcPr>
        <w:shd w:val="clear" w:color="auto" w:fill="BDC8D3" w:themeFill="accent4" w:themeFillTint="7F"/>
      </w:tcPr>
    </w:tblStylePr>
  </w:style>
  <w:style w:type="table" w:styleId="ColorfulGrid-Accent5">
    <w:name w:val="Colorful Grid Accent 5"/>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FFBEB3" w:themeFill="accent5" w:themeFillTint="33"/>
    </w:tcPr>
    <w:tblStylePr w:type="firstRow">
      <w:rPr>
        <w:b/>
        <w:bCs/>
      </w:rPr>
      <w:tblPr/>
      <w:tcPr>
        <w:shd w:val="clear" w:color="auto" w:fill="FF7F67" w:themeFill="accent5" w:themeFillTint="66"/>
      </w:tcPr>
    </w:tblStylePr>
    <w:tblStylePr w:type="lastRow">
      <w:rPr>
        <w:b/>
        <w:bCs/>
        <w:color w:val="16293F" w:themeColor="text1"/>
      </w:rPr>
      <w:tblPr/>
      <w:tcPr>
        <w:shd w:val="clear" w:color="auto" w:fill="FF7F67" w:themeFill="accent5" w:themeFillTint="66"/>
      </w:tcPr>
    </w:tblStylePr>
    <w:tblStylePr w:type="firstCol">
      <w:rPr>
        <w:color w:val="FFFFFF" w:themeColor="background1"/>
      </w:rPr>
      <w:tblPr/>
      <w:tcPr>
        <w:shd w:val="clear" w:color="auto" w:fill="620F00" w:themeFill="accent5" w:themeFillShade="BF"/>
      </w:tcPr>
    </w:tblStylePr>
    <w:tblStylePr w:type="lastCol">
      <w:rPr>
        <w:color w:val="FFFFFF" w:themeColor="background1"/>
      </w:rPr>
      <w:tblPr/>
      <w:tcPr>
        <w:shd w:val="clear" w:color="auto" w:fill="620F00" w:themeFill="accent5" w:themeFillShade="BF"/>
      </w:tcPr>
    </w:tblStylePr>
    <w:tblStylePr w:type="band1Vert">
      <w:tblPr/>
      <w:tcPr>
        <w:shd w:val="clear" w:color="auto" w:fill="FF5F42" w:themeFill="accent5" w:themeFillTint="7F"/>
      </w:tcPr>
    </w:tblStylePr>
    <w:tblStylePr w:type="band1Horz">
      <w:tblPr/>
      <w:tcPr>
        <w:shd w:val="clear" w:color="auto" w:fill="FF5F42" w:themeFill="accent5" w:themeFillTint="7F"/>
      </w:tcPr>
    </w:tblStylePr>
  </w:style>
  <w:style w:type="table" w:styleId="ColorfulGrid-Accent6">
    <w:name w:val="Colorful Grid Accent 6"/>
    <w:basedOn w:val="TableNormal"/>
    <w:uiPriority w:val="73"/>
    <w:semiHidden/>
    <w:unhideWhenUsed/>
    <w:rsid w:val="00EA4EC2"/>
    <w:pPr>
      <w:spacing w:after="0"/>
    </w:pPr>
    <w:rPr>
      <w:color w:val="16293F" w:themeColor="text1"/>
    </w:rPr>
    <w:tblPr>
      <w:tblStyleRowBandSize w:val="1"/>
      <w:tblStyleColBandSize w:val="1"/>
      <w:tblBorders>
        <w:insideH w:val="single" w:sz="4" w:space="0" w:color="FFFFFF" w:themeColor="background1"/>
      </w:tblBorders>
    </w:tblPr>
    <w:tcPr>
      <w:shd w:val="clear" w:color="auto" w:fill="FFDEE2" w:themeFill="accent6" w:themeFillTint="33"/>
    </w:tcPr>
    <w:tblStylePr w:type="firstRow">
      <w:rPr>
        <w:b/>
        <w:bCs/>
      </w:rPr>
      <w:tblPr/>
      <w:tcPr>
        <w:shd w:val="clear" w:color="auto" w:fill="FFBDC6" w:themeFill="accent6" w:themeFillTint="66"/>
      </w:tcPr>
    </w:tblStylePr>
    <w:tblStylePr w:type="lastRow">
      <w:rPr>
        <w:b/>
        <w:bCs/>
        <w:color w:val="16293F" w:themeColor="text1"/>
      </w:rPr>
      <w:tblPr/>
      <w:tcPr>
        <w:shd w:val="clear" w:color="auto" w:fill="FFBDC6" w:themeFill="accent6" w:themeFillTint="66"/>
      </w:tcPr>
    </w:tblStylePr>
    <w:tblStylePr w:type="firstCol">
      <w:rPr>
        <w:color w:val="FFFFFF" w:themeColor="background1"/>
      </w:rPr>
      <w:tblPr/>
      <w:tcPr>
        <w:shd w:val="clear" w:color="auto" w:fill="FF0426" w:themeFill="accent6" w:themeFillShade="BF"/>
      </w:tcPr>
    </w:tblStylePr>
    <w:tblStylePr w:type="lastCol">
      <w:rPr>
        <w:color w:val="FFFFFF" w:themeColor="background1"/>
      </w:rPr>
      <w:tblPr/>
      <w:tcPr>
        <w:shd w:val="clear" w:color="auto" w:fill="FF0426" w:themeFill="accent6" w:themeFillShade="BF"/>
      </w:tcPr>
    </w:tblStylePr>
    <w:tblStylePr w:type="band1Vert">
      <w:tblPr/>
      <w:tcPr>
        <w:shd w:val="clear" w:color="auto" w:fill="FFADB8" w:themeFill="accent6" w:themeFillTint="7F"/>
      </w:tcPr>
    </w:tblStylePr>
    <w:tblStylePr w:type="band1Horz">
      <w:tblPr/>
      <w:tcPr>
        <w:shd w:val="clear" w:color="auto" w:fill="FFADB8" w:themeFill="accent6" w:themeFillTint="7F"/>
      </w:tcPr>
    </w:tblStylePr>
  </w:style>
  <w:style w:type="table" w:styleId="ColorfulList">
    <w:name w:val="Colorful List"/>
    <w:basedOn w:val="TableNormal"/>
    <w:uiPriority w:val="72"/>
    <w:semiHidden/>
    <w:unhideWhenUsed/>
    <w:rsid w:val="00EA4EC2"/>
    <w:pPr>
      <w:spacing w:after="0"/>
    </w:pPr>
    <w:rPr>
      <w:color w:val="16293F" w:themeColor="text1"/>
    </w:rPr>
    <w:tblPr>
      <w:tblStyleRowBandSize w:val="1"/>
      <w:tblStyleColBandSize w:val="1"/>
    </w:tblPr>
    <w:tcPr>
      <w:shd w:val="clear" w:color="auto" w:fill="E0E9F4" w:themeFill="text1" w:themeFillTint="19"/>
    </w:tcPr>
    <w:tblStylePr w:type="firstRow">
      <w:rPr>
        <w:b/>
        <w:bCs/>
        <w:color w:val="FFFFFF" w:themeColor="background1"/>
      </w:rPr>
      <w:tblPr/>
      <w:tcPr>
        <w:tcBorders>
          <w:bottom w:val="single" w:sz="12" w:space="0" w:color="FFFFFF" w:themeColor="background1"/>
        </w:tcBorders>
        <w:shd w:val="clear" w:color="auto" w:fill="004188" w:themeFill="accent2" w:themeFillShade="CC"/>
      </w:tcPr>
    </w:tblStylePr>
    <w:tblStylePr w:type="lastRow">
      <w:rPr>
        <w:b/>
        <w:bCs/>
        <w:color w:val="004188" w:themeColor="accent2"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8E3" w:themeFill="text1" w:themeFillTint="3F"/>
      </w:tcPr>
    </w:tblStylePr>
    <w:tblStylePr w:type="band1Horz">
      <w:tblPr/>
      <w:tcPr>
        <w:shd w:val="clear" w:color="auto" w:fill="C0D2E9" w:themeFill="text1" w:themeFillTint="33"/>
      </w:tcPr>
    </w:tblStylePr>
  </w:style>
  <w:style w:type="table" w:styleId="ColorfulList-Accent1">
    <w:name w:val="Colorful List Accent 1"/>
    <w:basedOn w:val="TableNormal"/>
    <w:uiPriority w:val="72"/>
    <w:semiHidden/>
    <w:unhideWhenUsed/>
    <w:rsid w:val="00EA4EC2"/>
    <w:pPr>
      <w:spacing w:after="0"/>
    </w:pPr>
    <w:rPr>
      <w:color w:val="16293F" w:themeColor="text1"/>
    </w:rPr>
    <w:tblPr>
      <w:tblStyleRowBandSize w:val="1"/>
      <w:tblStyleColBandSize w:val="1"/>
    </w:tblPr>
    <w:tcPr>
      <w:shd w:val="clear" w:color="auto" w:fill="E0E9F4" w:themeFill="accent1" w:themeFillTint="19"/>
    </w:tcPr>
    <w:tblStylePr w:type="firstRow">
      <w:rPr>
        <w:b/>
        <w:bCs/>
        <w:color w:val="FFFFFF" w:themeColor="background1"/>
      </w:rPr>
      <w:tblPr/>
      <w:tcPr>
        <w:tcBorders>
          <w:bottom w:val="single" w:sz="12" w:space="0" w:color="FFFFFF" w:themeColor="background1"/>
        </w:tcBorders>
        <w:shd w:val="clear" w:color="auto" w:fill="004188" w:themeFill="accent2" w:themeFillShade="CC"/>
      </w:tcPr>
    </w:tblStylePr>
    <w:tblStylePr w:type="lastRow">
      <w:rPr>
        <w:b/>
        <w:bCs/>
        <w:color w:val="004188" w:themeColor="accent2"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8E3" w:themeFill="accent1" w:themeFillTint="3F"/>
      </w:tcPr>
    </w:tblStylePr>
    <w:tblStylePr w:type="band1Horz">
      <w:tblPr/>
      <w:tcPr>
        <w:shd w:val="clear" w:color="auto" w:fill="C0D2E9" w:themeFill="accent1" w:themeFillTint="33"/>
      </w:tcPr>
    </w:tblStylePr>
  </w:style>
  <w:style w:type="table" w:styleId="ColorfulList-Accent2">
    <w:name w:val="Colorful List Accent 2"/>
    <w:basedOn w:val="TableNormal"/>
    <w:uiPriority w:val="72"/>
    <w:semiHidden/>
    <w:unhideWhenUsed/>
    <w:rsid w:val="00EA4EC2"/>
    <w:pPr>
      <w:spacing w:after="0"/>
    </w:pPr>
    <w:rPr>
      <w:color w:val="16293F" w:themeColor="text1"/>
    </w:rPr>
    <w:tblPr>
      <w:tblStyleRowBandSize w:val="1"/>
      <w:tblStyleColBandSize w:val="1"/>
    </w:tblPr>
    <w:tcPr>
      <w:shd w:val="clear" w:color="auto" w:fill="DDEDFF" w:themeFill="accent2" w:themeFillTint="19"/>
    </w:tcPr>
    <w:tblStylePr w:type="firstRow">
      <w:rPr>
        <w:b/>
        <w:bCs/>
        <w:color w:val="FFFFFF" w:themeColor="background1"/>
      </w:rPr>
      <w:tblPr/>
      <w:tcPr>
        <w:tcBorders>
          <w:bottom w:val="single" w:sz="12" w:space="0" w:color="FFFFFF" w:themeColor="background1"/>
        </w:tcBorders>
        <w:shd w:val="clear" w:color="auto" w:fill="004188" w:themeFill="accent2" w:themeFillShade="CC"/>
      </w:tcPr>
    </w:tblStylePr>
    <w:tblStylePr w:type="lastRow">
      <w:rPr>
        <w:b/>
        <w:bCs/>
        <w:color w:val="004188" w:themeColor="accent2"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3FF" w:themeFill="accent2" w:themeFillTint="3F"/>
      </w:tcPr>
    </w:tblStylePr>
    <w:tblStylePr w:type="band1Horz">
      <w:tblPr/>
      <w:tcPr>
        <w:shd w:val="clear" w:color="auto" w:fill="BBDBFF" w:themeFill="accent2" w:themeFillTint="33"/>
      </w:tcPr>
    </w:tblStylePr>
  </w:style>
  <w:style w:type="table" w:styleId="ColorfulList-Accent3">
    <w:name w:val="Colorful List Accent 3"/>
    <w:basedOn w:val="TableNormal"/>
    <w:uiPriority w:val="72"/>
    <w:semiHidden/>
    <w:unhideWhenUsed/>
    <w:rsid w:val="00EA4EC2"/>
    <w:pPr>
      <w:spacing w:after="0"/>
    </w:pPr>
    <w:rPr>
      <w:color w:val="16293F" w:themeColor="text1"/>
    </w:rPr>
    <w:tblPr>
      <w:tblStyleRowBandSize w:val="1"/>
      <w:tblStyleColBandSize w:val="1"/>
    </w:tblPr>
    <w:tcPr>
      <w:shd w:val="clear" w:color="auto" w:fill="E9F3FF" w:themeFill="accent3" w:themeFillTint="19"/>
    </w:tcPr>
    <w:tblStylePr w:type="firstRow">
      <w:rPr>
        <w:b/>
        <w:bCs/>
        <w:color w:val="FFFFFF" w:themeColor="background1"/>
      </w:rPr>
      <w:tblPr/>
      <w:tcPr>
        <w:tcBorders>
          <w:bottom w:val="single" w:sz="12" w:space="0" w:color="FFFFFF" w:themeColor="background1"/>
        </w:tcBorders>
        <w:shd w:val="clear" w:color="auto" w:fill="5C738B" w:themeFill="accent4" w:themeFillShade="CC"/>
      </w:tcPr>
    </w:tblStylePr>
    <w:tblStylePr w:type="lastRow">
      <w:rPr>
        <w:b/>
        <w:bCs/>
        <w:color w:val="5C738B" w:themeColor="accent4"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3FF" w:themeFill="accent3" w:themeFillTint="3F"/>
      </w:tcPr>
    </w:tblStylePr>
    <w:tblStylePr w:type="band1Horz">
      <w:tblPr/>
      <w:tcPr>
        <w:shd w:val="clear" w:color="auto" w:fill="D2E8FF" w:themeFill="accent3" w:themeFillTint="33"/>
      </w:tcPr>
    </w:tblStylePr>
  </w:style>
  <w:style w:type="table" w:styleId="ColorfulList-Accent4">
    <w:name w:val="Colorful List Accent 4"/>
    <w:basedOn w:val="TableNormal"/>
    <w:uiPriority w:val="72"/>
    <w:semiHidden/>
    <w:unhideWhenUsed/>
    <w:rsid w:val="00EA4EC2"/>
    <w:pPr>
      <w:spacing w:after="0"/>
    </w:pPr>
    <w:rPr>
      <w:color w:val="16293F" w:themeColor="text1"/>
    </w:rPr>
    <w:tblPr>
      <w:tblStyleRowBandSize w:val="1"/>
      <w:tblStyleColBandSize w:val="1"/>
    </w:tblPr>
    <w:tcPr>
      <w:shd w:val="clear" w:color="auto" w:fill="F2F4F6" w:themeFill="accent4" w:themeFillTint="19"/>
    </w:tcPr>
    <w:tblStylePr w:type="firstRow">
      <w:rPr>
        <w:b/>
        <w:bCs/>
        <w:color w:val="FFFFFF" w:themeColor="background1"/>
      </w:rPr>
      <w:tblPr/>
      <w:tcPr>
        <w:tcBorders>
          <w:bottom w:val="single" w:sz="12" w:space="0" w:color="FFFFFF" w:themeColor="background1"/>
        </w:tcBorders>
        <w:shd w:val="clear" w:color="auto" w:fill="0071E4" w:themeFill="accent3" w:themeFillShade="CC"/>
      </w:tcPr>
    </w:tblStylePr>
    <w:tblStylePr w:type="lastRow">
      <w:rPr>
        <w:b/>
        <w:bCs/>
        <w:color w:val="0071E4" w:themeColor="accent3"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3E9" w:themeFill="accent4" w:themeFillTint="3F"/>
      </w:tcPr>
    </w:tblStylePr>
    <w:tblStylePr w:type="band1Horz">
      <w:tblPr/>
      <w:tcPr>
        <w:shd w:val="clear" w:color="auto" w:fill="E4E8ED" w:themeFill="accent4" w:themeFillTint="33"/>
      </w:tcPr>
    </w:tblStylePr>
  </w:style>
  <w:style w:type="table" w:styleId="ColorfulList-Accent5">
    <w:name w:val="Colorful List Accent 5"/>
    <w:basedOn w:val="TableNormal"/>
    <w:uiPriority w:val="72"/>
    <w:semiHidden/>
    <w:unhideWhenUsed/>
    <w:rsid w:val="00EA4EC2"/>
    <w:pPr>
      <w:spacing w:after="0"/>
    </w:pPr>
    <w:rPr>
      <w:color w:val="16293F" w:themeColor="text1"/>
    </w:rPr>
    <w:tblPr>
      <w:tblStyleRowBandSize w:val="1"/>
      <w:tblStyleColBandSize w:val="1"/>
    </w:tblPr>
    <w:tcPr>
      <w:shd w:val="clear" w:color="auto" w:fill="FFDFD9" w:themeFill="accent5" w:themeFillTint="19"/>
    </w:tcPr>
    <w:tblStylePr w:type="firstRow">
      <w:rPr>
        <w:b/>
        <w:bCs/>
        <w:color w:val="FFFFFF" w:themeColor="background1"/>
      </w:rPr>
      <w:tblPr/>
      <w:tcPr>
        <w:tcBorders>
          <w:bottom w:val="single" w:sz="12" w:space="0" w:color="FFFFFF" w:themeColor="background1"/>
        </w:tcBorders>
        <w:shd w:val="clear" w:color="auto" w:fill="FF1535" w:themeFill="accent6" w:themeFillShade="CC"/>
      </w:tcPr>
    </w:tblStylePr>
    <w:tblStylePr w:type="lastRow">
      <w:rPr>
        <w:b/>
        <w:bCs/>
        <w:color w:val="FF1535" w:themeColor="accent6"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A1" w:themeFill="accent5" w:themeFillTint="3F"/>
      </w:tcPr>
    </w:tblStylePr>
    <w:tblStylePr w:type="band1Horz">
      <w:tblPr/>
      <w:tcPr>
        <w:shd w:val="clear" w:color="auto" w:fill="FFBEB3" w:themeFill="accent5" w:themeFillTint="33"/>
      </w:tcPr>
    </w:tblStylePr>
  </w:style>
  <w:style w:type="table" w:styleId="ColorfulList-Accent6">
    <w:name w:val="Colorful List Accent 6"/>
    <w:basedOn w:val="TableNormal"/>
    <w:uiPriority w:val="72"/>
    <w:semiHidden/>
    <w:unhideWhenUsed/>
    <w:rsid w:val="00EA4EC2"/>
    <w:pPr>
      <w:spacing w:after="0"/>
    </w:pPr>
    <w:rPr>
      <w:color w:val="16293F" w:themeColor="text1"/>
    </w:rPr>
    <w:tblPr>
      <w:tblStyleRowBandSize w:val="1"/>
      <w:tblStyleColBandSize w:val="1"/>
    </w:tblPr>
    <w:tcPr>
      <w:shd w:val="clear" w:color="auto" w:fill="FFEEF0" w:themeFill="accent6" w:themeFillTint="19"/>
    </w:tcPr>
    <w:tblStylePr w:type="firstRow">
      <w:rPr>
        <w:b/>
        <w:bCs/>
        <w:color w:val="FFFFFF" w:themeColor="background1"/>
      </w:rPr>
      <w:tblPr/>
      <w:tcPr>
        <w:tcBorders>
          <w:bottom w:val="single" w:sz="12" w:space="0" w:color="FFFFFF" w:themeColor="background1"/>
        </w:tcBorders>
        <w:shd w:val="clear" w:color="auto" w:fill="681000" w:themeFill="accent5" w:themeFillShade="CC"/>
      </w:tcPr>
    </w:tblStylePr>
    <w:tblStylePr w:type="lastRow">
      <w:rPr>
        <w:b/>
        <w:bCs/>
        <w:color w:val="681000" w:themeColor="accent5" w:themeShade="CC"/>
      </w:rPr>
      <w:tblPr/>
      <w:tcPr>
        <w:tcBorders>
          <w:top w:val="single" w:sz="12" w:space="0" w:color="16293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DB" w:themeFill="accent6" w:themeFillTint="3F"/>
      </w:tcPr>
    </w:tblStylePr>
    <w:tblStylePr w:type="band1Horz">
      <w:tblPr/>
      <w:tcPr>
        <w:shd w:val="clear" w:color="auto" w:fill="FFDEE2" w:themeFill="accent6" w:themeFillTint="33"/>
      </w:tcPr>
    </w:tblStylePr>
  </w:style>
  <w:style w:type="table" w:styleId="ColorfulShading">
    <w:name w:val="Colorful Shading"/>
    <w:basedOn w:val="TableNormal"/>
    <w:uiPriority w:val="71"/>
    <w:semiHidden/>
    <w:unhideWhenUsed/>
    <w:rsid w:val="00EA4EC2"/>
    <w:pPr>
      <w:spacing w:after="0"/>
    </w:pPr>
    <w:rPr>
      <w:color w:val="16293F" w:themeColor="text1"/>
    </w:rPr>
    <w:tblPr>
      <w:tblStyleRowBandSize w:val="1"/>
      <w:tblStyleColBandSize w:val="1"/>
      <w:tblBorders>
        <w:top w:val="single" w:sz="24" w:space="0" w:color="0052AA" w:themeColor="accent2"/>
        <w:left w:val="single" w:sz="4" w:space="0" w:color="16293F" w:themeColor="text1"/>
        <w:bottom w:val="single" w:sz="4" w:space="0" w:color="16293F" w:themeColor="text1"/>
        <w:right w:val="single" w:sz="4" w:space="0" w:color="16293F" w:themeColor="text1"/>
        <w:insideH w:val="single" w:sz="4" w:space="0" w:color="FFFFFF" w:themeColor="background1"/>
        <w:insideV w:val="single" w:sz="4" w:space="0" w:color="FFFFFF" w:themeColor="background1"/>
      </w:tblBorders>
    </w:tblPr>
    <w:tcPr>
      <w:shd w:val="clear" w:color="auto" w:fill="E0E9F4" w:themeFill="text1" w:themeFillTint="19"/>
    </w:tcPr>
    <w:tblStylePr w:type="firstRow">
      <w:rPr>
        <w:b/>
        <w:bCs/>
      </w:rPr>
      <w:tblPr/>
      <w:tcPr>
        <w:tcBorders>
          <w:top w:val="nil"/>
          <w:left w:val="nil"/>
          <w:bottom w:val="single" w:sz="24" w:space="0" w:color="0052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1825" w:themeFill="text1" w:themeFillShade="99"/>
      </w:tcPr>
    </w:tblStylePr>
    <w:tblStylePr w:type="firstCol">
      <w:rPr>
        <w:color w:val="FFFFFF" w:themeColor="background1"/>
      </w:rPr>
      <w:tblPr/>
      <w:tcPr>
        <w:tcBorders>
          <w:top w:val="nil"/>
          <w:left w:val="nil"/>
          <w:bottom w:val="nil"/>
          <w:right w:val="nil"/>
          <w:insideH w:val="single" w:sz="4" w:space="0" w:color="0D1825" w:themeColor="text1" w:themeShade="99"/>
          <w:insideV w:val="nil"/>
        </w:tcBorders>
        <w:shd w:val="clear" w:color="auto" w:fill="0D182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01E2F" w:themeFill="text1" w:themeFillShade="BF"/>
      </w:tcPr>
    </w:tblStylePr>
    <w:tblStylePr w:type="band1Vert">
      <w:tblPr/>
      <w:tcPr>
        <w:shd w:val="clear" w:color="auto" w:fill="81A6D3" w:themeFill="text1" w:themeFillTint="66"/>
      </w:tcPr>
    </w:tblStylePr>
    <w:tblStylePr w:type="band1Horz">
      <w:tblPr/>
      <w:tcPr>
        <w:shd w:val="clear" w:color="auto" w:fill="6291C8" w:themeFill="text1" w:themeFillTint="7F"/>
      </w:tcPr>
    </w:tblStylePr>
    <w:tblStylePr w:type="neCell">
      <w:rPr>
        <w:color w:val="16293F" w:themeColor="text1"/>
      </w:rPr>
    </w:tblStylePr>
    <w:tblStylePr w:type="nwCell">
      <w:rPr>
        <w:color w:val="16293F" w:themeColor="text1"/>
      </w:rPr>
    </w:tblStylePr>
  </w:style>
  <w:style w:type="table" w:styleId="ColorfulShading-Accent1">
    <w:name w:val="Colorful Shading Accent 1"/>
    <w:basedOn w:val="TableNormal"/>
    <w:uiPriority w:val="71"/>
    <w:semiHidden/>
    <w:unhideWhenUsed/>
    <w:rsid w:val="00EA4EC2"/>
    <w:pPr>
      <w:spacing w:after="0"/>
    </w:pPr>
    <w:rPr>
      <w:color w:val="16293F" w:themeColor="text1"/>
    </w:rPr>
    <w:tblPr>
      <w:tblStyleRowBandSize w:val="1"/>
      <w:tblStyleColBandSize w:val="1"/>
      <w:tblBorders>
        <w:top w:val="single" w:sz="24" w:space="0" w:color="0052AA" w:themeColor="accent2"/>
        <w:left w:val="single" w:sz="4" w:space="0" w:color="16293F" w:themeColor="accent1"/>
        <w:bottom w:val="single" w:sz="4" w:space="0" w:color="16293F" w:themeColor="accent1"/>
        <w:right w:val="single" w:sz="4" w:space="0" w:color="16293F" w:themeColor="accent1"/>
        <w:insideH w:val="single" w:sz="4" w:space="0" w:color="FFFFFF" w:themeColor="background1"/>
        <w:insideV w:val="single" w:sz="4" w:space="0" w:color="FFFFFF" w:themeColor="background1"/>
      </w:tblBorders>
    </w:tblPr>
    <w:tcPr>
      <w:shd w:val="clear" w:color="auto" w:fill="E0E9F4" w:themeFill="accent1" w:themeFillTint="19"/>
    </w:tcPr>
    <w:tblStylePr w:type="firstRow">
      <w:rPr>
        <w:b/>
        <w:bCs/>
      </w:rPr>
      <w:tblPr/>
      <w:tcPr>
        <w:tcBorders>
          <w:top w:val="nil"/>
          <w:left w:val="nil"/>
          <w:bottom w:val="single" w:sz="24" w:space="0" w:color="0052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1825" w:themeFill="accent1" w:themeFillShade="99"/>
      </w:tcPr>
    </w:tblStylePr>
    <w:tblStylePr w:type="firstCol">
      <w:rPr>
        <w:color w:val="FFFFFF" w:themeColor="background1"/>
      </w:rPr>
      <w:tblPr/>
      <w:tcPr>
        <w:tcBorders>
          <w:top w:val="nil"/>
          <w:left w:val="nil"/>
          <w:bottom w:val="nil"/>
          <w:right w:val="nil"/>
          <w:insideH w:val="single" w:sz="4" w:space="0" w:color="0D1825" w:themeColor="accent1" w:themeShade="99"/>
          <w:insideV w:val="nil"/>
        </w:tcBorders>
        <w:shd w:val="clear" w:color="auto" w:fill="0D18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1825" w:themeFill="accent1" w:themeFillShade="99"/>
      </w:tcPr>
    </w:tblStylePr>
    <w:tblStylePr w:type="band1Vert">
      <w:tblPr/>
      <w:tcPr>
        <w:shd w:val="clear" w:color="auto" w:fill="81A6D3" w:themeFill="accent1" w:themeFillTint="66"/>
      </w:tcPr>
    </w:tblStylePr>
    <w:tblStylePr w:type="band1Horz">
      <w:tblPr/>
      <w:tcPr>
        <w:shd w:val="clear" w:color="auto" w:fill="6291C8" w:themeFill="accent1" w:themeFillTint="7F"/>
      </w:tcPr>
    </w:tblStylePr>
    <w:tblStylePr w:type="neCell">
      <w:rPr>
        <w:color w:val="16293F" w:themeColor="text1"/>
      </w:rPr>
    </w:tblStylePr>
    <w:tblStylePr w:type="nwCell">
      <w:rPr>
        <w:color w:val="16293F" w:themeColor="text1"/>
      </w:rPr>
    </w:tblStylePr>
  </w:style>
  <w:style w:type="table" w:styleId="ColorfulShading-Accent2">
    <w:name w:val="Colorful Shading Accent 2"/>
    <w:basedOn w:val="TableNormal"/>
    <w:uiPriority w:val="71"/>
    <w:semiHidden/>
    <w:unhideWhenUsed/>
    <w:rsid w:val="00EA4EC2"/>
    <w:pPr>
      <w:spacing w:after="0"/>
    </w:pPr>
    <w:rPr>
      <w:color w:val="16293F" w:themeColor="text1"/>
    </w:rPr>
    <w:tblPr>
      <w:tblStyleRowBandSize w:val="1"/>
      <w:tblStyleColBandSize w:val="1"/>
      <w:tblBorders>
        <w:top w:val="single" w:sz="24" w:space="0" w:color="0052AA" w:themeColor="accent2"/>
        <w:left w:val="single" w:sz="4" w:space="0" w:color="0052AA" w:themeColor="accent2"/>
        <w:bottom w:val="single" w:sz="4" w:space="0" w:color="0052AA" w:themeColor="accent2"/>
        <w:right w:val="single" w:sz="4" w:space="0" w:color="0052AA" w:themeColor="accent2"/>
        <w:insideH w:val="single" w:sz="4" w:space="0" w:color="FFFFFF" w:themeColor="background1"/>
        <w:insideV w:val="single" w:sz="4" w:space="0" w:color="FFFFFF" w:themeColor="background1"/>
      </w:tblBorders>
    </w:tblPr>
    <w:tcPr>
      <w:shd w:val="clear" w:color="auto" w:fill="DDEDFF" w:themeFill="accent2" w:themeFillTint="19"/>
    </w:tcPr>
    <w:tblStylePr w:type="firstRow">
      <w:rPr>
        <w:b/>
        <w:bCs/>
      </w:rPr>
      <w:tblPr/>
      <w:tcPr>
        <w:tcBorders>
          <w:top w:val="nil"/>
          <w:left w:val="nil"/>
          <w:bottom w:val="single" w:sz="24" w:space="0" w:color="0052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166" w:themeFill="accent2" w:themeFillShade="99"/>
      </w:tcPr>
    </w:tblStylePr>
    <w:tblStylePr w:type="firstCol">
      <w:rPr>
        <w:color w:val="FFFFFF" w:themeColor="background1"/>
      </w:rPr>
      <w:tblPr/>
      <w:tcPr>
        <w:tcBorders>
          <w:top w:val="nil"/>
          <w:left w:val="nil"/>
          <w:bottom w:val="nil"/>
          <w:right w:val="nil"/>
          <w:insideH w:val="single" w:sz="4" w:space="0" w:color="003166" w:themeColor="accent2" w:themeShade="99"/>
          <w:insideV w:val="nil"/>
        </w:tcBorders>
        <w:shd w:val="clear" w:color="auto" w:fill="0031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166" w:themeFill="accent2" w:themeFillShade="99"/>
      </w:tcPr>
    </w:tblStylePr>
    <w:tblStylePr w:type="band1Vert">
      <w:tblPr/>
      <w:tcPr>
        <w:shd w:val="clear" w:color="auto" w:fill="77B8FF" w:themeFill="accent2" w:themeFillTint="66"/>
      </w:tcPr>
    </w:tblStylePr>
    <w:tblStylePr w:type="band1Horz">
      <w:tblPr/>
      <w:tcPr>
        <w:shd w:val="clear" w:color="auto" w:fill="55A7FF" w:themeFill="accent2" w:themeFillTint="7F"/>
      </w:tcPr>
    </w:tblStylePr>
    <w:tblStylePr w:type="neCell">
      <w:rPr>
        <w:color w:val="16293F" w:themeColor="text1"/>
      </w:rPr>
    </w:tblStylePr>
    <w:tblStylePr w:type="nwCell">
      <w:rPr>
        <w:color w:val="16293F" w:themeColor="text1"/>
      </w:rPr>
    </w:tblStylePr>
  </w:style>
  <w:style w:type="table" w:styleId="ColorfulShading-Accent3">
    <w:name w:val="Colorful Shading Accent 3"/>
    <w:basedOn w:val="TableNormal"/>
    <w:uiPriority w:val="71"/>
    <w:semiHidden/>
    <w:unhideWhenUsed/>
    <w:rsid w:val="00EA4EC2"/>
    <w:pPr>
      <w:spacing w:after="0"/>
    </w:pPr>
    <w:rPr>
      <w:color w:val="16293F" w:themeColor="text1"/>
    </w:rPr>
    <w:tblPr>
      <w:tblStyleRowBandSize w:val="1"/>
      <w:tblStyleColBandSize w:val="1"/>
      <w:tblBorders>
        <w:top w:val="single" w:sz="24" w:space="0" w:color="7B91A7" w:themeColor="accent4"/>
        <w:left w:val="single" w:sz="4" w:space="0" w:color="1F8FFF" w:themeColor="accent3"/>
        <w:bottom w:val="single" w:sz="4" w:space="0" w:color="1F8FFF" w:themeColor="accent3"/>
        <w:right w:val="single" w:sz="4" w:space="0" w:color="1F8FFF" w:themeColor="accent3"/>
        <w:insideH w:val="single" w:sz="4" w:space="0" w:color="FFFFFF" w:themeColor="background1"/>
        <w:insideV w:val="single" w:sz="4" w:space="0" w:color="FFFFFF" w:themeColor="background1"/>
      </w:tblBorders>
    </w:tblPr>
    <w:tcPr>
      <w:shd w:val="clear" w:color="auto" w:fill="E9F3FF" w:themeFill="accent3" w:themeFillTint="19"/>
    </w:tcPr>
    <w:tblStylePr w:type="firstRow">
      <w:rPr>
        <w:b/>
        <w:bCs/>
      </w:rPr>
      <w:tblPr/>
      <w:tcPr>
        <w:tcBorders>
          <w:top w:val="nil"/>
          <w:left w:val="nil"/>
          <w:bottom w:val="single" w:sz="24" w:space="0" w:color="7B91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5AB" w:themeFill="accent3" w:themeFillShade="99"/>
      </w:tcPr>
    </w:tblStylePr>
    <w:tblStylePr w:type="firstCol">
      <w:rPr>
        <w:color w:val="FFFFFF" w:themeColor="background1"/>
      </w:rPr>
      <w:tblPr/>
      <w:tcPr>
        <w:tcBorders>
          <w:top w:val="nil"/>
          <w:left w:val="nil"/>
          <w:bottom w:val="nil"/>
          <w:right w:val="nil"/>
          <w:insideH w:val="single" w:sz="4" w:space="0" w:color="0055AB" w:themeColor="accent3" w:themeShade="99"/>
          <w:insideV w:val="nil"/>
        </w:tcBorders>
        <w:shd w:val="clear" w:color="auto" w:fill="0055A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5AB" w:themeFill="accent3" w:themeFillShade="99"/>
      </w:tcPr>
    </w:tblStylePr>
    <w:tblStylePr w:type="band1Vert">
      <w:tblPr/>
      <w:tcPr>
        <w:shd w:val="clear" w:color="auto" w:fill="A5D1FF" w:themeFill="accent3" w:themeFillTint="66"/>
      </w:tcPr>
    </w:tblStylePr>
    <w:tblStylePr w:type="band1Horz">
      <w:tblPr/>
      <w:tcPr>
        <w:shd w:val="clear" w:color="auto" w:fill="8FC6FF"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16293F" w:themeColor="text1"/>
    </w:rPr>
    <w:tblPr>
      <w:tblStyleRowBandSize w:val="1"/>
      <w:tblStyleColBandSize w:val="1"/>
      <w:tblBorders>
        <w:top w:val="single" w:sz="24" w:space="0" w:color="1F8FFF" w:themeColor="accent3"/>
        <w:left w:val="single" w:sz="4" w:space="0" w:color="7B91A7" w:themeColor="accent4"/>
        <w:bottom w:val="single" w:sz="4" w:space="0" w:color="7B91A7" w:themeColor="accent4"/>
        <w:right w:val="single" w:sz="4" w:space="0" w:color="7B91A7" w:themeColor="accent4"/>
        <w:insideH w:val="single" w:sz="4" w:space="0" w:color="FFFFFF" w:themeColor="background1"/>
        <w:insideV w:val="single" w:sz="4" w:space="0" w:color="FFFFFF" w:themeColor="background1"/>
      </w:tblBorders>
    </w:tblPr>
    <w:tcPr>
      <w:shd w:val="clear" w:color="auto" w:fill="F2F4F6" w:themeFill="accent4" w:themeFillTint="19"/>
    </w:tcPr>
    <w:tblStylePr w:type="firstRow">
      <w:rPr>
        <w:b/>
        <w:bCs/>
      </w:rPr>
      <w:tblPr/>
      <w:tcPr>
        <w:tcBorders>
          <w:top w:val="nil"/>
          <w:left w:val="nil"/>
          <w:bottom w:val="single" w:sz="24" w:space="0" w:color="1F8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668" w:themeFill="accent4" w:themeFillShade="99"/>
      </w:tcPr>
    </w:tblStylePr>
    <w:tblStylePr w:type="firstCol">
      <w:rPr>
        <w:color w:val="FFFFFF" w:themeColor="background1"/>
      </w:rPr>
      <w:tblPr/>
      <w:tcPr>
        <w:tcBorders>
          <w:top w:val="nil"/>
          <w:left w:val="nil"/>
          <w:bottom w:val="nil"/>
          <w:right w:val="nil"/>
          <w:insideH w:val="single" w:sz="4" w:space="0" w:color="455668" w:themeColor="accent4" w:themeShade="99"/>
          <w:insideV w:val="nil"/>
        </w:tcBorders>
        <w:shd w:val="clear" w:color="auto" w:fill="4556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5668" w:themeFill="accent4" w:themeFillShade="99"/>
      </w:tcPr>
    </w:tblStylePr>
    <w:tblStylePr w:type="band1Vert">
      <w:tblPr/>
      <w:tcPr>
        <w:shd w:val="clear" w:color="auto" w:fill="CAD2DB" w:themeFill="accent4" w:themeFillTint="66"/>
      </w:tcPr>
    </w:tblStylePr>
    <w:tblStylePr w:type="band1Horz">
      <w:tblPr/>
      <w:tcPr>
        <w:shd w:val="clear" w:color="auto" w:fill="BDC8D3" w:themeFill="accent4" w:themeFillTint="7F"/>
      </w:tcPr>
    </w:tblStylePr>
    <w:tblStylePr w:type="neCell">
      <w:rPr>
        <w:color w:val="16293F" w:themeColor="text1"/>
      </w:rPr>
    </w:tblStylePr>
    <w:tblStylePr w:type="nwCell">
      <w:rPr>
        <w:color w:val="16293F" w:themeColor="text1"/>
      </w:rPr>
    </w:tblStylePr>
  </w:style>
  <w:style w:type="table" w:styleId="ColorfulShading-Accent5">
    <w:name w:val="Colorful Shading Accent 5"/>
    <w:basedOn w:val="TableNormal"/>
    <w:uiPriority w:val="71"/>
    <w:semiHidden/>
    <w:unhideWhenUsed/>
    <w:rsid w:val="00EA4EC2"/>
    <w:pPr>
      <w:spacing w:after="0"/>
    </w:pPr>
    <w:rPr>
      <w:color w:val="16293F" w:themeColor="text1"/>
    </w:rPr>
    <w:tblPr>
      <w:tblStyleRowBandSize w:val="1"/>
      <w:tblStyleColBandSize w:val="1"/>
      <w:tblBorders>
        <w:top w:val="single" w:sz="24" w:space="0" w:color="FF5B72" w:themeColor="accent6"/>
        <w:left w:val="single" w:sz="4" w:space="0" w:color="831500" w:themeColor="accent5"/>
        <w:bottom w:val="single" w:sz="4" w:space="0" w:color="831500" w:themeColor="accent5"/>
        <w:right w:val="single" w:sz="4" w:space="0" w:color="831500" w:themeColor="accent5"/>
        <w:insideH w:val="single" w:sz="4" w:space="0" w:color="FFFFFF" w:themeColor="background1"/>
        <w:insideV w:val="single" w:sz="4" w:space="0" w:color="FFFFFF" w:themeColor="background1"/>
      </w:tblBorders>
    </w:tblPr>
    <w:tcPr>
      <w:shd w:val="clear" w:color="auto" w:fill="FFDFD9" w:themeFill="accent5" w:themeFillTint="19"/>
    </w:tcPr>
    <w:tblStylePr w:type="firstRow">
      <w:rPr>
        <w:b/>
        <w:bCs/>
      </w:rPr>
      <w:tblPr/>
      <w:tcPr>
        <w:tcBorders>
          <w:top w:val="nil"/>
          <w:left w:val="nil"/>
          <w:bottom w:val="single" w:sz="24" w:space="0" w:color="FF5B7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0C00" w:themeFill="accent5" w:themeFillShade="99"/>
      </w:tcPr>
    </w:tblStylePr>
    <w:tblStylePr w:type="firstCol">
      <w:rPr>
        <w:color w:val="FFFFFF" w:themeColor="background1"/>
      </w:rPr>
      <w:tblPr/>
      <w:tcPr>
        <w:tcBorders>
          <w:top w:val="nil"/>
          <w:left w:val="nil"/>
          <w:bottom w:val="nil"/>
          <w:right w:val="nil"/>
          <w:insideH w:val="single" w:sz="4" w:space="0" w:color="4E0C00" w:themeColor="accent5" w:themeShade="99"/>
          <w:insideV w:val="nil"/>
        </w:tcBorders>
        <w:shd w:val="clear" w:color="auto" w:fill="4E0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E0C00" w:themeFill="accent5" w:themeFillShade="99"/>
      </w:tcPr>
    </w:tblStylePr>
    <w:tblStylePr w:type="band1Vert">
      <w:tblPr/>
      <w:tcPr>
        <w:shd w:val="clear" w:color="auto" w:fill="FF7F67" w:themeFill="accent5" w:themeFillTint="66"/>
      </w:tcPr>
    </w:tblStylePr>
    <w:tblStylePr w:type="band1Horz">
      <w:tblPr/>
      <w:tcPr>
        <w:shd w:val="clear" w:color="auto" w:fill="FF5F42" w:themeFill="accent5" w:themeFillTint="7F"/>
      </w:tcPr>
    </w:tblStylePr>
    <w:tblStylePr w:type="neCell">
      <w:rPr>
        <w:color w:val="16293F" w:themeColor="text1"/>
      </w:rPr>
    </w:tblStylePr>
    <w:tblStylePr w:type="nwCell">
      <w:rPr>
        <w:color w:val="16293F" w:themeColor="text1"/>
      </w:rPr>
    </w:tblStylePr>
  </w:style>
  <w:style w:type="table" w:styleId="ColorfulShading-Accent6">
    <w:name w:val="Colorful Shading Accent 6"/>
    <w:basedOn w:val="TableNormal"/>
    <w:uiPriority w:val="71"/>
    <w:semiHidden/>
    <w:unhideWhenUsed/>
    <w:rsid w:val="00EA4EC2"/>
    <w:pPr>
      <w:spacing w:after="0"/>
    </w:pPr>
    <w:rPr>
      <w:color w:val="16293F" w:themeColor="text1"/>
    </w:rPr>
    <w:tblPr>
      <w:tblStyleRowBandSize w:val="1"/>
      <w:tblStyleColBandSize w:val="1"/>
      <w:tblBorders>
        <w:top w:val="single" w:sz="24" w:space="0" w:color="831500" w:themeColor="accent5"/>
        <w:left w:val="single" w:sz="4" w:space="0" w:color="FF5B72" w:themeColor="accent6"/>
        <w:bottom w:val="single" w:sz="4" w:space="0" w:color="FF5B72" w:themeColor="accent6"/>
        <w:right w:val="single" w:sz="4" w:space="0" w:color="FF5B72" w:themeColor="accent6"/>
        <w:insideH w:val="single" w:sz="4" w:space="0" w:color="FFFFFF" w:themeColor="background1"/>
        <w:insideV w:val="single" w:sz="4" w:space="0" w:color="FFFFFF" w:themeColor="background1"/>
      </w:tblBorders>
    </w:tblPr>
    <w:tcPr>
      <w:shd w:val="clear" w:color="auto" w:fill="FFEEF0" w:themeFill="accent6" w:themeFillTint="19"/>
    </w:tcPr>
    <w:tblStylePr w:type="firstRow">
      <w:rPr>
        <w:b/>
        <w:bCs/>
      </w:rPr>
      <w:tblPr/>
      <w:tcPr>
        <w:tcBorders>
          <w:top w:val="nil"/>
          <w:left w:val="nil"/>
          <w:bottom w:val="single" w:sz="24" w:space="0" w:color="831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F001C" w:themeFill="accent6" w:themeFillShade="99"/>
      </w:tcPr>
    </w:tblStylePr>
    <w:tblStylePr w:type="firstCol">
      <w:rPr>
        <w:color w:val="FFFFFF" w:themeColor="background1"/>
      </w:rPr>
      <w:tblPr/>
      <w:tcPr>
        <w:tcBorders>
          <w:top w:val="nil"/>
          <w:left w:val="nil"/>
          <w:bottom w:val="nil"/>
          <w:right w:val="nil"/>
          <w:insideH w:val="single" w:sz="4" w:space="0" w:color="CF001C" w:themeColor="accent6" w:themeShade="99"/>
          <w:insideV w:val="nil"/>
        </w:tcBorders>
        <w:shd w:val="clear" w:color="auto" w:fill="CF00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F001C" w:themeFill="accent6" w:themeFillShade="99"/>
      </w:tcPr>
    </w:tblStylePr>
    <w:tblStylePr w:type="band1Vert">
      <w:tblPr/>
      <w:tcPr>
        <w:shd w:val="clear" w:color="auto" w:fill="FFBDC6" w:themeFill="accent6" w:themeFillTint="66"/>
      </w:tcPr>
    </w:tblStylePr>
    <w:tblStylePr w:type="band1Horz">
      <w:tblPr/>
      <w:tcPr>
        <w:shd w:val="clear" w:color="auto" w:fill="FFADB8" w:themeFill="accent6" w:themeFillTint="7F"/>
      </w:tcPr>
    </w:tblStylePr>
    <w:tblStylePr w:type="neCell">
      <w:rPr>
        <w:color w:val="16293F" w:themeColor="text1"/>
      </w:rPr>
    </w:tblStylePr>
    <w:tblStylePr w:type="nwCell">
      <w:rPr>
        <w:color w:val="16293F"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unhideWhenUsed/>
    <w:rsid w:val="00EA4EC2"/>
    <w:rPr>
      <w:szCs w:val="20"/>
    </w:rPr>
  </w:style>
  <w:style w:type="character" w:customStyle="1" w:styleId="CommentTextChar">
    <w:name w:val="Comment Text Char"/>
    <w:basedOn w:val="DefaultParagraphFont"/>
    <w:link w:val="CommentText"/>
    <w:uiPriority w:val="99"/>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16293F" w:themeFill="text1"/>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0B14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01E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01E2F" w:themeFill="text1" w:themeFillShade="BF"/>
      </w:tcPr>
    </w:tblStylePr>
    <w:tblStylePr w:type="band1Vert">
      <w:tblPr/>
      <w:tcPr>
        <w:tcBorders>
          <w:top w:val="nil"/>
          <w:left w:val="nil"/>
          <w:bottom w:val="nil"/>
          <w:right w:val="nil"/>
          <w:insideH w:val="nil"/>
          <w:insideV w:val="nil"/>
        </w:tcBorders>
        <w:shd w:val="clear" w:color="auto" w:fill="101E2F" w:themeFill="text1" w:themeFillShade="BF"/>
      </w:tcPr>
    </w:tblStylePr>
    <w:tblStylePr w:type="band1Horz">
      <w:tblPr/>
      <w:tcPr>
        <w:tcBorders>
          <w:top w:val="nil"/>
          <w:left w:val="nil"/>
          <w:bottom w:val="nil"/>
          <w:right w:val="nil"/>
          <w:insideH w:val="nil"/>
          <w:insideV w:val="nil"/>
        </w:tcBorders>
        <w:shd w:val="clear" w:color="auto" w:fill="101E2F"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1629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0B14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01E2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01E2F" w:themeFill="accent1" w:themeFillShade="BF"/>
      </w:tcPr>
    </w:tblStylePr>
    <w:tblStylePr w:type="band1Vert">
      <w:tblPr/>
      <w:tcPr>
        <w:tcBorders>
          <w:top w:val="nil"/>
          <w:left w:val="nil"/>
          <w:bottom w:val="nil"/>
          <w:right w:val="nil"/>
          <w:insideH w:val="nil"/>
          <w:insideV w:val="nil"/>
        </w:tcBorders>
        <w:shd w:val="clear" w:color="auto" w:fill="101E2F" w:themeFill="accent1" w:themeFillShade="BF"/>
      </w:tcPr>
    </w:tblStylePr>
    <w:tblStylePr w:type="band1Horz">
      <w:tblPr/>
      <w:tcPr>
        <w:tcBorders>
          <w:top w:val="nil"/>
          <w:left w:val="nil"/>
          <w:bottom w:val="nil"/>
          <w:right w:val="nil"/>
          <w:insideH w:val="nil"/>
          <w:insideV w:val="nil"/>
        </w:tcBorders>
        <w:shd w:val="clear" w:color="auto" w:fill="101E2F"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0052A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00285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D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D7F" w:themeFill="accent2" w:themeFillShade="BF"/>
      </w:tcPr>
    </w:tblStylePr>
    <w:tblStylePr w:type="band1Vert">
      <w:tblPr/>
      <w:tcPr>
        <w:tcBorders>
          <w:top w:val="nil"/>
          <w:left w:val="nil"/>
          <w:bottom w:val="nil"/>
          <w:right w:val="nil"/>
          <w:insideH w:val="nil"/>
          <w:insideV w:val="nil"/>
        </w:tcBorders>
        <w:shd w:val="clear" w:color="auto" w:fill="003D7F" w:themeFill="accent2" w:themeFillShade="BF"/>
      </w:tcPr>
    </w:tblStylePr>
    <w:tblStylePr w:type="band1Horz">
      <w:tblPr/>
      <w:tcPr>
        <w:tcBorders>
          <w:top w:val="nil"/>
          <w:left w:val="nil"/>
          <w:bottom w:val="nil"/>
          <w:right w:val="nil"/>
          <w:insideH w:val="nil"/>
          <w:insideV w:val="nil"/>
        </w:tcBorders>
        <w:shd w:val="clear" w:color="auto" w:fill="003D7F"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1F8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00468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AD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AD6" w:themeFill="accent3" w:themeFillShade="BF"/>
      </w:tcPr>
    </w:tblStylePr>
    <w:tblStylePr w:type="band1Vert">
      <w:tblPr/>
      <w:tcPr>
        <w:tcBorders>
          <w:top w:val="nil"/>
          <w:left w:val="nil"/>
          <w:bottom w:val="nil"/>
          <w:right w:val="nil"/>
          <w:insideH w:val="nil"/>
          <w:insideV w:val="nil"/>
        </w:tcBorders>
        <w:shd w:val="clear" w:color="auto" w:fill="006AD6" w:themeFill="accent3" w:themeFillShade="BF"/>
      </w:tcPr>
    </w:tblStylePr>
    <w:tblStylePr w:type="band1Horz">
      <w:tblPr/>
      <w:tcPr>
        <w:tcBorders>
          <w:top w:val="nil"/>
          <w:left w:val="nil"/>
          <w:bottom w:val="nil"/>
          <w:right w:val="nil"/>
          <w:insideH w:val="nil"/>
          <w:insideV w:val="nil"/>
        </w:tcBorders>
        <w:shd w:val="clear" w:color="auto" w:fill="006AD6"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7B91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3948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C8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C82" w:themeFill="accent4" w:themeFillShade="BF"/>
      </w:tcPr>
    </w:tblStylePr>
    <w:tblStylePr w:type="band1Vert">
      <w:tblPr/>
      <w:tcPr>
        <w:tcBorders>
          <w:top w:val="nil"/>
          <w:left w:val="nil"/>
          <w:bottom w:val="nil"/>
          <w:right w:val="nil"/>
          <w:insideH w:val="nil"/>
          <w:insideV w:val="nil"/>
        </w:tcBorders>
        <w:shd w:val="clear" w:color="auto" w:fill="566C82" w:themeFill="accent4" w:themeFillShade="BF"/>
      </w:tcPr>
    </w:tblStylePr>
    <w:tblStylePr w:type="band1Horz">
      <w:tblPr/>
      <w:tcPr>
        <w:tcBorders>
          <w:top w:val="nil"/>
          <w:left w:val="nil"/>
          <w:bottom w:val="nil"/>
          <w:right w:val="nil"/>
          <w:insideH w:val="nil"/>
          <w:insideV w:val="nil"/>
        </w:tcBorders>
        <w:shd w:val="clear" w:color="auto" w:fill="566C82"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831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410A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20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20F00" w:themeFill="accent5" w:themeFillShade="BF"/>
      </w:tcPr>
    </w:tblStylePr>
    <w:tblStylePr w:type="band1Vert">
      <w:tblPr/>
      <w:tcPr>
        <w:tcBorders>
          <w:top w:val="nil"/>
          <w:left w:val="nil"/>
          <w:bottom w:val="nil"/>
          <w:right w:val="nil"/>
          <w:insideH w:val="nil"/>
          <w:insideV w:val="nil"/>
        </w:tcBorders>
        <w:shd w:val="clear" w:color="auto" w:fill="620F00" w:themeFill="accent5" w:themeFillShade="BF"/>
      </w:tcPr>
    </w:tblStylePr>
    <w:tblStylePr w:type="band1Horz">
      <w:tblPr/>
      <w:tcPr>
        <w:tcBorders>
          <w:top w:val="nil"/>
          <w:left w:val="nil"/>
          <w:bottom w:val="nil"/>
          <w:right w:val="nil"/>
          <w:insideH w:val="nil"/>
          <w:insideV w:val="nil"/>
        </w:tcBorders>
        <w:shd w:val="clear" w:color="auto" w:fill="620F00"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FF5B7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6293F" w:themeFill="text1"/>
      </w:tcPr>
    </w:tblStylePr>
    <w:tblStylePr w:type="lastRow">
      <w:tblPr/>
      <w:tcPr>
        <w:tcBorders>
          <w:top w:val="single" w:sz="18" w:space="0" w:color="FFFFFF" w:themeColor="background1"/>
          <w:left w:val="nil"/>
          <w:bottom w:val="nil"/>
          <w:right w:val="nil"/>
          <w:insideH w:val="nil"/>
          <w:insideV w:val="nil"/>
        </w:tcBorders>
        <w:shd w:val="clear" w:color="auto" w:fill="AC00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042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0426" w:themeFill="accent6" w:themeFillShade="BF"/>
      </w:tcPr>
    </w:tblStylePr>
    <w:tblStylePr w:type="band1Vert">
      <w:tblPr/>
      <w:tcPr>
        <w:tcBorders>
          <w:top w:val="nil"/>
          <w:left w:val="nil"/>
          <w:bottom w:val="nil"/>
          <w:right w:val="nil"/>
          <w:insideH w:val="nil"/>
          <w:insideV w:val="nil"/>
        </w:tcBorders>
        <w:shd w:val="clear" w:color="auto" w:fill="FF0426" w:themeFill="accent6" w:themeFillShade="BF"/>
      </w:tcPr>
    </w:tblStylePr>
    <w:tblStylePr w:type="band1Horz">
      <w:tblPr/>
      <w:tcPr>
        <w:tcBorders>
          <w:top w:val="nil"/>
          <w:left w:val="nil"/>
          <w:bottom w:val="nil"/>
          <w:right w:val="nil"/>
          <w:insideH w:val="nil"/>
          <w:insideV w:val="nil"/>
        </w:tcBorders>
        <w:shd w:val="clear" w:color="auto" w:fill="FF0426" w:themeFill="accent6" w:themeFillShade="BF"/>
      </w:tcPr>
    </w:tblStylePr>
  </w:style>
  <w:style w:type="paragraph" w:styleId="DocumentMap">
    <w:name w:val="Document Map"/>
    <w:basedOn w:val="Normal"/>
    <w:link w:val="DocumentMapChar"/>
    <w:uiPriority w:val="99"/>
    <w:semiHidden/>
    <w:unhideWhenUsed/>
    <w:rsid w:val="00EA4EC2"/>
    <w:pPr>
      <w:spacing w:after="0"/>
    </w:pPr>
    <w:rPr>
      <w:rFonts w:ascii="Segoe UI" w:hAnsi="Segoe UI" w:cs="Segoe UI"/>
    </w:rPr>
  </w:style>
  <w:style w:type="character" w:customStyle="1" w:styleId="DocumentMapChar">
    <w:name w:val="Document Map Char"/>
    <w:basedOn w:val="DefaultParagraphFont"/>
    <w:link w:val="DocumentMap"/>
    <w:uiPriority w:val="99"/>
    <w:semiHidden/>
    <w:rsid w:val="00EA4EC2"/>
    <w:rPr>
      <w:rFonts w:ascii="Segoe UI" w:hAnsi="Segoe UI" w:cs="Segoe UI"/>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B7B7B7"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81A6D3" w:themeColor="text1" w:themeTint="66"/>
        <w:left w:val="single" w:sz="4" w:space="0" w:color="81A6D3" w:themeColor="text1" w:themeTint="66"/>
        <w:bottom w:val="single" w:sz="4" w:space="0" w:color="81A6D3" w:themeColor="text1" w:themeTint="66"/>
        <w:right w:val="single" w:sz="4" w:space="0" w:color="81A6D3" w:themeColor="text1" w:themeTint="66"/>
        <w:insideH w:val="single" w:sz="4" w:space="0" w:color="81A6D3" w:themeColor="text1" w:themeTint="66"/>
        <w:insideV w:val="single" w:sz="4" w:space="0" w:color="81A6D3" w:themeColor="text1" w:themeTint="66"/>
      </w:tblBorders>
    </w:tblPr>
    <w:tblStylePr w:type="firstRow">
      <w:rPr>
        <w:b/>
        <w:bCs/>
      </w:rPr>
      <w:tblPr/>
      <w:tcPr>
        <w:tcBorders>
          <w:bottom w:val="single" w:sz="12" w:space="0" w:color="427ABD" w:themeColor="text1" w:themeTint="99"/>
        </w:tcBorders>
      </w:tcPr>
    </w:tblStylePr>
    <w:tblStylePr w:type="lastRow">
      <w:rPr>
        <w:b/>
        <w:bCs/>
      </w:rPr>
      <w:tblPr/>
      <w:tcPr>
        <w:tcBorders>
          <w:top w:val="double" w:sz="2" w:space="0" w:color="427AB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81A6D3" w:themeColor="accent1" w:themeTint="66"/>
        <w:left w:val="single" w:sz="4" w:space="0" w:color="81A6D3" w:themeColor="accent1" w:themeTint="66"/>
        <w:bottom w:val="single" w:sz="4" w:space="0" w:color="81A6D3" w:themeColor="accent1" w:themeTint="66"/>
        <w:right w:val="single" w:sz="4" w:space="0" w:color="81A6D3" w:themeColor="accent1" w:themeTint="66"/>
        <w:insideH w:val="single" w:sz="4" w:space="0" w:color="81A6D3" w:themeColor="accent1" w:themeTint="66"/>
        <w:insideV w:val="single" w:sz="4" w:space="0" w:color="81A6D3" w:themeColor="accent1" w:themeTint="66"/>
      </w:tblBorders>
    </w:tblPr>
    <w:tblStylePr w:type="firstRow">
      <w:rPr>
        <w:b/>
        <w:bCs/>
      </w:rPr>
      <w:tblPr/>
      <w:tcPr>
        <w:tcBorders>
          <w:bottom w:val="single" w:sz="12" w:space="0" w:color="427ABD" w:themeColor="accent1" w:themeTint="99"/>
        </w:tcBorders>
      </w:tcPr>
    </w:tblStylePr>
    <w:tblStylePr w:type="lastRow">
      <w:rPr>
        <w:b/>
        <w:bCs/>
      </w:rPr>
      <w:tblPr/>
      <w:tcPr>
        <w:tcBorders>
          <w:top w:val="double" w:sz="2" w:space="0" w:color="427A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77B8FF" w:themeColor="accent2" w:themeTint="66"/>
        <w:left w:val="single" w:sz="4" w:space="0" w:color="77B8FF" w:themeColor="accent2" w:themeTint="66"/>
        <w:bottom w:val="single" w:sz="4" w:space="0" w:color="77B8FF" w:themeColor="accent2" w:themeTint="66"/>
        <w:right w:val="single" w:sz="4" w:space="0" w:color="77B8FF" w:themeColor="accent2" w:themeTint="66"/>
        <w:insideH w:val="single" w:sz="4" w:space="0" w:color="77B8FF" w:themeColor="accent2" w:themeTint="66"/>
        <w:insideV w:val="single" w:sz="4" w:space="0" w:color="77B8FF" w:themeColor="accent2" w:themeTint="66"/>
      </w:tblBorders>
    </w:tblPr>
    <w:tblStylePr w:type="firstRow">
      <w:rPr>
        <w:b/>
        <w:bCs/>
      </w:rPr>
      <w:tblPr/>
      <w:tcPr>
        <w:tcBorders>
          <w:bottom w:val="single" w:sz="12" w:space="0" w:color="3395FF" w:themeColor="accent2" w:themeTint="99"/>
        </w:tcBorders>
      </w:tcPr>
    </w:tblStylePr>
    <w:tblStylePr w:type="lastRow">
      <w:rPr>
        <w:b/>
        <w:bCs/>
      </w:rPr>
      <w:tblPr/>
      <w:tcPr>
        <w:tcBorders>
          <w:top w:val="double" w:sz="2" w:space="0" w:color="339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A5D1FF" w:themeColor="accent3" w:themeTint="66"/>
        <w:left w:val="single" w:sz="4" w:space="0" w:color="A5D1FF" w:themeColor="accent3" w:themeTint="66"/>
        <w:bottom w:val="single" w:sz="4" w:space="0" w:color="A5D1FF" w:themeColor="accent3" w:themeTint="66"/>
        <w:right w:val="single" w:sz="4" w:space="0" w:color="A5D1FF" w:themeColor="accent3" w:themeTint="66"/>
        <w:insideH w:val="single" w:sz="4" w:space="0" w:color="A5D1FF" w:themeColor="accent3" w:themeTint="66"/>
        <w:insideV w:val="single" w:sz="4" w:space="0" w:color="A5D1FF" w:themeColor="accent3" w:themeTint="66"/>
      </w:tblBorders>
    </w:tblPr>
    <w:tblStylePr w:type="firstRow">
      <w:rPr>
        <w:b/>
        <w:bCs/>
      </w:rPr>
      <w:tblPr/>
      <w:tcPr>
        <w:tcBorders>
          <w:bottom w:val="single" w:sz="12" w:space="0" w:color="78BBFF" w:themeColor="accent3" w:themeTint="99"/>
        </w:tcBorders>
      </w:tcPr>
    </w:tblStylePr>
    <w:tblStylePr w:type="lastRow">
      <w:rPr>
        <w:b/>
        <w:bCs/>
      </w:rPr>
      <w:tblPr/>
      <w:tcPr>
        <w:tcBorders>
          <w:top w:val="double" w:sz="2" w:space="0" w:color="78B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CAD2DB" w:themeColor="accent4" w:themeTint="66"/>
        <w:left w:val="single" w:sz="4" w:space="0" w:color="CAD2DB" w:themeColor="accent4" w:themeTint="66"/>
        <w:bottom w:val="single" w:sz="4" w:space="0" w:color="CAD2DB" w:themeColor="accent4" w:themeTint="66"/>
        <w:right w:val="single" w:sz="4" w:space="0" w:color="CAD2DB" w:themeColor="accent4" w:themeTint="66"/>
        <w:insideH w:val="single" w:sz="4" w:space="0" w:color="CAD2DB" w:themeColor="accent4" w:themeTint="66"/>
        <w:insideV w:val="single" w:sz="4" w:space="0" w:color="CAD2DB" w:themeColor="accent4" w:themeTint="66"/>
      </w:tblBorders>
    </w:tblPr>
    <w:tblStylePr w:type="firstRow">
      <w:rPr>
        <w:b/>
        <w:bCs/>
      </w:rPr>
      <w:tblPr/>
      <w:tcPr>
        <w:tcBorders>
          <w:bottom w:val="single" w:sz="12" w:space="0" w:color="AFBCCA" w:themeColor="accent4" w:themeTint="99"/>
        </w:tcBorders>
      </w:tcPr>
    </w:tblStylePr>
    <w:tblStylePr w:type="lastRow">
      <w:rPr>
        <w:b/>
        <w:bCs/>
      </w:rPr>
      <w:tblPr/>
      <w:tcPr>
        <w:tcBorders>
          <w:top w:val="double" w:sz="2" w:space="0" w:color="AFBC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FF7F67" w:themeColor="accent5" w:themeTint="66"/>
        <w:left w:val="single" w:sz="4" w:space="0" w:color="FF7F67" w:themeColor="accent5" w:themeTint="66"/>
        <w:bottom w:val="single" w:sz="4" w:space="0" w:color="FF7F67" w:themeColor="accent5" w:themeTint="66"/>
        <w:right w:val="single" w:sz="4" w:space="0" w:color="FF7F67" w:themeColor="accent5" w:themeTint="66"/>
        <w:insideH w:val="single" w:sz="4" w:space="0" w:color="FF7F67" w:themeColor="accent5" w:themeTint="66"/>
        <w:insideV w:val="single" w:sz="4" w:space="0" w:color="FF7F67" w:themeColor="accent5" w:themeTint="66"/>
      </w:tblBorders>
    </w:tblPr>
    <w:tblStylePr w:type="firstRow">
      <w:rPr>
        <w:b/>
        <w:bCs/>
      </w:rPr>
      <w:tblPr/>
      <w:tcPr>
        <w:tcBorders>
          <w:bottom w:val="single" w:sz="12" w:space="0" w:color="FF3F1B" w:themeColor="accent5" w:themeTint="99"/>
        </w:tcBorders>
      </w:tcPr>
    </w:tblStylePr>
    <w:tblStylePr w:type="lastRow">
      <w:rPr>
        <w:b/>
        <w:bCs/>
      </w:rPr>
      <w:tblPr/>
      <w:tcPr>
        <w:tcBorders>
          <w:top w:val="double" w:sz="2" w:space="0" w:color="FF3F1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FFBDC6" w:themeColor="accent6" w:themeTint="66"/>
        <w:left w:val="single" w:sz="4" w:space="0" w:color="FFBDC6" w:themeColor="accent6" w:themeTint="66"/>
        <w:bottom w:val="single" w:sz="4" w:space="0" w:color="FFBDC6" w:themeColor="accent6" w:themeTint="66"/>
        <w:right w:val="single" w:sz="4" w:space="0" w:color="FFBDC6" w:themeColor="accent6" w:themeTint="66"/>
        <w:insideH w:val="single" w:sz="4" w:space="0" w:color="FFBDC6" w:themeColor="accent6" w:themeTint="66"/>
        <w:insideV w:val="single" w:sz="4" w:space="0" w:color="FFBDC6" w:themeColor="accent6" w:themeTint="66"/>
      </w:tblBorders>
    </w:tblPr>
    <w:tblStylePr w:type="firstRow">
      <w:rPr>
        <w:b/>
        <w:bCs/>
      </w:rPr>
      <w:tblPr/>
      <w:tcPr>
        <w:tcBorders>
          <w:bottom w:val="single" w:sz="12" w:space="0" w:color="FF9CA9" w:themeColor="accent6" w:themeTint="99"/>
        </w:tcBorders>
      </w:tcPr>
    </w:tblStylePr>
    <w:tblStylePr w:type="lastRow">
      <w:rPr>
        <w:b/>
        <w:bCs/>
      </w:rPr>
      <w:tblPr/>
      <w:tcPr>
        <w:tcBorders>
          <w:top w:val="double" w:sz="2" w:space="0" w:color="FF9CA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427ABD" w:themeColor="text1" w:themeTint="99"/>
        <w:bottom w:val="single" w:sz="2" w:space="0" w:color="427ABD" w:themeColor="text1" w:themeTint="99"/>
        <w:insideH w:val="single" w:sz="2" w:space="0" w:color="427ABD" w:themeColor="text1" w:themeTint="99"/>
        <w:insideV w:val="single" w:sz="2" w:space="0" w:color="427ABD" w:themeColor="text1" w:themeTint="99"/>
      </w:tblBorders>
    </w:tblPr>
    <w:tblStylePr w:type="firstRow">
      <w:rPr>
        <w:b/>
        <w:bCs/>
      </w:rPr>
      <w:tblPr/>
      <w:tcPr>
        <w:tcBorders>
          <w:top w:val="nil"/>
          <w:bottom w:val="single" w:sz="12" w:space="0" w:color="427ABD" w:themeColor="text1" w:themeTint="99"/>
          <w:insideH w:val="nil"/>
          <w:insideV w:val="nil"/>
        </w:tcBorders>
        <w:shd w:val="clear" w:color="auto" w:fill="FFFFFF" w:themeFill="background1"/>
      </w:tcPr>
    </w:tblStylePr>
    <w:tblStylePr w:type="lastRow">
      <w:rPr>
        <w:b/>
        <w:bCs/>
      </w:rPr>
      <w:tblPr/>
      <w:tcPr>
        <w:tcBorders>
          <w:top w:val="double" w:sz="2" w:space="0" w:color="427AB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427ABD" w:themeColor="accent1" w:themeTint="99"/>
        <w:bottom w:val="single" w:sz="2" w:space="0" w:color="427ABD" w:themeColor="accent1" w:themeTint="99"/>
        <w:insideH w:val="single" w:sz="2" w:space="0" w:color="427ABD" w:themeColor="accent1" w:themeTint="99"/>
        <w:insideV w:val="single" w:sz="2" w:space="0" w:color="427ABD" w:themeColor="accent1" w:themeTint="99"/>
      </w:tblBorders>
    </w:tblPr>
    <w:tblStylePr w:type="firstRow">
      <w:rPr>
        <w:b/>
        <w:bCs/>
      </w:rPr>
      <w:tblPr/>
      <w:tcPr>
        <w:tcBorders>
          <w:top w:val="nil"/>
          <w:bottom w:val="single" w:sz="12" w:space="0" w:color="427ABD" w:themeColor="accent1" w:themeTint="99"/>
          <w:insideH w:val="nil"/>
          <w:insideV w:val="nil"/>
        </w:tcBorders>
        <w:shd w:val="clear" w:color="auto" w:fill="FFFFFF" w:themeFill="background1"/>
      </w:tcPr>
    </w:tblStylePr>
    <w:tblStylePr w:type="lastRow">
      <w:rPr>
        <w:b/>
        <w:bCs/>
      </w:rPr>
      <w:tblPr/>
      <w:tcPr>
        <w:tcBorders>
          <w:top w:val="double" w:sz="2" w:space="0" w:color="427A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3395FF" w:themeColor="accent2" w:themeTint="99"/>
        <w:bottom w:val="single" w:sz="2" w:space="0" w:color="3395FF" w:themeColor="accent2" w:themeTint="99"/>
        <w:insideH w:val="single" w:sz="2" w:space="0" w:color="3395FF" w:themeColor="accent2" w:themeTint="99"/>
        <w:insideV w:val="single" w:sz="2" w:space="0" w:color="3395FF" w:themeColor="accent2" w:themeTint="99"/>
      </w:tblBorders>
    </w:tblPr>
    <w:tblStylePr w:type="firstRow">
      <w:rPr>
        <w:b/>
        <w:bCs/>
      </w:rPr>
      <w:tblPr/>
      <w:tcPr>
        <w:tcBorders>
          <w:top w:val="nil"/>
          <w:bottom w:val="single" w:sz="12" w:space="0" w:color="3395FF" w:themeColor="accent2" w:themeTint="99"/>
          <w:insideH w:val="nil"/>
          <w:insideV w:val="nil"/>
        </w:tcBorders>
        <w:shd w:val="clear" w:color="auto" w:fill="FFFFFF" w:themeFill="background1"/>
      </w:tcPr>
    </w:tblStylePr>
    <w:tblStylePr w:type="lastRow">
      <w:rPr>
        <w:b/>
        <w:bCs/>
      </w:rPr>
      <w:tblPr/>
      <w:tcPr>
        <w:tcBorders>
          <w:top w:val="double" w:sz="2" w:space="0" w:color="339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78BBFF" w:themeColor="accent3" w:themeTint="99"/>
        <w:bottom w:val="single" w:sz="2" w:space="0" w:color="78BBFF" w:themeColor="accent3" w:themeTint="99"/>
        <w:insideH w:val="single" w:sz="2" w:space="0" w:color="78BBFF" w:themeColor="accent3" w:themeTint="99"/>
        <w:insideV w:val="single" w:sz="2" w:space="0" w:color="78BBFF" w:themeColor="accent3" w:themeTint="99"/>
      </w:tblBorders>
    </w:tblPr>
    <w:tblStylePr w:type="firstRow">
      <w:rPr>
        <w:b/>
        <w:bCs/>
      </w:rPr>
      <w:tblPr/>
      <w:tcPr>
        <w:tcBorders>
          <w:top w:val="nil"/>
          <w:bottom w:val="single" w:sz="12" w:space="0" w:color="78BBFF" w:themeColor="accent3" w:themeTint="99"/>
          <w:insideH w:val="nil"/>
          <w:insideV w:val="nil"/>
        </w:tcBorders>
        <w:shd w:val="clear" w:color="auto" w:fill="FFFFFF" w:themeFill="background1"/>
      </w:tcPr>
    </w:tblStylePr>
    <w:tblStylePr w:type="lastRow">
      <w:rPr>
        <w:b/>
        <w:bCs/>
      </w:rPr>
      <w:tblPr/>
      <w:tcPr>
        <w:tcBorders>
          <w:top w:val="double" w:sz="2" w:space="0" w:color="78B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AFBCCA" w:themeColor="accent4" w:themeTint="99"/>
        <w:bottom w:val="single" w:sz="2" w:space="0" w:color="AFBCCA" w:themeColor="accent4" w:themeTint="99"/>
        <w:insideH w:val="single" w:sz="2" w:space="0" w:color="AFBCCA" w:themeColor="accent4" w:themeTint="99"/>
        <w:insideV w:val="single" w:sz="2" w:space="0" w:color="AFBCCA" w:themeColor="accent4" w:themeTint="99"/>
      </w:tblBorders>
    </w:tblPr>
    <w:tblStylePr w:type="firstRow">
      <w:rPr>
        <w:b/>
        <w:bCs/>
      </w:rPr>
      <w:tblPr/>
      <w:tcPr>
        <w:tcBorders>
          <w:top w:val="nil"/>
          <w:bottom w:val="single" w:sz="12" w:space="0" w:color="AFBCCA" w:themeColor="accent4" w:themeTint="99"/>
          <w:insideH w:val="nil"/>
          <w:insideV w:val="nil"/>
        </w:tcBorders>
        <w:shd w:val="clear" w:color="auto" w:fill="FFFFFF" w:themeFill="background1"/>
      </w:tcPr>
    </w:tblStylePr>
    <w:tblStylePr w:type="lastRow">
      <w:rPr>
        <w:b/>
        <w:bCs/>
      </w:rPr>
      <w:tblPr/>
      <w:tcPr>
        <w:tcBorders>
          <w:top w:val="double" w:sz="2" w:space="0" w:color="AFBC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FF3F1B" w:themeColor="accent5" w:themeTint="99"/>
        <w:bottom w:val="single" w:sz="2" w:space="0" w:color="FF3F1B" w:themeColor="accent5" w:themeTint="99"/>
        <w:insideH w:val="single" w:sz="2" w:space="0" w:color="FF3F1B" w:themeColor="accent5" w:themeTint="99"/>
        <w:insideV w:val="single" w:sz="2" w:space="0" w:color="FF3F1B" w:themeColor="accent5" w:themeTint="99"/>
      </w:tblBorders>
    </w:tblPr>
    <w:tblStylePr w:type="firstRow">
      <w:rPr>
        <w:b/>
        <w:bCs/>
      </w:rPr>
      <w:tblPr/>
      <w:tcPr>
        <w:tcBorders>
          <w:top w:val="nil"/>
          <w:bottom w:val="single" w:sz="12" w:space="0" w:color="FF3F1B" w:themeColor="accent5" w:themeTint="99"/>
          <w:insideH w:val="nil"/>
          <w:insideV w:val="nil"/>
        </w:tcBorders>
        <w:shd w:val="clear" w:color="auto" w:fill="FFFFFF" w:themeFill="background1"/>
      </w:tcPr>
    </w:tblStylePr>
    <w:tblStylePr w:type="lastRow">
      <w:rPr>
        <w:b/>
        <w:bCs/>
      </w:rPr>
      <w:tblPr/>
      <w:tcPr>
        <w:tcBorders>
          <w:top w:val="double" w:sz="2" w:space="0" w:color="FF3F1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FF9CA9" w:themeColor="accent6" w:themeTint="99"/>
        <w:bottom w:val="single" w:sz="2" w:space="0" w:color="FF9CA9" w:themeColor="accent6" w:themeTint="99"/>
        <w:insideH w:val="single" w:sz="2" w:space="0" w:color="FF9CA9" w:themeColor="accent6" w:themeTint="99"/>
        <w:insideV w:val="single" w:sz="2" w:space="0" w:color="FF9CA9" w:themeColor="accent6" w:themeTint="99"/>
      </w:tblBorders>
    </w:tblPr>
    <w:tblStylePr w:type="firstRow">
      <w:rPr>
        <w:b/>
        <w:bCs/>
      </w:rPr>
      <w:tblPr/>
      <w:tcPr>
        <w:tcBorders>
          <w:top w:val="nil"/>
          <w:bottom w:val="single" w:sz="12" w:space="0" w:color="FF9CA9" w:themeColor="accent6" w:themeTint="99"/>
          <w:insideH w:val="nil"/>
          <w:insideV w:val="nil"/>
        </w:tcBorders>
        <w:shd w:val="clear" w:color="auto" w:fill="FFFFFF" w:themeFill="background1"/>
      </w:tcPr>
    </w:tblStylePr>
    <w:tblStylePr w:type="lastRow">
      <w:rPr>
        <w:b/>
        <w:bCs/>
      </w:rPr>
      <w:tblPr/>
      <w:tcPr>
        <w:tcBorders>
          <w:top w:val="double" w:sz="2" w:space="0" w:color="FF9CA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427ABD" w:themeColor="text1" w:themeTint="99"/>
        <w:left w:val="single" w:sz="4" w:space="0" w:color="427ABD" w:themeColor="text1" w:themeTint="99"/>
        <w:bottom w:val="single" w:sz="4" w:space="0" w:color="427ABD" w:themeColor="text1" w:themeTint="99"/>
        <w:right w:val="single" w:sz="4" w:space="0" w:color="427ABD" w:themeColor="text1" w:themeTint="99"/>
        <w:insideH w:val="single" w:sz="4" w:space="0" w:color="427ABD" w:themeColor="text1" w:themeTint="99"/>
        <w:insideV w:val="single" w:sz="4" w:space="0" w:color="427AB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2E9" w:themeFill="text1" w:themeFillTint="33"/>
      </w:tcPr>
    </w:tblStylePr>
    <w:tblStylePr w:type="band1Horz">
      <w:tblPr/>
      <w:tcPr>
        <w:shd w:val="clear" w:color="auto" w:fill="C0D2E9" w:themeFill="text1" w:themeFillTint="33"/>
      </w:tcPr>
    </w:tblStylePr>
    <w:tblStylePr w:type="neCell">
      <w:tblPr/>
      <w:tcPr>
        <w:tcBorders>
          <w:bottom w:val="single" w:sz="4" w:space="0" w:color="427ABD" w:themeColor="text1" w:themeTint="99"/>
        </w:tcBorders>
      </w:tcPr>
    </w:tblStylePr>
    <w:tblStylePr w:type="nwCell">
      <w:tblPr/>
      <w:tcPr>
        <w:tcBorders>
          <w:bottom w:val="single" w:sz="4" w:space="0" w:color="427ABD" w:themeColor="text1" w:themeTint="99"/>
        </w:tcBorders>
      </w:tcPr>
    </w:tblStylePr>
    <w:tblStylePr w:type="seCell">
      <w:tblPr/>
      <w:tcPr>
        <w:tcBorders>
          <w:top w:val="single" w:sz="4" w:space="0" w:color="427ABD" w:themeColor="text1" w:themeTint="99"/>
        </w:tcBorders>
      </w:tcPr>
    </w:tblStylePr>
    <w:tblStylePr w:type="swCell">
      <w:tblPr/>
      <w:tcPr>
        <w:tcBorders>
          <w:top w:val="single" w:sz="4" w:space="0" w:color="427ABD"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427ABD" w:themeColor="accent1" w:themeTint="99"/>
        <w:left w:val="single" w:sz="4" w:space="0" w:color="427ABD" w:themeColor="accent1" w:themeTint="99"/>
        <w:bottom w:val="single" w:sz="4" w:space="0" w:color="427ABD" w:themeColor="accent1" w:themeTint="99"/>
        <w:right w:val="single" w:sz="4" w:space="0" w:color="427ABD" w:themeColor="accent1" w:themeTint="99"/>
        <w:insideH w:val="single" w:sz="4" w:space="0" w:color="427ABD" w:themeColor="accent1" w:themeTint="99"/>
        <w:insideV w:val="single" w:sz="4" w:space="0" w:color="427A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2E9" w:themeFill="accent1" w:themeFillTint="33"/>
      </w:tcPr>
    </w:tblStylePr>
    <w:tblStylePr w:type="band1Horz">
      <w:tblPr/>
      <w:tcPr>
        <w:shd w:val="clear" w:color="auto" w:fill="C0D2E9" w:themeFill="accent1" w:themeFillTint="33"/>
      </w:tcPr>
    </w:tblStylePr>
    <w:tblStylePr w:type="neCell">
      <w:tblPr/>
      <w:tcPr>
        <w:tcBorders>
          <w:bottom w:val="single" w:sz="4" w:space="0" w:color="427ABD" w:themeColor="accent1" w:themeTint="99"/>
        </w:tcBorders>
      </w:tcPr>
    </w:tblStylePr>
    <w:tblStylePr w:type="nwCell">
      <w:tblPr/>
      <w:tcPr>
        <w:tcBorders>
          <w:bottom w:val="single" w:sz="4" w:space="0" w:color="427ABD" w:themeColor="accent1" w:themeTint="99"/>
        </w:tcBorders>
      </w:tcPr>
    </w:tblStylePr>
    <w:tblStylePr w:type="seCell">
      <w:tblPr/>
      <w:tcPr>
        <w:tcBorders>
          <w:top w:val="single" w:sz="4" w:space="0" w:color="427ABD" w:themeColor="accent1" w:themeTint="99"/>
        </w:tcBorders>
      </w:tcPr>
    </w:tblStylePr>
    <w:tblStylePr w:type="swCell">
      <w:tblPr/>
      <w:tcPr>
        <w:tcBorders>
          <w:top w:val="single" w:sz="4" w:space="0" w:color="427ABD"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3395FF" w:themeColor="accent2" w:themeTint="99"/>
        <w:left w:val="single" w:sz="4" w:space="0" w:color="3395FF" w:themeColor="accent2" w:themeTint="99"/>
        <w:bottom w:val="single" w:sz="4" w:space="0" w:color="3395FF" w:themeColor="accent2" w:themeTint="99"/>
        <w:right w:val="single" w:sz="4" w:space="0" w:color="3395FF" w:themeColor="accent2" w:themeTint="99"/>
        <w:insideH w:val="single" w:sz="4" w:space="0" w:color="3395FF" w:themeColor="accent2" w:themeTint="99"/>
        <w:insideV w:val="single" w:sz="4" w:space="0" w:color="339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BFF" w:themeFill="accent2" w:themeFillTint="33"/>
      </w:tcPr>
    </w:tblStylePr>
    <w:tblStylePr w:type="band1Horz">
      <w:tblPr/>
      <w:tcPr>
        <w:shd w:val="clear" w:color="auto" w:fill="BBDBFF" w:themeFill="accent2" w:themeFillTint="33"/>
      </w:tcPr>
    </w:tblStylePr>
    <w:tblStylePr w:type="neCell">
      <w:tblPr/>
      <w:tcPr>
        <w:tcBorders>
          <w:bottom w:val="single" w:sz="4" w:space="0" w:color="3395FF" w:themeColor="accent2" w:themeTint="99"/>
        </w:tcBorders>
      </w:tcPr>
    </w:tblStylePr>
    <w:tblStylePr w:type="nwCell">
      <w:tblPr/>
      <w:tcPr>
        <w:tcBorders>
          <w:bottom w:val="single" w:sz="4" w:space="0" w:color="3395FF" w:themeColor="accent2" w:themeTint="99"/>
        </w:tcBorders>
      </w:tcPr>
    </w:tblStylePr>
    <w:tblStylePr w:type="seCell">
      <w:tblPr/>
      <w:tcPr>
        <w:tcBorders>
          <w:top w:val="single" w:sz="4" w:space="0" w:color="3395FF" w:themeColor="accent2" w:themeTint="99"/>
        </w:tcBorders>
      </w:tcPr>
    </w:tblStylePr>
    <w:tblStylePr w:type="swCell">
      <w:tblPr/>
      <w:tcPr>
        <w:tcBorders>
          <w:top w:val="single" w:sz="4" w:space="0" w:color="3395FF"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78BBFF" w:themeColor="accent3" w:themeTint="99"/>
        <w:left w:val="single" w:sz="4" w:space="0" w:color="78BBFF" w:themeColor="accent3" w:themeTint="99"/>
        <w:bottom w:val="single" w:sz="4" w:space="0" w:color="78BBFF" w:themeColor="accent3" w:themeTint="99"/>
        <w:right w:val="single" w:sz="4" w:space="0" w:color="78BBFF" w:themeColor="accent3" w:themeTint="99"/>
        <w:insideH w:val="single" w:sz="4" w:space="0" w:color="78BBFF" w:themeColor="accent3" w:themeTint="99"/>
        <w:insideV w:val="single" w:sz="4" w:space="0" w:color="78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8FF" w:themeFill="accent3" w:themeFillTint="33"/>
      </w:tcPr>
    </w:tblStylePr>
    <w:tblStylePr w:type="band1Horz">
      <w:tblPr/>
      <w:tcPr>
        <w:shd w:val="clear" w:color="auto" w:fill="D2E8FF" w:themeFill="accent3" w:themeFillTint="33"/>
      </w:tcPr>
    </w:tblStylePr>
    <w:tblStylePr w:type="neCell">
      <w:tblPr/>
      <w:tcPr>
        <w:tcBorders>
          <w:bottom w:val="single" w:sz="4" w:space="0" w:color="78BBFF" w:themeColor="accent3" w:themeTint="99"/>
        </w:tcBorders>
      </w:tcPr>
    </w:tblStylePr>
    <w:tblStylePr w:type="nwCell">
      <w:tblPr/>
      <w:tcPr>
        <w:tcBorders>
          <w:bottom w:val="single" w:sz="4" w:space="0" w:color="78BBFF" w:themeColor="accent3" w:themeTint="99"/>
        </w:tcBorders>
      </w:tcPr>
    </w:tblStylePr>
    <w:tblStylePr w:type="seCell">
      <w:tblPr/>
      <w:tcPr>
        <w:tcBorders>
          <w:top w:val="single" w:sz="4" w:space="0" w:color="78BBFF" w:themeColor="accent3" w:themeTint="99"/>
        </w:tcBorders>
      </w:tcPr>
    </w:tblStylePr>
    <w:tblStylePr w:type="swCell">
      <w:tblPr/>
      <w:tcPr>
        <w:tcBorders>
          <w:top w:val="single" w:sz="4" w:space="0" w:color="78BBFF"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AFBCCA" w:themeColor="accent4" w:themeTint="99"/>
        <w:left w:val="single" w:sz="4" w:space="0" w:color="AFBCCA" w:themeColor="accent4" w:themeTint="99"/>
        <w:bottom w:val="single" w:sz="4" w:space="0" w:color="AFBCCA" w:themeColor="accent4" w:themeTint="99"/>
        <w:right w:val="single" w:sz="4" w:space="0" w:color="AFBCCA" w:themeColor="accent4" w:themeTint="99"/>
        <w:insideH w:val="single" w:sz="4" w:space="0" w:color="AFBCCA" w:themeColor="accent4" w:themeTint="99"/>
        <w:insideV w:val="single" w:sz="4" w:space="0" w:color="AFBC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8ED" w:themeFill="accent4" w:themeFillTint="33"/>
      </w:tcPr>
    </w:tblStylePr>
    <w:tblStylePr w:type="band1Horz">
      <w:tblPr/>
      <w:tcPr>
        <w:shd w:val="clear" w:color="auto" w:fill="E4E8ED" w:themeFill="accent4" w:themeFillTint="33"/>
      </w:tcPr>
    </w:tblStylePr>
    <w:tblStylePr w:type="neCell">
      <w:tblPr/>
      <w:tcPr>
        <w:tcBorders>
          <w:bottom w:val="single" w:sz="4" w:space="0" w:color="AFBCCA" w:themeColor="accent4" w:themeTint="99"/>
        </w:tcBorders>
      </w:tcPr>
    </w:tblStylePr>
    <w:tblStylePr w:type="nwCell">
      <w:tblPr/>
      <w:tcPr>
        <w:tcBorders>
          <w:bottom w:val="single" w:sz="4" w:space="0" w:color="AFBCCA" w:themeColor="accent4" w:themeTint="99"/>
        </w:tcBorders>
      </w:tcPr>
    </w:tblStylePr>
    <w:tblStylePr w:type="seCell">
      <w:tblPr/>
      <w:tcPr>
        <w:tcBorders>
          <w:top w:val="single" w:sz="4" w:space="0" w:color="AFBCCA" w:themeColor="accent4" w:themeTint="99"/>
        </w:tcBorders>
      </w:tcPr>
    </w:tblStylePr>
    <w:tblStylePr w:type="swCell">
      <w:tblPr/>
      <w:tcPr>
        <w:tcBorders>
          <w:top w:val="single" w:sz="4" w:space="0" w:color="AFBCCA"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FF3F1B" w:themeColor="accent5" w:themeTint="99"/>
        <w:left w:val="single" w:sz="4" w:space="0" w:color="FF3F1B" w:themeColor="accent5" w:themeTint="99"/>
        <w:bottom w:val="single" w:sz="4" w:space="0" w:color="FF3F1B" w:themeColor="accent5" w:themeTint="99"/>
        <w:right w:val="single" w:sz="4" w:space="0" w:color="FF3F1B" w:themeColor="accent5" w:themeTint="99"/>
        <w:insideH w:val="single" w:sz="4" w:space="0" w:color="FF3F1B" w:themeColor="accent5" w:themeTint="99"/>
        <w:insideV w:val="single" w:sz="4" w:space="0" w:color="FF3F1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B3" w:themeFill="accent5" w:themeFillTint="33"/>
      </w:tcPr>
    </w:tblStylePr>
    <w:tblStylePr w:type="band1Horz">
      <w:tblPr/>
      <w:tcPr>
        <w:shd w:val="clear" w:color="auto" w:fill="FFBEB3" w:themeFill="accent5" w:themeFillTint="33"/>
      </w:tcPr>
    </w:tblStylePr>
    <w:tblStylePr w:type="neCell">
      <w:tblPr/>
      <w:tcPr>
        <w:tcBorders>
          <w:bottom w:val="single" w:sz="4" w:space="0" w:color="FF3F1B" w:themeColor="accent5" w:themeTint="99"/>
        </w:tcBorders>
      </w:tcPr>
    </w:tblStylePr>
    <w:tblStylePr w:type="nwCell">
      <w:tblPr/>
      <w:tcPr>
        <w:tcBorders>
          <w:bottom w:val="single" w:sz="4" w:space="0" w:color="FF3F1B" w:themeColor="accent5" w:themeTint="99"/>
        </w:tcBorders>
      </w:tcPr>
    </w:tblStylePr>
    <w:tblStylePr w:type="seCell">
      <w:tblPr/>
      <w:tcPr>
        <w:tcBorders>
          <w:top w:val="single" w:sz="4" w:space="0" w:color="FF3F1B" w:themeColor="accent5" w:themeTint="99"/>
        </w:tcBorders>
      </w:tcPr>
    </w:tblStylePr>
    <w:tblStylePr w:type="swCell">
      <w:tblPr/>
      <w:tcPr>
        <w:tcBorders>
          <w:top w:val="single" w:sz="4" w:space="0" w:color="FF3F1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FF9CA9" w:themeColor="accent6" w:themeTint="99"/>
        <w:left w:val="single" w:sz="4" w:space="0" w:color="FF9CA9" w:themeColor="accent6" w:themeTint="99"/>
        <w:bottom w:val="single" w:sz="4" w:space="0" w:color="FF9CA9" w:themeColor="accent6" w:themeTint="99"/>
        <w:right w:val="single" w:sz="4" w:space="0" w:color="FF9CA9" w:themeColor="accent6" w:themeTint="99"/>
        <w:insideH w:val="single" w:sz="4" w:space="0" w:color="FF9CA9" w:themeColor="accent6" w:themeTint="99"/>
        <w:insideV w:val="single" w:sz="4" w:space="0" w:color="FF9CA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E2" w:themeFill="accent6" w:themeFillTint="33"/>
      </w:tcPr>
    </w:tblStylePr>
    <w:tblStylePr w:type="band1Horz">
      <w:tblPr/>
      <w:tcPr>
        <w:shd w:val="clear" w:color="auto" w:fill="FFDEE2" w:themeFill="accent6" w:themeFillTint="33"/>
      </w:tcPr>
    </w:tblStylePr>
    <w:tblStylePr w:type="neCell">
      <w:tblPr/>
      <w:tcPr>
        <w:tcBorders>
          <w:bottom w:val="single" w:sz="4" w:space="0" w:color="FF9CA9" w:themeColor="accent6" w:themeTint="99"/>
        </w:tcBorders>
      </w:tcPr>
    </w:tblStylePr>
    <w:tblStylePr w:type="nwCell">
      <w:tblPr/>
      <w:tcPr>
        <w:tcBorders>
          <w:bottom w:val="single" w:sz="4" w:space="0" w:color="FF9CA9" w:themeColor="accent6" w:themeTint="99"/>
        </w:tcBorders>
      </w:tcPr>
    </w:tblStylePr>
    <w:tblStylePr w:type="seCell">
      <w:tblPr/>
      <w:tcPr>
        <w:tcBorders>
          <w:top w:val="single" w:sz="4" w:space="0" w:color="FF9CA9" w:themeColor="accent6" w:themeTint="99"/>
        </w:tcBorders>
      </w:tcPr>
    </w:tblStylePr>
    <w:tblStylePr w:type="swCell">
      <w:tblPr/>
      <w:tcPr>
        <w:tcBorders>
          <w:top w:val="single" w:sz="4" w:space="0" w:color="FF9CA9"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427ABD" w:themeColor="text1" w:themeTint="99"/>
        <w:left w:val="single" w:sz="4" w:space="0" w:color="427ABD" w:themeColor="text1" w:themeTint="99"/>
        <w:bottom w:val="single" w:sz="4" w:space="0" w:color="427ABD" w:themeColor="text1" w:themeTint="99"/>
        <w:right w:val="single" w:sz="4" w:space="0" w:color="427ABD" w:themeColor="text1" w:themeTint="99"/>
        <w:insideH w:val="single" w:sz="4" w:space="0" w:color="427ABD" w:themeColor="text1" w:themeTint="99"/>
        <w:insideV w:val="single" w:sz="4" w:space="0" w:color="427ABD" w:themeColor="text1" w:themeTint="99"/>
      </w:tblBorders>
    </w:tblPr>
    <w:tblStylePr w:type="firstRow">
      <w:rPr>
        <w:b/>
        <w:bCs/>
        <w:color w:val="FFFFFF" w:themeColor="background1"/>
      </w:rPr>
      <w:tblPr/>
      <w:tcPr>
        <w:tcBorders>
          <w:top w:val="single" w:sz="4" w:space="0" w:color="16293F" w:themeColor="text1"/>
          <w:left w:val="single" w:sz="4" w:space="0" w:color="16293F" w:themeColor="text1"/>
          <w:bottom w:val="single" w:sz="4" w:space="0" w:color="16293F" w:themeColor="text1"/>
          <w:right w:val="single" w:sz="4" w:space="0" w:color="16293F" w:themeColor="text1"/>
          <w:insideH w:val="nil"/>
          <w:insideV w:val="nil"/>
        </w:tcBorders>
        <w:shd w:val="clear" w:color="auto" w:fill="16293F" w:themeFill="text1"/>
      </w:tcPr>
    </w:tblStylePr>
    <w:tblStylePr w:type="lastRow">
      <w:rPr>
        <w:b/>
        <w:bCs/>
      </w:rPr>
      <w:tblPr/>
      <w:tcPr>
        <w:tcBorders>
          <w:top w:val="double" w:sz="4" w:space="0" w:color="16293F" w:themeColor="text1"/>
        </w:tcBorders>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427ABD" w:themeColor="accent1" w:themeTint="99"/>
        <w:left w:val="single" w:sz="4" w:space="0" w:color="427ABD" w:themeColor="accent1" w:themeTint="99"/>
        <w:bottom w:val="single" w:sz="4" w:space="0" w:color="427ABD" w:themeColor="accent1" w:themeTint="99"/>
        <w:right w:val="single" w:sz="4" w:space="0" w:color="427ABD" w:themeColor="accent1" w:themeTint="99"/>
        <w:insideH w:val="single" w:sz="4" w:space="0" w:color="427ABD" w:themeColor="accent1" w:themeTint="99"/>
        <w:insideV w:val="single" w:sz="4" w:space="0" w:color="427ABD" w:themeColor="accent1" w:themeTint="99"/>
      </w:tblBorders>
    </w:tblPr>
    <w:tblStylePr w:type="firstRow">
      <w:rPr>
        <w:b/>
        <w:bCs/>
        <w:color w:val="FFFFFF" w:themeColor="background1"/>
      </w:rPr>
      <w:tblPr/>
      <w:tcPr>
        <w:tcBorders>
          <w:top w:val="single" w:sz="4" w:space="0" w:color="16293F" w:themeColor="accent1"/>
          <w:left w:val="single" w:sz="4" w:space="0" w:color="16293F" w:themeColor="accent1"/>
          <w:bottom w:val="single" w:sz="4" w:space="0" w:color="16293F" w:themeColor="accent1"/>
          <w:right w:val="single" w:sz="4" w:space="0" w:color="16293F" w:themeColor="accent1"/>
          <w:insideH w:val="nil"/>
          <w:insideV w:val="nil"/>
        </w:tcBorders>
        <w:shd w:val="clear" w:color="auto" w:fill="16293F" w:themeFill="accent1"/>
      </w:tcPr>
    </w:tblStylePr>
    <w:tblStylePr w:type="lastRow">
      <w:rPr>
        <w:b/>
        <w:bCs/>
      </w:rPr>
      <w:tblPr/>
      <w:tcPr>
        <w:tcBorders>
          <w:top w:val="double" w:sz="4" w:space="0" w:color="16293F" w:themeColor="accent1"/>
        </w:tcBorders>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3395FF" w:themeColor="accent2" w:themeTint="99"/>
        <w:left w:val="single" w:sz="4" w:space="0" w:color="3395FF" w:themeColor="accent2" w:themeTint="99"/>
        <w:bottom w:val="single" w:sz="4" w:space="0" w:color="3395FF" w:themeColor="accent2" w:themeTint="99"/>
        <w:right w:val="single" w:sz="4" w:space="0" w:color="3395FF" w:themeColor="accent2" w:themeTint="99"/>
        <w:insideH w:val="single" w:sz="4" w:space="0" w:color="3395FF" w:themeColor="accent2" w:themeTint="99"/>
        <w:insideV w:val="single" w:sz="4" w:space="0" w:color="3395FF" w:themeColor="accent2" w:themeTint="99"/>
      </w:tblBorders>
    </w:tblPr>
    <w:tblStylePr w:type="firstRow">
      <w:rPr>
        <w:b/>
        <w:bCs/>
        <w:color w:val="FFFFFF" w:themeColor="background1"/>
      </w:rPr>
      <w:tblPr/>
      <w:tcPr>
        <w:tcBorders>
          <w:top w:val="single" w:sz="4" w:space="0" w:color="0052AA" w:themeColor="accent2"/>
          <w:left w:val="single" w:sz="4" w:space="0" w:color="0052AA" w:themeColor="accent2"/>
          <w:bottom w:val="single" w:sz="4" w:space="0" w:color="0052AA" w:themeColor="accent2"/>
          <w:right w:val="single" w:sz="4" w:space="0" w:color="0052AA" w:themeColor="accent2"/>
          <w:insideH w:val="nil"/>
          <w:insideV w:val="nil"/>
        </w:tcBorders>
        <w:shd w:val="clear" w:color="auto" w:fill="0052AA" w:themeFill="accent2"/>
      </w:tcPr>
    </w:tblStylePr>
    <w:tblStylePr w:type="lastRow">
      <w:rPr>
        <w:b/>
        <w:bCs/>
      </w:rPr>
      <w:tblPr/>
      <w:tcPr>
        <w:tcBorders>
          <w:top w:val="double" w:sz="4" w:space="0" w:color="0052AA" w:themeColor="accent2"/>
        </w:tcBorders>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78BBFF" w:themeColor="accent3" w:themeTint="99"/>
        <w:left w:val="single" w:sz="4" w:space="0" w:color="78BBFF" w:themeColor="accent3" w:themeTint="99"/>
        <w:bottom w:val="single" w:sz="4" w:space="0" w:color="78BBFF" w:themeColor="accent3" w:themeTint="99"/>
        <w:right w:val="single" w:sz="4" w:space="0" w:color="78BBFF" w:themeColor="accent3" w:themeTint="99"/>
        <w:insideH w:val="single" w:sz="4" w:space="0" w:color="78BBFF" w:themeColor="accent3" w:themeTint="99"/>
        <w:insideV w:val="single" w:sz="4" w:space="0" w:color="78BBFF" w:themeColor="accent3" w:themeTint="99"/>
      </w:tblBorders>
    </w:tblPr>
    <w:tblStylePr w:type="firstRow">
      <w:rPr>
        <w:b/>
        <w:bCs/>
        <w:color w:val="FFFFFF" w:themeColor="background1"/>
      </w:rPr>
      <w:tblPr/>
      <w:tcPr>
        <w:tcBorders>
          <w:top w:val="single" w:sz="4" w:space="0" w:color="1F8FFF" w:themeColor="accent3"/>
          <w:left w:val="single" w:sz="4" w:space="0" w:color="1F8FFF" w:themeColor="accent3"/>
          <w:bottom w:val="single" w:sz="4" w:space="0" w:color="1F8FFF" w:themeColor="accent3"/>
          <w:right w:val="single" w:sz="4" w:space="0" w:color="1F8FFF" w:themeColor="accent3"/>
          <w:insideH w:val="nil"/>
          <w:insideV w:val="nil"/>
        </w:tcBorders>
        <w:shd w:val="clear" w:color="auto" w:fill="1F8FFF" w:themeFill="accent3"/>
      </w:tcPr>
    </w:tblStylePr>
    <w:tblStylePr w:type="lastRow">
      <w:rPr>
        <w:b/>
        <w:bCs/>
      </w:rPr>
      <w:tblPr/>
      <w:tcPr>
        <w:tcBorders>
          <w:top w:val="double" w:sz="4" w:space="0" w:color="1F8FFF" w:themeColor="accent3"/>
        </w:tcBorders>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AFBCCA" w:themeColor="accent4" w:themeTint="99"/>
        <w:left w:val="single" w:sz="4" w:space="0" w:color="AFBCCA" w:themeColor="accent4" w:themeTint="99"/>
        <w:bottom w:val="single" w:sz="4" w:space="0" w:color="AFBCCA" w:themeColor="accent4" w:themeTint="99"/>
        <w:right w:val="single" w:sz="4" w:space="0" w:color="AFBCCA" w:themeColor="accent4" w:themeTint="99"/>
        <w:insideH w:val="single" w:sz="4" w:space="0" w:color="AFBCCA" w:themeColor="accent4" w:themeTint="99"/>
        <w:insideV w:val="single" w:sz="4" w:space="0" w:color="AFBCCA" w:themeColor="accent4" w:themeTint="99"/>
      </w:tblBorders>
    </w:tblPr>
    <w:tblStylePr w:type="firstRow">
      <w:rPr>
        <w:b/>
        <w:bCs/>
        <w:color w:val="FFFFFF" w:themeColor="background1"/>
      </w:rPr>
      <w:tblPr/>
      <w:tcPr>
        <w:tcBorders>
          <w:top w:val="single" w:sz="4" w:space="0" w:color="7B91A7" w:themeColor="accent4"/>
          <w:left w:val="single" w:sz="4" w:space="0" w:color="7B91A7" w:themeColor="accent4"/>
          <w:bottom w:val="single" w:sz="4" w:space="0" w:color="7B91A7" w:themeColor="accent4"/>
          <w:right w:val="single" w:sz="4" w:space="0" w:color="7B91A7" w:themeColor="accent4"/>
          <w:insideH w:val="nil"/>
          <w:insideV w:val="nil"/>
        </w:tcBorders>
        <w:shd w:val="clear" w:color="auto" w:fill="7B91A7" w:themeFill="accent4"/>
      </w:tcPr>
    </w:tblStylePr>
    <w:tblStylePr w:type="lastRow">
      <w:rPr>
        <w:b/>
        <w:bCs/>
      </w:rPr>
      <w:tblPr/>
      <w:tcPr>
        <w:tcBorders>
          <w:top w:val="double" w:sz="4" w:space="0" w:color="7B91A7" w:themeColor="accent4"/>
        </w:tcBorders>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FF3F1B" w:themeColor="accent5" w:themeTint="99"/>
        <w:left w:val="single" w:sz="4" w:space="0" w:color="FF3F1B" w:themeColor="accent5" w:themeTint="99"/>
        <w:bottom w:val="single" w:sz="4" w:space="0" w:color="FF3F1B" w:themeColor="accent5" w:themeTint="99"/>
        <w:right w:val="single" w:sz="4" w:space="0" w:color="FF3F1B" w:themeColor="accent5" w:themeTint="99"/>
        <w:insideH w:val="single" w:sz="4" w:space="0" w:color="FF3F1B" w:themeColor="accent5" w:themeTint="99"/>
        <w:insideV w:val="single" w:sz="4" w:space="0" w:color="FF3F1B" w:themeColor="accent5" w:themeTint="99"/>
      </w:tblBorders>
    </w:tblPr>
    <w:tblStylePr w:type="firstRow">
      <w:rPr>
        <w:b/>
        <w:bCs/>
        <w:color w:val="FFFFFF" w:themeColor="background1"/>
      </w:rPr>
      <w:tblPr/>
      <w:tcPr>
        <w:tcBorders>
          <w:top w:val="single" w:sz="4" w:space="0" w:color="831500" w:themeColor="accent5"/>
          <w:left w:val="single" w:sz="4" w:space="0" w:color="831500" w:themeColor="accent5"/>
          <w:bottom w:val="single" w:sz="4" w:space="0" w:color="831500" w:themeColor="accent5"/>
          <w:right w:val="single" w:sz="4" w:space="0" w:color="831500" w:themeColor="accent5"/>
          <w:insideH w:val="nil"/>
          <w:insideV w:val="nil"/>
        </w:tcBorders>
        <w:shd w:val="clear" w:color="auto" w:fill="831500" w:themeFill="accent5"/>
      </w:tcPr>
    </w:tblStylePr>
    <w:tblStylePr w:type="lastRow">
      <w:rPr>
        <w:b/>
        <w:bCs/>
      </w:rPr>
      <w:tblPr/>
      <w:tcPr>
        <w:tcBorders>
          <w:top w:val="double" w:sz="4" w:space="0" w:color="831500" w:themeColor="accent5"/>
        </w:tcBorders>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FF9CA9" w:themeColor="accent6" w:themeTint="99"/>
        <w:left w:val="single" w:sz="4" w:space="0" w:color="FF9CA9" w:themeColor="accent6" w:themeTint="99"/>
        <w:bottom w:val="single" w:sz="4" w:space="0" w:color="FF9CA9" w:themeColor="accent6" w:themeTint="99"/>
        <w:right w:val="single" w:sz="4" w:space="0" w:color="FF9CA9" w:themeColor="accent6" w:themeTint="99"/>
        <w:insideH w:val="single" w:sz="4" w:space="0" w:color="FF9CA9" w:themeColor="accent6" w:themeTint="99"/>
        <w:insideV w:val="single" w:sz="4" w:space="0" w:color="FF9CA9" w:themeColor="accent6" w:themeTint="99"/>
      </w:tblBorders>
    </w:tblPr>
    <w:tblStylePr w:type="firstRow">
      <w:rPr>
        <w:b/>
        <w:bCs/>
        <w:color w:val="FFFFFF" w:themeColor="background1"/>
      </w:rPr>
      <w:tblPr/>
      <w:tcPr>
        <w:tcBorders>
          <w:top w:val="single" w:sz="4" w:space="0" w:color="FF5B72" w:themeColor="accent6"/>
          <w:left w:val="single" w:sz="4" w:space="0" w:color="FF5B72" w:themeColor="accent6"/>
          <w:bottom w:val="single" w:sz="4" w:space="0" w:color="FF5B72" w:themeColor="accent6"/>
          <w:right w:val="single" w:sz="4" w:space="0" w:color="FF5B72" w:themeColor="accent6"/>
          <w:insideH w:val="nil"/>
          <w:insideV w:val="nil"/>
        </w:tcBorders>
        <w:shd w:val="clear" w:color="auto" w:fill="FF5B72" w:themeFill="accent6"/>
      </w:tcPr>
    </w:tblStylePr>
    <w:tblStylePr w:type="lastRow">
      <w:rPr>
        <w:b/>
        <w:bCs/>
      </w:rPr>
      <w:tblPr/>
      <w:tcPr>
        <w:tcBorders>
          <w:top w:val="double" w:sz="4" w:space="0" w:color="FF5B72" w:themeColor="accent6"/>
        </w:tcBorders>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2E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293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293F"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293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293F" w:themeFill="text1"/>
      </w:tcPr>
    </w:tblStylePr>
    <w:tblStylePr w:type="band1Vert">
      <w:tblPr/>
      <w:tcPr>
        <w:shd w:val="clear" w:color="auto" w:fill="81A6D3" w:themeFill="text1" w:themeFillTint="66"/>
      </w:tcPr>
    </w:tblStylePr>
    <w:tblStylePr w:type="band1Horz">
      <w:tblPr/>
      <w:tcPr>
        <w:shd w:val="clear" w:color="auto" w:fill="81A6D3"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2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29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29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29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293F" w:themeFill="accent1"/>
      </w:tcPr>
    </w:tblStylePr>
    <w:tblStylePr w:type="band1Vert">
      <w:tblPr/>
      <w:tcPr>
        <w:shd w:val="clear" w:color="auto" w:fill="81A6D3" w:themeFill="accent1" w:themeFillTint="66"/>
      </w:tcPr>
    </w:tblStylePr>
    <w:tblStylePr w:type="band1Horz">
      <w:tblPr/>
      <w:tcPr>
        <w:shd w:val="clear" w:color="auto" w:fill="81A6D3"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A" w:themeFill="accent2"/>
      </w:tcPr>
    </w:tblStylePr>
    <w:tblStylePr w:type="band1Vert">
      <w:tblPr/>
      <w:tcPr>
        <w:shd w:val="clear" w:color="auto" w:fill="77B8FF" w:themeFill="accent2" w:themeFillTint="66"/>
      </w:tcPr>
    </w:tblStylePr>
    <w:tblStylePr w:type="band1Horz">
      <w:tblPr/>
      <w:tcPr>
        <w:shd w:val="clear" w:color="auto" w:fill="77B8FF"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8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8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8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8FFF" w:themeFill="accent3"/>
      </w:tcPr>
    </w:tblStylePr>
    <w:tblStylePr w:type="band1Vert">
      <w:tblPr/>
      <w:tcPr>
        <w:shd w:val="clear" w:color="auto" w:fill="A5D1FF" w:themeFill="accent3" w:themeFillTint="66"/>
      </w:tcPr>
    </w:tblStylePr>
    <w:tblStylePr w:type="band1Horz">
      <w:tblPr/>
      <w:tcPr>
        <w:shd w:val="clear" w:color="auto" w:fill="A5D1FF"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91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91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91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91A7" w:themeFill="accent4"/>
      </w:tcPr>
    </w:tblStylePr>
    <w:tblStylePr w:type="band1Vert">
      <w:tblPr/>
      <w:tcPr>
        <w:shd w:val="clear" w:color="auto" w:fill="CAD2DB" w:themeFill="accent4" w:themeFillTint="66"/>
      </w:tcPr>
    </w:tblStylePr>
    <w:tblStylePr w:type="band1Horz">
      <w:tblPr/>
      <w:tcPr>
        <w:shd w:val="clear" w:color="auto" w:fill="CAD2DB"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B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1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1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1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1500" w:themeFill="accent5"/>
      </w:tcPr>
    </w:tblStylePr>
    <w:tblStylePr w:type="band1Vert">
      <w:tblPr/>
      <w:tcPr>
        <w:shd w:val="clear" w:color="auto" w:fill="FF7F67" w:themeFill="accent5" w:themeFillTint="66"/>
      </w:tcPr>
    </w:tblStylePr>
    <w:tblStylePr w:type="band1Horz">
      <w:tblPr/>
      <w:tcPr>
        <w:shd w:val="clear" w:color="auto" w:fill="FF7F6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B7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B7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B7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B72" w:themeFill="accent6"/>
      </w:tcPr>
    </w:tblStylePr>
    <w:tblStylePr w:type="band1Vert">
      <w:tblPr/>
      <w:tcPr>
        <w:shd w:val="clear" w:color="auto" w:fill="FFBDC6" w:themeFill="accent6" w:themeFillTint="66"/>
      </w:tcPr>
    </w:tblStylePr>
    <w:tblStylePr w:type="band1Horz">
      <w:tblPr/>
      <w:tcPr>
        <w:shd w:val="clear" w:color="auto" w:fill="FFBDC6" w:themeFill="accent6" w:themeFillTint="66"/>
      </w:tcPr>
    </w:tblStylePr>
  </w:style>
  <w:style w:type="table" w:styleId="GridTable6Colorful">
    <w:name w:val="Grid Table 6 Colorful"/>
    <w:basedOn w:val="TableNormal"/>
    <w:uiPriority w:val="51"/>
    <w:rsid w:val="00EA4EC2"/>
    <w:pPr>
      <w:spacing w:after="0"/>
    </w:pPr>
    <w:rPr>
      <w:color w:val="16293F" w:themeColor="text1"/>
    </w:rPr>
    <w:tblPr>
      <w:tblStyleRowBandSize w:val="1"/>
      <w:tblStyleColBandSize w:val="1"/>
      <w:tblBorders>
        <w:top w:val="single" w:sz="4" w:space="0" w:color="427ABD" w:themeColor="text1" w:themeTint="99"/>
        <w:left w:val="single" w:sz="4" w:space="0" w:color="427ABD" w:themeColor="text1" w:themeTint="99"/>
        <w:bottom w:val="single" w:sz="4" w:space="0" w:color="427ABD" w:themeColor="text1" w:themeTint="99"/>
        <w:right w:val="single" w:sz="4" w:space="0" w:color="427ABD" w:themeColor="text1" w:themeTint="99"/>
        <w:insideH w:val="single" w:sz="4" w:space="0" w:color="427ABD" w:themeColor="text1" w:themeTint="99"/>
        <w:insideV w:val="single" w:sz="4" w:space="0" w:color="427ABD" w:themeColor="text1" w:themeTint="99"/>
      </w:tblBorders>
    </w:tblPr>
    <w:tblStylePr w:type="firstRow">
      <w:rPr>
        <w:b/>
        <w:bCs/>
      </w:rPr>
      <w:tblPr/>
      <w:tcPr>
        <w:tcBorders>
          <w:bottom w:val="single" w:sz="12" w:space="0" w:color="427ABD" w:themeColor="text1" w:themeTint="99"/>
        </w:tcBorders>
      </w:tcPr>
    </w:tblStylePr>
    <w:tblStylePr w:type="lastRow">
      <w:rPr>
        <w:b/>
        <w:bCs/>
      </w:rPr>
      <w:tblPr/>
      <w:tcPr>
        <w:tcBorders>
          <w:top w:val="double" w:sz="4" w:space="0" w:color="427ABD" w:themeColor="text1" w:themeTint="99"/>
        </w:tcBorders>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GridTable6Colorful-Accent1">
    <w:name w:val="Grid Table 6 Colorful Accent 1"/>
    <w:basedOn w:val="TableNormal"/>
    <w:uiPriority w:val="51"/>
    <w:rsid w:val="00EA4EC2"/>
    <w:pPr>
      <w:spacing w:after="0"/>
    </w:pPr>
    <w:rPr>
      <w:color w:val="101E2F" w:themeColor="accent1" w:themeShade="BF"/>
    </w:rPr>
    <w:tblPr>
      <w:tblStyleRowBandSize w:val="1"/>
      <w:tblStyleColBandSize w:val="1"/>
      <w:tblBorders>
        <w:top w:val="single" w:sz="4" w:space="0" w:color="427ABD" w:themeColor="accent1" w:themeTint="99"/>
        <w:left w:val="single" w:sz="4" w:space="0" w:color="427ABD" w:themeColor="accent1" w:themeTint="99"/>
        <w:bottom w:val="single" w:sz="4" w:space="0" w:color="427ABD" w:themeColor="accent1" w:themeTint="99"/>
        <w:right w:val="single" w:sz="4" w:space="0" w:color="427ABD" w:themeColor="accent1" w:themeTint="99"/>
        <w:insideH w:val="single" w:sz="4" w:space="0" w:color="427ABD" w:themeColor="accent1" w:themeTint="99"/>
        <w:insideV w:val="single" w:sz="4" w:space="0" w:color="427ABD" w:themeColor="accent1" w:themeTint="99"/>
      </w:tblBorders>
    </w:tblPr>
    <w:tblStylePr w:type="firstRow">
      <w:rPr>
        <w:b/>
        <w:bCs/>
      </w:rPr>
      <w:tblPr/>
      <w:tcPr>
        <w:tcBorders>
          <w:bottom w:val="single" w:sz="12" w:space="0" w:color="427ABD" w:themeColor="accent1" w:themeTint="99"/>
        </w:tcBorders>
      </w:tcPr>
    </w:tblStylePr>
    <w:tblStylePr w:type="lastRow">
      <w:rPr>
        <w:b/>
        <w:bCs/>
      </w:rPr>
      <w:tblPr/>
      <w:tcPr>
        <w:tcBorders>
          <w:top w:val="double" w:sz="4" w:space="0" w:color="427ABD" w:themeColor="accent1" w:themeTint="99"/>
        </w:tcBorders>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GridTable6Colorful-Accent2">
    <w:name w:val="Grid Table 6 Colorful Accent 2"/>
    <w:basedOn w:val="TableNormal"/>
    <w:uiPriority w:val="51"/>
    <w:rsid w:val="00EA4EC2"/>
    <w:pPr>
      <w:spacing w:after="0"/>
    </w:pPr>
    <w:rPr>
      <w:color w:val="003D7F" w:themeColor="accent2" w:themeShade="BF"/>
    </w:rPr>
    <w:tblPr>
      <w:tblStyleRowBandSize w:val="1"/>
      <w:tblStyleColBandSize w:val="1"/>
      <w:tblBorders>
        <w:top w:val="single" w:sz="4" w:space="0" w:color="3395FF" w:themeColor="accent2" w:themeTint="99"/>
        <w:left w:val="single" w:sz="4" w:space="0" w:color="3395FF" w:themeColor="accent2" w:themeTint="99"/>
        <w:bottom w:val="single" w:sz="4" w:space="0" w:color="3395FF" w:themeColor="accent2" w:themeTint="99"/>
        <w:right w:val="single" w:sz="4" w:space="0" w:color="3395FF" w:themeColor="accent2" w:themeTint="99"/>
        <w:insideH w:val="single" w:sz="4" w:space="0" w:color="3395FF" w:themeColor="accent2" w:themeTint="99"/>
        <w:insideV w:val="single" w:sz="4" w:space="0" w:color="3395FF" w:themeColor="accent2" w:themeTint="99"/>
      </w:tblBorders>
    </w:tblPr>
    <w:tblStylePr w:type="firstRow">
      <w:rPr>
        <w:b/>
        <w:bCs/>
      </w:rPr>
      <w:tblPr/>
      <w:tcPr>
        <w:tcBorders>
          <w:bottom w:val="single" w:sz="12" w:space="0" w:color="3395FF" w:themeColor="accent2" w:themeTint="99"/>
        </w:tcBorders>
      </w:tcPr>
    </w:tblStylePr>
    <w:tblStylePr w:type="lastRow">
      <w:rPr>
        <w:b/>
        <w:bCs/>
      </w:rPr>
      <w:tblPr/>
      <w:tcPr>
        <w:tcBorders>
          <w:top w:val="double" w:sz="4" w:space="0" w:color="3395FF" w:themeColor="accent2" w:themeTint="99"/>
        </w:tcBorders>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GridTable6Colorful-Accent3">
    <w:name w:val="Grid Table 6 Colorful Accent 3"/>
    <w:basedOn w:val="TableNormal"/>
    <w:uiPriority w:val="51"/>
    <w:rsid w:val="00EA4EC2"/>
    <w:pPr>
      <w:spacing w:after="0"/>
    </w:pPr>
    <w:rPr>
      <w:color w:val="006AD6" w:themeColor="accent3" w:themeShade="BF"/>
    </w:rPr>
    <w:tblPr>
      <w:tblStyleRowBandSize w:val="1"/>
      <w:tblStyleColBandSize w:val="1"/>
      <w:tblBorders>
        <w:top w:val="single" w:sz="4" w:space="0" w:color="78BBFF" w:themeColor="accent3" w:themeTint="99"/>
        <w:left w:val="single" w:sz="4" w:space="0" w:color="78BBFF" w:themeColor="accent3" w:themeTint="99"/>
        <w:bottom w:val="single" w:sz="4" w:space="0" w:color="78BBFF" w:themeColor="accent3" w:themeTint="99"/>
        <w:right w:val="single" w:sz="4" w:space="0" w:color="78BBFF" w:themeColor="accent3" w:themeTint="99"/>
        <w:insideH w:val="single" w:sz="4" w:space="0" w:color="78BBFF" w:themeColor="accent3" w:themeTint="99"/>
        <w:insideV w:val="single" w:sz="4" w:space="0" w:color="78BBFF" w:themeColor="accent3" w:themeTint="99"/>
      </w:tblBorders>
    </w:tblPr>
    <w:tblStylePr w:type="firstRow">
      <w:rPr>
        <w:b/>
        <w:bCs/>
      </w:rPr>
      <w:tblPr/>
      <w:tcPr>
        <w:tcBorders>
          <w:bottom w:val="single" w:sz="12" w:space="0" w:color="78BBFF" w:themeColor="accent3" w:themeTint="99"/>
        </w:tcBorders>
      </w:tcPr>
    </w:tblStylePr>
    <w:tblStylePr w:type="lastRow">
      <w:rPr>
        <w:b/>
        <w:bCs/>
      </w:rPr>
      <w:tblPr/>
      <w:tcPr>
        <w:tcBorders>
          <w:top w:val="double" w:sz="4" w:space="0" w:color="78BBFF" w:themeColor="accent3" w:themeTint="99"/>
        </w:tcBorders>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GridTable6Colorful-Accent4">
    <w:name w:val="Grid Table 6 Colorful Accent 4"/>
    <w:basedOn w:val="TableNormal"/>
    <w:uiPriority w:val="51"/>
    <w:rsid w:val="00EA4EC2"/>
    <w:pPr>
      <w:spacing w:after="0"/>
    </w:pPr>
    <w:rPr>
      <w:color w:val="566C82" w:themeColor="accent4" w:themeShade="BF"/>
    </w:rPr>
    <w:tblPr>
      <w:tblStyleRowBandSize w:val="1"/>
      <w:tblStyleColBandSize w:val="1"/>
      <w:tblBorders>
        <w:top w:val="single" w:sz="4" w:space="0" w:color="AFBCCA" w:themeColor="accent4" w:themeTint="99"/>
        <w:left w:val="single" w:sz="4" w:space="0" w:color="AFBCCA" w:themeColor="accent4" w:themeTint="99"/>
        <w:bottom w:val="single" w:sz="4" w:space="0" w:color="AFBCCA" w:themeColor="accent4" w:themeTint="99"/>
        <w:right w:val="single" w:sz="4" w:space="0" w:color="AFBCCA" w:themeColor="accent4" w:themeTint="99"/>
        <w:insideH w:val="single" w:sz="4" w:space="0" w:color="AFBCCA" w:themeColor="accent4" w:themeTint="99"/>
        <w:insideV w:val="single" w:sz="4" w:space="0" w:color="AFBCCA" w:themeColor="accent4" w:themeTint="99"/>
      </w:tblBorders>
    </w:tblPr>
    <w:tblStylePr w:type="firstRow">
      <w:rPr>
        <w:b/>
        <w:bCs/>
      </w:rPr>
      <w:tblPr/>
      <w:tcPr>
        <w:tcBorders>
          <w:bottom w:val="single" w:sz="12" w:space="0" w:color="AFBCCA" w:themeColor="accent4" w:themeTint="99"/>
        </w:tcBorders>
      </w:tcPr>
    </w:tblStylePr>
    <w:tblStylePr w:type="lastRow">
      <w:rPr>
        <w:b/>
        <w:bCs/>
      </w:rPr>
      <w:tblPr/>
      <w:tcPr>
        <w:tcBorders>
          <w:top w:val="double" w:sz="4" w:space="0" w:color="AFBCCA" w:themeColor="accent4" w:themeTint="99"/>
        </w:tcBorders>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GridTable6Colorful-Accent5">
    <w:name w:val="Grid Table 6 Colorful Accent 5"/>
    <w:basedOn w:val="TableNormal"/>
    <w:uiPriority w:val="51"/>
    <w:rsid w:val="00EA4EC2"/>
    <w:pPr>
      <w:spacing w:after="0"/>
    </w:pPr>
    <w:rPr>
      <w:color w:val="620F00" w:themeColor="accent5" w:themeShade="BF"/>
    </w:rPr>
    <w:tblPr>
      <w:tblStyleRowBandSize w:val="1"/>
      <w:tblStyleColBandSize w:val="1"/>
      <w:tblBorders>
        <w:top w:val="single" w:sz="4" w:space="0" w:color="FF3F1B" w:themeColor="accent5" w:themeTint="99"/>
        <w:left w:val="single" w:sz="4" w:space="0" w:color="FF3F1B" w:themeColor="accent5" w:themeTint="99"/>
        <w:bottom w:val="single" w:sz="4" w:space="0" w:color="FF3F1B" w:themeColor="accent5" w:themeTint="99"/>
        <w:right w:val="single" w:sz="4" w:space="0" w:color="FF3F1B" w:themeColor="accent5" w:themeTint="99"/>
        <w:insideH w:val="single" w:sz="4" w:space="0" w:color="FF3F1B" w:themeColor="accent5" w:themeTint="99"/>
        <w:insideV w:val="single" w:sz="4" w:space="0" w:color="FF3F1B" w:themeColor="accent5" w:themeTint="99"/>
      </w:tblBorders>
    </w:tblPr>
    <w:tblStylePr w:type="firstRow">
      <w:rPr>
        <w:b/>
        <w:bCs/>
      </w:rPr>
      <w:tblPr/>
      <w:tcPr>
        <w:tcBorders>
          <w:bottom w:val="single" w:sz="12" w:space="0" w:color="FF3F1B" w:themeColor="accent5" w:themeTint="99"/>
        </w:tcBorders>
      </w:tcPr>
    </w:tblStylePr>
    <w:tblStylePr w:type="lastRow">
      <w:rPr>
        <w:b/>
        <w:bCs/>
      </w:rPr>
      <w:tblPr/>
      <w:tcPr>
        <w:tcBorders>
          <w:top w:val="double" w:sz="4" w:space="0" w:color="FF3F1B" w:themeColor="accent5" w:themeTint="99"/>
        </w:tcBorders>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GridTable6Colorful-Accent6">
    <w:name w:val="Grid Table 6 Colorful Accent 6"/>
    <w:basedOn w:val="TableNormal"/>
    <w:uiPriority w:val="51"/>
    <w:rsid w:val="00EA4EC2"/>
    <w:pPr>
      <w:spacing w:after="0"/>
    </w:pPr>
    <w:rPr>
      <w:color w:val="FF0426" w:themeColor="accent6" w:themeShade="BF"/>
    </w:rPr>
    <w:tblPr>
      <w:tblStyleRowBandSize w:val="1"/>
      <w:tblStyleColBandSize w:val="1"/>
      <w:tblBorders>
        <w:top w:val="single" w:sz="4" w:space="0" w:color="FF9CA9" w:themeColor="accent6" w:themeTint="99"/>
        <w:left w:val="single" w:sz="4" w:space="0" w:color="FF9CA9" w:themeColor="accent6" w:themeTint="99"/>
        <w:bottom w:val="single" w:sz="4" w:space="0" w:color="FF9CA9" w:themeColor="accent6" w:themeTint="99"/>
        <w:right w:val="single" w:sz="4" w:space="0" w:color="FF9CA9" w:themeColor="accent6" w:themeTint="99"/>
        <w:insideH w:val="single" w:sz="4" w:space="0" w:color="FF9CA9" w:themeColor="accent6" w:themeTint="99"/>
        <w:insideV w:val="single" w:sz="4" w:space="0" w:color="FF9CA9" w:themeColor="accent6" w:themeTint="99"/>
      </w:tblBorders>
    </w:tblPr>
    <w:tblStylePr w:type="firstRow">
      <w:rPr>
        <w:b/>
        <w:bCs/>
      </w:rPr>
      <w:tblPr/>
      <w:tcPr>
        <w:tcBorders>
          <w:bottom w:val="single" w:sz="12" w:space="0" w:color="FF9CA9" w:themeColor="accent6" w:themeTint="99"/>
        </w:tcBorders>
      </w:tcPr>
    </w:tblStylePr>
    <w:tblStylePr w:type="lastRow">
      <w:rPr>
        <w:b/>
        <w:bCs/>
      </w:rPr>
      <w:tblPr/>
      <w:tcPr>
        <w:tcBorders>
          <w:top w:val="double" w:sz="4" w:space="0" w:color="FF9CA9" w:themeColor="accent6" w:themeTint="99"/>
        </w:tcBorders>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GridTable7Colorful">
    <w:name w:val="Grid Table 7 Colorful"/>
    <w:basedOn w:val="TableNormal"/>
    <w:uiPriority w:val="52"/>
    <w:rsid w:val="00EA4EC2"/>
    <w:pPr>
      <w:spacing w:after="0"/>
    </w:pPr>
    <w:rPr>
      <w:color w:val="16293F" w:themeColor="text1"/>
    </w:rPr>
    <w:tblPr>
      <w:tblStyleRowBandSize w:val="1"/>
      <w:tblStyleColBandSize w:val="1"/>
      <w:tblBorders>
        <w:top w:val="single" w:sz="4" w:space="0" w:color="427ABD" w:themeColor="text1" w:themeTint="99"/>
        <w:left w:val="single" w:sz="4" w:space="0" w:color="427ABD" w:themeColor="text1" w:themeTint="99"/>
        <w:bottom w:val="single" w:sz="4" w:space="0" w:color="427ABD" w:themeColor="text1" w:themeTint="99"/>
        <w:right w:val="single" w:sz="4" w:space="0" w:color="427ABD" w:themeColor="text1" w:themeTint="99"/>
        <w:insideH w:val="single" w:sz="4" w:space="0" w:color="427ABD" w:themeColor="text1" w:themeTint="99"/>
        <w:insideV w:val="single" w:sz="4" w:space="0" w:color="427AB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2E9" w:themeFill="text1" w:themeFillTint="33"/>
      </w:tcPr>
    </w:tblStylePr>
    <w:tblStylePr w:type="band1Horz">
      <w:tblPr/>
      <w:tcPr>
        <w:shd w:val="clear" w:color="auto" w:fill="C0D2E9" w:themeFill="text1" w:themeFillTint="33"/>
      </w:tcPr>
    </w:tblStylePr>
    <w:tblStylePr w:type="neCell">
      <w:tblPr/>
      <w:tcPr>
        <w:tcBorders>
          <w:bottom w:val="single" w:sz="4" w:space="0" w:color="427ABD" w:themeColor="text1" w:themeTint="99"/>
        </w:tcBorders>
      </w:tcPr>
    </w:tblStylePr>
    <w:tblStylePr w:type="nwCell">
      <w:tblPr/>
      <w:tcPr>
        <w:tcBorders>
          <w:bottom w:val="single" w:sz="4" w:space="0" w:color="427ABD" w:themeColor="text1" w:themeTint="99"/>
        </w:tcBorders>
      </w:tcPr>
    </w:tblStylePr>
    <w:tblStylePr w:type="seCell">
      <w:tblPr/>
      <w:tcPr>
        <w:tcBorders>
          <w:top w:val="single" w:sz="4" w:space="0" w:color="427ABD" w:themeColor="text1" w:themeTint="99"/>
        </w:tcBorders>
      </w:tcPr>
    </w:tblStylePr>
    <w:tblStylePr w:type="swCell">
      <w:tblPr/>
      <w:tcPr>
        <w:tcBorders>
          <w:top w:val="single" w:sz="4" w:space="0" w:color="427ABD" w:themeColor="text1" w:themeTint="99"/>
        </w:tcBorders>
      </w:tcPr>
    </w:tblStylePr>
  </w:style>
  <w:style w:type="table" w:styleId="GridTable7Colorful-Accent1">
    <w:name w:val="Grid Table 7 Colorful Accent 1"/>
    <w:basedOn w:val="TableNormal"/>
    <w:uiPriority w:val="52"/>
    <w:rsid w:val="00EA4EC2"/>
    <w:pPr>
      <w:spacing w:after="0"/>
    </w:pPr>
    <w:rPr>
      <w:color w:val="101E2F" w:themeColor="accent1" w:themeShade="BF"/>
    </w:rPr>
    <w:tblPr>
      <w:tblStyleRowBandSize w:val="1"/>
      <w:tblStyleColBandSize w:val="1"/>
      <w:tblBorders>
        <w:top w:val="single" w:sz="4" w:space="0" w:color="427ABD" w:themeColor="accent1" w:themeTint="99"/>
        <w:left w:val="single" w:sz="4" w:space="0" w:color="427ABD" w:themeColor="accent1" w:themeTint="99"/>
        <w:bottom w:val="single" w:sz="4" w:space="0" w:color="427ABD" w:themeColor="accent1" w:themeTint="99"/>
        <w:right w:val="single" w:sz="4" w:space="0" w:color="427ABD" w:themeColor="accent1" w:themeTint="99"/>
        <w:insideH w:val="single" w:sz="4" w:space="0" w:color="427ABD" w:themeColor="accent1" w:themeTint="99"/>
        <w:insideV w:val="single" w:sz="4" w:space="0" w:color="427A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2E9" w:themeFill="accent1" w:themeFillTint="33"/>
      </w:tcPr>
    </w:tblStylePr>
    <w:tblStylePr w:type="band1Horz">
      <w:tblPr/>
      <w:tcPr>
        <w:shd w:val="clear" w:color="auto" w:fill="C0D2E9" w:themeFill="accent1" w:themeFillTint="33"/>
      </w:tcPr>
    </w:tblStylePr>
    <w:tblStylePr w:type="neCell">
      <w:tblPr/>
      <w:tcPr>
        <w:tcBorders>
          <w:bottom w:val="single" w:sz="4" w:space="0" w:color="427ABD" w:themeColor="accent1" w:themeTint="99"/>
        </w:tcBorders>
      </w:tcPr>
    </w:tblStylePr>
    <w:tblStylePr w:type="nwCell">
      <w:tblPr/>
      <w:tcPr>
        <w:tcBorders>
          <w:bottom w:val="single" w:sz="4" w:space="0" w:color="427ABD" w:themeColor="accent1" w:themeTint="99"/>
        </w:tcBorders>
      </w:tcPr>
    </w:tblStylePr>
    <w:tblStylePr w:type="seCell">
      <w:tblPr/>
      <w:tcPr>
        <w:tcBorders>
          <w:top w:val="single" w:sz="4" w:space="0" w:color="427ABD" w:themeColor="accent1" w:themeTint="99"/>
        </w:tcBorders>
      </w:tcPr>
    </w:tblStylePr>
    <w:tblStylePr w:type="swCell">
      <w:tblPr/>
      <w:tcPr>
        <w:tcBorders>
          <w:top w:val="single" w:sz="4" w:space="0" w:color="427ABD" w:themeColor="accent1" w:themeTint="99"/>
        </w:tcBorders>
      </w:tcPr>
    </w:tblStylePr>
  </w:style>
  <w:style w:type="table" w:styleId="GridTable7Colorful-Accent2">
    <w:name w:val="Grid Table 7 Colorful Accent 2"/>
    <w:basedOn w:val="TableNormal"/>
    <w:uiPriority w:val="52"/>
    <w:rsid w:val="00EA4EC2"/>
    <w:pPr>
      <w:spacing w:after="0"/>
    </w:pPr>
    <w:rPr>
      <w:color w:val="003D7F" w:themeColor="accent2" w:themeShade="BF"/>
    </w:rPr>
    <w:tblPr>
      <w:tblStyleRowBandSize w:val="1"/>
      <w:tblStyleColBandSize w:val="1"/>
      <w:tblBorders>
        <w:top w:val="single" w:sz="4" w:space="0" w:color="3395FF" w:themeColor="accent2" w:themeTint="99"/>
        <w:left w:val="single" w:sz="4" w:space="0" w:color="3395FF" w:themeColor="accent2" w:themeTint="99"/>
        <w:bottom w:val="single" w:sz="4" w:space="0" w:color="3395FF" w:themeColor="accent2" w:themeTint="99"/>
        <w:right w:val="single" w:sz="4" w:space="0" w:color="3395FF" w:themeColor="accent2" w:themeTint="99"/>
        <w:insideH w:val="single" w:sz="4" w:space="0" w:color="3395FF" w:themeColor="accent2" w:themeTint="99"/>
        <w:insideV w:val="single" w:sz="4" w:space="0" w:color="339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BFF" w:themeFill="accent2" w:themeFillTint="33"/>
      </w:tcPr>
    </w:tblStylePr>
    <w:tblStylePr w:type="band1Horz">
      <w:tblPr/>
      <w:tcPr>
        <w:shd w:val="clear" w:color="auto" w:fill="BBDBFF" w:themeFill="accent2" w:themeFillTint="33"/>
      </w:tcPr>
    </w:tblStylePr>
    <w:tblStylePr w:type="neCell">
      <w:tblPr/>
      <w:tcPr>
        <w:tcBorders>
          <w:bottom w:val="single" w:sz="4" w:space="0" w:color="3395FF" w:themeColor="accent2" w:themeTint="99"/>
        </w:tcBorders>
      </w:tcPr>
    </w:tblStylePr>
    <w:tblStylePr w:type="nwCell">
      <w:tblPr/>
      <w:tcPr>
        <w:tcBorders>
          <w:bottom w:val="single" w:sz="4" w:space="0" w:color="3395FF" w:themeColor="accent2" w:themeTint="99"/>
        </w:tcBorders>
      </w:tcPr>
    </w:tblStylePr>
    <w:tblStylePr w:type="seCell">
      <w:tblPr/>
      <w:tcPr>
        <w:tcBorders>
          <w:top w:val="single" w:sz="4" w:space="0" w:color="3395FF" w:themeColor="accent2" w:themeTint="99"/>
        </w:tcBorders>
      </w:tcPr>
    </w:tblStylePr>
    <w:tblStylePr w:type="swCell">
      <w:tblPr/>
      <w:tcPr>
        <w:tcBorders>
          <w:top w:val="single" w:sz="4" w:space="0" w:color="3395FF" w:themeColor="accent2" w:themeTint="99"/>
        </w:tcBorders>
      </w:tcPr>
    </w:tblStylePr>
  </w:style>
  <w:style w:type="table" w:styleId="GridTable7Colorful-Accent3">
    <w:name w:val="Grid Table 7 Colorful Accent 3"/>
    <w:basedOn w:val="TableNormal"/>
    <w:uiPriority w:val="52"/>
    <w:rsid w:val="00EA4EC2"/>
    <w:pPr>
      <w:spacing w:after="0"/>
    </w:pPr>
    <w:rPr>
      <w:color w:val="006AD6" w:themeColor="accent3" w:themeShade="BF"/>
    </w:rPr>
    <w:tblPr>
      <w:tblStyleRowBandSize w:val="1"/>
      <w:tblStyleColBandSize w:val="1"/>
      <w:tblBorders>
        <w:top w:val="single" w:sz="4" w:space="0" w:color="78BBFF" w:themeColor="accent3" w:themeTint="99"/>
        <w:left w:val="single" w:sz="4" w:space="0" w:color="78BBFF" w:themeColor="accent3" w:themeTint="99"/>
        <w:bottom w:val="single" w:sz="4" w:space="0" w:color="78BBFF" w:themeColor="accent3" w:themeTint="99"/>
        <w:right w:val="single" w:sz="4" w:space="0" w:color="78BBFF" w:themeColor="accent3" w:themeTint="99"/>
        <w:insideH w:val="single" w:sz="4" w:space="0" w:color="78BBFF" w:themeColor="accent3" w:themeTint="99"/>
        <w:insideV w:val="single" w:sz="4" w:space="0" w:color="78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8FF" w:themeFill="accent3" w:themeFillTint="33"/>
      </w:tcPr>
    </w:tblStylePr>
    <w:tblStylePr w:type="band1Horz">
      <w:tblPr/>
      <w:tcPr>
        <w:shd w:val="clear" w:color="auto" w:fill="D2E8FF" w:themeFill="accent3" w:themeFillTint="33"/>
      </w:tcPr>
    </w:tblStylePr>
    <w:tblStylePr w:type="neCell">
      <w:tblPr/>
      <w:tcPr>
        <w:tcBorders>
          <w:bottom w:val="single" w:sz="4" w:space="0" w:color="78BBFF" w:themeColor="accent3" w:themeTint="99"/>
        </w:tcBorders>
      </w:tcPr>
    </w:tblStylePr>
    <w:tblStylePr w:type="nwCell">
      <w:tblPr/>
      <w:tcPr>
        <w:tcBorders>
          <w:bottom w:val="single" w:sz="4" w:space="0" w:color="78BBFF" w:themeColor="accent3" w:themeTint="99"/>
        </w:tcBorders>
      </w:tcPr>
    </w:tblStylePr>
    <w:tblStylePr w:type="seCell">
      <w:tblPr/>
      <w:tcPr>
        <w:tcBorders>
          <w:top w:val="single" w:sz="4" w:space="0" w:color="78BBFF" w:themeColor="accent3" w:themeTint="99"/>
        </w:tcBorders>
      </w:tcPr>
    </w:tblStylePr>
    <w:tblStylePr w:type="swCell">
      <w:tblPr/>
      <w:tcPr>
        <w:tcBorders>
          <w:top w:val="single" w:sz="4" w:space="0" w:color="78BBFF" w:themeColor="accent3" w:themeTint="99"/>
        </w:tcBorders>
      </w:tcPr>
    </w:tblStylePr>
  </w:style>
  <w:style w:type="table" w:styleId="GridTable7Colorful-Accent4">
    <w:name w:val="Grid Table 7 Colorful Accent 4"/>
    <w:basedOn w:val="TableNormal"/>
    <w:uiPriority w:val="52"/>
    <w:rsid w:val="00EA4EC2"/>
    <w:pPr>
      <w:spacing w:after="0"/>
    </w:pPr>
    <w:rPr>
      <w:color w:val="566C82" w:themeColor="accent4" w:themeShade="BF"/>
    </w:rPr>
    <w:tblPr>
      <w:tblStyleRowBandSize w:val="1"/>
      <w:tblStyleColBandSize w:val="1"/>
      <w:tblBorders>
        <w:top w:val="single" w:sz="4" w:space="0" w:color="AFBCCA" w:themeColor="accent4" w:themeTint="99"/>
        <w:left w:val="single" w:sz="4" w:space="0" w:color="AFBCCA" w:themeColor="accent4" w:themeTint="99"/>
        <w:bottom w:val="single" w:sz="4" w:space="0" w:color="AFBCCA" w:themeColor="accent4" w:themeTint="99"/>
        <w:right w:val="single" w:sz="4" w:space="0" w:color="AFBCCA" w:themeColor="accent4" w:themeTint="99"/>
        <w:insideH w:val="single" w:sz="4" w:space="0" w:color="AFBCCA" w:themeColor="accent4" w:themeTint="99"/>
        <w:insideV w:val="single" w:sz="4" w:space="0" w:color="AFBC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8ED" w:themeFill="accent4" w:themeFillTint="33"/>
      </w:tcPr>
    </w:tblStylePr>
    <w:tblStylePr w:type="band1Horz">
      <w:tblPr/>
      <w:tcPr>
        <w:shd w:val="clear" w:color="auto" w:fill="E4E8ED" w:themeFill="accent4" w:themeFillTint="33"/>
      </w:tcPr>
    </w:tblStylePr>
    <w:tblStylePr w:type="neCell">
      <w:tblPr/>
      <w:tcPr>
        <w:tcBorders>
          <w:bottom w:val="single" w:sz="4" w:space="0" w:color="AFBCCA" w:themeColor="accent4" w:themeTint="99"/>
        </w:tcBorders>
      </w:tcPr>
    </w:tblStylePr>
    <w:tblStylePr w:type="nwCell">
      <w:tblPr/>
      <w:tcPr>
        <w:tcBorders>
          <w:bottom w:val="single" w:sz="4" w:space="0" w:color="AFBCCA" w:themeColor="accent4" w:themeTint="99"/>
        </w:tcBorders>
      </w:tcPr>
    </w:tblStylePr>
    <w:tblStylePr w:type="seCell">
      <w:tblPr/>
      <w:tcPr>
        <w:tcBorders>
          <w:top w:val="single" w:sz="4" w:space="0" w:color="AFBCCA" w:themeColor="accent4" w:themeTint="99"/>
        </w:tcBorders>
      </w:tcPr>
    </w:tblStylePr>
    <w:tblStylePr w:type="swCell">
      <w:tblPr/>
      <w:tcPr>
        <w:tcBorders>
          <w:top w:val="single" w:sz="4" w:space="0" w:color="AFBCCA" w:themeColor="accent4" w:themeTint="99"/>
        </w:tcBorders>
      </w:tcPr>
    </w:tblStylePr>
  </w:style>
  <w:style w:type="table" w:styleId="GridTable7Colorful-Accent5">
    <w:name w:val="Grid Table 7 Colorful Accent 5"/>
    <w:basedOn w:val="TableNormal"/>
    <w:uiPriority w:val="52"/>
    <w:rsid w:val="00EA4EC2"/>
    <w:pPr>
      <w:spacing w:after="0"/>
    </w:pPr>
    <w:rPr>
      <w:color w:val="620F00" w:themeColor="accent5" w:themeShade="BF"/>
    </w:rPr>
    <w:tblPr>
      <w:tblStyleRowBandSize w:val="1"/>
      <w:tblStyleColBandSize w:val="1"/>
      <w:tblBorders>
        <w:top w:val="single" w:sz="4" w:space="0" w:color="FF3F1B" w:themeColor="accent5" w:themeTint="99"/>
        <w:left w:val="single" w:sz="4" w:space="0" w:color="FF3F1B" w:themeColor="accent5" w:themeTint="99"/>
        <w:bottom w:val="single" w:sz="4" w:space="0" w:color="FF3F1B" w:themeColor="accent5" w:themeTint="99"/>
        <w:right w:val="single" w:sz="4" w:space="0" w:color="FF3F1B" w:themeColor="accent5" w:themeTint="99"/>
        <w:insideH w:val="single" w:sz="4" w:space="0" w:color="FF3F1B" w:themeColor="accent5" w:themeTint="99"/>
        <w:insideV w:val="single" w:sz="4" w:space="0" w:color="FF3F1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B3" w:themeFill="accent5" w:themeFillTint="33"/>
      </w:tcPr>
    </w:tblStylePr>
    <w:tblStylePr w:type="band1Horz">
      <w:tblPr/>
      <w:tcPr>
        <w:shd w:val="clear" w:color="auto" w:fill="FFBEB3" w:themeFill="accent5" w:themeFillTint="33"/>
      </w:tcPr>
    </w:tblStylePr>
    <w:tblStylePr w:type="neCell">
      <w:tblPr/>
      <w:tcPr>
        <w:tcBorders>
          <w:bottom w:val="single" w:sz="4" w:space="0" w:color="FF3F1B" w:themeColor="accent5" w:themeTint="99"/>
        </w:tcBorders>
      </w:tcPr>
    </w:tblStylePr>
    <w:tblStylePr w:type="nwCell">
      <w:tblPr/>
      <w:tcPr>
        <w:tcBorders>
          <w:bottom w:val="single" w:sz="4" w:space="0" w:color="FF3F1B" w:themeColor="accent5" w:themeTint="99"/>
        </w:tcBorders>
      </w:tcPr>
    </w:tblStylePr>
    <w:tblStylePr w:type="seCell">
      <w:tblPr/>
      <w:tcPr>
        <w:tcBorders>
          <w:top w:val="single" w:sz="4" w:space="0" w:color="FF3F1B" w:themeColor="accent5" w:themeTint="99"/>
        </w:tcBorders>
      </w:tcPr>
    </w:tblStylePr>
    <w:tblStylePr w:type="swCell">
      <w:tblPr/>
      <w:tcPr>
        <w:tcBorders>
          <w:top w:val="single" w:sz="4" w:space="0" w:color="FF3F1B" w:themeColor="accent5" w:themeTint="99"/>
        </w:tcBorders>
      </w:tcPr>
    </w:tblStylePr>
  </w:style>
  <w:style w:type="table" w:styleId="GridTable7Colorful-Accent6">
    <w:name w:val="Grid Table 7 Colorful Accent 6"/>
    <w:basedOn w:val="TableNormal"/>
    <w:uiPriority w:val="52"/>
    <w:rsid w:val="00EA4EC2"/>
    <w:pPr>
      <w:spacing w:after="0"/>
    </w:pPr>
    <w:rPr>
      <w:color w:val="FF0426" w:themeColor="accent6" w:themeShade="BF"/>
    </w:rPr>
    <w:tblPr>
      <w:tblStyleRowBandSize w:val="1"/>
      <w:tblStyleColBandSize w:val="1"/>
      <w:tblBorders>
        <w:top w:val="single" w:sz="4" w:space="0" w:color="FF9CA9" w:themeColor="accent6" w:themeTint="99"/>
        <w:left w:val="single" w:sz="4" w:space="0" w:color="FF9CA9" w:themeColor="accent6" w:themeTint="99"/>
        <w:bottom w:val="single" w:sz="4" w:space="0" w:color="FF9CA9" w:themeColor="accent6" w:themeTint="99"/>
        <w:right w:val="single" w:sz="4" w:space="0" w:color="FF9CA9" w:themeColor="accent6" w:themeTint="99"/>
        <w:insideH w:val="single" w:sz="4" w:space="0" w:color="FF9CA9" w:themeColor="accent6" w:themeTint="99"/>
        <w:insideV w:val="single" w:sz="4" w:space="0" w:color="FF9CA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E2" w:themeFill="accent6" w:themeFillTint="33"/>
      </w:tcPr>
    </w:tblStylePr>
    <w:tblStylePr w:type="band1Horz">
      <w:tblPr/>
      <w:tcPr>
        <w:shd w:val="clear" w:color="auto" w:fill="FFDEE2" w:themeFill="accent6" w:themeFillTint="33"/>
      </w:tcPr>
    </w:tblStylePr>
    <w:tblStylePr w:type="neCell">
      <w:tblPr/>
      <w:tcPr>
        <w:tcBorders>
          <w:bottom w:val="single" w:sz="4" w:space="0" w:color="FF9CA9" w:themeColor="accent6" w:themeTint="99"/>
        </w:tcBorders>
      </w:tcPr>
    </w:tblStylePr>
    <w:tblStylePr w:type="nwCell">
      <w:tblPr/>
      <w:tcPr>
        <w:tcBorders>
          <w:bottom w:val="single" w:sz="4" w:space="0" w:color="FF9CA9" w:themeColor="accent6" w:themeTint="99"/>
        </w:tcBorders>
      </w:tcPr>
    </w:tblStylePr>
    <w:tblStylePr w:type="seCell">
      <w:tblPr/>
      <w:tcPr>
        <w:tcBorders>
          <w:top w:val="single" w:sz="4" w:space="0" w:color="FF9CA9" w:themeColor="accent6" w:themeTint="99"/>
        </w:tcBorders>
      </w:tcPr>
    </w:tblStylePr>
    <w:tblStylePr w:type="swCell">
      <w:tblPr/>
      <w:tcPr>
        <w:tcBorders>
          <w:top w:val="single" w:sz="4" w:space="0" w:color="FF9CA9"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0B141F"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0B141F"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0B141F"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0B141F"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6486F"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6486F"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unhideWhenUsed/>
    <w:rsid w:val="004C3D0F"/>
    <w:rPr>
      <w:rFonts w:ascii="Source Sans Pro" w:hAnsi="Source Sans Pro"/>
      <w:color w:val="0052AA" w:themeColor="accent2"/>
      <w:u w:val="non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0B141F"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16293F" w:themeColor="text1"/>
        <w:left w:val="single" w:sz="8" w:space="0" w:color="16293F" w:themeColor="text1"/>
        <w:bottom w:val="single" w:sz="8" w:space="0" w:color="16293F" w:themeColor="text1"/>
        <w:right w:val="single" w:sz="8" w:space="0" w:color="16293F" w:themeColor="text1"/>
        <w:insideH w:val="single" w:sz="8" w:space="0" w:color="16293F" w:themeColor="text1"/>
        <w:insideV w:val="single" w:sz="8" w:space="0" w:color="16293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293F" w:themeColor="text1"/>
          <w:left w:val="single" w:sz="8" w:space="0" w:color="16293F" w:themeColor="text1"/>
          <w:bottom w:val="single" w:sz="18" w:space="0" w:color="16293F" w:themeColor="text1"/>
          <w:right w:val="single" w:sz="8" w:space="0" w:color="16293F" w:themeColor="text1"/>
          <w:insideH w:val="nil"/>
          <w:insideV w:val="single" w:sz="8" w:space="0" w:color="16293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293F" w:themeColor="text1"/>
          <w:left w:val="single" w:sz="8" w:space="0" w:color="16293F" w:themeColor="text1"/>
          <w:bottom w:val="single" w:sz="8" w:space="0" w:color="16293F" w:themeColor="text1"/>
          <w:right w:val="single" w:sz="8" w:space="0" w:color="16293F" w:themeColor="text1"/>
          <w:insideH w:val="nil"/>
          <w:insideV w:val="single" w:sz="8" w:space="0" w:color="16293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293F" w:themeColor="text1"/>
          <w:left w:val="single" w:sz="8" w:space="0" w:color="16293F" w:themeColor="text1"/>
          <w:bottom w:val="single" w:sz="8" w:space="0" w:color="16293F" w:themeColor="text1"/>
          <w:right w:val="single" w:sz="8" w:space="0" w:color="16293F" w:themeColor="text1"/>
        </w:tcBorders>
      </w:tcPr>
    </w:tblStylePr>
    <w:tblStylePr w:type="band1Vert">
      <w:tblPr/>
      <w:tcPr>
        <w:tcBorders>
          <w:top w:val="single" w:sz="8" w:space="0" w:color="16293F" w:themeColor="text1"/>
          <w:left w:val="single" w:sz="8" w:space="0" w:color="16293F" w:themeColor="text1"/>
          <w:bottom w:val="single" w:sz="8" w:space="0" w:color="16293F" w:themeColor="text1"/>
          <w:right w:val="single" w:sz="8" w:space="0" w:color="16293F" w:themeColor="text1"/>
        </w:tcBorders>
        <w:shd w:val="clear" w:color="auto" w:fill="B1C8E3" w:themeFill="text1" w:themeFillTint="3F"/>
      </w:tcPr>
    </w:tblStylePr>
    <w:tblStylePr w:type="band1Horz">
      <w:tblPr/>
      <w:tcPr>
        <w:tcBorders>
          <w:top w:val="single" w:sz="8" w:space="0" w:color="16293F" w:themeColor="text1"/>
          <w:left w:val="single" w:sz="8" w:space="0" w:color="16293F" w:themeColor="text1"/>
          <w:bottom w:val="single" w:sz="8" w:space="0" w:color="16293F" w:themeColor="text1"/>
          <w:right w:val="single" w:sz="8" w:space="0" w:color="16293F" w:themeColor="text1"/>
          <w:insideV w:val="single" w:sz="8" w:space="0" w:color="16293F" w:themeColor="text1"/>
        </w:tcBorders>
        <w:shd w:val="clear" w:color="auto" w:fill="B1C8E3" w:themeFill="text1" w:themeFillTint="3F"/>
      </w:tcPr>
    </w:tblStylePr>
    <w:tblStylePr w:type="band2Horz">
      <w:tblPr/>
      <w:tcPr>
        <w:tcBorders>
          <w:top w:val="single" w:sz="8" w:space="0" w:color="16293F" w:themeColor="text1"/>
          <w:left w:val="single" w:sz="8" w:space="0" w:color="16293F" w:themeColor="text1"/>
          <w:bottom w:val="single" w:sz="8" w:space="0" w:color="16293F" w:themeColor="text1"/>
          <w:right w:val="single" w:sz="8" w:space="0" w:color="16293F" w:themeColor="text1"/>
          <w:insideV w:val="single" w:sz="8" w:space="0" w:color="16293F"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16293F" w:themeColor="accent1"/>
        <w:left w:val="single" w:sz="8" w:space="0" w:color="16293F" w:themeColor="accent1"/>
        <w:bottom w:val="single" w:sz="8" w:space="0" w:color="16293F" w:themeColor="accent1"/>
        <w:right w:val="single" w:sz="8" w:space="0" w:color="16293F" w:themeColor="accent1"/>
        <w:insideH w:val="single" w:sz="8" w:space="0" w:color="16293F" w:themeColor="accent1"/>
        <w:insideV w:val="single" w:sz="8" w:space="0" w:color="1629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293F" w:themeColor="accent1"/>
          <w:left w:val="single" w:sz="8" w:space="0" w:color="16293F" w:themeColor="accent1"/>
          <w:bottom w:val="single" w:sz="18" w:space="0" w:color="16293F" w:themeColor="accent1"/>
          <w:right w:val="single" w:sz="8" w:space="0" w:color="16293F" w:themeColor="accent1"/>
          <w:insideH w:val="nil"/>
          <w:insideV w:val="single" w:sz="8" w:space="0" w:color="1629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293F" w:themeColor="accent1"/>
          <w:left w:val="single" w:sz="8" w:space="0" w:color="16293F" w:themeColor="accent1"/>
          <w:bottom w:val="single" w:sz="8" w:space="0" w:color="16293F" w:themeColor="accent1"/>
          <w:right w:val="single" w:sz="8" w:space="0" w:color="16293F" w:themeColor="accent1"/>
          <w:insideH w:val="nil"/>
          <w:insideV w:val="single" w:sz="8" w:space="0" w:color="1629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293F" w:themeColor="accent1"/>
          <w:left w:val="single" w:sz="8" w:space="0" w:color="16293F" w:themeColor="accent1"/>
          <w:bottom w:val="single" w:sz="8" w:space="0" w:color="16293F" w:themeColor="accent1"/>
          <w:right w:val="single" w:sz="8" w:space="0" w:color="16293F" w:themeColor="accent1"/>
        </w:tcBorders>
      </w:tcPr>
    </w:tblStylePr>
    <w:tblStylePr w:type="band1Vert">
      <w:tblPr/>
      <w:tcPr>
        <w:tcBorders>
          <w:top w:val="single" w:sz="8" w:space="0" w:color="16293F" w:themeColor="accent1"/>
          <w:left w:val="single" w:sz="8" w:space="0" w:color="16293F" w:themeColor="accent1"/>
          <w:bottom w:val="single" w:sz="8" w:space="0" w:color="16293F" w:themeColor="accent1"/>
          <w:right w:val="single" w:sz="8" w:space="0" w:color="16293F" w:themeColor="accent1"/>
        </w:tcBorders>
        <w:shd w:val="clear" w:color="auto" w:fill="B1C8E3" w:themeFill="accent1" w:themeFillTint="3F"/>
      </w:tcPr>
    </w:tblStylePr>
    <w:tblStylePr w:type="band1Horz">
      <w:tblPr/>
      <w:tcPr>
        <w:tcBorders>
          <w:top w:val="single" w:sz="8" w:space="0" w:color="16293F" w:themeColor="accent1"/>
          <w:left w:val="single" w:sz="8" w:space="0" w:color="16293F" w:themeColor="accent1"/>
          <w:bottom w:val="single" w:sz="8" w:space="0" w:color="16293F" w:themeColor="accent1"/>
          <w:right w:val="single" w:sz="8" w:space="0" w:color="16293F" w:themeColor="accent1"/>
          <w:insideV w:val="single" w:sz="8" w:space="0" w:color="16293F" w:themeColor="accent1"/>
        </w:tcBorders>
        <w:shd w:val="clear" w:color="auto" w:fill="B1C8E3" w:themeFill="accent1" w:themeFillTint="3F"/>
      </w:tcPr>
    </w:tblStylePr>
    <w:tblStylePr w:type="band2Horz">
      <w:tblPr/>
      <w:tcPr>
        <w:tcBorders>
          <w:top w:val="single" w:sz="8" w:space="0" w:color="16293F" w:themeColor="accent1"/>
          <w:left w:val="single" w:sz="8" w:space="0" w:color="16293F" w:themeColor="accent1"/>
          <w:bottom w:val="single" w:sz="8" w:space="0" w:color="16293F" w:themeColor="accent1"/>
          <w:right w:val="single" w:sz="8" w:space="0" w:color="16293F" w:themeColor="accent1"/>
          <w:insideV w:val="single" w:sz="8" w:space="0" w:color="16293F"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0052AA" w:themeColor="accent2"/>
        <w:left w:val="single" w:sz="8" w:space="0" w:color="0052AA" w:themeColor="accent2"/>
        <w:bottom w:val="single" w:sz="8" w:space="0" w:color="0052AA" w:themeColor="accent2"/>
        <w:right w:val="single" w:sz="8" w:space="0" w:color="0052AA" w:themeColor="accent2"/>
        <w:insideH w:val="single" w:sz="8" w:space="0" w:color="0052AA" w:themeColor="accent2"/>
        <w:insideV w:val="single" w:sz="8" w:space="0" w:color="0052A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A" w:themeColor="accent2"/>
          <w:left w:val="single" w:sz="8" w:space="0" w:color="0052AA" w:themeColor="accent2"/>
          <w:bottom w:val="single" w:sz="18" w:space="0" w:color="0052AA" w:themeColor="accent2"/>
          <w:right w:val="single" w:sz="8" w:space="0" w:color="0052AA" w:themeColor="accent2"/>
          <w:insideH w:val="nil"/>
          <w:insideV w:val="single" w:sz="8" w:space="0" w:color="0052A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A" w:themeColor="accent2"/>
          <w:left w:val="single" w:sz="8" w:space="0" w:color="0052AA" w:themeColor="accent2"/>
          <w:bottom w:val="single" w:sz="8" w:space="0" w:color="0052AA" w:themeColor="accent2"/>
          <w:right w:val="single" w:sz="8" w:space="0" w:color="0052AA" w:themeColor="accent2"/>
          <w:insideH w:val="nil"/>
          <w:insideV w:val="single" w:sz="8" w:space="0" w:color="0052A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A" w:themeColor="accent2"/>
          <w:left w:val="single" w:sz="8" w:space="0" w:color="0052AA" w:themeColor="accent2"/>
          <w:bottom w:val="single" w:sz="8" w:space="0" w:color="0052AA" w:themeColor="accent2"/>
          <w:right w:val="single" w:sz="8" w:space="0" w:color="0052AA" w:themeColor="accent2"/>
        </w:tcBorders>
      </w:tcPr>
    </w:tblStylePr>
    <w:tblStylePr w:type="band1Vert">
      <w:tblPr/>
      <w:tcPr>
        <w:tcBorders>
          <w:top w:val="single" w:sz="8" w:space="0" w:color="0052AA" w:themeColor="accent2"/>
          <w:left w:val="single" w:sz="8" w:space="0" w:color="0052AA" w:themeColor="accent2"/>
          <w:bottom w:val="single" w:sz="8" w:space="0" w:color="0052AA" w:themeColor="accent2"/>
          <w:right w:val="single" w:sz="8" w:space="0" w:color="0052AA" w:themeColor="accent2"/>
        </w:tcBorders>
        <w:shd w:val="clear" w:color="auto" w:fill="ABD3FF" w:themeFill="accent2" w:themeFillTint="3F"/>
      </w:tcPr>
    </w:tblStylePr>
    <w:tblStylePr w:type="band1Horz">
      <w:tblPr/>
      <w:tcPr>
        <w:tcBorders>
          <w:top w:val="single" w:sz="8" w:space="0" w:color="0052AA" w:themeColor="accent2"/>
          <w:left w:val="single" w:sz="8" w:space="0" w:color="0052AA" w:themeColor="accent2"/>
          <w:bottom w:val="single" w:sz="8" w:space="0" w:color="0052AA" w:themeColor="accent2"/>
          <w:right w:val="single" w:sz="8" w:space="0" w:color="0052AA" w:themeColor="accent2"/>
          <w:insideV w:val="single" w:sz="8" w:space="0" w:color="0052AA" w:themeColor="accent2"/>
        </w:tcBorders>
        <w:shd w:val="clear" w:color="auto" w:fill="ABD3FF" w:themeFill="accent2" w:themeFillTint="3F"/>
      </w:tcPr>
    </w:tblStylePr>
    <w:tblStylePr w:type="band2Horz">
      <w:tblPr/>
      <w:tcPr>
        <w:tcBorders>
          <w:top w:val="single" w:sz="8" w:space="0" w:color="0052AA" w:themeColor="accent2"/>
          <w:left w:val="single" w:sz="8" w:space="0" w:color="0052AA" w:themeColor="accent2"/>
          <w:bottom w:val="single" w:sz="8" w:space="0" w:color="0052AA" w:themeColor="accent2"/>
          <w:right w:val="single" w:sz="8" w:space="0" w:color="0052AA" w:themeColor="accent2"/>
          <w:insideV w:val="single" w:sz="8" w:space="0" w:color="0052AA"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1F8FFF" w:themeColor="accent3"/>
        <w:left w:val="single" w:sz="8" w:space="0" w:color="1F8FFF" w:themeColor="accent3"/>
        <w:bottom w:val="single" w:sz="8" w:space="0" w:color="1F8FFF" w:themeColor="accent3"/>
        <w:right w:val="single" w:sz="8" w:space="0" w:color="1F8FFF" w:themeColor="accent3"/>
        <w:insideH w:val="single" w:sz="8" w:space="0" w:color="1F8FFF" w:themeColor="accent3"/>
        <w:insideV w:val="single" w:sz="8" w:space="0" w:color="1F8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8FFF" w:themeColor="accent3"/>
          <w:left w:val="single" w:sz="8" w:space="0" w:color="1F8FFF" w:themeColor="accent3"/>
          <w:bottom w:val="single" w:sz="18" w:space="0" w:color="1F8FFF" w:themeColor="accent3"/>
          <w:right w:val="single" w:sz="8" w:space="0" w:color="1F8FFF" w:themeColor="accent3"/>
          <w:insideH w:val="nil"/>
          <w:insideV w:val="single" w:sz="8" w:space="0" w:color="1F8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8FFF" w:themeColor="accent3"/>
          <w:left w:val="single" w:sz="8" w:space="0" w:color="1F8FFF" w:themeColor="accent3"/>
          <w:bottom w:val="single" w:sz="8" w:space="0" w:color="1F8FFF" w:themeColor="accent3"/>
          <w:right w:val="single" w:sz="8" w:space="0" w:color="1F8FFF" w:themeColor="accent3"/>
          <w:insideH w:val="nil"/>
          <w:insideV w:val="single" w:sz="8" w:space="0" w:color="1F8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8FFF" w:themeColor="accent3"/>
          <w:left w:val="single" w:sz="8" w:space="0" w:color="1F8FFF" w:themeColor="accent3"/>
          <w:bottom w:val="single" w:sz="8" w:space="0" w:color="1F8FFF" w:themeColor="accent3"/>
          <w:right w:val="single" w:sz="8" w:space="0" w:color="1F8FFF" w:themeColor="accent3"/>
        </w:tcBorders>
      </w:tcPr>
    </w:tblStylePr>
    <w:tblStylePr w:type="band1Vert">
      <w:tblPr/>
      <w:tcPr>
        <w:tcBorders>
          <w:top w:val="single" w:sz="8" w:space="0" w:color="1F8FFF" w:themeColor="accent3"/>
          <w:left w:val="single" w:sz="8" w:space="0" w:color="1F8FFF" w:themeColor="accent3"/>
          <w:bottom w:val="single" w:sz="8" w:space="0" w:color="1F8FFF" w:themeColor="accent3"/>
          <w:right w:val="single" w:sz="8" w:space="0" w:color="1F8FFF" w:themeColor="accent3"/>
        </w:tcBorders>
        <w:shd w:val="clear" w:color="auto" w:fill="C7E3FF" w:themeFill="accent3" w:themeFillTint="3F"/>
      </w:tcPr>
    </w:tblStylePr>
    <w:tblStylePr w:type="band1Horz">
      <w:tblPr/>
      <w:tcPr>
        <w:tcBorders>
          <w:top w:val="single" w:sz="8" w:space="0" w:color="1F8FFF" w:themeColor="accent3"/>
          <w:left w:val="single" w:sz="8" w:space="0" w:color="1F8FFF" w:themeColor="accent3"/>
          <w:bottom w:val="single" w:sz="8" w:space="0" w:color="1F8FFF" w:themeColor="accent3"/>
          <w:right w:val="single" w:sz="8" w:space="0" w:color="1F8FFF" w:themeColor="accent3"/>
          <w:insideV w:val="single" w:sz="8" w:space="0" w:color="1F8FFF" w:themeColor="accent3"/>
        </w:tcBorders>
        <w:shd w:val="clear" w:color="auto" w:fill="C7E3FF" w:themeFill="accent3" w:themeFillTint="3F"/>
      </w:tcPr>
    </w:tblStylePr>
    <w:tblStylePr w:type="band2Horz">
      <w:tblPr/>
      <w:tcPr>
        <w:tcBorders>
          <w:top w:val="single" w:sz="8" w:space="0" w:color="1F8FFF" w:themeColor="accent3"/>
          <w:left w:val="single" w:sz="8" w:space="0" w:color="1F8FFF" w:themeColor="accent3"/>
          <w:bottom w:val="single" w:sz="8" w:space="0" w:color="1F8FFF" w:themeColor="accent3"/>
          <w:right w:val="single" w:sz="8" w:space="0" w:color="1F8FFF" w:themeColor="accent3"/>
          <w:insideV w:val="single" w:sz="8" w:space="0" w:color="1F8FFF"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7B91A7" w:themeColor="accent4"/>
        <w:left w:val="single" w:sz="8" w:space="0" w:color="7B91A7" w:themeColor="accent4"/>
        <w:bottom w:val="single" w:sz="8" w:space="0" w:color="7B91A7" w:themeColor="accent4"/>
        <w:right w:val="single" w:sz="8" w:space="0" w:color="7B91A7" w:themeColor="accent4"/>
        <w:insideH w:val="single" w:sz="8" w:space="0" w:color="7B91A7" w:themeColor="accent4"/>
        <w:insideV w:val="single" w:sz="8" w:space="0" w:color="7B91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91A7" w:themeColor="accent4"/>
          <w:left w:val="single" w:sz="8" w:space="0" w:color="7B91A7" w:themeColor="accent4"/>
          <w:bottom w:val="single" w:sz="18" w:space="0" w:color="7B91A7" w:themeColor="accent4"/>
          <w:right w:val="single" w:sz="8" w:space="0" w:color="7B91A7" w:themeColor="accent4"/>
          <w:insideH w:val="nil"/>
          <w:insideV w:val="single" w:sz="8" w:space="0" w:color="7B91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91A7" w:themeColor="accent4"/>
          <w:left w:val="single" w:sz="8" w:space="0" w:color="7B91A7" w:themeColor="accent4"/>
          <w:bottom w:val="single" w:sz="8" w:space="0" w:color="7B91A7" w:themeColor="accent4"/>
          <w:right w:val="single" w:sz="8" w:space="0" w:color="7B91A7" w:themeColor="accent4"/>
          <w:insideH w:val="nil"/>
          <w:insideV w:val="single" w:sz="8" w:space="0" w:color="7B91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91A7" w:themeColor="accent4"/>
          <w:left w:val="single" w:sz="8" w:space="0" w:color="7B91A7" w:themeColor="accent4"/>
          <w:bottom w:val="single" w:sz="8" w:space="0" w:color="7B91A7" w:themeColor="accent4"/>
          <w:right w:val="single" w:sz="8" w:space="0" w:color="7B91A7" w:themeColor="accent4"/>
        </w:tcBorders>
      </w:tcPr>
    </w:tblStylePr>
    <w:tblStylePr w:type="band1Vert">
      <w:tblPr/>
      <w:tcPr>
        <w:tcBorders>
          <w:top w:val="single" w:sz="8" w:space="0" w:color="7B91A7" w:themeColor="accent4"/>
          <w:left w:val="single" w:sz="8" w:space="0" w:color="7B91A7" w:themeColor="accent4"/>
          <w:bottom w:val="single" w:sz="8" w:space="0" w:color="7B91A7" w:themeColor="accent4"/>
          <w:right w:val="single" w:sz="8" w:space="0" w:color="7B91A7" w:themeColor="accent4"/>
        </w:tcBorders>
        <w:shd w:val="clear" w:color="auto" w:fill="DEE3E9" w:themeFill="accent4" w:themeFillTint="3F"/>
      </w:tcPr>
    </w:tblStylePr>
    <w:tblStylePr w:type="band1Horz">
      <w:tblPr/>
      <w:tcPr>
        <w:tcBorders>
          <w:top w:val="single" w:sz="8" w:space="0" w:color="7B91A7" w:themeColor="accent4"/>
          <w:left w:val="single" w:sz="8" w:space="0" w:color="7B91A7" w:themeColor="accent4"/>
          <w:bottom w:val="single" w:sz="8" w:space="0" w:color="7B91A7" w:themeColor="accent4"/>
          <w:right w:val="single" w:sz="8" w:space="0" w:color="7B91A7" w:themeColor="accent4"/>
          <w:insideV w:val="single" w:sz="8" w:space="0" w:color="7B91A7" w:themeColor="accent4"/>
        </w:tcBorders>
        <w:shd w:val="clear" w:color="auto" w:fill="DEE3E9" w:themeFill="accent4" w:themeFillTint="3F"/>
      </w:tcPr>
    </w:tblStylePr>
    <w:tblStylePr w:type="band2Horz">
      <w:tblPr/>
      <w:tcPr>
        <w:tcBorders>
          <w:top w:val="single" w:sz="8" w:space="0" w:color="7B91A7" w:themeColor="accent4"/>
          <w:left w:val="single" w:sz="8" w:space="0" w:color="7B91A7" w:themeColor="accent4"/>
          <w:bottom w:val="single" w:sz="8" w:space="0" w:color="7B91A7" w:themeColor="accent4"/>
          <w:right w:val="single" w:sz="8" w:space="0" w:color="7B91A7" w:themeColor="accent4"/>
          <w:insideV w:val="single" w:sz="8" w:space="0" w:color="7B91A7"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831500" w:themeColor="accent5"/>
        <w:left w:val="single" w:sz="8" w:space="0" w:color="831500" w:themeColor="accent5"/>
        <w:bottom w:val="single" w:sz="8" w:space="0" w:color="831500" w:themeColor="accent5"/>
        <w:right w:val="single" w:sz="8" w:space="0" w:color="831500" w:themeColor="accent5"/>
        <w:insideH w:val="single" w:sz="8" w:space="0" w:color="831500" w:themeColor="accent5"/>
        <w:insideV w:val="single" w:sz="8" w:space="0" w:color="831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1500" w:themeColor="accent5"/>
          <w:left w:val="single" w:sz="8" w:space="0" w:color="831500" w:themeColor="accent5"/>
          <w:bottom w:val="single" w:sz="18" w:space="0" w:color="831500" w:themeColor="accent5"/>
          <w:right w:val="single" w:sz="8" w:space="0" w:color="831500" w:themeColor="accent5"/>
          <w:insideH w:val="nil"/>
          <w:insideV w:val="single" w:sz="8" w:space="0" w:color="831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1500" w:themeColor="accent5"/>
          <w:left w:val="single" w:sz="8" w:space="0" w:color="831500" w:themeColor="accent5"/>
          <w:bottom w:val="single" w:sz="8" w:space="0" w:color="831500" w:themeColor="accent5"/>
          <w:right w:val="single" w:sz="8" w:space="0" w:color="831500" w:themeColor="accent5"/>
          <w:insideH w:val="nil"/>
          <w:insideV w:val="single" w:sz="8" w:space="0" w:color="831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1500" w:themeColor="accent5"/>
          <w:left w:val="single" w:sz="8" w:space="0" w:color="831500" w:themeColor="accent5"/>
          <w:bottom w:val="single" w:sz="8" w:space="0" w:color="831500" w:themeColor="accent5"/>
          <w:right w:val="single" w:sz="8" w:space="0" w:color="831500" w:themeColor="accent5"/>
        </w:tcBorders>
      </w:tcPr>
    </w:tblStylePr>
    <w:tblStylePr w:type="band1Vert">
      <w:tblPr/>
      <w:tcPr>
        <w:tcBorders>
          <w:top w:val="single" w:sz="8" w:space="0" w:color="831500" w:themeColor="accent5"/>
          <w:left w:val="single" w:sz="8" w:space="0" w:color="831500" w:themeColor="accent5"/>
          <w:bottom w:val="single" w:sz="8" w:space="0" w:color="831500" w:themeColor="accent5"/>
          <w:right w:val="single" w:sz="8" w:space="0" w:color="831500" w:themeColor="accent5"/>
        </w:tcBorders>
        <w:shd w:val="clear" w:color="auto" w:fill="FFB0A1" w:themeFill="accent5" w:themeFillTint="3F"/>
      </w:tcPr>
    </w:tblStylePr>
    <w:tblStylePr w:type="band1Horz">
      <w:tblPr/>
      <w:tcPr>
        <w:tcBorders>
          <w:top w:val="single" w:sz="8" w:space="0" w:color="831500" w:themeColor="accent5"/>
          <w:left w:val="single" w:sz="8" w:space="0" w:color="831500" w:themeColor="accent5"/>
          <w:bottom w:val="single" w:sz="8" w:space="0" w:color="831500" w:themeColor="accent5"/>
          <w:right w:val="single" w:sz="8" w:space="0" w:color="831500" w:themeColor="accent5"/>
          <w:insideV w:val="single" w:sz="8" w:space="0" w:color="831500" w:themeColor="accent5"/>
        </w:tcBorders>
        <w:shd w:val="clear" w:color="auto" w:fill="FFB0A1" w:themeFill="accent5" w:themeFillTint="3F"/>
      </w:tcPr>
    </w:tblStylePr>
    <w:tblStylePr w:type="band2Horz">
      <w:tblPr/>
      <w:tcPr>
        <w:tcBorders>
          <w:top w:val="single" w:sz="8" w:space="0" w:color="831500" w:themeColor="accent5"/>
          <w:left w:val="single" w:sz="8" w:space="0" w:color="831500" w:themeColor="accent5"/>
          <w:bottom w:val="single" w:sz="8" w:space="0" w:color="831500" w:themeColor="accent5"/>
          <w:right w:val="single" w:sz="8" w:space="0" w:color="831500" w:themeColor="accent5"/>
          <w:insideV w:val="single" w:sz="8" w:space="0" w:color="831500"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FF5B72" w:themeColor="accent6"/>
        <w:left w:val="single" w:sz="8" w:space="0" w:color="FF5B72" w:themeColor="accent6"/>
        <w:bottom w:val="single" w:sz="8" w:space="0" w:color="FF5B72" w:themeColor="accent6"/>
        <w:right w:val="single" w:sz="8" w:space="0" w:color="FF5B72" w:themeColor="accent6"/>
        <w:insideH w:val="single" w:sz="8" w:space="0" w:color="FF5B72" w:themeColor="accent6"/>
        <w:insideV w:val="single" w:sz="8" w:space="0" w:color="FF5B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B72" w:themeColor="accent6"/>
          <w:left w:val="single" w:sz="8" w:space="0" w:color="FF5B72" w:themeColor="accent6"/>
          <w:bottom w:val="single" w:sz="18" w:space="0" w:color="FF5B72" w:themeColor="accent6"/>
          <w:right w:val="single" w:sz="8" w:space="0" w:color="FF5B72" w:themeColor="accent6"/>
          <w:insideH w:val="nil"/>
          <w:insideV w:val="single" w:sz="8" w:space="0" w:color="FF5B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B72" w:themeColor="accent6"/>
          <w:left w:val="single" w:sz="8" w:space="0" w:color="FF5B72" w:themeColor="accent6"/>
          <w:bottom w:val="single" w:sz="8" w:space="0" w:color="FF5B72" w:themeColor="accent6"/>
          <w:right w:val="single" w:sz="8" w:space="0" w:color="FF5B72" w:themeColor="accent6"/>
          <w:insideH w:val="nil"/>
          <w:insideV w:val="single" w:sz="8" w:space="0" w:color="FF5B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B72" w:themeColor="accent6"/>
          <w:left w:val="single" w:sz="8" w:space="0" w:color="FF5B72" w:themeColor="accent6"/>
          <w:bottom w:val="single" w:sz="8" w:space="0" w:color="FF5B72" w:themeColor="accent6"/>
          <w:right w:val="single" w:sz="8" w:space="0" w:color="FF5B72" w:themeColor="accent6"/>
        </w:tcBorders>
      </w:tcPr>
    </w:tblStylePr>
    <w:tblStylePr w:type="band1Vert">
      <w:tblPr/>
      <w:tcPr>
        <w:tcBorders>
          <w:top w:val="single" w:sz="8" w:space="0" w:color="FF5B72" w:themeColor="accent6"/>
          <w:left w:val="single" w:sz="8" w:space="0" w:color="FF5B72" w:themeColor="accent6"/>
          <w:bottom w:val="single" w:sz="8" w:space="0" w:color="FF5B72" w:themeColor="accent6"/>
          <w:right w:val="single" w:sz="8" w:space="0" w:color="FF5B72" w:themeColor="accent6"/>
        </w:tcBorders>
        <w:shd w:val="clear" w:color="auto" w:fill="FFD6DB" w:themeFill="accent6" w:themeFillTint="3F"/>
      </w:tcPr>
    </w:tblStylePr>
    <w:tblStylePr w:type="band1Horz">
      <w:tblPr/>
      <w:tcPr>
        <w:tcBorders>
          <w:top w:val="single" w:sz="8" w:space="0" w:color="FF5B72" w:themeColor="accent6"/>
          <w:left w:val="single" w:sz="8" w:space="0" w:color="FF5B72" w:themeColor="accent6"/>
          <w:bottom w:val="single" w:sz="8" w:space="0" w:color="FF5B72" w:themeColor="accent6"/>
          <w:right w:val="single" w:sz="8" w:space="0" w:color="FF5B72" w:themeColor="accent6"/>
          <w:insideV w:val="single" w:sz="8" w:space="0" w:color="FF5B72" w:themeColor="accent6"/>
        </w:tcBorders>
        <w:shd w:val="clear" w:color="auto" w:fill="FFD6DB" w:themeFill="accent6" w:themeFillTint="3F"/>
      </w:tcPr>
    </w:tblStylePr>
    <w:tblStylePr w:type="band2Horz">
      <w:tblPr/>
      <w:tcPr>
        <w:tcBorders>
          <w:top w:val="single" w:sz="8" w:space="0" w:color="FF5B72" w:themeColor="accent6"/>
          <w:left w:val="single" w:sz="8" w:space="0" w:color="FF5B72" w:themeColor="accent6"/>
          <w:bottom w:val="single" w:sz="8" w:space="0" w:color="FF5B72" w:themeColor="accent6"/>
          <w:right w:val="single" w:sz="8" w:space="0" w:color="FF5B72" w:themeColor="accent6"/>
          <w:insideV w:val="single" w:sz="8" w:space="0" w:color="FF5B72"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16293F" w:themeColor="text1"/>
        <w:left w:val="single" w:sz="8" w:space="0" w:color="16293F" w:themeColor="text1"/>
        <w:bottom w:val="single" w:sz="8" w:space="0" w:color="16293F" w:themeColor="text1"/>
        <w:right w:val="single" w:sz="8" w:space="0" w:color="16293F" w:themeColor="text1"/>
      </w:tblBorders>
    </w:tblPr>
    <w:tblStylePr w:type="firstRow">
      <w:pPr>
        <w:spacing w:before="0" w:after="0" w:line="240" w:lineRule="auto"/>
      </w:pPr>
      <w:rPr>
        <w:b/>
        <w:bCs/>
        <w:color w:val="FFFFFF" w:themeColor="background1"/>
      </w:rPr>
      <w:tblPr/>
      <w:tcPr>
        <w:shd w:val="clear" w:color="auto" w:fill="16293F" w:themeFill="text1"/>
      </w:tcPr>
    </w:tblStylePr>
    <w:tblStylePr w:type="lastRow">
      <w:pPr>
        <w:spacing w:before="0" w:after="0" w:line="240" w:lineRule="auto"/>
      </w:pPr>
      <w:rPr>
        <w:b/>
        <w:bCs/>
      </w:rPr>
      <w:tblPr/>
      <w:tcPr>
        <w:tcBorders>
          <w:top w:val="double" w:sz="6" w:space="0" w:color="16293F" w:themeColor="text1"/>
          <w:left w:val="single" w:sz="8" w:space="0" w:color="16293F" w:themeColor="text1"/>
          <w:bottom w:val="single" w:sz="8" w:space="0" w:color="16293F" w:themeColor="text1"/>
          <w:right w:val="single" w:sz="8" w:space="0" w:color="16293F" w:themeColor="text1"/>
        </w:tcBorders>
      </w:tcPr>
    </w:tblStylePr>
    <w:tblStylePr w:type="firstCol">
      <w:rPr>
        <w:b/>
        <w:bCs/>
      </w:rPr>
    </w:tblStylePr>
    <w:tblStylePr w:type="lastCol">
      <w:rPr>
        <w:b/>
        <w:bCs/>
      </w:rPr>
    </w:tblStylePr>
    <w:tblStylePr w:type="band1Vert">
      <w:tblPr/>
      <w:tcPr>
        <w:tcBorders>
          <w:top w:val="single" w:sz="8" w:space="0" w:color="16293F" w:themeColor="text1"/>
          <w:left w:val="single" w:sz="8" w:space="0" w:color="16293F" w:themeColor="text1"/>
          <w:bottom w:val="single" w:sz="8" w:space="0" w:color="16293F" w:themeColor="text1"/>
          <w:right w:val="single" w:sz="8" w:space="0" w:color="16293F" w:themeColor="text1"/>
        </w:tcBorders>
      </w:tcPr>
    </w:tblStylePr>
    <w:tblStylePr w:type="band1Horz">
      <w:tblPr/>
      <w:tcPr>
        <w:tcBorders>
          <w:top w:val="single" w:sz="8" w:space="0" w:color="16293F" w:themeColor="text1"/>
          <w:left w:val="single" w:sz="8" w:space="0" w:color="16293F" w:themeColor="text1"/>
          <w:bottom w:val="single" w:sz="8" w:space="0" w:color="16293F" w:themeColor="text1"/>
          <w:right w:val="single" w:sz="8" w:space="0" w:color="16293F"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16293F" w:themeColor="accent1"/>
        <w:left w:val="single" w:sz="8" w:space="0" w:color="16293F" w:themeColor="accent1"/>
        <w:bottom w:val="single" w:sz="8" w:space="0" w:color="16293F" w:themeColor="accent1"/>
        <w:right w:val="single" w:sz="8" w:space="0" w:color="16293F" w:themeColor="accent1"/>
      </w:tblBorders>
    </w:tblPr>
    <w:tblStylePr w:type="firstRow">
      <w:pPr>
        <w:spacing w:before="0" w:after="0" w:line="240" w:lineRule="auto"/>
      </w:pPr>
      <w:rPr>
        <w:b/>
        <w:bCs/>
        <w:color w:val="FFFFFF" w:themeColor="background1"/>
      </w:rPr>
      <w:tblPr/>
      <w:tcPr>
        <w:shd w:val="clear" w:color="auto" w:fill="16293F" w:themeFill="accent1"/>
      </w:tcPr>
    </w:tblStylePr>
    <w:tblStylePr w:type="lastRow">
      <w:pPr>
        <w:spacing w:before="0" w:after="0" w:line="240" w:lineRule="auto"/>
      </w:pPr>
      <w:rPr>
        <w:b/>
        <w:bCs/>
      </w:rPr>
      <w:tblPr/>
      <w:tcPr>
        <w:tcBorders>
          <w:top w:val="double" w:sz="6" w:space="0" w:color="16293F" w:themeColor="accent1"/>
          <w:left w:val="single" w:sz="8" w:space="0" w:color="16293F" w:themeColor="accent1"/>
          <w:bottom w:val="single" w:sz="8" w:space="0" w:color="16293F" w:themeColor="accent1"/>
          <w:right w:val="single" w:sz="8" w:space="0" w:color="16293F" w:themeColor="accent1"/>
        </w:tcBorders>
      </w:tcPr>
    </w:tblStylePr>
    <w:tblStylePr w:type="firstCol">
      <w:rPr>
        <w:b/>
        <w:bCs/>
      </w:rPr>
    </w:tblStylePr>
    <w:tblStylePr w:type="lastCol">
      <w:rPr>
        <w:b/>
        <w:bCs/>
      </w:rPr>
    </w:tblStylePr>
    <w:tblStylePr w:type="band1Vert">
      <w:tblPr/>
      <w:tcPr>
        <w:tcBorders>
          <w:top w:val="single" w:sz="8" w:space="0" w:color="16293F" w:themeColor="accent1"/>
          <w:left w:val="single" w:sz="8" w:space="0" w:color="16293F" w:themeColor="accent1"/>
          <w:bottom w:val="single" w:sz="8" w:space="0" w:color="16293F" w:themeColor="accent1"/>
          <w:right w:val="single" w:sz="8" w:space="0" w:color="16293F" w:themeColor="accent1"/>
        </w:tcBorders>
      </w:tcPr>
    </w:tblStylePr>
    <w:tblStylePr w:type="band1Horz">
      <w:tblPr/>
      <w:tcPr>
        <w:tcBorders>
          <w:top w:val="single" w:sz="8" w:space="0" w:color="16293F" w:themeColor="accent1"/>
          <w:left w:val="single" w:sz="8" w:space="0" w:color="16293F" w:themeColor="accent1"/>
          <w:bottom w:val="single" w:sz="8" w:space="0" w:color="16293F" w:themeColor="accent1"/>
          <w:right w:val="single" w:sz="8" w:space="0" w:color="16293F"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0052AA" w:themeColor="accent2"/>
        <w:left w:val="single" w:sz="8" w:space="0" w:color="0052AA" w:themeColor="accent2"/>
        <w:bottom w:val="single" w:sz="8" w:space="0" w:color="0052AA" w:themeColor="accent2"/>
        <w:right w:val="single" w:sz="8" w:space="0" w:color="0052AA" w:themeColor="accent2"/>
      </w:tblBorders>
    </w:tblPr>
    <w:tblStylePr w:type="firstRow">
      <w:pPr>
        <w:spacing w:before="0" w:after="0" w:line="240" w:lineRule="auto"/>
      </w:pPr>
      <w:rPr>
        <w:b/>
        <w:bCs/>
        <w:color w:val="FFFFFF" w:themeColor="background1"/>
      </w:rPr>
      <w:tblPr/>
      <w:tcPr>
        <w:shd w:val="clear" w:color="auto" w:fill="0052AA" w:themeFill="accent2"/>
      </w:tcPr>
    </w:tblStylePr>
    <w:tblStylePr w:type="lastRow">
      <w:pPr>
        <w:spacing w:before="0" w:after="0" w:line="240" w:lineRule="auto"/>
      </w:pPr>
      <w:rPr>
        <w:b/>
        <w:bCs/>
      </w:rPr>
      <w:tblPr/>
      <w:tcPr>
        <w:tcBorders>
          <w:top w:val="double" w:sz="6" w:space="0" w:color="0052AA" w:themeColor="accent2"/>
          <w:left w:val="single" w:sz="8" w:space="0" w:color="0052AA" w:themeColor="accent2"/>
          <w:bottom w:val="single" w:sz="8" w:space="0" w:color="0052AA" w:themeColor="accent2"/>
          <w:right w:val="single" w:sz="8" w:space="0" w:color="0052AA" w:themeColor="accent2"/>
        </w:tcBorders>
      </w:tcPr>
    </w:tblStylePr>
    <w:tblStylePr w:type="firstCol">
      <w:rPr>
        <w:b/>
        <w:bCs/>
      </w:rPr>
    </w:tblStylePr>
    <w:tblStylePr w:type="lastCol">
      <w:rPr>
        <w:b/>
        <w:bCs/>
      </w:rPr>
    </w:tblStylePr>
    <w:tblStylePr w:type="band1Vert">
      <w:tblPr/>
      <w:tcPr>
        <w:tcBorders>
          <w:top w:val="single" w:sz="8" w:space="0" w:color="0052AA" w:themeColor="accent2"/>
          <w:left w:val="single" w:sz="8" w:space="0" w:color="0052AA" w:themeColor="accent2"/>
          <w:bottom w:val="single" w:sz="8" w:space="0" w:color="0052AA" w:themeColor="accent2"/>
          <w:right w:val="single" w:sz="8" w:space="0" w:color="0052AA" w:themeColor="accent2"/>
        </w:tcBorders>
      </w:tcPr>
    </w:tblStylePr>
    <w:tblStylePr w:type="band1Horz">
      <w:tblPr/>
      <w:tcPr>
        <w:tcBorders>
          <w:top w:val="single" w:sz="8" w:space="0" w:color="0052AA" w:themeColor="accent2"/>
          <w:left w:val="single" w:sz="8" w:space="0" w:color="0052AA" w:themeColor="accent2"/>
          <w:bottom w:val="single" w:sz="8" w:space="0" w:color="0052AA" w:themeColor="accent2"/>
          <w:right w:val="single" w:sz="8" w:space="0" w:color="0052AA"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1F8FFF" w:themeColor="accent3"/>
        <w:left w:val="single" w:sz="8" w:space="0" w:color="1F8FFF" w:themeColor="accent3"/>
        <w:bottom w:val="single" w:sz="8" w:space="0" w:color="1F8FFF" w:themeColor="accent3"/>
        <w:right w:val="single" w:sz="8" w:space="0" w:color="1F8FFF" w:themeColor="accent3"/>
      </w:tblBorders>
    </w:tblPr>
    <w:tblStylePr w:type="firstRow">
      <w:pPr>
        <w:spacing w:before="0" w:after="0" w:line="240" w:lineRule="auto"/>
      </w:pPr>
      <w:rPr>
        <w:b/>
        <w:bCs/>
        <w:color w:val="FFFFFF" w:themeColor="background1"/>
      </w:rPr>
      <w:tblPr/>
      <w:tcPr>
        <w:shd w:val="clear" w:color="auto" w:fill="1F8FFF" w:themeFill="accent3"/>
      </w:tcPr>
    </w:tblStylePr>
    <w:tblStylePr w:type="lastRow">
      <w:pPr>
        <w:spacing w:before="0" w:after="0" w:line="240" w:lineRule="auto"/>
      </w:pPr>
      <w:rPr>
        <w:b/>
        <w:bCs/>
      </w:rPr>
      <w:tblPr/>
      <w:tcPr>
        <w:tcBorders>
          <w:top w:val="double" w:sz="6" w:space="0" w:color="1F8FFF" w:themeColor="accent3"/>
          <w:left w:val="single" w:sz="8" w:space="0" w:color="1F8FFF" w:themeColor="accent3"/>
          <w:bottom w:val="single" w:sz="8" w:space="0" w:color="1F8FFF" w:themeColor="accent3"/>
          <w:right w:val="single" w:sz="8" w:space="0" w:color="1F8FFF" w:themeColor="accent3"/>
        </w:tcBorders>
      </w:tcPr>
    </w:tblStylePr>
    <w:tblStylePr w:type="firstCol">
      <w:rPr>
        <w:b/>
        <w:bCs/>
      </w:rPr>
    </w:tblStylePr>
    <w:tblStylePr w:type="lastCol">
      <w:rPr>
        <w:b/>
        <w:bCs/>
      </w:rPr>
    </w:tblStylePr>
    <w:tblStylePr w:type="band1Vert">
      <w:tblPr/>
      <w:tcPr>
        <w:tcBorders>
          <w:top w:val="single" w:sz="8" w:space="0" w:color="1F8FFF" w:themeColor="accent3"/>
          <w:left w:val="single" w:sz="8" w:space="0" w:color="1F8FFF" w:themeColor="accent3"/>
          <w:bottom w:val="single" w:sz="8" w:space="0" w:color="1F8FFF" w:themeColor="accent3"/>
          <w:right w:val="single" w:sz="8" w:space="0" w:color="1F8FFF" w:themeColor="accent3"/>
        </w:tcBorders>
      </w:tcPr>
    </w:tblStylePr>
    <w:tblStylePr w:type="band1Horz">
      <w:tblPr/>
      <w:tcPr>
        <w:tcBorders>
          <w:top w:val="single" w:sz="8" w:space="0" w:color="1F8FFF" w:themeColor="accent3"/>
          <w:left w:val="single" w:sz="8" w:space="0" w:color="1F8FFF" w:themeColor="accent3"/>
          <w:bottom w:val="single" w:sz="8" w:space="0" w:color="1F8FFF" w:themeColor="accent3"/>
          <w:right w:val="single" w:sz="8" w:space="0" w:color="1F8FFF"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7B91A7" w:themeColor="accent4"/>
        <w:left w:val="single" w:sz="8" w:space="0" w:color="7B91A7" w:themeColor="accent4"/>
        <w:bottom w:val="single" w:sz="8" w:space="0" w:color="7B91A7" w:themeColor="accent4"/>
        <w:right w:val="single" w:sz="8" w:space="0" w:color="7B91A7" w:themeColor="accent4"/>
      </w:tblBorders>
    </w:tblPr>
    <w:tblStylePr w:type="firstRow">
      <w:pPr>
        <w:spacing w:before="0" w:after="0" w:line="240" w:lineRule="auto"/>
      </w:pPr>
      <w:rPr>
        <w:b/>
        <w:bCs/>
        <w:color w:val="FFFFFF" w:themeColor="background1"/>
      </w:rPr>
      <w:tblPr/>
      <w:tcPr>
        <w:shd w:val="clear" w:color="auto" w:fill="7B91A7" w:themeFill="accent4"/>
      </w:tcPr>
    </w:tblStylePr>
    <w:tblStylePr w:type="lastRow">
      <w:pPr>
        <w:spacing w:before="0" w:after="0" w:line="240" w:lineRule="auto"/>
      </w:pPr>
      <w:rPr>
        <w:b/>
        <w:bCs/>
      </w:rPr>
      <w:tblPr/>
      <w:tcPr>
        <w:tcBorders>
          <w:top w:val="double" w:sz="6" w:space="0" w:color="7B91A7" w:themeColor="accent4"/>
          <w:left w:val="single" w:sz="8" w:space="0" w:color="7B91A7" w:themeColor="accent4"/>
          <w:bottom w:val="single" w:sz="8" w:space="0" w:color="7B91A7" w:themeColor="accent4"/>
          <w:right w:val="single" w:sz="8" w:space="0" w:color="7B91A7" w:themeColor="accent4"/>
        </w:tcBorders>
      </w:tcPr>
    </w:tblStylePr>
    <w:tblStylePr w:type="firstCol">
      <w:rPr>
        <w:b/>
        <w:bCs/>
      </w:rPr>
    </w:tblStylePr>
    <w:tblStylePr w:type="lastCol">
      <w:rPr>
        <w:b/>
        <w:bCs/>
      </w:rPr>
    </w:tblStylePr>
    <w:tblStylePr w:type="band1Vert">
      <w:tblPr/>
      <w:tcPr>
        <w:tcBorders>
          <w:top w:val="single" w:sz="8" w:space="0" w:color="7B91A7" w:themeColor="accent4"/>
          <w:left w:val="single" w:sz="8" w:space="0" w:color="7B91A7" w:themeColor="accent4"/>
          <w:bottom w:val="single" w:sz="8" w:space="0" w:color="7B91A7" w:themeColor="accent4"/>
          <w:right w:val="single" w:sz="8" w:space="0" w:color="7B91A7" w:themeColor="accent4"/>
        </w:tcBorders>
      </w:tcPr>
    </w:tblStylePr>
    <w:tblStylePr w:type="band1Horz">
      <w:tblPr/>
      <w:tcPr>
        <w:tcBorders>
          <w:top w:val="single" w:sz="8" w:space="0" w:color="7B91A7" w:themeColor="accent4"/>
          <w:left w:val="single" w:sz="8" w:space="0" w:color="7B91A7" w:themeColor="accent4"/>
          <w:bottom w:val="single" w:sz="8" w:space="0" w:color="7B91A7" w:themeColor="accent4"/>
          <w:right w:val="single" w:sz="8" w:space="0" w:color="7B91A7"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831500" w:themeColor="accent5"/>
        <w:left w:val="single" w:sz="8" w:space="0" w:color="831500" w:themeColor="accent5"/>
        <w:bottom w:val="single" w:sz="8" w:space="0" w:color="831500" w:themeColor="accent5"/>
        <w:right w:val="single" w:sz="8" w:space="0" w:color="831500" w:themeColor="accent5"/>
      </w:tblBorders>
    </w:tblPr>
    <w:tblStylePr w:type="firstRow">
      <w:pPr>
        <w:spacing w:before="0" w:after="0" w:line="240" w:lineRule="auto"/>
      </w:pPr>
      <w:rPr>
        <w:b/>
        <w:bCs/>
        <w:color w:val="FFFFFF" w:themeColor="background1"/>
      </w:rPr>
      <w:tblPr/>
      <w:tcPr>
        <w:shd w:val="clear" w:color="auto" w:fill="831500" w:themeFill="accent5"/>
      </w:tcPr>
    </w:tblStylePr>
    <w:tblStylePr w:type="lastRow">
      <w:pPr>
        <w:spacing w:before="0" w:after="0" w:line="240" w:lineRule="auto"/>
      </w:pPr>
      <w:rPr>
        <w:b/>
        <w:bCs/>
      </w:rPr>
      <w:tblPr/>
      <w:tcPr>
        <w:tcBorders>
          <w:top w:val="double" w:sz="6" w:space="0" w:color="831500" w:themeColor="accent5"/>
          <w:left w:val="single" w:sz="8" w:space="0" w:color="831500" w:themeColor="accent5"/>
          <w:bottom w:val="single" w:sz="8" w:space="0" w:color="831500" w:themeColor="accent5"/>
          <w:right w:val="single" w:sz="8" w:space="0" w:color="831500" w:themeColor="accent5"/>
        </w:tcBorders>
      </w:tcPr>
    </w:tblStylePr>
    <w:tblStylePr w:type="firstCol">
      <w:rPr>
        <w:b/>
        <w:bCs/>
      </w:rPr>
    </w:tblStylePr>
    <w:tblStylePr w:type="lastCol">
      <w:rPr>
        <w:b/>
        <w:bCs/>
      </w:rPr>
    </w:tblStylePr>
    <w:tblStylePr w:type="band1Vert">
      <w:tblPr/>
      <w:tcPr>
        <w:tcBorders>
          <w:top w:val="single" w:sz="8" w:space="0" w:color="831500" w:themeColor="accent5"/>
          <w:left w:val="single" w:sz="8" w:space="0" w:color="831500" w:themeColor="accent5"/>
          <w:bottom w:val="single" w:sz="8" w:space="0" w:color="831500" w:themeColor="accent5"/>
          <w:right w:val="single" w:sz="8" w:space="0" w:color="831500" w:themeColor="accent5"/>
        </w:tcBorders>
      </w:tcPr>
    </w:tblStylePr>
    <w:tblStylePr w:type="band1Horz">
      <w:tblPr/>
      <w:tcPr>
        <w:tcBorders>
          <w:top w:val="single" w:sz="8" w:space="0" w:color="831500" w:themeColor="accent5"/>
          <w:left w:val="single" w:sz="8" w:space="0" w:color="831500" w:themeColor="accent5"/>
          <w:bottom w:val="single" w:sz="8" w:space="0" w:color="831500" w:themeColor="accent5"/>
          <w:right w:val="single" w:sz="8" w:space="0" w:color="831500"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FF5B72" w:themeColor="accent6"/>
        <w:left w:val="single" w:sz="8" w:space="0" w:color="FF5B72" w:themeColor="accent6"/>
        <w:bottom w:val="single" w:sz="8" w:space="0" w:color="FF5B72" w:themeColor="accent6"/>
        <w:right w:val="single" w:sz="8" w:space="0" w:color="FF5B72" w:themeColor="accent6"/>
      </w:tblBorders>
    </w:tblPr>
    <w:tblStylePr w:type="firstRow">
      <w:pPr>
        <w:spacing w:before="0" w:after="0" w:line="240" w:lineRule="auto"/>
      </w:pPr>
      <w:rPr>
        <w:b/>
        <w:bCs/>
        <w:color w:val="FFFFFF" w:themeColor="background1"/>
      </w:rPr>
      <w:tblPr/>
      <w:tcPr>
        <w:shd w:val="clear" w:color="auto" w:fill="FF5B72" w:themeFill="accent6"/>
      </w:tcPr>
    </w:tblStylePr>
    <w:tblStylePr w:type="lastRow">
      <w:pPr>
        <w:spacing w:before="0" w:after="0" w:line="240" w:lineRule="auto"/>
      </w:pPr>
      <w:rPr>
        <w:b/>
        <w:bCs/>
      </w:rPr>
      <w:tblPr/>
      <w:tcPr>
        <w:tcBorders>
          <w:top w:val="double" w:sz="6" w:space="0" w:color="FF5B72" w:themeColor="accent6"/>
          <w:left w:val="single" w:sz="8" w:space="0" w:color="FF5B72" w:themeColor="accent6"/>
          <w:bottom w:val="single" w:sz="8" w:space="0" w:color="FF5B72" w:themeColor="accent6"/>
          <w:right w:val="single" w:sz="8" w:space="0" w:color="FF5B72" w:themeColor="accent6"/>
        </w:tcBorders>
      </w:tcPr>
    </w:tblStylePr>
    <w:tblStylePr w:type="firstCol">
      <w:rPr>
        <w:b/>
        <w:bCs/>
      </w:rPr>
    </w:tblStylePr>
    <w:tblStylePr w:type="lastCol">
      <w:rPr>
        <w:b/>
        <w:bCs/>
      </w:rPr>
    </w:tblStylePr>
    <w:tblStylePr w:type="band1Vert">
      <w:tblPr/>
      <w:tcPr>
        <w:tcBorders>
          <w:top w:val="single" w:sz="8" w:space="0" w:color="FF5B72" w:themeColor="accent6"/>
          <w:left w:val="single" w:sz="8" w:space="0" w:color="FF5B72" w:themeColor="accent6"/>
          <w:bottom w:val="single" w:sz="8" w:space="0" w:color="FF5B72" w:themeColor="accent6"/>
          <w:right w:val="single" w:sz="8" w:space="0" w:color="FF5B72" w:themeColor="accent6"/>
        </w:tcBorders>
      </w:tcPr>
    </w:tblStylePr>
    <w:tblStylePr w:type="band1Horz">
      <w:tblPr/>
      <w:tcPr>
        <w:tcBorders>
          <w:top w:val="single" w:sz="8" w:space="0" w:color="FF5B72" w:themeColor="accent6"/>
          <w:left w:val="single" w:sz="8" w:space="0" w:color="FF5B72" w:themeColor="accent6"/>
          <w:bottom w:val="single" w:sz="8" w:space="0" w:color="FF5B72" w:themeColor="accent6"/>
          <w:right w:val="single" w:sz="8" w:space="0" w:color="FF5B72" w:themeColor="accent6"/>
        </w:tcBorders>
      </w:tcPr>
    </w:tblStylePr>
  </w:style>
  <w:style w:type="table" w:styleId="LightShading">
    <w:name w:val="Light Shading"/>
    <w:basedOn w:val="TableNormal"/>
    <w:uiPriority w:val="60"/>
    <w:semiHidden/>
    <w:unhideWhenUsed/>
    <w:rsid w:val="00EA4EC2"/>
    <w:pPr>
      <w:spacing w:after="0"/>
    </w:pPr>
    <w:rPr>
      <w:color w:val="101E2F" w:themeColor="text1" w:themeShade="BF"/>
    </w:rPr>
    <w:tblPr>
      <w:tblStyleRowBandSize w:val="1"/>
      <w:tblStyleColBandSize w:val="1"/>
      <w:tblBorders>
        <w:top w:val="single" w:sz="8" w:space="0" w:color="16293F" w:themeColor="text1"/>
        <w:bottom w:val="single" w:sz="8" w:space="0" w:color="16293F" w:themeColor="text1"/>
      </w:tblBorders>
    </w:tblPr>
    <w:tblStylePr w:type="firstRow">
      <w:pPr>
        <w:spacing w:before="0" w:after="0" w:line="240" w:lineRule="auto"/>
      </w:pPr>
      <w:rPr>
        <w:b/>
        <w:bCs/>
      </w:rPr>
      <w:tblPr/>
      <w:tcPr>
        <w:tcBorders>
          <w:top w:val="single" w:sz="8" w:space="0" w:color="16293F" w:themeColor="text1"/>
          <w:left w:val="nil"/>
          <w:bottom w:val="single" w:sz="8" w:space="0" w:color="16293F" w:themeColor="text1"/>
          <w:right w:val="nil"/>
          <w:insideH w:val="nil"/>
          <w:insideV w:val="nil"/>
        </w:tcBorders>
      </w:tcPr>
    </w:tblStylePr>
    <w:tblStylePr w:type="lastRow">
      <w:pPr>
        <w:spacing w:before="0" w:after="0" w:line="240" w:lineRule="auto"/>
      </w:pPr>
      <w:rPr>
        <w:b/>
        <w:bCs/>
      </w:rPr>
      <w:tblPr/>
      <w:tcPr>
        <w:tcBorders>
          <w:top w:val="single" w:sz="8" w:space="0" w:color="16293F" w:themeColor="text1"/>
          <w:left w:val="nil"/>
          <w:bottom w:val="single" w:sz="8" w:space="0" w:color="1629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8E3" w:themeFill="text1" w:themeFillTint="3F"/>
      </w:tcPr>
    </w:tblStylePr>
    <w:tblStylePr w:type="band1Horz">
      <w:tblPr/>
      <w:tcPr>
        <w:tcBorders>
          <w:left w:val="nil"/>
          <w:right w:val="nil"/>
          <w:insideH w:val="nil"/>
          <w:insideV w:val="nil"/>
        </w:tcBorders>
        <w:shd w:val="clear" w:color="auto" w:fill="B1C8E3" w:themeFill="text1" w:themeFillTint="3F"/>
      </w:tcPr>
    </w:tblStylePr>
  </w:style>
  <w:style w:type="table" w:styleId="LightShading-Accent1">
    <w:name w:val="Light Shading Accent 1"/>
    <w:basedOn w:val="TableNormal"/>
    <w:uiPriority w:val="60"/>
    <w:semiHidden/>
    <w:unhideWhenUsed/>
    <w:rsid w:val="00EA4EC2"/>
    <w:pPr>
      <w:spacing w:after="0"/>
    </w:pPr>
    <w:rPr>
      <w:color w:val="101E2F" w:themeColor="accent1" w:themeShade="BF"/>
    </w:rPr>
    <w:tblPr>
      <w:tblStyleRowBandSize w:val="1"/>
      <w:tblStyleColBandSize w:val="1"/>
      <w:tblBorders>
        <w:top w:val="single" w:sz="8" w:space="0" w:color="16293F" w:themeColor="accent1"/>
        <w:bottom w:val="single" w:sz="8" w:space="0" w:color="16293F" w:themeColor="accent1"/>
      </w:tblBorders>
    </w:tblPr>
    <w:tblStylePr w:type="firstRow">
      <w:pPr>
        <w:spacing w:before="0" w:after="0" w:line="240" w:lineRule="auto"/>
      </w:pPr>
      <w:rPr>
        <w:b/>
        <w:bCs/>
      </w:rPr>
      <w:tblPr/>
      <w:tcPr>
        <w:tcBorders>
          <w:top w:val="single" w:sz="8" w:space="0" w:color="16293F" w:themeColor="accent1"/>
          <w:left w:val="nil"/>
          <w:bottom w:val="single" w:sz="8" w:space="0" w:color="16293F" w:themeColor="accent1"/>
          <w:right w:val="nil"/>
          <w:insideH w:val="nil"/>
          <w:insideV w:val="nil"/>
        </w:tcBorders>
      </w:tcPr>
    </w:tblStylePr>
    <w:tblStylePr w:type="lastRow">
      <w:pPr>
        <w:spacing w:before="0" w:after="0" w:line="240" w:lineRule="auto"/>
      </w:pPr>
      <w:rPr>
        <w:b/>
        <w:bCs/>
      </w:rPr>
      <w:tblPr/>
      <w:tcPr>
        <w:tcBorders>
          <w:top w:val="single" w:sz="8" w:space="0" w:color="16293F" w:themeColor="accent1"/>
          <w:left w:val="nil"/>
          <w:bottom w:val="single" w:sz="8" w:space="0" w:color="1629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8E3" w:themeFill="accent1" w:themeFillTint="3F"/>
      </w:tcPr>
    </w:tblStylePr>
    <w:tblStylePr w:type="band1Horz">
      <w:tblPr/>
      <w:tcPr>
        <w:tcBorders>
          <w:left w:val="nil"/>
          <w:right w:val="nil"/>
          <w:insideH w:val="nil"/>
          <w:insideV w:val="nil"/>
        </w:tcBorders>
        <w:shd w:val="clear" w:color="auto" w:fill="B1C8E3" w:themeFill="accent1" w:themeFillTint="3F"/>
      </w:tcPr>
    </w:tblStylePr>
  </w:style>
  <w:style w:type="table" w:styleId="LightShading-Accent2">
    <w:name w:val="Light Shading Accent 2"/>
    <w:basedOn w:val="TableNormal"/>
    <w:uiPriority w:val="60"/>
    <w:semiHidden/>
    <w:unhideWhenUsed/>
    <w:rsid w:val="00EA4EC2"/>
    <w:pPr>
      <w:spacing w:after="0"/>
    </w:pPr>
    <w:rPr>
      <w:color w:val="003D7F" w:themeColor="accent2" w:themeShade="BF"/>
    </w:rPr>
    <w:tblPr>
      <w:tblStyleRowBandSize w:val="1"/>
      <w:tblStyleColBandSize w:val="1"/>
      <w:tblBorders>
        <w:top w:val="single" w:sz="8" w:space="0" w:color="0052AA" w:themeColor="accent2"/>
        <w:bottom w:val="single" w:sz="8" w:space="0" w:color="0052AA" w:themeColor="accent2"/>
      </w:tblBorders>
    </w:tblPr>
    <w:tblStylePr w:type="firstRow">
      <w:pPr>
        <w:spacing w:before="0" w:after="0" w:line="240" w:lineRule="auto"/>
      </w:pPr>
      <w:rPr>
        <w:b/>
        <w:bCs/>
      </w:rPr>
      <w:tblPr/>
      <w:tcPr>
        <w:tcBorders>
          <w:top w:val="single" w:sz="8" w:space="0" w:color="0052AA" w:themeColor="accent2"/>
          <w:left w:val="nil"/>
          <w:bottom w:val="single" w:sz="8" w:space="0" w:color="0052AA" w:themeColor="accent2"/>
          <w:right w:val="nil"/>
          <w:insideH w:val="nil"/>
          <w:insideV w:val="nil"/>
        </w:tcBorders>
      </w:tcPr>
    </w:tblStylePr>
    <w:tblStylePr w:type="lastRow">
      <w:pPr>
        <w:spacing w:before="0" w:after="0" w:line="240" w:lineRule="auto"/>
      </w:pPr>
      <w:rPr>
        <w:b/>
        <w:bCs/>
      </w:rPr>
      <w:tblPr/>
      <w:tcPr>
        <w:tcBorders>
          <w:top w:val="single" w:sz="8" w:space="0" w:color="0052AA" w:themeColor="accent2"/>
          <w:left w:val="nil"/>
          <w:bottom w:val="single" w:sz="8" w:space="0" w:color="0052A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3FF" w:themeFill="accent2" w:themeFillTint="3F"/>
      </w:tcPr>
    </w:tblStylePr>
    <w:tblStylePr w:type="band1Horz">
      <w:tblPr/>
      <w:tcPr>
        <w:tcBorders>
          <w:left w:val="nil"/>
          <w:right w:val="nil"/>
          <w:insideH w:val="nil"/>
          <w:insideV w:val="nil"/>
        </w:tcBorders>
        <w:shd w:val="clear" w:color="auto" w:fill="ABD3FF" w:themeFill="accent2" w:themeFillTint="3F"/>
      </w:tcPr>
    </w:tblStylePr>
  </w:style>
  <w:style w:type="table" w:styleId="LightShading-Accent3">
    <w:name w:val="Light Shading Accent 3"/>
    <w:basedOn w:val="TableNormal"/>
    <w:uiPriority w:val="60"/>
    <w:semiHidden/>
    <w:unhideWhenUsed/>
    <w:rsid w:val="00EA4EC2"/>
    <w:pPr>
      <w:spacing w:after="0"/>
    </w:pPr>
    <w:rPr>
      <w:color w:val="006AD6" w:themeColor="accent3" w:themeShade="BF"/>
    </w:rPr>
    <w:tblPr>
      <w:tblStyleRowBandSize w:val="1"/>
      <w:tblStyleColBandSize w:val="1"/>
      <w:tblBorders>
        <w:top w:val="single" w:sz="8" w:space="0" w:color="1F8FFF" w:themeColor="accent3"/>
        <w:bottom w:val="single" w:sz="8" w:space="0" w:color="1F8FFF" w:themeColor="accent3"/>
      </w:tblBorders>
    </w:tblPr>
    <w:tblStylePr w:type="firstRow">
      <w:pPr>
        <w:spacing w:before="0" w:after="0" w:line="240" w:lineRule="auto"/>
      </w:pPr>
      <w:rPr>
        <w:b/>
        <w:bCs/>
      </w:rPr>
      <w:tblPr/>
      <w:tcPr>
        <w:tcBorders>
          <w:top w:val="single" w:sz="8" w:space="0" w:color="1F8FFF" w:themeColor="accent3"/>
          <w:left w:val="nil"/>
          <w:bottom w:val="single" w:sz="8" w:space="0" w:color="1F8FFF" w:themeColor="accent3"/>
          <w:right w:val="nil"/>
          <w:insideH w:val="nil"/>
          <w:insideV w:val="nil"/>
        </w:tcBorders>
      </w:tcPr>
    </w:tblStylePr>
    <w:tblStylePr w:type="lastRow">
      <w:pPr>
        <w:spacing w:before="0" w:after="0" w:line="240" w:lineRule="auto"/>
      </w:pPr>
      <w:rPr>
        <w:b/>
        <w:bCs/>
      </w:rPr>
      <w:tblPr/>
      <w:tcPr>
        <w:tcBorders>
          <w:top w:val="single" w:sz="8" w:space="0" w:color="1F8FFF" w:themeColor="accent3"/>
          <w:left w:val="nil"/>
          <w:bottom w:val="single" w:sz="8" w:space="0" w:color="1F8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3FF" w:themeFill="accent3" w:themeFillTint="3F"/>
      </w:tcPr>
    </w:tblStylePr>
    <w:tblStylePr w:type="band1Horz">
      <w:tblPr/>
      <w:tcPr>
        <w:tcBorders>
          <w:left w:val="nil"/>
          <w:right w:val="nil"/>
          <w:insideH w:val="nil"/>
          <w:insideV w:val="nil"/>
        </w:tcBorders>
        <w:shd w:val="clear" w:color="auto" w:fill="C7E3FF" w:themeFill="accent3" w:themeFillTint="3F"/>
      </w:tcPr>
    </w:tblStylePr>
  </w:style>
  <w:style w:type="table" w:styleId="LightShading-Accent4">
    <w:name w:val="Light Shading Accent 4"/>
    <w:basedOn w:val="TableNormal"/>
    <w:uiPriority w:val="60"/>
    <w:semiHidden/>
    <w:unhideWhenUsed/>
    <w:rsid w:val="00EA4EC2"/>
    <w:pPr>
      <w:spacing w:after="0"/>
    </w:pPr>
    <w:rPr>
      <w:color w:val="566C82" w:themeColor="accent4" w:themeShade="BF"/>
    </w:rPr>
    <w:tblPr>
      <w:tblStyleRowBandSize w:val="1"/>
      <w:tblStyleColBandSize w:val="1"/>
      <w:tblBorders>
        <w:top w:val="single" w:sz="8" w:space="0" w:color="7B91A7" w:themeColor="accent4"/>
        <w:bottom w:val="single" w:sz="8" w:space="0" w:color="7B91A7" w:themeColor="accent4"/>
      </w:tblBorders>
    </w:tblPr>
    <w:tblStylePr w:type="firstRow">
      <w:pPr>
        <w:spacing w:before="0" w:after="0" w:line="240" w:lineRule="auto"/>
      </w:pPr>
      <w:rPr>
        <w:b/>
        <w:bCs/>
      </w:rPr>
      <w:tblPr/>
      <w:tcPr>
        <w:tcBorders>
          <w:top w:val="single" w:sz="8" w:space="0" w:color="7B91A7" w:themeColor="accent4"/>
          <w:left w:val="nil"/>
          <w:bottom w:val="single" w:sz="8" w:space="0" w:color="7B91A7" w:themeColor="accent4"/>
          <w:right w:val="nil"/>
          <w:insideH w:val="nil"/>
          <w:insideV w:val="nil"/>
        </w:tcBorders>
      </w:tcPr>
    </w:tblStylePr>
    <w:tblStylePr w:type="lastRow">
      <w:pPr>
        <w:spacing w:before="0" w:after="0" w:line="240" w:lineRule="auto"/>
      </w:pPr>
      <w:rPr>
        <w:b/>
        <w:bCs/>
      </w:rPr>
      <w:tblPr/>
      <w:tcPr>
        <w:tcBorders>
          <w:top w:val="single" w:sz="8" w:space="0" w:color="7B91A7" w:themeColor="accent4"/>
          <w:left w:val="nil"/>
          <w:bottom w:val="single" w:sz="8" w:space="0" w:color="7B91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3E9" w:themeFill="accent4" w:themeFillTint="3F"/>
      </w:tcPr>
    </w:tblStylePr>
    <w:tblStylePr w:type="band1Horz">
      <w:tblPr/>
      <w:tcPr>
        <w:tcBorders>
          <w:left w:val="nil"/>
          <w:right w:val="nil"/>
          <w:insideH w:val="nil"/>
          <w:insideV w:val="nil"/>
        </w:tcBorders>
        <w:shd w:val="clear" w:color="auto" w:fill="DEE3E9" w:themeFill="accent4" w:themeFillTint="3F"/>
      </w:tcPr>
    </w:tblStylePr>
  </w:style>
  <w:style w:type="table" w:styleId="LightShading-Accent5">
    <w:name w:val="Light Shading Accent 5"/>
    <w:basedOn w:val="TableNormal"/>
    <w:uiPriority w:val="60"/>
    <w:semiHidden/>
    <w:unhideWhenUsed/>
    <w:rsid w:val="00EA4EC2"/>
    <w:pPr>
      <w:spacing w:after="0"/>
    </w:pPr>
    <w:rPr>
      <w:color w:val="620F00" w:themeColor="accent5" w:themeShade="BF"/>
    </w:rPr>
    <w:tblPr>
      <w:tblStyleRowBandSize w:val="1"/>
      <w:tblStyleColBandSize w:val="1"/>
      <w:tblBorders>
        <w:top w:val="single" w:sz="8" w:space="0" w:color="831500" w:themeColor="accent5"/>
        <w:bottom w:val="single" w:sz="8" w:space="0" w:color="831500" w:themeColor="accent5"/>
      </w:tblBorders>
    </w:tblPr>
    <w:tblStylePr w:type="firstRow">
      <w:pPr>
        <w:spacing w:before="0" w:after="0" w:line="240" w:lineRule="auto"/>
      </w:pPr>
      <w:rPr>
        <w:b/>
        <w:bCs/>
      </w:rPr>
      <w:tblPr/>
      <w:tcPr>
        <w:tcBorders>
          <w:top w:val="single" w:sz="8" w:space="0" w:color="831500" w:themeColor="accent5"/>
          <w:left w:val="nil"/>
          <w:bottom w:val="single" w:sz="8" w:space="0" w:color="831500" w:themeColor="accent5"/>
          <w:right w:val="nil"/>
          <w:insideH w:val="nil"/>
          <w:insideV w:val="nil"/>
        </w:tcBorders>
      </w:tcPr>
    </w:tblStylePr>
    <w:tblStylePr w:type="lastRow">
      <w:pPr>
        <w:spacing w:before="0" w:after="0" w:line="240" w:lineRule="auto"/>
      </w:pPr>
      <w:rPr>
        <w:b/>
        <w:bCs/>
      </w:rPr>
      <w:tblPr/>
      <w:tcPr>
        <w:tcBorders>
          <w:top w:val="single" w:sz="8" w:space="0" w:color="831500" w:themeColor="accent5"/>
          <w:left w:val="nil"/>
          <w:bottom w:val="single" w:sz="8" w:space="0" w:color="831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A1" w:themeFill="accent5" w:themeFillTint="3F"/>
      </w:tcPr>
    </w:tblStylePr>
    <w:tblStylePr w:type="band1Horz">
      <w:tblPr/>
      <w:tcPr>
        <w:tcBorders>
          <w:left w:val="nil"/>
          <w:right w:val="nil"/>
          <w:insideH w:val="nil"/>
          <w:insideV w:val="nil"/>
        </w:tcBorders>
        <w:shd w:val="clear" w:color="auto" w:fill="FFB0A1" w:themeFill="accent5" w:themeFillTint="3F"/>
      </w:tcPr>
    </w:tblStylePr>
  </w:style>
  <w:style w:type="table" w:styleId="LightShading-Accent6">
    <w:name w:val="Light Shading Accent 6"/>
    <w:basedOn w:val="TableNormal"/>
    <w:uiPriority w:val="60"/>
    <w:semiHidden/>
    <w:unhideWhenUsed/>
    <w:rsid w:val="00EA4EC2"/>
    <w:pPr>
      <w:spacing w:after="0"/>
    </w:pPr>
    <w:rPr>
      <w:color w:val="FF0426" w:themeColor="accent6" w:themeShade="BF"/>
    </w:rPr>
    <w:tblPr>
      <w:tblStyleRowBandSize w:val="1"/>
      <w:tblStyleColBandSize w:val="1"/>
      <w:tblBorders>
        <w:top w:val="single" w:sz="8" w:space="0" w:color="FF5B72" w:themeColor="accent6"/>
        <w:bottom w:val="single" w:sz="8" w:space="0" w:color="FF5B72" w:themeColor="accent6"/>
      </w:tblBorders>
    </w:tblPr>
    <w:tblStylePr w:type="firstRow">
      <w:pPr>
        <w:spacing w:before="0" w:after="0" w:line="240" w:lineRule="auto"/>
      </w:pPr>
      <w:rPr>
        <w:b/>
        <w:bCs/>
      </w:rPr>
      <w:tblPr/>
      <w:tcPr>
        <w:tcBorders>
          <w:top w:val="single" w:sz="8" w:space="0" w:color="FF5B72" w:themeColor="accent6"/>
          <w:left w:val="nil"/>
          <w:bottom w:val="single" w:sz="8" w:space="0" w:color="FF5B72" w:themeColor="accent6"/>
          <w:right w:val="nil"/>
          <w:insideH w:val="nil"/>
          <w:insideV w:val="nil"/>
        </w:tcBorders>
      </w:tcPr>
    </w:tblStylePr>
    <w:tblStylePr w:type="lastRow">
      <w:pPr>
        <w:spacing w:before="0" w:after="0" w:line="240" w:lineRule="auto"/>
      </w:pPr>
      <w:rPr>
        <w:b/>
        <w:bCs/>
      </w:rPr>
      <w:tblPr/>
      <w:tcPr>
        <w:tcBorders>
          <w:top w:val="single" w:sz="8" w:space="0" w:color="FF5B72" w:themeColor="accent6"/>
          <w:left w:val="nil"/>
          <w:bottom w:val="single" w:sz="8" w:space="0" w:color="FF5B7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DB" w:themeFill="accent6" w:themeFillTint="3F"/>
      </w:tcPr>
    </w:tblStylePr>
    <w:tblStylePr w:type="band1Horz">
      <w:tblPr/>
      <w:tcPr>
        <w:tcBorders>
          <w:left w:val="nil"/>
          <w:right w:val="nil"/>
          <w:insideH w:val="nil"/>
          <w:insideV w:val="nil"/>
        </w:tcBorders>
        <w:shd w:val="clear" w:color="auto" w:fill="FFD6DB"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1"/>
      </w:numPr>
      <w:contextualSpacing/>
    </w:pPr>
  </w:style>
  <w:style w:type="paragraph" w:styleId="ListBullet2">
    <w:name w:val="List Bullet 2"/>
    <w:basedOn w:val="Normal"/>
    <w:uiPriority w:val="99"/>
    <w:semiHidden/>
    <w:unhideWhenUsed/>
    <w:rsid w:val="00EA4EC2"/>
    <w:pPr>
      <w:numPr>
        <w:numId w:val="2"/>
      </w:numPr>
      <w:contextualSpacing/>
    </w:pPr>
  </w:style>
  <w:style w:type="paragraph" w:styleId="ListBullet3">
    <w:name w:val="List Bullet 3"/>
    <w:basedOn w:val="Normal"/>
    <w:uiPriority w:val="99"/>
    <w:semiHidden/>
    <w:unhideWhenUsed/>
    <w:rsid w:val="00EA4EC2"/>
    <w:pPr>
      <w:numPr>
        <w:numId w:val="3"/>
      </w:numPr>
      <w:contextualSpacing/>
    </w:pPr>
  </w:style>
  <w:style w:type="paragraph" w:styleId="ListBullet4">
    <w:name w:val="List Bullet 4"/>
    <w:basedOn w:val="Normal"/>
    <w:uiPriority w:val="99"/>
    <w:semiHidden/>
    <w:unhideWhenUsed/>
    <w:rsid w:val="00EA4EC2"/>
    <w:pPr>
      <w:numPr>
        <w:numId w:val="4"/>
      </w:numPr>
      <w:contextualSpacing/>
    </w:pPr>
  </w:style>
  <w:style w:type="paragraph" w:styleId="ListBullet5">
    <w:name w:val="List Bullet 5"/>
    <w:basedOn w:val="Normal"/>
    <w:uiPriority w:val="99"/>
    <w:semiHidden/>
    <w:unhideWhenUsed/>
    <w:rsid w:val="00EA4EC2"/>
    <w:pPr>
      <w:numPr>
        <w:numId w:val="5"/>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6"/>
      </w:numPr>
      <w:contextualSpacing/>
    </w:pPr>
  </w:style>
  <w:style w:type="paragraph" w:styleId="ListNumber2">
    <w:name w:val="List Number 2"/>
    <w:basedOn w:val="Normal"/>
    <w:uiPriority w:val="99"/>
    <w:semiHidden/>
    <w:unhideWhenUsed/>
    <w:rsid w:val="00EA4EC2"/>
    <w:pPr>
      <w:numPr>
        <w:numId w:val="7"/>
      </w:numPr>
      <w:contextualSpacing/>
    </w:pPr>
  </w:style>
  <w:style w:type="paragraph" w:styleId="ListNumber3">
    <w:name w:val="List Number 3"/>
    <w:basedOn w:val="Normal"/>
    <w:uiPriority w:val="99"/>
    <w:semiHidden/>
    <w:unhideWhenUsed/>
    <w:rsid w:val="00EA4EC2"/>
    <w:pPr>
      <w:numPr>
        <w:numId w:val="8"/>
      </w:numPr>
      <w:contextualSpacing/>
    </w:pPr>
  </w:style>
  <w:style w:type="paragraph" w:styleId="ListNumber4">
    <w:name w:val="List Number 4"/>
    <w:basedOn w:val="Normal"/>
    <w:uiPriority w:val="99"/>
    <w:semiHidden/>
    <w:unhideWhenUsed/>
    <w:rsid w:val="00EA4EC2"/>
    <w:pPr>
      <w:numPr>
        <w:numId w:val="9"/>
      </w:numPr>
      <w:contextualSpacing/>
    </w:pPr>
  </w:style>
  <w:style w:type="paragraph" w:styleId="ListNumber5">
    <w:name w:val="List Number 5"/>
    <w:basedOn w:val="Normal"/>
    <w:uiPriority w:val="99"/>
    <w:semiHidden/>
    <w:unhideWhenUsed/>
    <w:rsid w:val="00EA4EC2"/>
    <w:pPr>
      <w:numPr>
        <w:numId w:val="10"/>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427ABD" w:themeColor="text1" w:themeTint="99"/>
        </w:tcBorders>
      </w:tcPr>
    </w:tblStylePr>
    <w:tblStylePr w:type="lastRow">
      <w:rPr>
        <w:b/>
        <w:bCs/>
      </w:rPr>
      <w:tblPr/>
      <w:tcPr>
        <w:tcBorders>
          <w:top w:val="single" w:sz="4" w:space="0" w:color="427ABD" w:themeColor="text1" w:themeTint="99"/>
        </w:tcBorders>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427ABD" w:themeColor="accent1" w:themeTint="99"/>
        </w:tcBorders>
      </w:tcPr>
    </w:tblStylePr>
    <w:tblStylePr w:type="lastRow">
      <w:rPr>
        <w:b/>
        <w:bCs/>
      </w:rPr>
      <w:tblPr/>
      <w:tcPr>
        <w:tcBorders>
          <w:top w:val="single" w:sz="4" w:space="0" w:color="427ABD" w:themeColor="accent1" w:themeTint="99"/>
        </w:tcBorders>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3395FF" w:themeColor="accent2" w:themeTint="99"/>
        </w:tcBorders>
      </w:tcPr>
    </w:tblStylePr>
    <w:tblStylePr w:type="lastRow">
      <w:rPr>
        <w:b/>
        <w:bCs/>
      </w:rPr>
      <w:tblPr/>
      <w:tcPr>
        <w:tcBorders>
          <w:top w:val="single" w:sz="4" w:space="0" w:color="3395FF" w:themeColor="accent2" w:themeTint="99"/>
        </w:tcBorders>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78BBFF" w:themeColor="accent3" w:themeTint="99"/>
        </w:tcBorders>
      </w:tcPr>
    </w:tblStylePr>
    <w:tblStylePr w:type="lastRow">
      <w:rPr>
        <w:b/>
        <w:bCs/>
      </w:rPr>
      <w:tblPr/>
      <w:tcPr>
        <w:tcBorders>
          <w:top w:val="single" w:sz="4" w:space="0" w:color="78BBFF" w:themeColor="accent3" w:themeTint="99"/>
        </w:tcBorders>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AFBCCA" w:themeColor="accent4" w:themeTint="99"/>
        </w:tcBorders>
      </w:tcPr>
    </w:tblStylePr>
    <w:tblStylePr w:type="lastRow">
      <w:rPr>
        <w:b/>
        <w:bCs/>
      </w:rPr>
      <w:tblPr/>
      <w:tcPr>
        <w:tcBorders>
          <w:top w:val="single" w:sz="4" w:space="0" w:color="AFBCCA" w:themeColor="accent4" w:themeTint="99"/>
        </w:tcBorders>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FF3F1B" w:themeColor="accent5" w:themeTint="99"/>
        </w:tcBorders>
      </w:tcPr>
    </w:tblStylePr>
    <w:tblStylePr w:type="lastRow">
      <w:rPr>
        <w:b/>
        <w:bCs/>
      </w:rPr>
      <w:tblPr/>
      <w:tcPr>
        <w:tcBorders>
          <w:top w:val="single" w:sz="4" w:space="0" w:color="FF3F1B" w:themeColor="accent5" w:themeTint="99"/>
        </w:tcBorders>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FF9CA9" w:themeColor="accent6" w:themeTint="99"/>
        </w:tcBorders>
      </w:tcPr>
    </w:tblStylePr>
    <w:tblStylePr w:type="lastRow">
      <w:rPr>
        <w:b/>
        <w:bCs/>
      </w:rPr>
      <w:tblPr/>
      <w:tcPr>
        <w:tcBorders>
          <w:top w:val="single" w:sz="4" w:space="0" w:color="FF9CA9" w:themeColor="accent6" w:themeTint="99"/>
        </w:tcBorders>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427ABD" w:themeColor="text1" w:themeTint="99"/>
        <w:bottom w:val="single" w:sz="4" w:space="0" w:color="427ABD" w:themeColor="text1" w:themeTint="99"/>
        <w:insideH w:val="single" w:sz="4" w:space="0" w:color="427AB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427ABD" w:themeColor="accent1" w:themeTint="99"/>
        <w:bottom w:val="single" w:sz="4" w:space="0" w:color="427ABD" w:themeColor="accent1" w:themeTint="99"/>
        <w:insideH w:val="single" w:sz="4" w:space="0" w:color="427A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3395FF" w:themeColor="accent2" w:themeTint="99"/>
        <w:bottom w:val="single" w:sz="4" w:space="0" w:color="3395FF" w:themeColor="accent2" w:themeTint="99"/>
        <w:insideH w:val="single" w:sz="4" w:space="0" w:color="3395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78BBFF" w:themeColor="accent3" w:themeTint="99"/>
        <w:bottom w:val="single" w:sz="4" w:space="0" w:color="78BBFF" w:themeColor="accent3" w:themeTint="99"/>
        <w:insideH w:val="single" w:sz="4" w:space="0" w:color="78B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AFBCCA" w:themeColor="accent4" w:themeTint="99"/>
        <w:bottom w:val="single" w:sz="4" w:space="0" w:color="AFBCCA" w:themeColor="accent4" w:themeTint="99"/>
        <w:insideH w:val="single" w:sz="4" w:space="0" w:color="AFBC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FF3F1B" w:themeColor="accent5" w:themeTint="99"/>
        <w:bottom w:val="single" w:sz="4" w:space="0" w:color="FF3F1B" w:themeColor="accent5" w:themeTint="99"/>
        <w:insideH w:val="single" w:sz="4" w:space="0" w:color="FF3F1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FF9CA9" w:themeColor="accent6" w:themeTint="99"/>
        <w:bottom w:val="single" w:sz="4" w:space="0" w:color="FF9CA9" w:themeColor="accent6" w:themeTint="99"/>
        <w:insideH w:val="single" w:sz="4" w:space="0" w:color="FF9CA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16293F" w:themeColor="text1"/>
        <w:left w:val="single" w:sz="4" w:space="0" w:color="16293F" w:themeColor="text1"/>
        <w:bottom w:val="single" w:sz="4" w:space="0" w:color="16293F" w:themeColor="text1"/>
        <w:right w:val="single" w:sz="4" w:space="0" w:color="16293F" w:themeColor="text1"/>
      </w:tblBorders>
    </w:tblPr>
    <w:tblStylePr w:type="firstRow">
      <w:rPr>
        <w:b/>
        <w:bCs/>
        <w:color w:val="FFFFFF" w:themeColor="background1"/>
      </w:rPr>
      <w:tblPr/>
      <w:tcPr>
        <w:shd w:val="clear" w:color="auto" w:fill="16293F" w:themeFill="text1"/>
      </w:tcPr>
    </w:tblStylePr>
    <w:tblStylePr w:type="lastRow">
      <w:rPr>
        <w:b/>
        <w:bCs/>
      </w:rPr>
      <w:tblPr/>
      <w:tcPr>
        <w:tcBorders>
          <w:top w:val="double" w:sz="4" w:space="0" w:color="16293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293F" w:themeColor="text1"/>
          <w:right w:val="single" w:sz="4" w:space="0" w:color="16293F" w:themeColor="text1"/>
        </w:tcBorders>
      </w:tcPr>
    </w:tblStylePr>
    <w:tblStylePr w:type="band1Horz">
      <w:tblPr/>
      <w:tcPr>
        <w:tcBorders>
          <w:top w:val="single" w:sz="4" w:space="0" w:color="16293F" w:themeColor="text1"/>
          <w:bottom w:val="single" w:sz="4" w:space="0" w:color="16293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293F" w:themeColor="text1"/>
          <w:left w:val="nil"/>
        </w:tcBorders>
      </w:tcPr>
    </w:tblStylePr>
    <w:tblStylePr w:type="swCell">
      <w:tblPr/>
      <w:tcPr>
        <w:tcBorders>
          <w:top w:val="double" w:sz="4" w:space="0" w:color="16293F"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16293F" w:themeColor="accent1"/>
        <w:left w:val="single" w:sz="4" w:space="0" w:color="16293F" w:themeColor="accent1"/>
        <w:bottom w:val="single" w:sz="4" w:space="0" w:color="16293F" w:themeColor="accent1"/>
        <w:right w:val="single" w:sz="4" w:space="0" w:color="16293F" w:themeColor="accent1"/>
      </w:tblBorders>
    </w:tblPr>
    <w:tblStylePr w:type="firstRow">
      <w:rPr>
        <w:b/>
        <w:bCs/>
        <w:color w:val="FFFFFF" w:themeColor="background1"/>
      </w:rPr>
      <w:tblPr/>
      <w:tcPr>
        <w:shd w:val="clear" w:color="auto" w:fill="16293F" w:themeFill="accent1"/>
      </w:tcPr>
    </w:tblStylePr>
    <w:tblStylePr w:type="lastRow">
      <w:rPr>
        <w:b/>
        <w:bCs/>
      </w:rPr>
      <w:tblPr/>
      <w:tcPr>
        <w:tcBorders>
          <w:top w:val="double" w:sz="4" w:space="0" w:color="1629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293F" w:themeColor="accent1"/>
          <w:right w:val="single" w:sz="4" w:space="0" w:color="16293F" w:themeColor="accent1"/>
        </w:tcBorders>
      </w:tcPr>
    </w:tblStylePr>
    <w:tblStylePr w:type="band1Horz">
      <w:tblPr/>
      <w:tcPr>
        <w:tcBorders>
          <w:top w:val="single" w:sz="4" w:space="0" w:color="16293F" w:themeColor="accent1"/>
          <w:bottom w:val="single" w:sz="4" w:space="0" w:color="1629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293F" w:themeColor="accent1"/>
          <w:left w:val="nil"/>
        </w:tcBorders>
      </w:tcPr>
    </w:tblStylePr>
    <w:tblStylePr w:type="swCell">
      <w:tblPr/>
      <w:tcPr>
        <w:tcBorders>
          <w:top w:val="double" w:sz="4" w:space="0" w:color="16293F"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0052AA" w:themeColor="accent2"/>
        <w:left w:val="single" w:sz="4" w:space="0" w:color="0052AA" w:themeColor="accent2"/>
        <w:bottom w:val="single" w:sz="4" w:space="0" w:color="0052AA" w:themeColor="accent2"/>
        <w:right w:val="single" w:sz="4" w:space="0" w:color="0052AA" w:themeColor="accent2"/>
      </w:tblBorders>
    </w:tblPr>
    <w:tblStylePr w:type="firstRow">
      <w:rPr>
        <w:b/>
        <w:bCs/>
        <w:color w:val="FFFFFF" w:themeColor="background1"/>
      </w:rPr>
      <w:tblPr/>
      <w:tcPr>
        <w:shd w:val="clear" w:color="auto" w:fill="0052AA" w:themeFill="accent2"/>
      </w:tcPr>
    </w:tblStylePr>
    <w:tblStylePr w:type="lastRow">
      <w:rPr>
        <w:b/>
        <w:bCs/>
      </w:rPr>
      <w:tblPr/>
      <w:tcPr>
        <w:tcBorders>
          <w:top w:val="double" w:sz="4" w:space="0" w:color="0052A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A" w:themeColor="accent2"/>
          <w:right w:val="single" w:sz="4" w:space="0" w:color="0052AA" w:themeColor="accent2"/>
        </w:tcBorders>
      </w:tcPr>
    </w:tblStylePr>
    <w:tblStylePr w:type="band1Horz">
      <w:tblPr/>
      <w:tcPr>
        <w:tcBorders>
          <w:top w:val="single" w:sz="4" w:space="0" w:color="0052AA" w:themeColor="accent2"/>
          <w:bottom w:val="single" w:sz="4" w:space="0" w:color="0052A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A" w:themeColor="accent2"/>
          <w:left w:val="nil"/>
        </w:tcBorders>
      </w:tcPr>
    </w:tblStylePr>
    <w:tblStylePr w:type="swCell">
      <w:tblPr/>
      <w:tcPr>
        <w:tcBorders>
          <w:top w:val="double" w:sz="4" w:space="0" w:color="0052AA"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1F8FFF" w:themeColor="accent3"/>
        <w:left w:val="single" w:sz="4" w:space="0" w:color="1F8FFF" w:themeColor="accent3"/>
        <w:bottom w:val="single" w:sz="4" w:space="0" w:color="1F8FFF" w:themeColor="accent3"/>
        <w:right w:val="single" w:sz="4" w:space="0" w:color="1F8FFF" w:themeColor="accent3"/>
      </w:tblBorders>
    </w:tblPr>
    <w:tblStylePr w:type="firstRow">
      <w:rPr>
        <w:b/>
        <w:bCs/>
        <w:color w:val="FFFFFF" w:themeColor="background1"/>
      </w:rPr>
      <w:tblPr/>
      <w:tcPr>
        <w:shd w:val="clear" w:color="auto" w:fill="1F8FFF" w:themeFill="accent3"/>
      </w:tcPr>
    </w:tblStylePr>
    <w:tblStylePr w:type="lastRow">
      <w:rPr>
        <w:b/>
        <w:bCs/>
      </w:rPr>
      <w:tblPr/>
      <w:tcPr>
        <w:tcBorders>
          <w:top w:val="double" w:sz="4" w:space="0" w:color="1F8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8FFF" w:themeColor="accent3"/>
          <w:right w:val="single" w:sz="4" w:space="0" w:color="1F8FFF" w:themeColor="accent3"/>
        </w:tcBorders>
      </w:tcPr>
    </w:tblStylePr>
    <w:tblStylePr w:type="band1Horz">
      <w:tblPr/>
      <w:tcPr>
        <w:tcBorders>
          <w:top w:val="single" w:sz="4" w:space="0" w:color="1F8FFF" w:themeColor="accent3"/>
          <w:bottom w:val="single" w:sz="4" w:space="0" w:color="1F8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8FFF" w:themeColor="accent3"/>
          <w:left w:val="nil"/>
        </w:tcBorders>
      </w:tcPr>
    </w:tblStylePr>
    <w:tblStylePr w:type="swCell">
      <w:tblPr/>
      <w:tcPr>
        <w:tcBorders>
          <w:top w:val="double" w:sz="4" w:space="0" w:color="1F8FFF"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7B91A7" w:themeColor="accent4"/>
        <w:left w:val="single" w:sz="4" w:space="0" w:color="7B91A7" w:themeColor="accent4"/>
        <w:bottom w:val="single" w:sz="4" w:space="0" w:color="7B91A7" w:themeColor="accent4"/>
        <w:right w:val="single" w:sz="4" w:space="0" w:color="7B91A7" w:themeColor="accent4"/>
      </w:tblBorders>
    </w:tblPr>
    <w:tblStylePr w:type="firstRow">
      <w:rPr>
        <w:b/>
        <w:bCs/>
        <w:color w:val="FFFFFF" w:themeColor="background1"/>
      </w:rPr>
      <w:tblPr/>
      <w:tcPr>
        <w:shd w:val="clear" w:color="auto" w:fill="7B91A7" w:themeFill="accent4"/>
      </w:tcPr>
    </w:tblStylePr>
    <w:tblStylePr w:type="lastRow">
      <w:rPr>
        <w:b/>
        <w:bCs/>
      </w:rPr>
      <w:tblPr/>
      <w:tcPr>
        <w:tcBorders>
          <w:top w:val="double" w:sz="4" w:space="0" w:color="7B91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91A7" w:themeColor="accent4"/>
          <w:right w:val="single" w:sz="4" w:space="0" w:color="7B91A7" w:themeColor="accent4"/>
        </w:tcBorders>
      </w:tcPr>
    </w:tblStylePr>
    <w:tblStylePr w:type="band1Horz">
      <w:tblPr/>
      <w:tcPr>
        <w:tcBorders>
          <w:top w:val="single" w:sz="4" w:space="0" w:color="7B91A7" w:themeColor="accent4"/>
          <w:bottom w:val="single" w:sz="4" w:space="0" w:color="7B91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91A7" w:themeColor="accent4"/>
          <w:left w:val="nil"/>
        </w:tcBorders>
      </w:tcPr>
    </w:tblStylePr>
    <w:tblStylePr w:type="swCell">
      <w:tblPr/>
      <w:tcPr>
        <w:tcBorders>
          <w:top w:val="double" w:sz="4" w:space="0" w:color="7B91A7"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831500" w:themeColor="accent5"/>
        <w:left w:val="single" w:sz="4" w:space="0" w:color="831500" w:themeColor="accent5"/>
        <w:bottom w:val="single" w:sz="4" w:space="0" w:color="831500" w:themeColor="accent5"/>
        <w:right w:val="single" w:sz="4" w:space="0" w:color="831500" w:themeColor="accent5"/>
      </w:tblBorders>
    </w:tblPr>
    <w:tblStylePr w:type="firstRow">
      <w:rPr>
        <w:b/>
        <w:bCs/>
        <w:color w:val="FFFFFF" w:themeColor="background1"/>
      </w:rPr>
      <w:tblPr/>
      <w:tcPr>
        <w:shd w:val="clear" w:color="auto" w:fill="831500" w:themeFill="accent5"/>
      </w:tcPr>
    </w:tblStylePr>
    <w:tblStylePr w:type="lastRow">
      <w:rPr>
        <w:b/>
        <w:bCs/>
      </w:rPr>
      <w:tblPr/>
      <w:tcPr>
        <w:tcBorders>
          <w:top w:val="double" w:sz="4" w:space="0" w:color="831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1500" w:themeColor="accent5"/>
          <w:right w:val="single" w:sz="4" w:space="0" w:color="831500" w:themeColor="accent5"/>
        </w:tcBorders>
      </w:tcPr>
    </w:tblStylePr>
    <w:tblStylePr w:type="band1Horz">
      <w:tblPr/>
      <w:tcPr>
        <w:tcBorders>
          <w:top w:val="single" w:sz="4" w:space="0" w:color="831500" w:themeColor="accent5"/>
          <w:bottom w:val="single" w:sz="4" w:space="0" w:color="831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1500" w:themeColor="accent5"/>
          <w:left w:val="nil"/>
        </w:tcBorders>
      </w:tcPr>
    </w:tblStylePr>
    <w:tblStylePr w:type="swCell">
      <w:tblPr/>
      <w:tcPr>
        <w:tcBorders>
          <w:top w:val="double" w:sz="4" w:space="0" w:color="831500"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FF5B72" w:themeColor="accent6"/>
        <w:left w:val="single" w:sz="4" w:space="0" w:color="FF5B72" w:themeColor="accent6"/>
        <w:bottom w:val="single" w:sz="4" w:space="0" w:color="FF5B72" w:themeColor="accent6"/>
        <w:right w:val="single" w:sz="4" w:space="0" w:color="FF5B72" w:themeColor="accent6"/>
      </w:tblBorders>
    </w:tblPr>
    <w:tblStylePr w:type="firstRow">
      <w:rPr>
        <w:b/>
        <w:bCs/>
        <w:color w:val="FFFFFF" w:themeColor="background1"/>
      </w:rPr>
      <w:tblPr/>
      <w:tcPr>
        <w:shd w:val="clear" w:color="auto" w:fill="FF5B72" w:themeFill="accent6"/>
      </w:tcPr>
    </w:tblStylePr>
    <w:tblStylePr w:type="lastRow">
      <w:rPr>
        <w:b/>
        <w:bCs/>
      </w:rPr>
      <w:tblPr/>
      <w:tcPr>
        <w:tcBorders>
          <w:top w:val="double" w:sz="4" w:space="0" w:color="FF5B7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B72" w:themeColor="accent6"/>
          <w:right w:val="single" w:sz="4" w:space="0" w:color="FF5B72" w:themeColor="accent6"/>
        </w:tcBorders>
      </w:tcPr>
    </w:tblStylePr>
    <w:tblStylePr w:type="band1Horz">
      <w:tblPr/>
      <w:tcPr>
        <w:tcBorders>
          <w:top w:val="single" w:sz="4" w:space="0" w:color="FF5B72" w:themeColor="accent6"/>
          <w:bottom w:val="single" w:sz="4" w:space="0" w:color="FF5B7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B72" w:themeColor="accent6"/>
          <w:left w:val="nil"/>
        </w:tcBorders>
      </w:tcPr>
    </w:tblStylePr>
    <w:tblStylePr w:type="swCell">
      <w:tblPr/>
      <w:tcPr>
        <w:tcBorders>
          <w:top w:val="double" w:sz="4" w:space="0" w:color="FF5B72"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427ABD" w:themeColor="text1" w:themeTint="99"/>
        <w:left w:val="single" w:sz="4" w:space="0" w:color="427ABD" w:themeColor="text1" w:themeTint="99"/>
        <w:bottom w:val="single" w:sz="4" w:space="0" w:color="427ABD" w:themeColor="text1" w:themeTint="99"/>
        <w:right w:val="single" w:sz="4" w:space="0" w:color="427ABD" w:themeColor="text1" w:themeTint="99"/>
        <w:insideH w:val="single" w:sz="4" w:space="0" w:color="427ABD" w:themeColor="text1" w:themeTint="99"/>
      </w:tblBorders>
    </w:tblPr>
    <w:tblStylePr w:type="firstRow">
      <w:rPr>
        <w:b/>
        <w:bCs/>
        <w:color w:val="FFFFFF" w:themeColor="background1"/>
      </w:rPr>
      <w:tblPr/>
      <w:tcPr>
        <w:tcBorders>
          <w:top w:val="single" w:sz="4" w:space="0" w:color="16293F" w:themeColor="text1"/>
          <w:left w:val="single" w:sz="4" w:space="0" w:color="16293F" w:themeColor="text1"/>
          <w:bottom w:val="single" w:sz="4" w:space="0" w:color="16293F" w:themeColor="text1"/>
          <w:right w:val="single" w:sz="4" w:space="0" w:color="16293F" w:themeColor="text1"/>
          <w:insideH w:val="nil"/>
        </w:tcBorders>
        <w:shd w:val="clear" w:color="auto" w:fill="16293F" w:themeFill="text1"/>
      </w:tcPr>
    </w:tblStylePr>
    <w:tblStylePr w:type="lastRow">
      <w:rPr>
        <w:b/>
        <w:bCs/>
      </w:rPr>
      <w:tblPr/>
      <w:tcPr>
        <w:tcBorders>
          <w:top w:val="double" w:sz="4" w:space="0" w:color="427ABD" w:themeColor="text1" w:themeTint="99"/>
        </w:tcBorders>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427ABD" w:themeColor="accent1" w:themeTint="99"/>
        <w:left w:val="single" w:sz="4" w:space="0" w:color="427ABD" w:themeColor="accent1" w:themeTint="99"/>
        <w:bottom w:val="single" w:sz="4" w:space="0" w:color="427ABD" w:themeColor="accent1" w:themeTint="99"/>
        <w:right w:val="single" w:sz="4" w:space="0" w:color="427ABD" w:themeColor="accent1" w:themeTint="99"/>
        <w:insideH w:val="single" w:sz="4" w:space="0" w:color="427ABD" w:themeColor="accent1" w:themeTint="99"/>
      </w:tblBorders>
    </w:tblPr>
    <w:tblStylePr w:type="firstRow">
      <w:rPr>
        <w:b/>
        <w:bCs/>
        <w:color w:val="FFFFFF" w:themeColor="background1"/>
      </w:rPr>
      <w:tblPr/>
      <w:tcPr>
        <w:tcBorders>
          <w:top w:val="single" w:sz="4" w:space="0" w:color="16293F" w:themeColor="accent1"/>
          <w:left w:val="single" w:sz="4" w:space="0" w:color="16293F" w:themeColor="accent1"/>
          <w:bottom w:val="single" w:sz="4" w:space="0" w:color="16293F" w:themeColor="accent1"/>
          <w:right w:val="single" w:sz="4" w:space="0" w:color="16293F" w:themeColor="accent1"/>
          <w:insideH w:val="nil"/>
        </w:tcBorders>
        <w:shd w:val="clear" w:color="auto" w:fill="16293F" w:themeFill="accent1"/>
      </w:tcPr>
    </w:tblStylePr>
    <w:tblStylePr w:type="lastRow">
      <w:rPr>
        <w:b/>
        <w:bCs/>
      </w:rPr>
      <w:tblPr/>
      <w:tcPr>
        <w:tcBorders>
          <w:top w:val="double" w:sz="4" w:space="0" w:color="427ABD" w:themeColor="accent1" w:themeTint="99"/>
        </w:tcBorders>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3395FF" w:themeColor="accent2" w:themeTint="99"/>
        <w:left w:val="single" w:sz="4" w:space="0" w:color="3395FF" w:themeColor="accent2" w:themeTint="99"/>
        <w:bottom w:val="single" w:sz="4" w:space="0" w:color="3395FF" w:themeColor="accent2" w:themeTint="99"/>
        <w:right w:val="single" w:sz="4" w:space="0" w:color="3395FF" w:themeColor="accent2" w:themeTint="99"/>
        <w:insideH w:val="single" w:sz="4" w:space="0" w:color="3395FF" w:themeColor="accent2" w:themeTint="99"/>
      </w:tblBorders>
    </w:tblPr>
    <w:tblStylePr w:type="firstRow">
      <w:rPr>
        <w:b/>
        <w:bCs/>
        <w:color w:val="FFFFFF" w:themeColor="background1"/>
      </w:rPr>
      <w:tblPr/>
      <w:tcPr>
        <w:tcBorders>
          <w:top w:val="single" w:sz="4" w:space="0" w:color="0052AA" w:themeColor="accent2"/>
          <w:left w:val="single" w:sz="4" w:space="0" w:color="0052AA" w:themeColor="accent2"/>
          <w:bottom w:val="single" w:sz="4" w:space="0" w:color="0052AA" w:themeColor="accent2"/>
          <w:right w:val="single" w:sz="4" w:space="0" w:color="0052AA" w:themeColor="accent2"/>
          <w:insideH w:val="nil"/>
        </w:tcBorders>
        <w:shd w:val="clear" w:color="auto" w:fill="0052AA" w:themeFill="accent2"/>
      </w:tcPr>
    </w:tblStylePr>
    <w:tblStylePr w:type="lastRow">
      <w:rPr>
        <w:b/>
        <w:bCs/>
      </w:rPr>
      <w:tblPr/>
      <w:tcPr>
        <w:tcBorders>
          <w:top w:val="double" w:sz="4" w:space="0" w:color="3395FF" w:themeColor="accent2" w:themeTint="99"/>
        </w:tcBorders>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78BBFF" w:themeColor="accent3" w:themeTint="99"/>
        <w:left w:val="single" w:sz="4" w:space="0" w:color="78BBFF" w:themeColor="accent3" w:themeTint="99"/>
        <w:bottom w:val="single" w:sz="4" w:space="0" w:color="78BBFF" w:themeColor="accent3" w:themeTint="99"/>
        <w:right w:val="single" w:sz="4" w:space="0" w:color="78BBFF" w:themeColor="accent3" w:themeTint="99"/>
        <w:insideH w:val="single" w:sz="4" w:space="0" w:color="78BBFF" w:themeColor="accent3" w:themeTint="99"/>
      </w:tblBorders>
    </w:tblPr>
    <w:tblStylePr w:type="firstRow">
      <w:rPr>
        <w:b/>
        <w:bCs/>
        <w:color w:val="FFFFFF" w:themeColor="background1"/>
      </w:rPr>
      <w:tblPr/>
      <w:tcPr>
        <w:tcBorders>
          <w:top w:val="single" w:sz="4" w:space="0" w:color="1F8FFF" w:themeColor="accent3"/>
          <w:left w:val="single" w:sz="4" w:space="0" w:color="1F8FFF" w:themeColor="accent3"/>
          <w:bottom w:val="single" w:sz="4" w:space="0" w:color="1F8FFF" w:themeColor="accent3"/>
          <w:right w:val="single" w:sz="4" w:space="0" w:color="1F8FFF" w:themeColor="accent3"/>
          <w:insideH w:val="nil"/>
        </w:tcBorders>
        <w:shd w:val="clear" w:color="auto" w:fill="1F8FFF" w:themeFill="accent3"/>
      </w:tcPr>
    </w:tblStylePr>
    <w:tblStylePr w:type="lastRow">
      <w:rPr>
        <w:b/>
        <w:bCs/>
      </w:rPr>
      <w:tblPr/>
      <w:tcPr>
        <w:tcBorders>
          <w:top w:val="double" w:sz="4" w:space="0" w:color="78BBFF" w:themeColor="accent3" w:themeTint="99"/>
        </w:tcBorders>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AFBCCA" w:themeColor="accent4" w:themeTint="99"/>
        <w:left w:val="single" w:sz="4" w:space="0" w:color="AFBCCA" w:themeColor="accent4" w:themeTint="99"/>
        <w:bottom w:val="single" w:sz="4" w:space="0" w:color="AFBCCA" w:themeColor="accent4" w:themeTint="99"/>
        <w:right w:val="single" w:sz="4" w:space="0" w:color="AFBCCA" w:themeColor="accent4" w:themeTint="99"/>
        <w:insideH w:val="single" w:sz="4" w:space="0" w:color="AFBCCA" w:themeColor="accent4" w:themeTint="99"/>
      </w:tblBorders>
    </w:tblPr>
    <w:tblStylePr w:type="firstRow">
      <w:rPr>
        <w:b/>
        <w:bCs/>
        <w:color w:val="FFFFFF" w:themeColor="background1"/>
      </w:rPr>
      <w:tblPr/>
      <w:tcPr>
        <w:tcBorders>
          <w:top w:val="single" w:sz="4" w:space="0" w:color="7B91A7" w:themeColor="accent4"/>
          <w:left w:val="single" w:sz="4" w:space="0" w:color="7B91A7" w:themeColor="accent4"/>
          <w:bottom w:val="single" w:sz="4" w:space="0" w:color="7B91A7" w:themeColor="accent4"/>
          <w:right w:val="single" w:sz="4" w:space="0" w:color="7B91A7" w:themeColor="accent4"/>
          <w:insideH w:val="nil"/>
        </w:tcBorders>
        <w:shd w:val="clear" w:color="auto" w:fill="7B91A7" w:themeFill="accent4"/>
      </w:tcPr>
    </w:tblStylePr>
    <w:tblStylePr w:type="lastRow">
      <w:rPr>
        <w:b/>
        <w:bCs/>
      </w:rPr>
      <w:tblPr/>
      <w:tcPr>
        <w:tcBorders>
          <w:top w:val="double" w:sz="4" w:space="0" w:color="AFBCCA" w:themeColor="accent4" w:themeTint="99"/>
        </w:tcBorders>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FF3F1B" w:themeColor="accent5" w:themeTint="99"/>
        <w:left w:val="single" w:sz="4" w:space="0" w:color="FF3F1B" w:themeColor="accent5" w:themeTint="99"/>
        <w:bottom w:val="single" w:sz="4" w:space="0" w:color="FF3F1B" w:themeColor="accent5" w:themeTint="99"/>
        <w:right w:val="single" w:sz="4" w:space="0" w:color="FF3F1B" w:themeColor="accent5" w:themeTint="99"/>
        <w:insideH w:val="single" w:sz="4" w:space="0" w:color="FF3F1B" w:themeColor="accent5" w:themeTint="99"/>
      </w:tblBorders>
    </w:tblPr>
    <w:tblStylePr w:type="firstRow">
      <w:rPr>
        <w:b/>
        <w:bCs/>
        <w:color w:val="FFFFFF" w:themeColor="background1"/>
      </w:rPr>
      <w:tblPr/>
      <w:tcPr>
        <w:tcBorders>
          <w:top w:val="single" w:sz="4" w:space="0" w:color="831500" w:themeColor="accent5"/>
          <w:left w:val="single" w:sz="4" w:space="0" w:color="831500" w:themeColor="accent5"/>
          <w:bottom w:val="single" w:sz="4" w:space="0" w:color="831500" w:themeColor="accent5"/>
          <w:right w:val="single" w:sz="4" w:space="0" w:color="831500" w:themeColor="accent5"/>
          <w:insideH w:val="nil"/>
        </w:tcBorders>
        <w:shd w:val="clear" w:color="auto" w:fill="831500" w:themeFill="accent5"/>
      </w:tcPr>
    </w:tblStylePr>
    <w:tblStylePr w:type="lastRow">
      <w:rPr>
        <w:b/>
        <w:bCs/>
      </w:rPr>
      <w:tblPr/>
      <w:tcPr>
        <w:tcBorders>
          <w:top w:val="double" w:sz="4" w:space="0" w:color="FF3F1B" w:themeColor="accent5" w:themeTint="99"/>
        </w:tcBorders>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FF9CA9" w:themeColor="accent6" w:themeTint="99"/>
        <w:left w:val="single" w:sz="4" w:space="0" w:color="FF9CA9" w:themeColor="accent6" w:themeTint="99"/>
        <w:bottom w:val="single" w:sz="4" w:space="0" w:color="FF9CA9" w:themeColor="accent6" w:themeTint="99"/>
        <w:right w:val="single" w:sz="4" w:space="0" w:color="FF9CA9" w:themeColor="accent6" w:themeTint="99"/>
        <w:insideH w:val="single" w:sz="4" w:space="0" w:color="FF9CA9" w:themeColor="accent6" w:themeTint="99"/>
      </w:tblBorders>
    </w:tblPr>
    <w:tblStylePr w:type="firstRow">
      <w:rPr>
        <w:b/>
        <w:bCs/>
        <w:color w:val="FFFFFF" w:themeColor="background1"/>
      </w:rPr>
      <w:tblPr/>
      <w:tcPr>
        <w:tcBorders>
          <w:top w:val="single" w:sz="4" w:space="0" w:color="FF5B72" w:themeColor="accent6"/>
          <w:left w:val="single" w:sz="4" w:space="0" w:color="FF5B72" w:themeColor="accent6"/>
          <w:bottom w:val="single" w:sz="4" w:space="0" w:color="FF5B72" w:themeColor="accent6"/>
          <w:right w:val="single" w:sz="4" w:space="0" w:color="FF5B72" w:themeColor="accent6"/>
          <w:insideH w:val="nil"/>
        </w:tcBorders>
        <w:shd w:val="clear" w:color="auto" w:fill="FF5B72" w:themeFill="accent6"/>
      </w:tcPr>
    </w:tblStylePr>
    <w:tblStylePr w:type="lastRow">
      <w:rPr>
        <w:b/>
        <w:bCs/>
      </w:rPr>
      <w:tblPr/>
      <w:tcPr>
        <w:tcBorders>
          <w:top w:val="double" w:sz="4" w:space="0" w:color="FF9CA9" w:themeColor="accent6" w:themeTint="99"/>
        </w:tcBorders>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16293F" w:themeColor="text1"/>
        <w:left w:val="single" w:sz="24" w:space="0" w:color="16293F" w:themeColor="text1"/>
        <w:bottom w:val="single" w:sz="24" w:space="0" w:color="16293F" w:themeColor="text1"/>
        <w:right w:val="single" w:sz="24" w:space="0" w:color="16293F" w:themeColor="text1"/>
      </w:tblBorders>
    </w:tblPr>
    <w:tcPr>
      <w:shd w:val="clear" w:color="auto" w:fill="16293F"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16293F" w:themeColor="accent1"/>
        <w:left w:val="single" w:sz="24" w:space="0" w:color="16293F" w:themeColor="accent1"/>
        <w:bottom w:val="single" w:sz="24" w:space="0" w:color="16293F" w:themeColor="accent1"/>
        <w:right w:val="single" w:sz="24" w:space="0" w:color="16293F" w:themeColor="accent1"/>
      </w:tblBorders>
    </w:tblPr>
    <w:tcPr>
      <w:shd w:val="clear" w:color="auto" w:fill="1629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0052AA" w:themeColor="accent2"/>
        <w:left w:val="single" w:sz="24" w:space="0" w:color="0052AA" w:themeColor="accent2"/>
        <w:bottom w:val="single" w:sz="24" w:space="0" w:color="0052AA" w:themeColor="accent2"/>
        <w:right w:val="single" w:sz="24" w:space="0" w:color="0052AA" w:themeColor="accent2"/>
      </w:tblBorders>
    </w:tblPr>
    <w:tcPr>
      <w:shd w:val="clear" w:color="auto" w:fill="0052A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1F8FFF" w:themeColor="accent3"/>
        <w:left w:val="single" w:sz="24" w:space="0" w:color="1F8FFF" w:themeColor="accent3"/>
        <w:bottom w:val="single" w:sz="24" w:space="0" w:color="1F8FFF" w:themeColor="accent3"/>
        <w:right w:val="single" w:sz="24" w:space="0" w:color="1F8FFF" w:themeColor="accent3"/>
      </w:tblBorders>
    </w:tblPr>
    <w:tcPr>
      <w:shd w:val="clear" w:color="auto" w:fill="1F8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7B91A7" w:themeColor="accent4"/>
        <w:left w:val="single" w:sz="24" w:space="0" w:color="7B91A7" w:themeColor="accent4"/>
        <w:bottom w:val="single" w:sz="24" w:space="0" w:color="7B91A7" w:themeColor="accent4"/>
        <w:right w:val="single" w:sz="24" w:space="0" w:color="7B91A7" w:themeColor="accent4"/>
      </w:tblBorders>
    </w:tblPr>
    <w:tcPr>
      <w:shd w:val="clear" w:color="auto" w:fill="7B91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831500" w:themeColor="accent5"/>
        <w:left w:val="single" w:sz="24" w:space="0" w:color="831500" w:themeColor="accent5"/>
        <w:bottom w:val="single" w:sz="24" w:space="0" w:color="831500" w:themeColor="accent5"/>
        <w:right w:val="single" w:sz="24" w:space="0" w:color="831500" w:themeColor="accent5"/>
      </w:tblBorders>
    </w:tblPr>
    <w:tcPr>
      <w:shd w:val="clear" w:color="auto" w:fill="831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FF5B72" w:themeColor="accent6"/>
        <w:left w:val="single" w:sz="24" w:space="0" w:color="FF5B72" w:themeColor="accent6"/>
        <w:bottom w:val="single" w:sz="24" w:space="0" w:color="FF5B72" w:themeColor="accent6"/>
        <w:right w:val="single" w:sz="24" w:space="0" w:color="FF5B72" w:themeColor="accent6"/>
      </w:tblBorders>
    </w:tblPr>
    <w:tcPr>
      <w:shd w:val="clear" w:color="auto" w:fill="FF5B7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16293F" w:themeColor="text1"/>
    </w:rPr>
    <w:tblPr>
      <w:tblStyleRowBandSize w:val="1"/>
      <w:tblStyleColBandSize w:val="1"/>
      <w:tblBorders>
        <w:top w:val="single" w:sz="4" w:space="0" w:color="16293F" w:themeColor="text1"/>
        <w:bottom w:val="single" w:sz="4" w:space="0" w:color="16293F" w:themeColor="text1"/>
      </w:tblBorders>
    </w:tblPr>
    <w:tblStylePr w:type="firstRow">
      <w:rPr>
        <w:b/>
        <w:bCs/>
      </w:rPr>
      <w:tblPr/>
      <w:tcPr>
        <w:tcBorders>
          <w:bottom w:val="single" w:sz="4" w:space="0" w:color="16293F" w:themeColor="text1"/>
        </w:tcBorders>
      </w:tcPr>
    </w:tblStylePr>
    <w:tblStylePr w:type="lastRow">
      <w:rPr>
        <w:b/>
        <w:bCs/>
      </w:rPr>
      <w:tblPr/>
      <w:tcPr>
        <w:tcBorders>
          <w:top w:val="double" w:sz="4" w:space="0" w:color="16293F" w:themeColor="text1"/>
        </w:tcBorders>
      </w:tcPr>
    </w:tblStylePr>
    <w:tblStylePr w:type="firstCol">
      <w:rPr>
        <w:b/>
        <w:bCs/>
      </w:rPr>
    </w:tblStylePr>
    <w:tblStylePr w:type="lastCol">
      <w:rPr>
        <w:b/>
        <w:bCs/>
      </w:rPr>
    </w:tblStylePr>
    <w:tblStylePr w:type="band1Vert">
      <w:tblPr/>
      <w:tcPr>
        <w:shd w:val="clear" w:color="auto" w:fill="C0D2E9" w:themeFill="text1" w:themeFillTint="33"/>
      </w:tcPr>
    </w:tblStylePr>
    <w:tblStylePr w:type="band1Horz">
      <w:tblPr/>
      <w:tcPr>
        <w:shd w:val="clear" w:color="auto" w:fill="C0D2E9" w:themeFill="text1" w:themeFillTint="33"/>
      </w:tcPr>
    </w:tblStylePr>
  </w:style>
  <w:style w:type="table" w:styleId="ListTable6Colorful-Accent1">
    <w:name w:val="List Table 6 Colorful Accent 1"/>
    <w:basedOn w:val="TableNormal"/>
    <w:uiPriority w:val="51"/>
    <w:rsid w:val="00EA4EC2"/>
    <w:pPr>
      <w:spacing w:after="0"/>
    </w:pPr>
    <w:rPr>
      <w:color w:val="101E2F" w:themeColor="accent1" w:themeShade="BF"/>
    </w:rPr>
    <w:tblPr>
      <w:tblStyleRowBandSize w:val="1"/>
      <w:tblStyleColBandSize w:val="1"/>
      <w:tblBorders>
        <w:top w:val="single" w:sz="4" w:space="0" w:color="16293F" w:themeColor="accent1"/>
        <w:bottom w:val="single" w:sz="4" w:space="0" w:color="16293F" w:themeColor="accent1"/>
      </w:tblBorders>
    </w:tblPr>
    <w:tblStylePr w:type="firstRow">
      <w:rPr>
        <w:b/>
        <w:bCs/>
      </w:rPr>
      <w:tblPr/>
      <w:tcPr>
        <w:tcBorders>
          <w:bottom w:val="single" w:sz="4" w:space="0" w:color="16293F" w:themeColor="accent1"/>
        </w:tcBorders>
      </w:tcPr>
    </w:tblStylePr>
    <w:tblStylePr w:type="lastRow">
      <w:rPr>
        <w:b/>
        <w:bCs/>
      </w:rPr>
      <w:tblPr/>
      <w:tcPr>
        <w:tcBorders>
          <w:top w:val="double" w:sz="4" w:space="0" w:color="16293F" w:themeColor="accent1"/>
        </w:tcBorders>
      </w:tcPr>
    </w:tblStylePr>
    <w:tblStylePr w:type="firstCol">
      <w:rPr>
        <w:b/>
        <w:bCs/>
      </w:rPr>
    </w:tblStylePr>
    <w:tblStylePr w:type="lastCol">
      <w:rPr>
        <w:b/>
        <w:bCs/>
      </w:rPr>
    </w:tblStylePr>
    <w:tblStylePr w:type="band1Vert">
      <w:tblPr/>
      <w:tcPr>
        <w:shd w:val="clear" w:color="auto" w:fill="C0D2E9" w:themeFill="accent1" w:themeFillTint="33"/>
      </w:tcPr>
    </w:tblStylePr>
    <w:tblStylePr w:type="band1Horz">
      <w:tblPr/>
      <w:tcPr>
        <w:shd w:val="clear" w:color="auto" w:fill="C0D2E9" w:themeFill="accent1" w:themeFillTint="33"/>
      </w:tcPr>
    </w:tblStylePr>
  </w:style>
  <w:style w:type="table" w:styleId="ListTable6Colorful-Accent2">
    <w:name w:val="List Table 6 Colorful Accent 2"/>
    <w:basedOn w:val="TableNormal"/>
    <w:uiPriority w:val="51"/>
    <w:rsid w:val="00EA4EC2"/>
    <w:pPr>
      <w:spacing w:after="0"/>
    </w:pPr>
    <w:rPr>
      <w:color w:val="003D7F" w:themeColor="accent2" w:themeShade="BF"/>
    </w:rPr>
    <w:tblPr>
      <w:tblStyleRowBandSize w:val="1"/>
      <w:tblStyleColBandSize w:val="1"/>
      <w:tblBorders>
        <w:top w:val="single" w:sz="4" w:space="0" w:color="0052AA" w:themeColor="accent2"/>
        <w:bottom w:val="single" w:sz="4" w:space="0" w:color="0052AA" w:themeColor="accent2"/>
      </w:tblBorders>
    </w:tblPr>
    <w:tblStylePr w:type="firstRow">
      <w:rPr>
        <w:b/>
        <w:bCs/>
      </w:rPr>
      <w:tblPr/>
      <w:tcPr>
        <w:tcBorders>
          <w:bottom w:val="single" w:sz="4" w:space="0" w:color="0052AA" w:themeColor="accent2"/>
        </w:tcBorders>
      </w:tcPr>
    </w:tblStylePr>
    <w:tblStylePr w:type="lastRow">
      <w:rPr>
        <w:b/>
        <w:bCs/>
      </w:rPr>
      <w:tblPr/>
      <w:tcPr>
        <w:tcBorders>
          <w:top w:val="double" w:sz="4" w:space="0" w:color="0052AA" w:themeColor="accent2"/>
        </w:tcBorders>
      </w:tcPr>
    </w:tblStylePr>
    <w:tblStylePr w:type="firstCol">
      <w:rPr>
        <w:b/>
        <w:bCs/>
      </w:rPr>
    </w:tblStylePr>
    <w:tblStylePr w:type="lastCol">
      <w:rPr>
        <w:b/>
        <w:bCs/>
      </w:rPr>
    </w:tblStylePr>
    <w:tblStylePr w:type="band1Vert">
      <w:tblPr/>
      <w:tcPr>
        <w:shd w:val="clear" w:color="auto" w:fill="BBDBFF" w:themeFill="accent2" w:themeFillTint="33"/>
      </w:tcPr>
    </w:tblStylePr>
    <w:tblStylePr w:type="band1Horz">
      <w:tblPr/>
      <w:tcPr>
        <w:shd w:val="clear" w:color="auto" w:fill="BBDBFF" w:themeFill="accent2" w:themeFillTint="33"/>
      </w:tcPr>
    </w:tblStylePr>
  </w:style>
  <w:style w:type="table" w:styleId="ListTable6Colorful-Accent3">
    <w:name w:val="List Table 6 Colorful Accent 3"/>
    <w:basedOn w:val="TableNormal"/>
    <w:uiPriority w:val="51"/>
    <w:rsid w:val="00EA4EC2"/>
    <w:pPr>
      <w:spacing w:after="0"/>
    </w:pPr>
    <w:rPr>
      <w:color w:val="006AD6" w:themeColor="accent3" w:themeShade="BF"/>
    </w:rPr>
    <w:tblPr>
      <w:tblStyleRowBandSize w:val="1"/>
      <w:tblStyleColBandSize w:val="1"/>
      <w:tblBorders>
        <w:top w:val="single" w:sz="4" w:space="0" w:color="1F8FFF" w:themeColor="accent3"/>
        <w:bottom w:val="single" w:sz="4" w:space="0" w:color="1F8FFF" w:themeColor="accent3"/>
      </w:tblBorders>
    </w:tblPr>
    <w:tblStylePr w:type="firstRow">
      <w:rPr>
        <w:b/>
        <w:bCs/>
      </w:rPr>
      <w:tblPr/>
      <w:tcPr>
        <w:tcBorders>
          <w:bottom w:val="single" w:sz="4" w:space="0" w:color="1F8FFF" w:themeColor="accent3"/>
        </w:tcBorders>
      </w:tcPr>
    </w:tblStylePr>
    <w:tblStylePr w:type="lastRow">
      <w:rPr>
        <w:b/>
        <w:bCs/>
      </w:rPr>
      <w:tblPr/>
      <w:tcPr>
        <w:tcBorders>
          <w:top w:val="double" w:sz="4" w:space="0" w:color="1F8FFF" w:themeColor="accent3"/>
        </w:tcBorders>
      </w:tcPr>
    </w:tblStylePr>
    <w:tblStylePr w:type="firstCol">
      <w:rPr>
        <w:b/>
        <w:bCs/>
      </w:rPr>
    </w:tblStylePr>
    <w:tblStylePr w:type="lastCol">
      <w:rPr>
        <w:b/>
        <w:bCs/>
      </w:rPr>
    </w:tblStylePr>
    <w:tblStylePr w:type="band1Vert">
      <w:tblPr/>
      <w:tcPr>
        <w:shd w:val="clear" w:color="auto" w:fill="D2E8FF" w:themeFill="accent3" w:themeFillTint="33"/>
      </w:tcPr>
    </w:tblStylePr>
    <w:tblStylePr w:type="band1Horz">
      <w:tblPr/>
      <w:tcPr>
        <w:shd w:val="clear" w:color="auto" w:fill="D2E8FF" w:themeFill="accent3" w:themeFillTint="33"/>
      </w:tcPr>
    </w:tblStylePr>
  </w:style>
  <w:style w:type="table" w:styleId="ListTable6Colorful-Accent4">
    <w:name w:val="List Table 6 Colorful Accent 4"/>
    <w:basedOn w:val="TableNormal"/>
    <w:uiPriority w:val="51"/>
    <w:rsid w:val="00EA4EC2"/>
    <w:pPr>
      <w:spacing w:after="0"/>
    </w:pPr>
    <w:rPr>
      <w:color w:val="566C82" w:themeColor="accent4" w:themeShade="BF"/>
    </w:rPr>
    <w:tblPr>
      <w:tblStyleRowBandSize w:val="1"/>
      <w:tblStyleColBandSize w:val="1"/>
      <w:tblBorders>
        <w:top w:val="single" w:sz="4" w:space="0" w:color="7B91A7" w:themeColor="accent4"/>
        <w:bottom w:val="single" w:sz="4" w:space="0" w:color="7B91A7" w:themeColor="accent4"/>
      </w:tblBorders>
    </w:tblPr>
    <w:tblStylePr w:type="firstRow">
      <w:rPr>
        <w:b/>
        <w:bCs/>
      </w:rPr>
      <w:tblPr/>
      <w:tcPr>
        <w:tcBorders>
          <w:bottom w:val="single" w:sz="4" w:space="0" w:color="7B91A7" w:themeColor="accent4"/>
        </w:tcBorders>
      </w:tcPr>
    </w:tblStylePr>
    <w:tblStylePr w:type="lastRow">
      <w:rPr>
        <w:b/>
        <w:bCs/>
      </w:rPr>
      <w:tblPr/>
      <w:tcPr>
        <w:tcBorders>
          <w:top w:val="double" w:sz="4" w:space="0" w:color="7B91A7" w:themeColor="accent4"/>
        </w:tcBorders>
      </w:tcPr>
    </w:tblStylePr>
    <w:tblStylePr w:type="firstCol">
      <w:rPr>
        <w:b/>
        <w:bCs/>
      </w:rPr>
    </w:tblStylePr>
    <w:tblStylePr w:type="lastCol">
      <w:rPr>
        <w:b/>
        <w:bCs/>
      </w:rPr>
    </w:tblStylePr>
    <w:tblStylePr w:type="band1Vert">
      <w:tblPr/>
      <w:tcPr>
        <w:shd w:val="clear" w:color="auto" w:fill="E4E8ED" w:themeFill="accent4" w:themeFillTint="33"/>
      </w:tcPr>
    </w:tblStylePr>
    <w:tblStylePr w:type="band1Horz">
      <w:tblPr/>
      <w:tcPr>
        <w:shd w:val="clear" w:color="auto" w:fill="E4E8ED" w:themeFill="accent4" w:themeFillTint="33"/>
      </w:tcPr>
    </w:tblStylePr>
  </w:style>
  <w:style w:type="table" w:styleId="ListTable6Colorful-Accent5">
    <w:name w:val="List Table 6 Colorful Accent 5"/>
    <w:basedOn w:val="TableNormal"/>
    <w:uiPriority w:val="51"/>
    <w:rsid w:val="00EA4EC2"/>
    <w:pPr>
      <w:spacing w:after="0"/>
    </w:pPr>
    <w:rPr>
      <w:color w:val="620F00" w:themeColor="accent5" w:themeShade="BF"/>
    </w:rPr>
    <w:tblPr>
      <w:tblStyleRowBandSize w:val="1"/>
      <w:tblStyleColBandSize w:val="1"/>
      <w:tblBorders>
        <w:top w:val="single" w:sz="4" w:space="0" w:color="831500" w:themeColor="accent5"/>
        <w:bottom w:val="single" w:sz="4" w:space="0" w:color="831500" w:themeColor="accent5"/>
      </w:tblBorders>
    </w:tblPr>
    <w:tblStylePr w:type="firstRow">
      <w:rPr>
        <w:b/>
        <w:bCs/>
      </w:rPr>
      <w:tblPr/>
      <w:tcPr>
        <w:tcBorders>
          <w:bottom w:val="single" w:sz="4" w:space="0" w:color="831500" w:themeColor="accent5"/>
        </w:tcBorders>
      </w:tcPr>
    </w:tblStylePr>
    <w:tblStylePr w:type="lastRow">
      <w:rPr>
        <w:b/>
        <w:bCs/>
      </w:rPr>
      <w:tblPr/>
      <w:tcPr>
        <w:tcBorders>
          <w:top w:val="double" w:sz="4" w:space="0" w:color="831500" w:themeColor="accent5"/>
        </w:tcBorders>
      </w:tcPr>
    </w:tblStylePr>
    <w:tblStylePr w:type="firstCol">
      <w:rPr>
        <w:b/>
        <w:bCs/>
      </w:rPr>
    </w:tblStylePr>
    <w:tblStylePr w:type="lastCol">
      <w:rPr>
        <w:b/>
        <w:bCs/>
      </w:rPr>
    </w:tblStylePr>
    <w:tblStylePr w:type="band1Vert">
      <w:tblPr/>
      <w:tcPr>
        <w:shd w:val="clear" w:color="auto" w:fill="FFBEB3" w:themeFill="accent5" w:themeFillTint="33"/>
      </w:tcPr>
    </w:tblStylePr>
    <w:tblStylePr w:type="band1Horz">
      <w:tblPr/>
      <w:tcPr>
        <w:shd w:val="clear" w:color="auto" w:fill="FFBEB3" w:themeFill="accent5" w:themeFillTint="33"/>
      </w:tcPr>
    </w:tblStylePr>
  </w:style>
  <w:style w:type="table" w:styleId="ListTable6Colorful-Accent6">
    <w:name w:val="List Table 6 Colorful Accent 6"/>
    <w:basedOn w:val="TableNormal"/>
    <w:uiPriority w:val="51"/>
    <w:rsid w:val="00EA4EC2"/>
    <w:pPr>
      <w:spacing w:after="0"/>
    </w:pPr>
    <w:rPr>
      <w:color w:val="FF0426" w:themeColor="accent6" w:themeShade="BF"/>
    </w:rPr>
    <w:tblPr>
      <w:tblStyleRowBandSize w:val="1"/>
      <w:tblStyleColBandSize w:val="1"/>
      <w:tblBorders>
        <w:top w:val="single" w:sz="4" w:space="0" w:color="FF5B72" w:themeColor="accent6"/>
        <w:bottom w:val="single" w:sz="4" w:space="0" w:color="FF5B72" w:themeColor="accent6"/>
      </w:tblBorders>
    </w:tblPr>
    <w:tblStylePr w:type="firstRow">
      <w:rPr>
        <w:b/>
        <w:bCs/>
      </w:rPr>
      <w:tblPr/>
      <w:tcPr>
        <w:tcBorders>
          <w:bottom w:val="single" w:sz="4" w:space="0" w:color="FF5B72" w:themeColor="accent6"/>
        </w:tcBorders>
      </w:tcPr>
    </w:tblStylePr>
    <w:tblStylePr w:type="lastRow">
      <w:rPr>
        <w:b/>
        <w:bCs/>
      </w:rPr>
      <w:tblPr/>
      <w:tcPr>
        <w:tcBorders>
          <w:top w:val="double" w:sz="4" w:space="0" w:color="FF5B72" w:themeColor="accent6"/>
        </w:tcBorders>
      </w:tcPr>
    </w:tblStylePr>
    <w:tblStylePr w:type="firstCol">
      <w:rPr>
        <w:b/>
        <w:bCs/>
      </w:rPr>
    </w:tblStylePr>
    <w:tblStylePr w:type="lastCol">
      <w:rPr>
        <w:b/>
        <w:bCs/>
      </w:rPr>
    </w:tblStylePr>
    <w:tblStylePr w:type="band1Vert">
      <w:tblPr/>
      <w:tcPr>
        <w:shd w:val="clear" w:color="auto" w:fill="FFDEE2" w:themeFill="accent6" w:themeFillTint="33"/>
      </w:tcPr>
    </w:tblStylePr>
    <w:tblStylePr w:type="band1Horz">
      <w:tblPr/>
      <w:tcPr>
        <w:shd w:val="clear" w:color="auto" w:fill="FFDEE2" w:themeFill="accent6" w:themeFillTint="33"/>
      </w:tcPr>
    </w:tblStylePr>
  </w:style>
  <w:style w:type="table" w:styleId="ListTable7Colorful">
    <w:name w:val="List Table 7 Colorful"/>
    <w:basedOn w:val="TableNormal"/>
    <w:uiPriority w:val="52"/>
    <w:rsid w:val="00EA4EC2"/>
    <w:pPr>
      <w:spacing w:after="0"/>
    </w:pPr>
    <w:rPr>
      <w:color w:val="16293F"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293F"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293F"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293F"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293F" w:themeColor="text1"/>
        </w:tcBorders>
        <w:shd w:val="clear" w:color="auto" w:fill="FFFFFF" w:themeFill="background1"/>
      </w:tcPr>
    </w:tblStylePr>
    <w:tblStylePr w:type="band1Vert">
      <w:tblPr/>
      <w:tcPr>
        <w:shd w:val="clear" w:color="auto" w:fill="C0D2E9" w:themeFill="text1" w:themeFillTint="33"/>
      </w:tcPr>
    </w:tblStylePr>
    <w:tblStylePr w:type="band1Horz">
      <w:tblPr/>
      <w:tcPr>
        <w:shd w:val="clear" w:color="auto" w:fill="C0D2E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101E2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29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29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29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293F" w:themeColor="accent1"/>
        </w:tcBorders>
        <w:shd w:val="clear" w:color="auto" w:fill="FFFFFF" w:themeFill="background1"/>
      </w:tcPr>
    </w:tblStylePr>
    <w:tblStylePr w:type="band1Vert">
      <w:tblPr/>
      <w:tcPr>
        <w:shd w:val="clear" w:color="auto" w:fill="C0D2E9" w:themeFill="accent1" w:themeFillTint="33"/>
      </w:tcPr>
    </w:tblStylePr>
    <w:tblStylePr w:type="band1Horz">
      <w:tblPr/>
      <w:tcPr>
        <w:shd w:val="clear" w:color="auto" w:fill="C0D2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003D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A" w:themeColor="accent2"/>
        </w:tcBorders>
        <w:shd w:val="clear" w:color="auto" w:fill="FFFFFF" w:themeFill="background1"/>
      </w:tcPr>
    </w:tblStylePr>
    <w:tblStylePr w:type="band1Vert">
      <w:tblPr/>
      <w:tcPr>
        <w:shd w:val="clear" w:color="auto" w:fill="BBDBFF" w:themeFill="accent2" w:themeFillTint="33"/>
      </w:tcPr>
    </w:tblStylePr>
    <w:tblStylePr w:type="band1Horz">
      <w:tblPr/>
      <w:tcPr>
        <w:shd w:val="clear" w:color="auto" w:fill="BBD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006AD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8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8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8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8FFF" w:themeColor="accent3"/>
        </w:tcBorders>
        <w:shd w:val="clear" w:color="auto" w:fill="FFFFFF" w:themeFill="background1"/>
      </w:tcPr>
    </w:tblStylePr>
    <w:tblStylePr w:type="band1Vert">
      <w:tblPr/>
      <w:tcPr>
        <w:shd w:val="clear" w:color="auto" w:fill="D2E8FF" w:themeFill="accent3" w:themeFillTint="33"/>
      </w:tcPr>
    </w:tblStylePr>
    <w:tblStylePr w:type="band1Horz">
      <w:tblPr/>
      <w:tcPr>
        <w:shd w:val="clear" w:color="auto" w:fill="D2E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566C8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91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91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91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91A7" w:themeColor="accent4"/>
        </w:tcBorders>
        <w:shd w:val="clear" w:color="auto" w:fill="FFFFFF" w:themeFill="background1"/>
      </w:tcPr>
    </w:tblStylePr>
    <w:tblStylePr w:type="band1Vert">
      <w:tblPr/>
      <w:tcPr>
        <w:shd w:val="clear" w:color="auto" w:fill="E4E8ED" w:themeFill="accent4" w:themeFillTint="33"/>
      </w:tcPr>
    </w:tblStylePr>
    <w:tblStylePr w:type="band1Horz">
      <w:tblPr/>
      <w:tcPr>
        <w:shd w:val="clear" w:color="auto" w:fill="E4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620F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1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1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1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1500" w:themeColor="accent5"/>
        </w:tcBorders>
        <w:shd w:val="clear" w:color="auto" w:fill="FFFFFF" w:themeFill="background1"/>
      </w:tcPr>
    </w:tblStylePr>
    <w:tblStylePr w:type="band1Vert">
      <w:tblPr/>
      <w:tcPr>
        <w:shd w:val="clear" w:color="auto" w:fill="FFBEB3" w:themeFill="accent5" w:themeFillTint="33"/>
      </w:tcPr>
    </w:tblStylePr>
    <w:tblStylePr w:type="band1Horz">
      <w:tblPr/>
      <w:tcPr>
        <w:shd w:val="clear" w:color="auto" w:fill="FFBEB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FF042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B7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B7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B7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B72" w:themeColor="accent6"/>
        </w:tcBorders>
        <w:shd w:val="clear" w:color="auto" w:fill="FFFFFF" w:themeFill="background1"/>
      </w:tcPr>
    </w:tblStylePr>
    <w:tblStylePr w:type="band1Vert">
      <w:tblPr/>
      <w:tcPr>
        <w:shd w:val="clear" w:color="auto" w:fill="FFDEE2" w:themeFill="accent6" w:themeFillTint="33"/>
      </w:tcPr>
    </w:tblStylePr>
    <w:tblStylePr w:type="band1Horz">
      <w:tblPr/>
      <w:tcPr>
        <w:shd w:val="clear" w:color="auto" w:fill="FFDE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315C8E" w:themeColor="text1" w:themeTint="BF"/>
        <w:left w:val="single" w:sz="8" w:space="0" w:color="315C8E" w:themeColor="text1" w:themeTint="BF"/>
        <w:bottom w:val="single" w:sz="8" w:space="0" w:color="315C8E" w:themeColor="text1" w:themeTint="BF"/>
        <w:right w:val="single" w:sz="8" w:space="0" w:color="315C8E" w:themeColor="text1" w:themeTint="BF"/>
        <w:insideH w:val="single" w:sz="8" w:space="0" w:color="315C8E" w:themeColor="text1" w:themeTint="BF"/>
        <w:insideV w:val="single" w:sz="8" w:space="0" w:color="315C8E" w:themeColor="text1" w:themeTint="BF"/>
      </w:tblBorders>
    </w:tblPr>
    <w:tcPr>
      <w:shd w:val="clear" w:color="auto" w:fill="B1C8E3" w:themeFill="text1" w:themeFillTint="3F"/>
    </w:tcPr>
    <w:tblStylePr w:type="firstRow">
      <w:rPr>
        <w:b/>
        <w:bCs/>
      </w:rPr>
    </w:tblStylePr>
    <w:tblStylePr w:type="lastRow">
      <w:rPr>
        <w:b/>
        <w:bCs/>
      </w:rPr>
      <w:tblPr/>
      <w:tcPr>
        <w:tcBorders>
          <w:top w:val="single" w:sz="18" w:space="0" w:color="315C8E" w:themeColor="text1" w:themeTint="BF"/>
        </w:tcBorders>
      </w:tcPr>
    </w:tblStylePr>
    <w:tblStylePr w:type="firstCol">
      <w:rPr>
        <w:b/>
        <w:bCs/>
      </w:rPr>
    </w:tblStylePr>
    <w:tblStylePr w:type="lastCol">
      <w:rPr>
        <w:b/>
        <w:bCs/>
      </w:rPr>
    </w:tblStylePr>
    <w:tblStylePr w:type="band1Vert">
      <w:tblPr/>
      <w:tcPr>
        <w:shd w:val="clear" w:color="auto" w:fill="6291C8" w:themeFill="text1" w:themeFillTint="7F"/>
      </w:tcPr>
    </w:tblStylePr>
    <w:tblStylePr w:type="band1Horz">
      <w:tblPr/>
      <w:tcPr>
        <w:shd w:val="clear" w:color="auto" w:fill="6291C8"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315C8E" w:themeColor="accent1" w:themeTint="BF"/>
        <w:left w:val="single" w:sz="8" w:space="0" w:color="315C8E" w:themeColor="accent1" w:themeTint="BF"/>
        <w:bottom w:val="single" w:sz="8" w:space="0" w:color="315C8E" w:themeColor="accent1" w:themeTint="BF"/>
        <w:right w:val="single" w:sz="8" w:space="0" w:color="315C8E" w:themeColor="accent1" w:themeTint="BF"/>
        <w:insideH w:val="single" w:sz="8" w:space="0" w:color="315C8E" w:themeColor="accent1" w:themeTint="BF"/>
        <w:insideV w:val="single" w:sz="8" w:space="0" w:color="315C8E" w:themeColor="accent1" w:themeTint="BF"/>
      </w:tblBorders>
    </w:tblPr>
    <w:tcPr>
      <w:shd w:val="clear" w:color="auto" w:fill="B1C8E3" w:themeFill="accent1" w:themeFillTint="3F"/>
    </w:tcPr>
    <w:tblStylePr w:type="firstRow">
      <w:rPr>
        <w:b/>
        <w:bCs/>
      </w:rPr>
    </w:tblStylePr>
    <w:tblStylePr w:type="lastRow">
      <w:rPr>
        <w:b/>
        <w:bCs/>
      </w:rPr>
      <w:tblPr/>
      <w:tcPr>
        <w:tcBorders>
          <w:top w:val="single" w:sz="18" w:space="0" w:color="315C8E" w:themeColor="accent1" w:themeTint="BF"/>
        </w:tcBorders>
      </w:tcPr>
    </w:tblStylePr>
    <w:tblStylePr w:type="firstCol">
      <w:rPr>
        <w:b/>
        <w:bCs/>
      </w:rPr>
    </w:tblStylePr>
    <w:tblStylePr w:type="lastCol">
      <w:rPr>
        <w:b/>
        <w:bCs/>
      </w:rPr>
    </w:tblStylePr>
    <w:tblStylePr w:type="band1Vert">
      <w:tblPr/>
      <w:tcPr>
        <w:shd w:val="clear" w:color="auto" w:fill="6291C8" w:themeFill="accent1" w:themeFillTint="7F"/>
      </w:tcPr>
    </w:tblStylePr>
    <w:tblStylePr w:type="band1Horz">
      <w:tblPr/>
      <w:tcPr>
        <w:shd w:val="clear" w:color="auto" w:fill="6291C8"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007BFF" w:themeColor="accent2" w:themeTint="BF"/>
        <w:left w:val="single" w:sz="8" w:space="0" w:color="007BFF" w:themeColor="accent2" w:themeTint="BF"/>
        <w:bottom w:val="single" w:sz="8" w:space="0" w:color="007BFF" w:themeColor="accent2" w:themeTint="BF"/>
        <w:right w:val="single" w:sz="8" w:space="0" w:color="007BFF" w:themeColor="accent2" w:themeTint="BF"/>
        <w:insideH w:val="single" w:sz="8" w:space="0" w:color="007BFF" w:themeColor="accent2" w:themeTint="BF"/>
        <w:insideV w:val="single" w:sz="8" w:space="0" w:color="007BFF" w:themeColor="accent2" w:themeTint="BF"/>
      </w:tblBorders>
    </w:tblPr>
    <w:tcPr>
      <w:shd w:val="clear" w:color="auto" w:fill="ABD3FF" w:themeFill="accent2" w:themeFillTint="3F"/>
    </w:tcPr>
    <w:tblStylePr w:type="firstRow">
      <w:rPr>
        <w:b/>
        <w:bCs/>
      </w:rPr>
    </w:tblStylePr>
    <w:tblStylePr w:type="lastRow">
      <w:rPr>
        <w:b/>
        <w:bCs/>
      </w:rPr>
      <w:tblPr/>
      <w:tcPr>
        <w:tcBorders>
          <w:top w:val="single" w:sz="18" w:space="0" w:color="007BFF" w:themeColor="accent2" w:themeTint="BF"/>
        </w:tcBorders>
      </w:tcPr>
    </w:tblStylePr>
    <w:tblStylePr w:type="firstCol">
      <w:rPr>
        <w:b/>
        <w:bCs/>
      </w:rPr>
    </w:tblStylePr>
    <w:tblStylePr w:type="lastCol">
      <w:rPr>
        <w:b/>
        <w:bCs/>
      </w:rPr>
    </w:tblStylePr>
    <w:tblStylePr w:type="band1Vert">
      <w:tblPr/>
      <w:tcPr>
        <w:shd w:val="clear" w:color="auto" w:fill="55A7FF" w:themeFill="accent2" w:themeFillTint="7F"/>
      </w:tcPr>
    </w:tblStylePr>
    <w:tblStylePr w:type="band1Horz">
      <w:tblPr/>
      <w:tcPr>
        <w:shd w:val="clear" w:color="auto" w:fill="55A7FF"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57AAFF" w:themeColor="accent3" w:themeTint="BF"/>
        <w:left w:val="single" w:sz="8" w:space="0" w:color="57AAFF" w:themeColor="accent3" w:themeTint="BF"/>
        <w:bottom w:val="single" w:sz="8" w:space="0" w:color="57AAFF" w:themeColor="accent3" w:themeTint="BF"/>
        <w:right w:val="single" w:sz="8" w:space="0" w:color="57AAFF" w:themeColor="accent3" w:themeTint="BF"/>
        <w:insideH w:val="single" w:sz="8" w:space="0" w:color="57AAFF" w:themeColor="accent3" w:themeTint="BF"/>
        <w:insideV w:val="single" w:sz="8" w:space="0" w:color="57AAFF" w:themeColor="accent3" w:themeTint="BF"/>
      </w:tblBorders>
    </w:tblPr>
    <w:tcPr>
      <w:shd w:val="clear" w:color="auto" w:fill="C7E3FF" w:themeFill="accent3" w:themeFillTint="3F"/>
    </w:tcPr>
    <w:tblStylePr w:type="firstRow">
      <w:rPr>
        <w:b/>
        <w:bCs/>
      </w:rPr>
    </w:tblStylePr>
    <w:tblStylePr w:type="lastRow">
      <w:rPr>
        <w:b/>
        <w:bCs/>
      </w:rPr>
      <w:tblPr/>
      <w:tcPr>
        <w:tcBorders>
          <w:top w:val="single" w:sz="18" w:space="0" w:color="57AAFF" w:themeColor="accent3" w:themeTint="BF"/>
        </w:tcBorders>
      </w:tcPr>
    </w:tblStylePr>
    <w:tblStylePr w:type="firstCol">
      <w:rPr>
        <w:b/>
        <w:bCs/>
      </w:rPr>
    </w:tblStylePr>
    <w:tblStylePr w:type="lastCol">
      <w:rPr>
        <w:b/>
        <w:bCs/>
      </w:rPr>
    </w:tblStylePr>
    <w:tblStylePr w:type="band1Vert">
      <w:tblPr/>
      <w:tcPr>
        <w:shd w:val="clear" w:color="auto" w:fill="8FC6FF" w:themeFill="accent3" w:themeFillTint="7F"/>
      </w:tcPr>
    </w:tblStylePr>
    <w:tblStylePr w:type="band1Horz">
      <w:tblPr/>
      <w:tcPr>
        <w:shd w:val="clear" w:color="auto" w:fill="8FC6FF"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9CACBD" w:themeColor="accent4" w:themeTint="BF"/>
        <w:left w:val="single" w:sz="8" w:space="0" w:color="9CACBD" w:themeColor="accent4" w:themeTint="BF"/>
        <w:bottom w:val="single" w:sz="8" w:space="0" w:color="9CACBD" w:themeColor="accent4" w:themeTint="BF"/>
        <w:right w:val="single" w:sz="8" w:space="0" w:color="9CACBD" w:themeColor="accent4" w:themeTint="BF"/>
        <w:insideH w:val="single" w:sz="8" w:space="0" w:color="9CACBD" w:themeColor="accent4" w:themeTint="BF"/>
        <w:insideV w:val="single" w:sz="8" w:space="0" w:color="9CACBD" w:themeColor="accent4" w:themeTint="BF"/>
      </w:tblBorders>
    </w:tblPr>
    <w:tcPr>
      <w:shd w:val="clear" w:color="auto" w:fill="DEE3E9" w:themeFill="accent4" w:themeFillTint="3F"/>
    </w:tcPr>
    <w:tblStylePr w:type="firstRow">
      <w:rPr>
        <w:b/>
        <w:bCs/>
      </w:rPr>
    </w:tblStylePr>
    <w:tblStylePr w:type="lastRow">
      <w:rPr>
        <w:b/>
        <w:bCs/>
      </w:rPr>
      <w:tblPr/>
      <w:tcPr>
        <w:tcBorders>
          <w:top w:val="single" w:sz="18" w:space="0" w:color="9CACBD" w:themeColor="accent4" w:themeTint="BF"/>
        </w:tcBorders>
      </w:tcPr>
    </w:tblStylePr>
    <w:tblStylePr w:type="firstCol">
      <w:rPr>
        <w:b/>
        <w:bCs/>
      </w:rPr>
    </w:tblStylePr>
    <w:tblStylePr w:type="lastCol">
      <w:rPr>
        <w:b/>
        <w:bCs/>
      </w:rPr>
    </w:tblStylePr>
    <w:tblStylePr w:type="band1Vert">
      <w:tblPr/>
      <w:tcPr>
        <w:shd w:val="clear" w:color="auto" w:fill="BDC8D3" w:themeFill="accent4" w:themeFillTint="7F"/>
      </w:tcPr>
    </w:tblStylePr>
    <w:tblStylePr w:type="band1Horz">
      <w:tblPr/>
      <w:tcPr>
        <w:shd w:val="clear" w:color="auto" w:fill="BDC8D3"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E22300" w:themeColor="accent5" w:themeTint="BF"/>
        <w:left w:val="single" w:sz="8" w:space="0" w:color="E22300" w:themeColor="accent5" w:themeTint="BF"/>
        <w:bottom w:val="single" w:sz="8" w:space="0" w:color="E22300" w:themeColor="accent5" w:themeTint="BF"/>
        <w:right w:val="single" w:sz="8" w:space="0" w:color="E22300" w:themeColor="accent5" w:themeTint="BF"/>
        <w:insideH w:val="single" w:sz="8" w:space="0" w:color="E22300" w:themeColor="accent5" w:themeTint="BF"/>
        <w:insideV w:val="single" w:sz="8" w:space="0" w:color="E22300" w:themeColor="accent5" w:themeTint="BF"/>
      </w:tblBorders>
    </w:tblPr>
    <w:tcPr>
      <w:shd w:val="clear" w:color="auto" w:fill="FFB0A1" w:themeFill="accent5" w:themeFillTint="3F"/>
    </w:tcPr>
    <w:tblStylePr w:type="firstRow">
      <w:rPr>
        <w:b/>
        <w:bCs/>
      </w:rPr>
    </w:tblStylePr>
    <w:tblStylePr w:type="lastRow">
      <w:rPr>
        <w:b/>
        <w:bCs/>
      </w:rPr>
      <w:tblPr/>
      <w:tcPr>
        <w:tcBorders>
          <w:top w:val="single" w:sz="18" w:space="0" w:color="E22300" w:themeColor="accent5" w:themeTint="BF"/>
        </w:tcBorders>
      </w:tcPr>
    </w:tblStylePr>
    <w:tblStylePr w:type="firstCol">
      <w:rPr>
        <w:b/>
        <w:bCs/>
      </w:rPr>
    </w:tblStylePr>
    <w:tblStylePr w:type="lastCol">
      <w:rPr>
        <w:b/>
        <w:bCs/>
      </w:rPr>
    </w:tblStylePr>
    <w:tblStylePr w:type="band1Vert">
      <w:tblPr/>
      <w:tcPr>
        <w:shd w:val="clear" w:color="auto" w:fill="FF5F42" w:themeFill="accent5" w:themeFillTint="7F"/>
      </w:tcPr>
    </w:tblStylePr>
    <w:tblStylePr w:type="band1Horz">
      <w:tblPr/>
      <w:tcPr>
        <w:shd w:val="clear" w:color="auto" w:fill="FF5F42"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FF8494" w:themeColor="accent6" w:themeTint="BF"/>
        <w:left w:val="single" w:sz="8" w:space="0" w:color="FF8494" w:themeColor="accent6" w:themeTint="BF"/>
        <w:bottom w:val="single" w:sz="8" w:space="0" w:color="FF8494" w:themeColor="accent6" w:themeTint="BF"/>
        <w:right w:val="single" w:sz="8" w:space="0" w:color="FF8494" w:themeColor="accent6" w:themeTint="BF"/>
        <w:insideH w:val="single" w:sz="8" w:space="0" w:color="FF8494" w:themeColor="accent6" w:themeTint="BF"/>
        <w:insideV w:val="single" w:sz="8" w:space="0" w:color="FF8494" w:themeColor="accent6" w:themeTint="BF"/>
      </w:tblBorders>
    </w:tblPr>
    <w:tcPr>
      <w:shd w:val="clear" w:color="auto" w:fill="FFD6DB" w:themeFill="accent6" w:themeFillTint="3F"/>
    </w:tcPr>
    <w:tblStylePr w:type="firstRow">
      <w:rPr>
        <w:b/>
        <w:bCs/>
      </w:rPr>
    </w:tblStylePr>
    <w:tblStylePr w:type="lastRow">
      <w:rPr>
        <w:b/>
        <w:bCs/>
      </w:rPr>
      <w:tblPr/>
      <w:tcPr>
        <w:tcBorders>
          <w:top w:val="single" w:sz="18" w:space="0" w:color="FF8494" w:themeColor="accent6" w:themeTint="BF"/>
        </w:tcBorders>
      </w:tcPr>
    </w:tblStylePr>
    <w:tblStylePr w:type="firstCol">
      <w:rPr>
        <w:b/>
        <w:bCs/>
      </w:rPr>
    </w:tblStylePr>
    <w:tblStylePr w:type="lastCol">
      <w:rPr>
        <w:b/>
        <w:bCs/>
      </w:rPr>
    </w:tblStylePr>
    <w:tblStylePr w:type="band1Vert">
      <w:tblPr/>
      <w:tcPr>
        <w:shd w:val="clear" w:color="auto" w:fill="FFADB8" w:themeFill="accent6" w:themeFillTint="7F"/>
      </w:tcPr>
    </w:tblStylePr>
    <w:tblStylePr w:type="band1Horz">
      <w:tblPr/>
      <w:tcPr>
        <w:shd w:val="clear" w:color="auto" w:fill="FFADB8"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6293F" w:themeColor="text1"/>
        <w:left w:val="single" w:sz="8" w:space="0" w:color="16293F" w:themeColor="text1"/>
        <w:bottom w:val="single" w:sz="8" w:space="0" w:color="16293F" w:themeColor="text1"/>
        <w:right w:val="single" w:sz="8" w:space="0" w:color="16293F" w:themeColor="text1"/>
        <w:insideH w:val="single" w:sz="8" w:space="0" w:color="16293F" w:themeColor="text1"/>
        <w:insideV w:val="single" w:sz="8" w:space="0" w:color="16293F" w:themeColor="text1"/>
      </w:tblBorders>
    </w:tblPr>
    <w:tcPr>
      <w:shd w:val="clear" w:color="auto" w:fill="B1C8E3" w:themeFill="text1" w:themeFillTint="3F"/>
    </w:tcPr>
    <w:tblStylePr w:type="firstRow">
      <w:rPr>
        <w:b/>
        <w:bCs/>
        <w:color w:val="16293F" w:themeColor="text1"/>
      </w:rPr>
      <w:tblPr/>
      <w:tcPr>
        <w:shd w:val="clear" w:color="auto" w:fill="E0E9F4" w:themeFill="text1"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C0D2E9" w:themeFill="text1" w:themeFillTint="33"/>
      </w:tcPr>
    </w:tblStylePr>
    <w:tblStylePr w:type="band1Vert">
      <w:tblPr/>
      <w:tcPr>
        <w:shd w:val="clear" w:color="auto" w:fill="6291C8" w:themeFill="text1" w:themeFillTint="7F"/>
      </w:tcPr>
    </w:tblStylePr>
    <w:tblStylePr w:type="band1Horz">
      <w:tblPr/>
      <w:tcPr>
        <w:tcBorders>
          <w:insideH w:val="single" w:sz="6" w:space="0" w:color="16293F" w:themeColor="text1"/>
          <w:insideV w:val="single" w:sz="6" w:space="0" w:color="16293F" w:themeColor="text1"/>
        </w:tcBorders>
        <w:shd w:val="clear" w:color="auto" w:fill="6291C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6293F" w:themeColor="accent1"/>
        <w:left w:val="single" w:sz="8" w:space="0" w:color="16293F" w:themeColor="accent1"/>
        <w:bottom w:val="single" w:sz="8" w:space="0" w:color="16293F" w:themeColor="accent1"/>
        <w:right w:val="single" w:sz="8" w:space="0" w:color="16293F" w:themeColor="accent1"/>
        <w:insideH w:val="single" w:sz="8" w:space="0" w:color="16293F" w:themeColor="accent1"/>
        <w:insideV w:val="single" w:sz="8" w:space="0" w:color="16293F" w:themeColor="accent1"/>
      </w:tblBorders>
    </w:tblPr>
    <w:tcPr>
      <w:shd w:val="clear" w:color="auto" w:fill="B1C8E3" w:themeFill="accent1" w:themeFillTint="3F"/>
    </w:tcPr>
    <w:tblStylePr w:type="firstRow">
      <w:rPr>
        <w:b/>
        <w:bCs/>
        <w:color w:val="16293F" w:themeColor="text1"/>
      </w:rPr>
      <w:tblPr/>
      <w:tcPr>
        <w:shd w:val="clear" w:color="auto" w:fill="E0E9F4" w:themeFill="accent1"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C0D2E9" w:themeFill="accent1" w:themeFillTint="33"/>
      </w:tcPr>
    </w:tblStylePr>
    <w:tblStylePr w:type="band1Vert">
      <w:tblPr/>
      <w:tcPr>
        <w:shd w:val="clear" w:color="auto" w:fill="6291C8" w:themeFill="accent1" w:themeFillTint="7F"/>
      </w:tcPr>
    </w:tblStylePr>
    <w:tblStylePr w:type="band1Horz">
      <w:tblPr/>
      <w:tcPr>
        <w:tcBorders>
          <w:insideH w:val="single" w:sz="6" w:space="0" w:color="16293F" w:themeColor="accent1"/>
          <w:insideV w:val="single" w:sz="6" w:space="0" w:color="16293F" w:themeColor="accent1"/>
        </w:tcBorders>
        <w:shd w:val="clear" w:color="auto" w:fill="6291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0052AA" w:themeColor="accent2"/>
        <w:left w:val="single" w:sz="8" w:space="0" w:color="0052AA" w:themeColor="accent2"/>
        <w:bottom w:val="single" w:sz="8" w:space="0" w:color="0052AA" w:themeColor="accent2"/>
        <w:right w:val="single" w:sz="8" w:space="0" w:color="0052AA" w:themeColor="accent2"/>
        <w:insideH w:val="single" w:sz="8" w:space="0" w:color="0052AA" w:themeColor="accent2"/>
        <w:insideV w:val="single" w:sz="8" w:space="0" w:color="0052AA" w:themeColor="accent2"/>
      </w:tblBorders>
    </w:tblPr>
    <w:tcPr>
      <w:shd w:val="clear" w:color="auto" w:fill="ABD3FF" w:themeFill="accent2" w:themeFillTint="3F"/>
    </w:tcPr>
    <w:tblStylePr w:type="firstRow">
      <w:rPr>
        <w:b/>
        <w:bCs/>
        <w:color w:val="16293F" w:themeColor="text1"/>
      </w:rPr>
      <w:tblPr/>
      <w:tcPr>
        <w:shd w:val="clear" w:color="auto" w:fill="DDEDFF" w:themeFill="accent2"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BBDBFF" w:themeFill="accent2" w:themeFillTint="33"/>
      </w:tcPr>
    </w:tblStylePr>
    <w:tblStylePr w:type="band1Vert">
      <w:tblPr/>
      <w:tcPr>
        <w:shd w:val="clear" w:color="auto" w:fill="55A7FF" w:themeFill="accent2" w:themeFillTint="7F"/>
      </w:tcPr>
    </w:tblStylePr>
    <w:tblStylePr w:type="band1Horz">
      <w:tblPr/>
      <w:tcPr>
        <w:tcBorders>
          <w:insideH w:val="single" w:sz="6" w:space="0" w:color="0052AA" w:themeColor="accent2"/>
          <w:insideV w:val="single" w:sz="6" w:space="0" w:color="0052AA" w:themeColor="accent2"/>
        </w:tcBorders>
        <w:shd w:val="clear" w:color="auto" w:fill="55A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F8FFF" w:themeColor="accent3"/>
        <w:left w:val="single" w:sz="8" w:space="0" w:color="1F8FFF" w:themeColor="accent3"/>
        <w:bottom w:val="single" w:sz="8" w:space="0" w:color="1F8FFF" w:themeColor="accent3"/>
        <w:right w:val="single" w:sz="8" w:space="0" w:color="1F8FFF" w:themeColor="accent3"/>
        <w:insideH w:val="single" w:sz="8" w:space="0" w:color="1F8FFF" w:themeColor="accent3"/>
        <w:insideV w:val="single" w:sz="8" w:space="0" w:color="1F8FFF" w:themeColor="accent3"/>
      </w:tblBorders>
    </w:tblPr>
    <w:tcPr>
      <w:shd w:val="clear" w:color="auto" w:fill="C7E3FF" w:themeFill="accent3" w:themeFillTint="3F"/>
    </w:tcPr>
    <w:tblStylePr w:type="firstRow">
      <w:rPr>
        <w:b/>
        <w:bCs/>
        <w:color w:val="16293F" w:themeColor="text1"/>
      </w:rPr>
      <w:tblPr/>
      <w:tcPr>
        <w:shd w:val="clear" w:color="auto" w:fill="E9F3FF" w:themeFill="accent3"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D2E8FF" w:themeFill="accent3" w:themeFillTint="33"/>
      </w:tcPr>
    </w:tblStylePr>
    <w:tblStylePr w:type="band1Vert">
      <w:tblPr/>
      <w:tcPr>
        <w:shd w:val="clear" w:color="auto" w:fill="8FC6FF" w:themeFill="accent3" w:themeFillTint="7F"/>
      </w:tcPr>
    </w:tblStylePr>
    <w:tblStylePr w:type="band1Horz">
      <w:tblPr/>
      <w:tcPr>
        <w:tcBorders>
          <w:insideH w:val="single" w:sz="6" w:space="0" w:color="1F8FFF" w:themeColor="accent3"/>
          <w:insideV w:val="single" w:sz="6" w:space="0" w:color="1F8FFF" w:themeColor="accent3"/>
        </w:tcBorders>
        <w:shd w:val="clear" w:color="auto" w:fill="8FC6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7B91A7" w:themeColor="accent4"/>
        <w:left w:val="single" w:sz="8" w:space="0" w:color="7B91A7" w:themeColor="accent4"/>
        <w:bottom w:val="single" w:sz="8" w:space="0" w:color="7B91A7" w:themeColor="accent4"/>
        <w:right w:val="single" w:sz="8" w:space="0" w:color="7B91A7" w:themeColor="accent4"/>
        <w:insideH w:val="single" w:sz="8" w:space="0" w:color="7B91A7" w:themeColor="accent4"/>
        <w:insideV w:val="single" w:sz="8" w:space="0" w:color="7B91A7" w:themeColor="accent4"/>
      </w:tblBorders>
    </w:tblPr>
    <w:tcPr>
      <w:shd w:val="clear" w:color="auto" w:fill="DEE3E9" w:themeFill="accent4" w:themeFillTint="3F"/>
    </w:tcPr>
    <w:tblStylePr w:type="firstRow">
      <w:rPr>
        <w:b/>
        <w:bCs/>
        <w:color w:val="16293F" w:themeColor="text1"/>
      </w:rPr>
      <w:tblPr/>
      <w:tcPr>
        <w:shd w:val="clear" w:color="auto" w:fill="F2F4F6" w:themeFill="accent4"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E4E8ED" w:themeFill="accent4" w:themeFillTint="33"/>
      </w:tcPr>
    </w:tblStylePr>
    <w:tblStylePr w:type="band1Vert">
      <w:tblPr/>
      <w:tcPr>
        <w:shd w:val="clear" w:color="auto" w:fill="BDC8D3" w:themeFill="accent4" w:themeFillTint="7F"/>
      </w:tcPr>
    </w:tblStylePr>
    <w:tblStylePr w:type="band1Horz">
      <w:tblPr/>
      <w:tcPr>
        <w:tcBorders>
          <w:insideH w:val="single" w:sz="6" w:space="0" w:color="7B91A7" w:themeColor="accent4"/>
          <w:insideV w:val="single" w:sz="6" w:space="0" w:color="7B91A7" w:themeColor="accent4"/>
        </w:tcBorders>
        <w:shd w:val="clear" w:color="auto" w:fill="BDC8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831500" w:themeColor="accent5"/>
        <w:left w:val="single" w:sz="8" w:space="0" w:color="831500" w:themeColor="accent5"/>
        <w:bottom w:val="single" w:sz="8" w:space="0" w:color="831500" w:themeColor="accent5"/>
        <w:right w:val="single" w:sz="8" w:space="0" w:color="831500" w:themeColor="accent5"/>
        <w:insideH w:val="single" w:sz="8" w:space="0" w:color="831500" w:themeColor="accent5"/>
        <w:insideV w:val="single" w:sz="8" w:space="0" w:color="831500" w:themeColor="accent5"/>
      </w:tblBorders>
    </w:tblPr>
    <w:tcPr>
      <w:shd w:val="clear" w:color="auto" w:fill="FFB0A1" w:themeFill="accent5" w:themeFillTint="3F"/>
    </w:tcPr>
    <w:tblStylePr w:type="firstRow">
      <w:rPr>
        <w:b/>
        <w:bCs/>
        <w:color w:val="16293F" w:themeColor="text1"/>
      </w:rPr>
      <w:tblPr/>
      <w:tcPr>
        <w:shd w:val="clear" w:color="auto" w:fill="FFDFD9" w:themeFill="accent5"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FFBEB3" w:themeFill="accent5" w:themeFillTint="33"/>
      </w:tcPr>
    </w:tblStylePr>
    <w:tblStylePr w:type="band1Vert">
      <w:tblPr/>
      <w:tcPr>
        <w:shd w:val="clear" w:color="auto" w:fill="FF5F42" w:themeFill="accent5" w:themeFillTint="7F"/>
      </w:tcPr>
    </w:tblStylePr>
    <w:tblStylePr w:type="band1Horz">
      <w:tblPr/>
      <w:tcPr>
        <w:tcBorders>
          <w:insideH w:val="single" w:sz="6" w:space="0" w:color="831500" w:themeColor="accent5"/>
          <w:insideV w:val="single" w:sz="6" w:space="0" w:color="831500" w:themeColor="accent5"/>
        </w:tcBorders>
        <w:shd w:val="clear" w:color="auto" w:fill="FF5F4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FF5B72" w:themeColor="accent6"/>
        <w:left w:val="single" w:sz="8" w:space="0" w:color="FF5B72" w:themeColor="accent6"/>
        <w:bottom w:val="single" w:sz="8" w:space="0" w:color="FF5B72" w:themeColor="accent6"/>
        <w:right w:val="single" w:sz="8" w:space="0" w:color="FF5B72" w:themeColor="accent6"/>
        <w:insideH w:val="single" w:sz="8" w:space="0" w:color="FF5B72" w:themeColor="accent6"/>
        <w:insideV w:val="single" w:sz="8" w:space="0" w:color="FF5B72" w:themeColor="accent6"/>
      </w:tblBorders>
    </w:tblPr>
    <w:tcPr>
      <w:shd w:val="clear" w:color="auto" w:fill="FFD6DB" w:themeFill="accent6" w:themeFillTint="3F"/>
    </w:tcPr>
    <w:tblStylePr w:type="firstRow">
      <w:rPr>
        <w:b/>
        <w:bCs/>
        <w:color w:val="16293F" w:themeColor="text1"/>
      </w:rPr>
      <w:tblPr/>
      <w:tcPr>
        <w:shd w:val="clear" w:color="auto" w:fill="FFEEF0" w:themeFill="accent6" w:themeFillTint="19"/>
      </w:tcPr>
    </w:tblStylePr>
    <w:tblStylePr w:type="lastRow">
      <w:rPr>
        <w:b/>
        <w:bCs/>
        <w:color w:val="16293F" w:themeColor="text1"/>
      </w:rPr>
      <w:tblPr/>
      <w:tcPr>
        <w:tcBorders>
          <w:top w:val="single" w:sz="12" w:space="0" w:color="16293F" w:themeColor="text1"/>
          <w:left w:val="nil"/>
          <w:bottom w:val="nil"/>
          <w:right w:val="nil"/>
          <w:insideH w:val="nil"/>
          <w:insideV w:val="nil"/>
        </w:tcBorders>
        <w:shd w:val="clear" w:color="auto" w:fill="FFFFFF" w:themeFill="background1"/>
      </w:tcPr>
    </w:tblStylePr>
    <w:tblStylePr w:type="firstCol">
      <w:rPr>
        <w:b/>
        <w:bCs/>
        <w:color w:val="16293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6293F" w:themeColor="text1"/>
      </w:rPr>
      <w:tblPr/>
      <w:tcPr>
        <w:tcBorders>
          <w:top w:val="nil"/>
          <w:left w:val="nil"/>
          <w:bottom w:val="nil"/>
          <w:right w:val="nil"/>
          <w:insideH w:val="nil"/>
          <w:insideV w:val="nil"/>
        </w:tcBorders>
        <w:shd w:val="clear" w:color="auto" w:fill="FFDEE2" w:themeFill="accent6" w:themeFillTint="33"/>
      </w:tcPr>
    </w:tblStylePr>
    <w:tblStylePr w:type="band1Vert">
      <w:tblPr/>
      <w:tcPr>
        <w:shd w:val="clear" w:color="auto" w:fill="FFADB8" w:themeFill="accent6" w:themeFillTint="7F"/>
      </w:tcPr>
    </w:tblStylePr>
    <w:tblStylePr w:type="band1Horz">
      <w:tblPr/>
      <w:tcPr>
        <w:tcBorders>
          <w:insideH w:val="single" w:sz="6" w:space="0" w:color="FF5B72" w:themeColor="accent6"/>
          <w:insideV w:val="single" w:sz="6" w:space="0" w:color="FF5B72" w:themeColor="accent6"/>
        </w:tcBorders>
        <w:shd w:val="clear" w:color="auto" w:fill="FFADB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8E3"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6293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6293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6293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6293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1C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1C8"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8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629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629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629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629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1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1C8"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3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7FF"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8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8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8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8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C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C6FF"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91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91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91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91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C8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C8D3"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A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1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1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1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1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F4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F42"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B7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B7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B7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B7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B8" w:themeFill="accent6" w:themeFillTint="7F"/>
      </w:tcPr>
    </w:tblStylePr>
  </w:style>
  <w:style w:type="table" w:styleId="MediumList1">
    <w:name w:val="Medium List 1"/>
    <w:basedOn w:val="TableNormal"/>
    <w:uiPriority w:val="65"/>
    <w:semiHidden/>
    <w:unhideWhenUsed/>
    <w:rsid w:val="00EA4EC2"/>
    <w:pPr>
      <w:spacing w:after="0"/>
    </w:pPr>
    <w:rPr>
      <w:color w:val="16293F" w:themeColor="text1"/>
    </w:rPr>
    <w:tblPr>
      <w:tblStyleRowBandSize w:val="1"/>
      <w:tblStyleColBandSize w:val="1"/>
      <w:tblBorders>
        <w:top w:val="single" w:sz="8" w:space="0" w:color="16293F" w:themeColor="text1"/>
        <w:bottom w:val="single" w:sz="8" w:space="0" w:color="16293F" w:themeColor="text1"/>
      </w:tblBorders>
    </w:tblPr>
    <w:tblStylePr w:type="firstRow">
      <w:rPr>
        <w:rFonts w:asciiTheme="majorHAnsi" w:eastAsiaTheme="majorEastAsia" w:hAnsiTheme="majorHAnsi" w:cstheme="majorBidi"/>
      </w:rPr>
      <w:tblPr/>
      <w:tcPr>
        <w:tcBorders>
          <w:top w:val="nil"/>
          <w:bottom w:val="single" w:sz="8" w:space="0" w:color="16293F" w:themeColor="text1"/>
        </w:tcBorders>
      </w:tcPr>
    </w:tblStylePr>
    <w:tblStylePr w:type="lastRow">
      <w:rPr>
        <w:b/>
        <w:bCs/>
        <w:color w:val="E97412" w:themeColor="text2"/>
      </w:rPr>
      <w:tblPr/>
      <w:tcPr>
        <w:tcBorders>
          <w:top w:val="single" w:sz="8" w:space="0" w:color="16293F" w:themeColor="text1"/>
          <w:bottom w:val="single" w:sz="8" w:space="0" w:color="16293F" w:themeColor="text1"/>
        </w:tcBorders>
      </w:tcPr>
    </w:tblStylePr>
    <w:tblStylePr w:type="firstCol">
      <w:rPr>
        <w:b/>
        <w:bCs/>
      </w:rPr>
    </w:tblStylePr>
    <w:tblStylePr w:type="lastCol">
      <w:rPr>
        <w:b/>
        <w:bCs/>
      </w:rPr>
      <w:tblPr/>
      <w:tcPr>
        <w:tcBorders>
          <w:top w:val="single" w:sz="8" w:space="0" w:color="16293F" w:themeColor="text1"/>
          <w:bottom w:val="single" w:sz="8" w:space="0" w:color="16293F" w:themeColor="text1"/>
        </w:tcBorders>
      </w:tcPr>
    </w:tblStylePr>
    <w:tblStylePr w:type="band1Vert">
      <w:tblPr/>
      <w:tcPr>
        <w:shd w:val="clear" w:color="auto" w:fill="B1C8E3" w:themeFill="text1" w:themeFillTint="3F"/>
      </w:tcPr>
    </w:tblStylePr>
    <w:tblStylePr w:type="band1Horz">
      <w:tblPr/>
      <w:tcPr>
        <w:shd w:val="clear" w:color="auto" w:fill="B1C8E3" w:themeFill="text1" w:themeFillTint="3F"/>
      </w:tcPr>
    </w:tblStylePr>
  </w:style>
  <w:style w:type="table" w:styleId="MediumList1-Accent1">
    <w:name w:val="Medium List 1 Accent 1"/>
    <w:basedOn w:val="TableNormal"/>
    <w:uiPriority w:val="65"/>
    <w:semiHidden/>
    <w:unhideWhenUsed/>
    <w:rsid w:val="00EA4EC2"/>
    <w:pPr>
      <w:spacing w:after="0"/>
    </w:pPr>
    <w:rPr>
      <w:color w:val="16293F" w:themeColor="text1"/>
    </w:rPr>
    <w:tblPr>
      <w:tblStyleRowBandSize w:val="1"/>
      <w:tblStyleColBandSize w:val="1"/>
      <w:tblBorders>
        <w:top w:val="single" w:sz="8" w:space="0" w:color="16293F" w:themeColor="accent1"/>
        <w:bottom w:val="single" w:sz="8" w:space="0" w:color="16293F" w:themeColor="accent1"/>
      </w:tblBorders>
    </w:tblPr>
    <w:tblStylePr w:type="firstRow">
      <w:rPr>
        <w:rFonts w:asciiTheme="majorHAnsi" w:eastAsiaTheme="majorEastAsia" w:hAnsiTheme="majorHAnsi" w:cstheme="majorBidi"/>
      </w:rPr>
      <w:tblPr/>
      <w:tcPr>
        <w:tcBorders>
          <w:top w:val="nil"/>
          <w:bottom w:val="single" w:sz="8" w:space="0" w:color="16293F" w:themeColor="accent1"/>
        </w:tcBorders>
      </w:tcPr>
    </w:tblStylePr>
    <w:tblStylePr w:type="lastRow">
      <w:rPr>
        <w:b/>
        <w:bCs/>
        <w:color w:val="E97412" w:themeColor="text2"/>
      </w:rPr>
      <w:tblPr/>
      <w:tcPr>
        <w:tcBorders>
          <w:top w:val="single" w:sz="8" w:space="0" w:color="16293F" w:themeColor="accent1"/>
          <w:bottom w:val="single" w:sz="8" w:space="0" w:color="16293F" w:themeColor="accent1"/>
        </w:tcBorders>
      </w:tcPr>
    </w:tblStylePr>
    <w:tblStylePr w:type="firstCol">
      <w:rPr>
        <w:b/>
        <w:bCs/>
      </w:rPr>
    </w:tblStylePr>
    <w:tblStylePr w:type="lastCol">
      <w:rPr>
        <w:b/>
        <w:bCs/>
      </w:rPr>
      <w:tblPr/>
      <w:tcPr>
        <w:tcBorders>
          <w:top w:val="single" w:sz="8" w:space="0" w:color="16293F" w:themeColor="accent1"/>
          <w:bottom w:val="single" w:sz="8" w:space="0" w:color="16293F" w:themeColor="accent1"/>
        </w:tcBorders>
      </w:tcPr>
    </w:tblStylePr>
    <w:tblStylePr w:type="band1Vert">
      <w:tblPr/>
      <w:tcPr>
        <w:shd w:val="clear" w:color="auto" w:fill="B1C8E3" w:themeFill="accent1" w:themeFillTint="3F"/>
      </w:tcPr>
    </w:tblStylePr>
    <w:tblStylePr w:type="band1Horz">
      <w:tblPr/>
      <w:tcPr>
        <w:shd w:val="clear" w:color="auto" w:fill="B1C8E3" w:themeFill="accent1" w:themeFillTint="3F"/>
      </w:tcPr>
    </w:tblStylePr>
  </w:style>
  <w:style w:type="table" w:styleId="MediumList1-Accent2">
    <w:name w:val="Medium List 1 Accent 2"/>
    <w:basedOn w:val="TableNormal"/>
    <w:uiPriority w:val="65"/>
    <w:semiHidden/>
    <w:unhideWhenUsed/>
    <w:rsid w:val="00EA4EC2"/>
    <w:pPr>
      <w:spacing w:after="0"/>
    </w:pPr>
    <w:rPr>
      <w:color w:val="16293F" w:themeColor="text1"/>
    </w:rPr>
    <w:tblPr>
      <w:tblStyleRowBandSize w:val="1"/>
      <w:tblStyleColBandSize w:val="1"/>
      <w:tblBorders>
        <w:top w:val="single" w:sz="8" w:space="0" w:color="0052AA" w:themeColor="accent2"/>
        <w:bottom w:val="single" w:sz="8" w:space="0" w:color="0052AA" w:themeColor="accent2"/>
      </w:tblBorders>
    </w:tblPr>
    <w:tblStylePr w:type="firstRow">
      <w:rPr>
        <w:rFonts w:asciiTheme="majorHAnsi" w:eastAsiaTheme="majorEastAsia" w:hAnsiTheme="majorHAnsi" w:cstheme="majorBidi"/>
      </w:rPr>
      <w:tblPr/>
      <w:tcPr>
        <w:tcBorders>
          <w:top w:val="nil"/>
          <w:bottom w:val="single" w:sz="8" w:space="0" w:color="0052AA" w:themeColor="accent2"/>
        </w:tcBorders>
      </w:tcPr>
    </w:tblStylePr>
    <w:tblStylePr w:type="lastRow">
      <w:rPr>
        <w:b/>
        <w:bCs/>
        <w:color w:val="E97412" w:themeColor="text2"/>
      </w:rPr>
      <w:tblPr/>
      <w:tcPr>
        <w:tcBorders>
          <w:top w:val="single" w:sz="8" w:space="0" w:color="0052AA" w:themeColor="accent2"/>
          <w:bottom w:val="single" w:sz="8" w:space="0" w:color="0052AA" w:themeColor="accent2"/>
        </w:tcBorders>
      </w:tcPr>
    </w:tblStylePr>
    <w:tblStylePr w:type="firstCol">
      <w:rPr>
        <w:b/>
        <w:bCs/>
      </w:rPr>
    </w:tblStylePr>
    <w:tblStylePr w:type="lastCol">
      <w:rPr>
        <w:b/>
        <w:bCs/>
      </w:rPr>
      <w:tblPr/>
      <w:tcPr>
        <w:tcBorders>
          <w:top w:val="single" w:sz="8" w:space="0" w:color="0052AA" w:themeColor="accent2"/>
          <w:bottom w:val="single" w:sz="8" w:space="0" w:color="0052AA" w:themeColor="accent2"/>
        </w:tcBorders>
      </w:tcPr>
    </w:tblStylePr>
    <w:tblStylePr w:type="band1Vert">
      <w:tblPr/>
      <w:tcPr>
        <w:shd w:val="clear" w:color="auto" w:fill="ABD3FF" w:themeFill="accent2" w:themeFillTint="3F"/>
      </w:tcPr>
    </w:tblStylePr>
    <w:tblStylePr w:type="band1Horz">
      <w:tblPr/>
      <w:tcPr>
        <w:shd w:val="clear" w:color="auto" w:fill="ABD3FF" w:themeFill="accent2" w:themeFillTint="3F"/>
      </w:tcPr>
    </w:tblStylePr>
  </w:style>
  <w:style w:type="table" w:styleId="MediumList1-Accent3">
    <w:name w:val="Medium List 1 Accent 3"/>
    <w:basedOn w:val="TableNormal"/>
    <w:uiPriority w:val="65"/>
    <w:semiHidden/>
    <w:unhideWhenUsed/>
    <w:rsid w:val="00EA4EC2"/>
    <w:pPr>
      <w:spacing w:after="0"/>
    </w:pPr>
    <w:rPr>
      <w:color w:val="16293F" w:themeColor="text1"/>
    </w:rPr>
    <w:tblPr>
      <w:tblStyleRowBandSize w:val="1"/>
      <w:tblStyleColBandSize w:val="1"/>
      <w:tblBorders>
        <w:top w:val="single" w:sz="8" w:space="0" w:color="1F8FFF" w:themeColor="accent3"/>
        <w:bottom w:val="single" w:sz="8" w:space="0" w:color="1F8FFF" w:themeColor="accent3"/>
      </w:tblBorders>
    </w:tblPr>
    <w:tblStylePr w:type="firstRow">
      <w:rPr>
        <w:rFonts w:asciiTheme="majorHAnsi" w:eastAsiaTheme="majorEastAsia" w:hAnsiTheme="majorHAnsi" w:cstheme="majorBidi"/>
      </w:rPr>
      <w:tblPr/>
      <w:tcPr>
        <w:tcBorders>
          <w:top w:val="nil"/>
          <w:bottom w:val="single" w:sz="8" w:space="0" w:color="1F8FFF" w:themeColor="accent3"/>
        </w:tcBorders>
      </w:tcPr>
    </w:tblStylePr>
    <w:tblStylePr w:type="lastRow">
      <w:rPr>
        <w:b/>
        <w:bCs/>
        <w:color w:val="E97412" w:themeColor="text2"/>
      </w:rPr>
      <w:tblPr/>
      <w:tcPr>
        <w:tcBorders>
          <w:top w:val="single" w:sz="8" w:space="0" w:color="1F8FFF" w:themeColor="accent3"/>
          <w:bottom w:val="single" w:sz="8" w:space="0" w:color="1F8FFF" w:themeColor="accent3"/>
        </w:tcBorders>
      </w:tcPr>
    </w:tblStylePr>
    <w:tblStylePr w:type="firstCol">
      <w:rPr>
        <w:b/>
        <w:bCs/>
      </w:rPr>
    </w:tblStylePr>
    <w:tblStylePr w:type="lastCol">
      <w:rPr>
        <w:b/>
        <w:bCs/>
      </w:rPr>
      <w:tblPr/>
      <w:tcPr>
        <w:tcBorders>
          <w:top w:val="single" w:sz="8" w:space="0" w:color="1F8FFF" w:themeColor="accent3"/>
          <w:bottom w:val="single" w:sz="8" w:space="0" w:color="1F8FFF" w:themeColor="accent3"/>
        </w:tcBorders>
      </w:tcPr>
    </w:tblStylePr>
    <w:tblStylePr w:type="band1Vert">
      <w:tblPr/>
      <w:tcPr>
        <w:shd w:val="clear" w:color="auto" w:fill="C7E3FF" w:themeFill="accent3" w:themeFillTint="3F"/>
      </w:tcPr>
    </w:tblStylePr>
    <w:tblStylePr w:type="band1Horz">
      <w:tblPr/>
      <w:tcPr>
        <w:shd w:val="clear" w:color="auto" w:fill="C7E3FF" w:themeFill="accent3" w:themeFillTint="3F"/>
      </w:tcPr>
    </w:tblStylePr>
  </w:style>
  <w:style w:type="table" w:styleId="MediumList1-Accent4">
    <w:name w:val="Medium List 1 Accent 4"/>
    <w:basedOn w:val="TableNormal"/>
    <w:uiPriority w:val="65"/>
    <w:semiHidden/>
    <w:unhideWhenUsed/>
    <w:rsid w:val="00EA4EC2"/>
    <w:pPr>
      <w:spacing w:after="0"/>
    </w:pPr>
    <w:rPr>
      <w:color w:val="16293F" w:themeColor="text1"/>
    </w:rPr>
    <w:tblPr>
      <w:tblStyleRowBandSize w:val="1"/>
      <w:tblStyleColBandSize w:val="1"/>
      <w:tblBorders>
        <w:top w:val="single" w:sz="8" w:space="0" w:color="7B91A7" w:themeColor="accent4"/>
        <w:bottom w:val="single" w:sz="8" w:space="0" w:color="7B91A7" w:themeColor="accent4"/>
      </w:tblBorders>
    </w:tblPr>
    <w:tblStylePr w:type="firstRow">
      <w:rPr>
        <w:rFonts w:asciiTheme="majorHAnsi" w:eastAsiaTheme="majorEastAsia" w:hAnsiTheme="majorHAnsi" w:cstheme="majorBidi"/>
      </w:rPr>
      <w:tblPr/>
      <w:tcPr>
        <w:tcBorders>
          <w:top w:val="nil"/>
          <w:bottom w:val="single" w:sz="8" w:space="0" w:color="7B91A7" w:themeColor="accent4"/>
        </w:tcBorders>
      </w:tcPr>
    </w:tblStylePr>
    <w:tblStylePr w:type="lastRow">
      <w:rPr>
        <w:b/>
        <w:bCs/>
        <w:color w:val="E97412" w:themeColor="text2"/>
      </w:rPr>
      <w:tblPr/>
      <w:tcPr>
        <w:tcBorders>
          <w:top w:val="single" w:sz="8" w:space="0" w:color="7B91A7" w:themeColor="accent4"/>
          <w:bottom w:val="single" w:sz="8" w:space="0" w:color="7B91A7" w:themeColor="accent4"/>
        </w:tcBorders>
      </w:tcPr>
    </w:tblStylePr>
    <w:tblStylePr w:type="firstCol">
      <w:rPr>
        <w:b/>
        <w:bCs/>
      </w:rPr>
    </w:tblStylePr>
    <w:tblStylePr w:type="lastCol">
      <w:rPr>
        <w:b/>
        <w:bCs/>
      </w:rPr>
      <w:tblPr/>
      <w:tcPr>
        <w:tcBorders>
          <w:top w:val="single" w:sz="8" w:space="0" w:color="7B91A7" w:themeColor="accent4"/>
          <w:bottom w:val="single" w:sz="8" w:space="0" w:color="7B91A7" w:themeColor="accent4"/>
        </w:tcBorders>
      </w:tcPr>
    </w:tblStylePr>
    <w:tblStylePr w:type="band1Vert">
      <w:tblPr/>
      <w:tcPr>
        <w:shd w:val="clear" w:color="auto" w:fill="DEE3E9" w:themeFill="accent4" w:themeFillTint="3F"/>
      </w:tcPr>
    </w:tblStylePr>
    <w:tblStylePr w:type="band1Horz">
      <w:tblPr/>
      <w:tcPr>
        <w:shd w:val="clear" w:color="auto" w:fill="DEE3E9" w:themeFill="accent4" w:themeFillTint="3F"/>
      </w:tcPr>
    </w:tblStylePr>
  </w:style>
  <w:style w:type="table" w:styleId="MediumList1-Accent5">
    <w:name w:val="Medium List 1 Accent 5"/>
    <w:basedOn w:val="TableNormal"/>
    <w:uiPriority w:val="65"/>
    <w:semiHidden/>
    <w:unhideWhenUsed/>
    <w:rsid w:val="00EA4EC2"/>
    <w:pPr>
      <w:spacing w:after="0"/>
    </w:pPr>
    <w:rPr>
      <w:color w:val="16293F" w:themeColor="text1"/>
    </w:rPr>
    <w:tblPr>
      <w:tblStyleRowBandSize w:val="1"/>
      <w:tblStyleColBandSize w:val="1"/>
      <w:tblBorders>
        <w:top w:val="single" w:sz="8" w:space="0" w:color="831500" w:themeColor="accent5"/>
        <w:bottom w:val="single" w:sz="8" w:space="0" w:color="831500" w:themeColor="accent5"/>
      </w:tblBorders>
    </w:tblPr>
    <w:tblStylePr w:type="firstRow">
      <w:rPr>
        <w:rFonts w:asciiTheme="majorHAnsi" w:eastAsiaTheme="majorEastAsia" w:hAnsiTheme="majorHAnsi" w:cstheme="majorBidi"/>
      </w:rPr>
      <w:tblPr/>
      <w:tcPr>
        <w:tcBorders>
          <w:top w:val="nil"/>
          <w:bottom w:val="single" w:sz="8" w:space="0" w:color="831500" w:themeColor="accent5"/>
        </w:tcBorders>
      </w:tcPr>
    </w:tblStylePr>
    <w:tblStylePr w:type="lastRow">
      <w:rPr>
        <w:b/>
        <w:bCs/>
        <w:color w:val="E97412" w:themeColor="text2"/>
      </w:rPr>
      <w:tblPr/>
      <w:tcPr>
        <w:tcBorders>
          <w:top w:val="single" w:sz="8" w:space="0" w:color="831500" w:themeColor="accent5"/>
          <w:bottom w:val="single" w:sz="8" w:space="0" w:color="831500" w:themeColor="accent5"/>
        </w:tcBorders>
      </w:tcPr>
    </w:tblStylePr>
    <w:tblStylePr w:type="firstCol">
      <w:rPr>
        <w:b/>
        <w:bCs/>
      </w:rPr>
    </w:tblStylePr>
    <w:tblStylePr w:type="lastCol">
      <w:rPr>
        <w:b/>
        <w:bCs/>
      </w:rPr>
      <w:tblPr/>
      <w:tcPr>
        <w:tcBorders>
          <w:top w:val="single" w:sz="8" w:space="0" w:color="831500" w:themeColor="accent5"/>
          <w:bottom w:val="single" w:sz="8" w:space="0" w:color="831500" w:themeColor="accent5"/>
        </w:tcBorders>
      </w:tcPr>
    </w:tblStylePr>
    <w:tblStylePr w:type="band1Vert">
      <w:tblPr/>
      <w:tcPr>
        <w:shd w:val="clear" w:color="auto" w:fill="FFB0A1" w:themeFill="accent5" w:themeFillTint="3F"/>
      </w:tcPr>
    </w:tblStylePr>
    <w:tblStylePr w:type="band1Horz">
      <w:tblPr/>
      <w:tcPr>
        <w:shd w:val="clear" w:color="auto" w:fill="FFB0A1" w:themeFill="accent5" w:themeFillTint="3F"/>
      </w:tcPr>
    </w:tblStylePr>
  </w:style>
  <w:style w:type="table" w:styleId="MediumList1-Accent6">
    <w:name w:val="Medium List 1 Accent 6"/>
    <w:basedOn w:val="TableNormal"/>
    <w:uiPriority w:val="65"/>
    <w:semiHidden/>
    <w:unhideWhenUsed/>
    <w:rsid w:val="00EA4EC2"/>
    <w:pPr>
      <w:spacing w:after="0"/>
    </w:pPr>
    <w:rPr>
      <w:color w:val="16293F" w:themeColor="text1"/>
    </w:rPr>
    <w:tblPr>
      <w:tblStyleRowBandSize w:val="1"/>
      <w:tblStyleColBandSize w:val="1"/>
      <w:tblBorders>
        <w:top w:val="single" w:sz="8" w:space="0" w:color="FF5B72" w:themeColor="accent6"/>
        <w:bottom w:val="single" w:sz="8" w:space="0" w:color="FF5B72" w:themeColor="accent6"/>
      </w:tblBorders>
    </w:tblPr>
    <w:tblStylePr w:type="firstRow">
      <w:rPr>
        <w:rFonts w:asciiTheme="majorHAnsi" w:eastAsiaTheme="majorEastAsia" w:hAnsiTheme="majorHAnsi" w:cstheme="majorBidi"/>
      </w:rPr>
      <w:tblPr/>
      <w:tcPr>
        <w:tcBorders>
          <w:top w:val="nil"/>
          <w:bottom w:val="single" w:sz="8" w:space="0" w:color="FF5B72" w:themeColor="accent6"/>
        </w:tcBorders>
      </w:tcPr>
    </w:tblStylePr>
    <w:tblStylePr w:type="lastRow">
      <w:rPr>
        <w:b/>
        <w:bCs/>
        <w:color w:val="E97412" w:themeColor="text2"/>
      </w:rPr>
      <w:tblPr/>
      <w:tcPr>
        <w:tcBorders>
          <w:top w:val="single" w:sz="8" w:space="0" w:color="FF5B72" w:themeColor="accent6"/>
          <w:bottom w:val="single" w:sz="8" w:space="0" w:color="FF5B72" w:themeColor="accent6"/>
        </w:tcBorders>
      </w:tcPr>
    </w:tblStylePr>
    <w:tblStylePr w:type="firstCol">
      <w:rPr>
        <w:b/>
        <w:bCs/>
      </w:rPr>
    </w:tblStylePr>
    <w:tblStylePr w:type="lastCol">
      <w:rPr>
        <w:b/>
        <w:bCs/>
      </w:rPr>
      <w:tblPr/>
      <w:tcPr>
        <w:tcBorders>
          <w:top w:val="single" w:sz="8" w:space="0" w:color="FF5B72" w:themeColor="accent6"/>
          <w:bottom w:val="single" w:sz="8" w:space="0" w:color="FF5B72" w:themeColor="accent6"/>
        </w:tcBorders>
      </w:tcPr>
    </w:tblStylePr>
    <w:tblStylePr w:type="band1Vert">
      <w:tblPr/>
      <w:tcPr>
        <w:shd w:val="clear" w:color="auto" w:fill="FFD6DB" w:themeFill="accent6" w:themeFillTint="3F"/>
      </w:tcPr>
    </w:tblStylePr>
    <w:tblStylePr w:type="band1Horz">
      <w:tblPr/>
      <w:tcPr>
        <w:shd w:val="clear" w:color="auto" w:fill="FFD6DB"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6293F" w:themeColor="text1"/>
        <w:left w:val="single" w:sz="8" w:space="0" w:color="16293F" w:themeColor="text1"/>
        <w:bottom w:val="single" w:sz="8" w:space="0" w:color="16293F" w:themeColor="text1"/>
        <w:right w:val="single" w:sz="8" w:space="0" w:color="16293F" w:themeColor="text1"/>
      </w:tblBorders>
    </w:tblPr>
    <w:tblStylePr w:type="firstRow">
      <w:rPr>
        <w:sz w:val="24"/>
        <w:szCs w:val="24"/>
      </w:rPr>
      <w:tblPr/>
      <w:tcPr>
        <w:tcBorders>
          <w:top w:val="nil"/>
          <w:left w:val="nil"/>
          <w:bottom w:val="single" w:sz="24" w:space="0" w:color="16293F"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6293F" w:themeColor="text1"/>
          <w:insideH w:val="nil"/>
          <w:insideV w:val="nil"/>
        </w:tcBorders>
        <w:shd w:val="clear" w:color="auto" w:fill="FFFFFF" w:themeFill="background1"/>
      </w:tcPr>
    </w:tblStylePr>
    <w:tblStylePr w:type="lastCol">
      <w:tblPr/>
      <w:tcPr>
        <w:tcBorders>
          <w:top w:val="nil"/>
          <w:left w:val="single" w:sz="8" w:space="0" w:color="16293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8E3" w:themeFill="text1" w:themeFillTint="3F"/>
      </w:tcPr>
    </w:tblStylePr>
    <w:tblStylePr w:type="band1Horz">
      <w:tblPr/>
      <w:tcPr>
        <w:tcBorders>
          <w:top w:val="nil"/>
          <w:bottom w:val="nil"/>
          <w:insideH w:val="nil"/>
          <w:insideV w:val="nil"/>
        </w:tcBorders>
        <w:shd w:val="clear" w:color="auto" w:fill="B1C8E3"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6293F" w:themeColor="accent1"/>
        <w:left w:val="single" w:sz="8" w:space="0" w:color="16293F" w:themeColor="accent1"/>
        <w:bottom w:val="single" w:sz="8" w:space="0" w:color="16293F" w:themeColor="accent1"/>
        <w:right w:val="single" w:sz="8" w:space="0" w:color="16293F" w:themeColor="accent1"/>
      </w:tblBorders>
    </w:tblPr>
    <w:tblStylePr w:type="firstRow">
      <w:rPr>
        <w:sz w:val="24"/>
        <w:szCs w:val="24"/>
      </w:rPr>
      <w:tblPr/>
      <w:tcPr>
        <w:tcBorders>
          <w:top w:val="nil"/>
          <w:left w:val="nil"/>
          <w:bottom w:val="single" w:sz="24" w:space="0" w:color="16293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6293F" w:themeColor="accent1"/>
          <w:insideH w:val="nil"/>
          <w:insideV w:val="nil"/>
        </w:tcBorders>
        <w:shd w:val="clear" w:color="auto" w:fill="FFFFFF" w:themeFill="background1"/>
      </w:tcPr>
    </w:tblStylePr>
    <w:tblStylePr w:type="lastCol">
      <w:tblPr/>
      <w:tcPr>
        <w:tcBorders>
          <w:top w:val="nil"/>
          <w:left w:val="single" w:sz="8" w:space="0" w:color="1629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8E3" w:themeFill="accent1" w:themeFillTint="3F"/>
      </w:tcPr>
    </w:tblStylePr>
    <w:tblStylePr w:type="band1Horz">
      <w:tblPr/>
      <w:tcPr>
        <w:tcBorders>
          <w:top w:val="nil"/>
          <w:bottom w:val="nil"/>
          <w:insideH w:val="nil"/>
          <w:insideV w:val="nil"/>
        </w:tcBorders>
        <w:shd w:val="clear" w:color="auto" w:fill="B1C8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0052AA" w:themeColor="accent2"/>
        <w:left w:val="single" w:sz="8" w:space="0" w:color="0052AA" w:themeColor="accent2"/>
        <w:bottom w:val="single" w:sz="8" w:space="0" w:color="0052AA" w:themeColor="accent2"/>
        <w:right w:val="single" w:sz="8" w:space="0" w:color="0052AA" w:themeColor="accent2"/>
      </w:tblBorders>
    </w:tblPr>
    <w:tblStylePr w:type="firstRow">
      <w:rPr>
        <w:sz w:val="24"/>
        <w:szCs w:val="24"/>
      </w:rPr>
      <w:tblPr/>
      <w:tcPr>
        <w:tcBorders>
          <w:top w:val="nil"/>
          <w:left w:val="nil"/>
          <w:bottom w:val="single" w:sz="24" w:space="0" w:color="0052A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A" w:themeColor="accent2"/>
          <w:insideH w:val="nil"/>
          <w:insideV w:val="nil"/>
        </w:tcBorders>
        <w:shd w:val="clear" w:color="auto" w:fill="FFFFFF" w:themeFill="background1"/>
      </w:tcPr>
    </w:tblStylePr>
    <w:tblStylePr w:type="lastCol">
      <w:tblPr/>
      <w:tcPr>
        <w:tcBorders>
          <w:top w:val="nil"/>
          <w:left w:val="single" w:sz="8" w:space="0" w:color="0052A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3FF" w:themeFill="accent2" w:themeFillTint="3F"/>
      </w:tcPr>
    </w:tblStylePr>
    <w:tblStylePr w:type="band1Horz">
      <w:tblPr/>
      <w:tcPr>
        <w:tcBorders>
          <w:top w:val="nil"/>
          <w:bottom w:val="nil"/>
          <w:insideH w:val="nil"/>
          <w:insideV w:val="nil"/>
        </w:tcBorders>
        <w:shd w:val="clear" w:color="auto" w:fill="ABD3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1F8FFF" w:themeColor="accent3"/>
        <w:left w:val="single" w:sz="8" w:space="0" w:color="1F8FFF" w:themeColor="accent3"/>
        <w:bottom w:val="single" w:sz="8" w:space="0" w:color="1F8FFF" w:themeColor="accent3"/>
        <w:right w:val="single" w:sz="8" w:space="0" w:color="1F8FFF" w:themeColor="accent3"/>
      </w:tblBorders>
    </w:tblPr>
    <w:tblStylePr w:type="firstRow">
      <w:rPr>
        <w:sz w:val="24"/>
        <w:szCs w:val="24"/>
      </w:rPr>
      <w:tblPr/>
      <w:tcPr>
        <w:tcBorders>
          <w:top w:val="nil"/>
          <w:left w:val="nil"/>
          <w:bottom w:val="single" w:sz="24" w:space="0" w:color="1F8F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8FFF" w:themeColor="accent3"/>
          <w:insideH w:val="nil"/>
          <w:insideV w:val="nil"/>
        </w:tcBorders>
        <w:shd w:val="clear" w:color="auto" w:fill="FFFFFF" w:themeFill="background1"/>
      </w:tcPr>
    </w:tblStylePr>
    <w:tblStylePr w:type="lastCol">
      <w:tblPr/>
      <w:tcPr>
        <w:tcBorders>
          <w:top w:val="nil"/>
          <w:left w:val="single" w:sz="8" w:space="0" w:color="1F8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3FF" w:themeFill="accent3" w:themeFillTint="3F"/>
      </w:tcPr>
    </w:tblStylePr>
    <w:tblStylePr w:type="band1Horz">
      <w:tblPr/>
      <w:tcPr>
        <w:tcBorders>
          <w:top w:val="nil"/>
          <w:bottom w:val="nil"/>
          <w:insideH w:val="nil"/>
          <w:insideV w:val="nil"/>
        </w:tcBorders>
        <w:shd w:val="clear" w:color="auto" w:fill="C7E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7B91A7" w:themeColor="accent4"/>
        <w:left w:val="single" w:sz="8" w:space="0" w:color="7B91A7" w:themeColor="accent4"/>
        <w:bottom w:val="single" w:sz="8" w:space="0" w:color="7B91A7" w:themeColor="accent4"/>
        <w:right w:val="single" w:sz="8" w:space="0" w:color="7B91A7" w:themeColor="accent4"/>
      </w:tblBorders>
    </w:tblPr>
    <w:tblStylePr w:type="firstRow">
      <w:rPr>
        <w:sz w:val="24"/>
        <w:szCs w:val="24"/>
      </w:rPr>
      <w:tblPr/>
      <w:tcPr>
        <w:tcBorders>
          <w:top w:val="nil"/>
          <w:left w:val="nil"/>
          <w:bottom w:val="single" w:sz="24" w:space="0" w:color="7B91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91A7" w:themeColor="accent4"/>
          <w:insideH w:val="nil"/>
          <w:insideV w:val="nil"/>
        </w:tcBorders>
        <w:shd w:val="clear" w:color="auto" w:fill="FFFFFF" w:themeFill="background1"/>
      </w:tcPr>
    </w:tblStylePr>
    <w:tblStylePr w:type="lastCol">
      <w:tblPr/>
      <w:tcPr>
        <w:tcBorders>
          <w:top w:val="nil"/>
          <w:left w:val="single" w:sz="8" w:space="0" w:color="7B91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3E9" w:themeFill="accent4" w:themeFillTint="3F"/>
      </w:tcPr>
    </w:tblStylePr>
    <w:tblStylePr w:type="band1Horz">
      <w:tblPr/>
      <w:tcPr>
        <w:tcBorders>
          <w:top w:val="nil"/>
          <w:bottom w:val="nil"/>
          <w:insideH w:val="nil"/>
          <w:insideV w:val="nil"/>
        </w:tcBorders>
        <w:shd w:val="clear" w:color="auto" w:fill="DE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831500" w:themeColor="accent5"/>
        <w:left w:val="single" w:sz="8" w:space="0" w:color="831500" w:themeColor="accent5"/>
        <w:bottom w:val="single" w:sz="8" w:space="0" w:color="831500" w:themeColor="accent5"/>
        <w:right w:val="single" w:sz="8" w:space="0" w:color="831500" w:themeColor="accent5"/>
      </w:tblBorders>
    </w:tblPr>
    <w:tblStylePr w:type="firstRow">
      <w:rPr>
        <w:sz w:val="24"/>
        <w:szCs w:val="24"/>
      </w:rPr>
      <w:tblPr/>
      <w:tcPr>
        <w:tcBorders>
          <w:top w:val="nil"/>
          <w:left w:val="nil"/>
          <w:bottom w:val="single" w:sz="24" w:space="0" w:color="8315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1500" w:themeColor="accent5"/>
          <w:insideH w:val="nil"/>
          <w:insideV w:val="nil"/>
        </w:tcBorders>
        <w:shd w:val="clear" w:color="auto" w:fill="FFFFFF" w:themeFill="background1"/>
      </w:tcPr>
    </w:tblStylePr>
    <w:tblStylePr w:type="lastCol">
      <w:tblPr/>
      <w:tcPr>
        <w:tcBorders>
          <w:top w:val="nil"/>
          <w:left w:val="single" w:sz="8" w:space="0" w:color="831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A1" w:themeFill="accent5" w:themeFillTint="3F"/>
      </w:tcPr>
    </w:tblStylePr>
    <w:tblStylePr w:type="band1Horz">
      <w:tblPr/>
      <w:tcPr>
        <w:tcBorders>
          <w:top w:val="nil"/>
          <w:bottom w:val="nil"/>
          <w:insideH w:val="nil"/>
          <w:insideV w:val="nil"/>
        </w:tcBorders>
        <w:shd w:val="clear" w:color="auto" w:fill="FFB0A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16293F" w:themeColor="text1"/>
    </w:rPr>
    <w:tblPr>
      <w:tblStyleRowBandSize w:val="1"/>
      <w:tblStyleColBandSize w:val="1"/>
      <w:tblBorders>
        <w:top w:val="single" w:sz="8" w:space="0" w:color="FF5B72" w:themeColor="accent6"/>
        <w:left w:val="single" w:sz="8" w:space="0" w:color="FF5B72" w:themeColor="accent6"/>
        <w:bottom w:val="single" w:sz="8" w:space="0" w:color="FF5B72" w:themeColor="accent6"/>
        <w:right w:val="single" w:sz="8" w:space="0" w:color="FF5B72" w:themeColor="accent6"/>
      </w:tblBorders>
    </w:tblPr>
    <w:tblStylePr w:type="firstRow">
      <w:rPr>
        <w:sz w:val="24"/>
        <w:szCs w:val="24"/>
      </w:rPr>
      <w:tblPr/>
      <w:tcPr>
        <w:tcBorders>
          <w:top w:val="nil"/>
          <w:left w:val="nil"/>
          <w:bottom w:val="single" w:sz="24" w:space="0" w:color="FF5B7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B72" w:themeColor="accent6"/>
          <w:insideH w:val="nil"/>
          <w:insideV w:val="nil"/>
        </w:tcBorders>
        <w:shd w:val="clear" w:color="auto" w:fill="FFFFFF" w:themeFill="background1"/>
      </w:tcPr>
    </w:tblStylePr>
    <w:tblStylePr w:type="lastCol">
      <w:tblPr/>
      <w:tcPr>
        <w:tcBorders>
          <w:top w:val="nil"/>
          <w:left w:val="single" w:sz="8" w:space="0" w:color="FF5B7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DB" w:themeFill="accent6" w:themeFillTint="3F"/>
      </w:tcPr>
    </w:tblStylePr>
    <w:tblStylePr w:type="band1Horz">
      <w:tblPr/>
      <w:tcPr>
        <w:tcBorders>
          <w:top w:val="nil"/>
          <w:bottom w:val="nil"/>
          <w:insideH w:val="nil"/>
          <w:insideV w:val="nil"/>
        </w:tcBorders>
        <w:shd w:val="clear" w:color="auto" w:fill="FFD6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315C8E" w:themeColor="text1" w:themeTint="BF"/>
        <w:left w:val="single" w:sz="8" w:space="0" w:color="315C8E" w:themeColor="text1" w:themeTint="BF"/>
        <w:bottom w:val="single" w:sz="8" w:space="0" w:color="315C8E" w:themeColor="text1" w:themeTint="BF"/>
        <w:right w:val="single" w:sz="8" w:space="0" w:color="315C8E" w:themeColor="text1" w:themeTint="BF"/>
        <w:insideH w:val="single" w:sz="8" w:space="0" w:color="315C8E" w:themeColor="text1" w:themeTint="BF"/>
      </w:tblBorders>
    </w:tblPr>
    <w:tblStylePr w:type="firstRow">
      <w:pPr>
        <w:spacing w:before="0" w:after="0" w:line="240" w:lineRule="auto"/>
      </w:pPr>
      <w:rPr>
        <w:b/>
        <w:bCs/>
        <w:color w:val="FFFFFF" w:themeColor="background1"/>
      </w:rPr>
      <w:tblPr/>
      <w:tcPr>
        <w:tcBorders>
          <w:top w:val="single" w:sz="8" w:space="0" w:color="315C8E" w:themeColor="text1" w:themeTint="BF"/>
          <w:left w:val="single" w:sz="8" w:space="0" w:color="315C8E" w:themeColor="text1" w:themeTint="BF"/>
          <w:bottom w:val="single" w:sz="8" w:space="0" w:color="315C8E" w:themeColor="text1" w:themeTint="BF"/>
          <w:right w:val="single" w:sz="8" w:space="0" w:color="315C8E" w:themeColor="text1" w:themeTint="BF"/>
          <w:insideH w:val="nil"/>
          <w:insideV w:val="nil"/>
        </w:tcBorders>
        <w:shd w:val="clear" w:color="auto" w:fill="16293F" w:themeFill="text1"/>
      </w:tcPr>
    </w:tblStylePr>
    <w:tblStylePr w:type="lastRow">
      <w:pPr>
        <w:spacing w:before="0" w:after="0" w:line="240" w:lineRule="auto"/>
      </w:pPr>
      <w:rPr>
        <w:b/>
        <w:bCs/>
      </w:rPr>
      <w:tblPr/>
      <w:tcPr>
        <w:tcBorders>
          <w:top w:val="double" w:sz="6" w:space="0" w:color="315C8E" w:themeColor="text1" w:themeTint="BF"/>
          <w:left w:val="single" w:sz="8" w:space="0" w:color="315C8E" w:themeColor="text1" w:themeTint="BF"/>
          <w:bottom w:val="single" w:sz="8" w:space="0" w:color="315C8E" w:themeColor="text1" w:themeTint="BF"/>
          <w:right w:val="single" w:sz="8" w:space="0" w:color="315C8E" w:themeColor="text1" w:themeTint="BF"/>
          <w:insideH w:val="nil"/>
          <w:insideV w:val="nil"/>
        </w:tcBorders>
      </w:tcPr>
    </w:tblStylePr>
    <w:tblStylePr w:type="firstCol">
      <w:rPr>
        <w:b/>
        <w:bCs/>
      </w:rPr>
    </w:tblStylePr>
    <w:tblStylePr w:type="lastCol">
      <w:rPr>
        <w:b/>
        <w:bCs/>
      </w:rPr>
    </w:tblStylePr>
    <w:tblStylePr w:type="band1Vert">
      <w:tblPr/>
      <w:tcPr>
        <w:shd w:val="clear" w:color="auto" w:fill="B1C8E3" w:themeFill="text1" w:themeFillTint="3F"/>
      </w:tcPr>
    </w:tblStylePr>
    <w:tblStylePr w:type="band1Horz">
      <w:tblPr/>
      <w:tcPr>
        <w:tcBorders>
          <w:insideH w:val="nil"/>
          <w:insideV w:val="nil"/>
        </w:tcBorders>
        <w:shd w:val="clear" w:color="auto" w:fill="B1C8E3"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315C8E" w:themeColor="accent1" w:themeTint="BF"/>
        <w:left w:val="single" w:sz="8" w:space="0" w:color="315C8E" w:themeColor="accent1" w:themeTint="BF"/>
        <w:bottom w:val="single" w:sz="8" w:space="0" w:color="315C8E" w:themeColor="accent1" w:themeTint="BF"/>
        <w:right w:val="single" w:sz="8" w:space="0" w:color="315C8E" w:themeColor="accent1" w:themeTint="BF"/>
        <w:insideH w:val="single" w:sz="8" w:space="0" w:color="315C8E" w:themeColor="accent1" w:themeTint="BF"/>
      </w:tblBorders>
    </w:tblPr>
    <w:tblStylePr w:type="firstRow">
      <w:pPr>
        <w:spacing w:before="0" w:after="0" w:line="240" w:lineRule="auto"/>
      </w:pPr>
      <w:rPr>
        <w:b/>
        <w:bCs/>
        <w:color w:val="FFFFFF" w:themeColor="background1"/>
      </w:rPr>
      <w:tblPr/>
      <w:tcPr>
        <w:tcBorders>
          <w:top w:val="single" w:sz="8" w:space="0" w:color="315C8E" w:themeColor="accent1" w:themeTint="BF"/>
          <w:left w:val="single" w:sz="8" w:space="0" w:color="315C8E" w:themeColor="accent1" w:themeTint="BF"/>
          <w:bottom w:val="single" w:sz="8" w:space="0" w:color="315C8E" w:themeColor="accent1" w:themeTint="BF"/>
          <w:right w:val="single" w:sz="8" w:space="0" w:color="315C8E" w:themeColor="accent1" w:themeTint="BF"/>
          <w:insideH w:val="nil"/>
          <w:insideV w:val="nil"/>
        </w:tcBorders>
        <w:shd w:val="clear" w:color="auto" w:fill="16293F" w:themeFill="accent1"/>
      </w:tcPr>
    </w:tblStylePr>
    <w:tblStylePr w:type="lastRow">
      <w:pPr>
        <w:spacing w:before="0" w:after="0" w:line="240" w:lineRule="auto"/>
      </w:pPr>
      <w:rPr>
        <w:b/>
        <w:bCs/>
      </w:rPr>
      <w:tblPr/>
      <w:tcPr>
        <w:tcBorders>
          <w:top w:val="double" w:sz="6" w:space="0" w:color="315C8E" w:themeColor="accent1" w:themeTint="BF"/>
          <w:left w:val="single" w:sz="8" w:space="0" w:color="315C8E" w:themeColor="accent1" w:themeTint="BF"/>
          <w:bottom w:val="single" w:sz="8" w:space="0" w:color="315C8E" w:themeColor="accent1" w:themeTint="BF"/>
          <w:right w:val="single" w:sz="8" w:space="0" w:color="315C8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8E3" w:themeFill="accent1" w:themeFillTint="3F"/>
      </w:tcPr>
    </w:tblStylePr>
    <w:tblStylePr w:type="band1Horz">
      <w:tblPr/>
      <w:tcPr>
        <w:tcBorders>
          <w:insideH w:val="nil"/>
          <w:insideV w:val="nil"/>
        </w:tcBorders>
        <w:shd w:val="clear" w:color="auto" w:fill="B1C8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007BFF" w:themeColor="accent2" w:themeTint="BF"/>
        <w:left w:val="single" w:sz="8" w:space="0" w:color="007BFF" w:themeColor="accent2" w:themeTint="BF"/>
        <w:bottom w:val="single" w:sz="8" w:space="0" w:color="007BFF" w:themeColor="accent2" w:themeTint="BF"/>
        <w:right w:val="single" w:sz="8" w:space="0" w:color="007BFF" w:themeColor="accent2" w:themeTint="BF"/>
        <w:insideH w:val="single" w:sz="8" w:space="0" w:color="007BFF" w:themeColor="accent2" w:themeTint="BF"/>
      </w:tblBorders>
    </w:tblPr>
    <w:tblStylePr w:type="firstRow">
      <w:pPr>
        <w:spacing w:before="0" w:after="0" w:line="240" w:lineRule="auto"/>
      </w:pPr>
      <w:rPr>
        <w:b/>
        <w:bCs/>
        <w:color w:val="FFFFFF" w:themeColor="background1"/>
      </w:rPr>
      <w:tblPr/>
      <w:tcPr>
        <w:tcBorders>
          <w:top w:val="single" w:sz="8" w:space="0" w:color="007BFF" w:themeColor="accent2" w:themeTint="BF"/>
          <w:left w:val="single" w:sz="8" w:space="0" w:color="007BFF" w:themeColor="accent2" w:themeTint="BF"/>
          <w:bottom w:val="single" w:sz="8" w:space="0" w:color="007BFF" w:themeColor="accent2" w:themeTint="BF"/>
          <w:right w:val="single" w:sz="8" w:space="0" w:color="007BFF" w:themeColor="accent2" w:themeTint="BF"/>
          <w:insideH w:val="nil"/>
          <w:insideV w:val="nil"/>
        </w:tcBorders>
        <w:shd w:val="clear" w:color="auto" w:fill="0052AA" w:themeFill="accent2"/>
      </w:tcPr>
    </w:tblStylePr>
    <w:tblStylePr w:type="lastRow">
      <w:pPr>
        <w:spacing w:before="0" w:after="0" w:line="240" w:lineRule="auto"/>
      </w:pPr>
      <w:rPr>
        <w:b/>
        <w:bCs/>
      </w:rPr>
      <w:tblPr/>
      <w:tcPr>
        <w:tcBorders>
          <w:top w:val="double" w:sz="6" w:space="0" w:color="007BFF" w:themeColor="accent2" w:themeTint="BF"/>
          <w:left w:val="single" w:sz="8" w:space="0" w:color="007BFF" w:themeColor="accent2" w:themeTint="BF"/>
          <w:bottom w:val="single" w:sz="8" w:space="0" w:color="007BFF" w:themeColor="accent2" w:themeTint="BF"/>
          <w:right w:val="single" w:sz="8" w:space="0" w:color="007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D3FF" w:themeFill="accent2" w:themeFillTint="3F"/>
      </w:tcPr>
    </w:tblStylePr>
    <w:tblStylePr w:type="band1Horz">
      <w:tblPr/>
      <w:tcPr>
        <w:tcBorders>
          <w:insideH w:val="nil"/>
          <w:insideV w:val="nil"/>
        </w:tcBorders>
        <w:shd w:val="clear" w:color="auto" w:fill="ABD3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57AAFF" w:themeColor="accent3" w:themeTint="BF"/>
        <w:left w:val="single" w:sz="8" w:space="0" w:color="57AAFF" w:themeColor="accent3" w:themeTint="BF"/>
        <w:bottom w:val="single" w:sz="8" w:space="0" w:color="57AAFF" w:themeColor="accent3" w:themeTint="BF"/>
        <w:right w:val="single" w:sz="8" w:space="0" w:color="57AAFF" w:themeColor="accent3" w:themeTint="BF"/>
        <w:insideH w:val="single" w:sz="8" w:space="0" w:color="57AAFF" w:themeColor="accent3" w:themeTint="BF"/>
      </w:tblBorders>
    </w:tblPr>
    <w:tblStylePr w:type="firstRow">
      <w:pPr>
        <w:spacing w:before="0" w:after="0" w:line="240" w:lineRule="auto"/>
      </w:pPr>
      <w:rPr>
        <w:b/>
        <w:bCs/>
        <w:color w:val="FFFFFF" w:themeColor="background1"/>
      </w:rPr>
      <w:tblPr/>
      <w:tcPr>
        <w:tcBorders>
          <w:top w:val="single" w:sz="8" w:space="0" w:color="57AAFF" w:themeColor="accent3" w:themeTint="BF"/>
          <w:left w:val="single" w:sz="8" w:space="0" w:color="57AAFF" w:themeColor="accent3" w:themeTint="BF"/>
          <w:bottom w:val="single" w:sz="8" w:space="0" w:color="57AAFF" w:themeColor="accent3" w:themeTint="BF"/>
          <w:right w:val="single" w:sz="8" w:space="0" w:color="57AAFF" w:themeColor="accent3" w:themeTint="BF"/>
          <w:insideH w:val="nil"/>
          <w:insideV w:val="nil"/>
        </w:tcBorders>
        <w:shd w:val="clear" w:color="auto" w:fill="1F8FFF" w:themeFill="accent3"/>
      </w:tcPr>
    </w:tblStylePr>
    <w:tblStylePr w:type="lastRow">
      <w:pPr>
        <w:spacing w:before="0" w:after="0" w:line="240" w:lineRule="auto"/>
      </w:pPr>
      <w:rPr>
        <w:b/>
        <w:bCs/>
      </w:rPr>
      <w:tblPr/>
      <w:tcPr>
        <w:tcBorders>
          <w:top w:val="double" w:sz="6" w:space="0" w:color="57AAFF" w:themeColor="accent3" w:themeTint="BF"/>
          <w:left w:val="single" w:sz="8" w:space="0" w:color="57AAFF" w:themeColor="accent3" w:themeTint="BF"/>
          <w:bottom w:val="single" w:sz="8" w:space="0" w:color="57AAFF" w:themeColor="accent3" w:themeTint="BF"/>
          <w:right w:val="single" w:sz="8" w:space="0" w:color="57A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3FF" w:themeFill="accent3" w:themeFillTint="3F"/>
      </w:tcPr>
    </w:tblStylePr>
    <w:tblStylePr w:type="band1Horz">
      <w:tblPr/>
      <w:tcPr>
        <w:tcBorders>
          <w:insideH w:val="nil"/>
          <w:insideV w:val="nil"/>
        </w:tcBorders>
        <w:shd w:val="clear" w:color="auto" w:fill="C7E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9CACBD" w:themeColor="accent4" w:themeTint="BF"/>
        <w:left w:val="single" w:sz="8" w:space="0" w:color="9CACBD" w:themeColor="accent4" w:themeTint="BF"/>
        <w:bottom w:val="single" w:sz="8" w:space="0" w:color="9CACBD" w:themeColor="accent4" w:themeTint="BF"/>
        <w:right w:val="single" w:sz="8" w:space="0" w:color="9CACBD" w:themeColor="accent4" w:themeTint="BF"/>
        <w:insideH w:val="single" w:sz="8" w:space="0" w:color="9CACBD" w:themeColor="accent4" w:themeTint="BF"/>
      </w:tblBorders>
    </w:tblPr>
    <w:tblStylePr w:type="firstRow">
      <w:pPr>
        <w:spacing w:before="0" w:after="0" w:line="240" w:lineRule="auto"/>
      </w:pPr>
      <w:rPr>
        <w:b/>
        <w:bCs/>
        <w:color w:val="FFFFFF" w:themeColor="background1"/>
      </w:rPr>
      <w:tblPr/>
      <w:tcPr>
        <w:tcBorders>
          <w:top w:val="single" w:sz="8" w:space="0" w:color="9CACBD" w:themeColor="accent4" w:themeTint="BF"/>
          <w:left w:val="single" w:sz="8" w:space="0" w:color="9CACBD" w:themeColor="accent4" w:themeTint="BF"/>
          <w:bottom w:val="single" w:sz="8" w:space="0" w:color="9CACBD" w:themeColor="accent4" w:themeTint="BF"/>
          <w:right w:val="single" w:sz="8" w:space="0" w:color="9CACBD" w:themeColor="accent4" w:themeTint="BF"/>
          <w:insideH w:val="nil"/>
          <w:insideV w:val="nil"/>
        </w:tcBorders>
        <w:shd w:val="clear" w:color="auto" w:fill="7B91A7" w:themeFill="accent4"/>
      </w:tcPr>
    </w:tblStylePr>
    <w:tblStylePr w:type="lastRow">
      <w:pPr>
        <w:spacing w:before="0" w:after="0" w:line="240" w:lineRule="auto"/>
      </w:pPr>
      <w:rPr>
        <w:b/>
        <w:bCs/>
      </w:rPr>
      <w:tblPr/>
      <w:tcPr>
        <w:tcBorders>
          <w:top w:val="double" w:sz="6" w:space="0" w:color="9CACBD" w:themeColor="accent4" w:themeTint="BF"/>
          <w:left w:val="single" w:sz="8" w:space="0" w:color="9CACBD" w:themeColor="accent4" w:themeTint="BF"/>
          <w:bottom w:val="single" w:sz="8" w:space="0" w:color="9CACBD" w:themeColor="accent4" w:themeTint="BF"/>
          <w:right w:val="single" w:sz="8" w:space="0" w:color="9CAC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3E9" w:themeFill="accent4" w:themeFillTint="3F"/>
      </w:tcPr>
    </w:tblStylePr>
    <w:tblStylePr w:type="band1Horz">
      <w:tblPr/>
      <w:tcPr>
        <w:tcBorders>
          <w:insideH w:val="nil"/>
          <w:insideV w:val="nil"/>
        </w:tcBorders>
        <w:shd w:val="clear" w:color="auto" w:fill="DE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E22300" w:themeColor="accent5" w:themeTint="BF"/>
        <w:left w:val="single" w:sz="8" w:space="0" w:color="E22300" w:themeColor="accent5" w:themeTint="BF"/>
        <w:bottom w:val="single" w:sz="8" w:space="0" w:color="E22300" w:themeColor="accent5" w:themeTint="BF"/>
        <w:right w:val="single" w:sz="8" w:space="0" w:color="E22300" w:themeColor="accent5" w:themeTint="BF"/>
        <w:insideH w:val="single" w:sz="8" w:space="0" w:color="E22300" w:themeColor="accent5" w:themeTint="BF"/>
      </w:tblBorders>
    </w:tblPr>
    <w:tblStylePr w:type="firstRow">
      <w:pPr>
        <w:spacing w:before="0" w:after="0" w:line="240" w:lineRule="auto"/>
      </w:pPr>
      <w:rPr>
        <w:b/>
        <w:bCs/>
        <w:color w:val="FFFFFF" w:themeColor="background1"/>
      </w:rPr>
      <w:tblPr/>
      <w:tcPr>
        <w:tcBorders>
          <w:top w:val="single" w:sz="8" w:space="0" w:color="E22300" w:themeColor="accent5" w:themeTint="BF"/>
          <w:left w:val="single" w:sz="8" w:space="0" w:color="E22300" w:themeColor="accent5" w:themeTint="BF"/>
          <w:bottom w:val="single" w:sz="8" w:space="0" w:color="E22300" w:themeColor="accent5" w:themeTint="BF"/>
          <w:right w:val="single" w:sz="8" w:space="0" w:color="E22300" w:themeColor="accent5" w:themeTint="BF"/>
          <w:insideH w:val="nil"/>
          <w:insideV w:val="nil"/>
        </w:tcBorders>
        <w:shd w:val="clear" w:color="auto" w:fill="831500" w:themeFill="accent5"/>
      </w:tcPr>
    </w:tblStylePr>
    <w:tblStylePr w:type="lastRow">
      <w:pPr>
        <w:spacing w:before="0" w:after="0" w:line="240" w:lineRule="auto"/>
      </w:pPr>
      <w:rPr>
        <w:b/>
        <w:bCs/>
      </w:rPr>
      <w:tblPr/>
      <w:tcPr>
        <w:tcBorders>
          <w:top w:val="double" w:sz="6" w:space="0" w:color="E22300" w:themeColor="accent5" w:themeTint="BF"/>
          <w:left w:val="single" w:sz="8" w:space="0" w:color="E22300" w:themeColor="accent5" w:themeTint="BF"/>
          <w:bottom w:val="single" w:sz="8" w:space="0" w:color="E22300" w:themeColor="accent5" w:themeTint="BF"/>
          <w:right w:val="single" w:sz="8" w:space="0" w:color="E2230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0A1" w:themeFill="accent5" w:themeFillTint="3F"/>
      </w:tcPr>
    </w:tblStylePr>
    <w:tblStylePr w:type="band1Horz">
      <w:tblPr/>
      <w:tcPr>
        <w:tcBorders>
          <w:insideH w:val="nil"/>
          <w:insideV w:val="nil"/>
        </w:tcBorders>
        <w:shd w:val="clear" w:color="auto" w:fill="FFB0A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FF8494" w:themeColor="accent6" w:themeTint="BF"/>
        <w:left w:val="single" w:sz="8" w:space="0" w:color="FF8494" w:themeColor="accent6" w:themeTint="BF"/>
        <w:bottom w:val="single" w:sz="8" w:space="0" w:color="FF8494" w:themeColor="accent6" w:themeTint="BF"/>
        <w:right w:val="single" w:sz="8" w:space="0" w:color="FF8494" w:themeColor="accent6" w:themeTint="BF"/>
        <w:insideH w:val="single" w:sz="8" w:space="0" w:color="FF8494" w:themeColor="accent6" w:themeTint="BF"/>
      </w:tblBorders>
    </w:tblPr>
    <w:tblStylePr w:type="firstRow">
      <w:pPr>
        <w:spacing w:before="0" w:after="0" w:line="240" w:lineRule="auto"/>
      </w:pPr>
      <w:rPr>
        <w:b/>
        <w:bCs/>
        <w:color w:val="FFFFFF" w:themeColor="background1"/>
      </w:rPr>
      <w:tblPr/>
      <w:tcPr>
        <w:tcBorders>
          <w:top w:val="single" w:sz="8" w:space="0" w:color="FF8494" w:themeColor="accent6" w:themeTint="BF"/>
          <w:left w:val="single" w:sz="8" w:space="0" w:color="FF8494" w:themeColor="accent6" w:themeTint="BF"/>
          <w:bottom w:val="single" w:sz="8" w:space="0" w:color="FF8494" w:themeColor="accent6" w:themeTint="BF"/>
          <w:right w:val="single" w:sz="8" w:space="0" w:color="FF8494" w:themeColor="accent6" w:themeTint="BF"/>
          <w:insideH w:val="nil"/>
          <w:insideV w:val="nil"/>
        </w:tcBorders>
        <w:shd w:val="clear" w:color="auto" w:fill="FF5B72" w:themeFill="accent6"/>
      </w:tcPr>
    </w:tblStylePr>
    <w:tblStylePr w:type="lastRow">
      <w:pPr>
        <w:spacing w:before="0" w:after="0" w:line="240" w:lineRule="auto"/>
      </w:pPr>
      <w:rPr>
        <w:b/>
        <w:bCs/>
      </w:rPr>
      <w:tblPr/>
      <w:tcPr>
        <w:tcBorders>
          <w:top w:val="double" w:sz="6" w:space="0" w:color="FF8494" w:themeColor="accent6" w:themeTint="BF"/>
          <w:left w:val="single" w:sz="8" w:space="0" w:color="FF8494" w:themeColor="accent6" w:themeTint="BF"/>
          <w:bottom w:val="single" w:sz="8" w:space="0" w:color="FF8494" w:themeColor="accent6" w:themeTint="BF"/>
          <w:right w:val="single" w:sz="8" w:space="0" w:color="FF849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6DB" w:themeFill="accent6" w:themeFillTint="3F"/>
      </w:tcPr>
    </w:tblStylePr>
    <w:tblStylePr w:type="band1Horz">
      <w:tblPr/>
      <w:tcPr>
        <w:tcBorders>
          <w:insideH w:val="nil"/>
          <w:insideV w:val="nil"/>
        </w:tcBorders>
        <w:shd w:val="clear" w:color="auto" w:fill="FFD6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6293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6293F" w:themeFill="text1"/>
      </w:tcPr>
    </w:tblStylePr>
    <w:tblStylePr w:type="lastCol">
      <w:rPr>
        <w:b/>
        <w:bCs/>
        <w:color w:val="FFFFFF" w:themeColor="background1"/>
      </w:rPr>
      <w:tblPr/>
      <w:tcPr>
        <w:tcBorders>
          <w:left w:val="nil"/>
          <w:right w:val="nil"/>
          <w:insideH w:val="nil"/>
          <w:insideV w:val="nil"/>
        </w:tcBorders>
        <w:shd w:val="clear" w:color="auto" w:fill="16293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629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6293F" w:themeFill="accent1"/>
      </w:tcPr>
    </w:tblStylePr>
    <w:tblStylePr w:type="lastCol">
      <w:rPr>
        <w:b/>
        <w:bCs/>
        <w:color w:val="FFFFFF" w:themeColor="background1"/>
      </w:rPr>
      <w:tblPr/>
      <w:tcPr>
        <w:tcBorders>
          <w:left w:val="nil"/>
          <w:right w:val="nil"/>
          <w:insideH w:val="nil"/>
          <w:insideV w:val="nil"/>
        </w:tcBorders>
        <w:shd w:val="clear" w:color="auto" w:fill="1629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2AA" w:themeFill="accent2"/>
      </w:tcPr>
    </w:tblStylePr>
    <w:tblStylePr w:type="lastCol">
      <w:rPr>
        <w:b/>
        <w:bCs/>
        <w:color w:val="FFFFFF" w:themeColor="background1"/>
      </w:rPr>
      <w:tblPr/>
      <w:tcPr>
        <w:tcBorders>
          <w:left w:val="nil"/>
          <w:right w:val="nil"/>
          <w:insideH w:val="nil"/>
          <w:insideV w:val="nil"/>
        </w:tcBorders>
        <w:shd w:val="clear" w:color="auto" w:fill="0052A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8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8FFF" w:themeFill="accent3"/>
      </w:tcPr>
    </w:tblStylePr>
    <w:tblStylePr w:type="lastCol">
      <w:rPr>
        <w:b/>
        <w:bCs/>
        <w:color w:val="FFFFFF" w:themeColor="background1"/>
      </w:rPr>
      <w:tblPr/>
      <w:tcPr>
        <w:tcBorders>
          <w:left w:val="nil"/>
          <w:right w:val="nil"/>
          <w:insideH w:val="nil"/>
          <w:insideV w:val="nil"/>
        </w:tcBorders>
        <w:shd w:val="clear" w:color="auto" w:fill="1F8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91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91A7" w:themeFill="accent4"/>
      </w:tcPr>
    </w:tblStylePr>
    <w:tblStylePr w:type="lastCol">
      <w:rPr>
        <w:b/>
        <w:bCs/>
        <w:color w:val="FFFFFF" w:themeColor="background1"/>
      </w:rPr>
      <w:tblPr/>
      <w:tcPr>
        <w:tcBorders>
          <w:left w:val="nil"/>
          <w:right w:val="nil"/>
          <w:insideH w:val="nil"/>
          <w:insideV w:val="nil"/>
        </w:tcBorders>
        <w:shd w:val="clear" w:color="auto" w:fill="7B91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1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1500" w:themeFill="accent5"/>
      </w:tcPr>
    </w:tblStylePr>
    <w:tblStylePr w:type="lastCol">
      <w:rPr>
        <w:b/>
        <w:bCs/>
        <w:color w:val="FFFFFF" w:themeColor="background1"/>
      </w:rPr>
      <w:tblPr/>
      <w:tcPr>
        <w:tcBorders>
          <w:left w:val="nil"/>
          <w:right w:val="nil"/>
          <w:insideH w:val="nil"/>
          <w:insideV w:val="nil"/>
        </w:tcBorders>
        <w:shd w:val="clear" w:color="auto" w:fill="831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B7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5B72" w:themeFill="accent6"/>
      </w:tcPr>
    </w:tblStylePr>
    <w:tblStylePr w:type="lastCol">
      <w:rPr>
        <w:b/>
        <w:bCs/>
        <w:color w:val="FFFFFF" w:themeColor="background1"/>
      </w:rPr>
      <w:tblPr/>
      <w:tcPr>
        <w:tcBorders>
          <w:left w:val="nil"/>
          <w:right w:val="nil"/>
          <w:insideH w:val="nil"/>
          <w:insideV w:val="nil"/>
        </w:tcBorders>
        <w:shd w:val="clear" w:color="auto" w:fill="FF5B7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6090C7" w:themeColor="text1" w:themeTint="80"/>
        <w:bottom w:val="single" w:sz="4" w:space="0" w:color="6090C7" w:themeColor="text1" w:themeTint="80"/>
      </w:tblBorders>
    </w:tblPr>
    <w:tblStylePr w:type="firstRow">
      <w:rPr>
        <w:b/>
        <w:bCs/>
      </w:rPr>
      <w:tblPr/>
      <w:tcPr>
        <w:tcBorders>
          <w:bottom w:val="single" w:sz="4" w:space="0" w:color="6090C7" w:themeColor="text1" w:themeTint="80"/>
        </w:tcBorders>
      </w:tcPr>
    </w:tblStylePr>
    <w:tblStylePr w:type="lastRow">
      <w:rPr>
        <w:b/>
        <w:bCs/>
      </w:rPr>
      <w:tblPr/>
      <w:tcPr>
        <w:tcBorders>
          <w:top w:val="single" w:sz="4" w:space="0" w:color="6090C7" w:themeColor="text1" w:themeTint="80"/>
        </w:tcBorders>
      </w:tcPr>
    </w:tblStylePr>
    <w:tblStylePr w:type="firstCol">
      <w:rPr>
        <w:b/>
        <w:bCs/>
      </w:rPr>
    </w:tblStylePr>
    <w:tblStylePr w:type="lastCol">
      <w:rPr>
        <w:b/>
        <w:bCs/>
      </w:rPr>
    </w:tblStylePr>
    <w:tblStylePr w:type="band1Vert">
      <w:tblPr/>
      <w:tcPr>
        <w:tcBorders>
          <w:left w:val="single" w:sz="4" w:space="0" w:color="6090C7" w:themeColor="text1" w:themeTint="80"/>
          <w:right w:val="single" w:sz="4" w:space="0" w:color="6090C7" w:themeColor="text1" w:themeTint="80"/>
        </w:tcBorders>
      </w:tcPr>
    </w:tblStylePr>
    <w:tblStylePr w:type="band2Vert">
      <w:tblPr/>
      <w:tcPr>
        <w:tcBorders>
          <w:left w:val="single" w:sz="4" w:space="0" w:color="6090C7" w:themeColor="text1" w:themeTint="80"/>
          <w:right w:val="single" w:sz="4" w:space="0" w:color="6090C7" w:themeColor="text1" w:themeTint="80"/>
        </w:tcBorders>
      </w:tcPr>
    </w:tblStylePr>
    <w:tblStylePr w:type="band1Horz">
      <w:tblPr/>
      <w:tcPr>
        <w:tcBorders>
          <w:top w:val="single" w:sz="4" w:space="0" w:color="6090C7" w:themeColor="text1" w:themeTint="80"/>
          <w:bottom w:val="single" w:sz="4" w:space="0" w:color="6090C7"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6090C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90C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90C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90C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90C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90C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315C8E" w:themeColor="text1" w:themeTint="BF"/>
    </w:rPr>
  </w:style>
  <w:style w:type="character" w:styleId="SubtleReference">
    <w:name w:val="Subtle Reference"/>
    <w:basedOn w:val="DefaultParagraphFont"/>
    <w:uiPriority w:val="31"/>
    <w:semiHidden/>
    <w:unhideWhenUsed/>
    <w:qFormat/>
    <w:rsid w:val="00EA4EC2"/>
    <w:rPr>
      <w:smallCaps/>
      <w:color w:val="3C71AE"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 w:type="paragraph" w:customStyle="1" w:styleId="Default">
    <w:name w:val="Default"/>
    <w:basedOn w:val="Normal"/>
    <w:rsid w:val="00CC4C7E"/>
    <w:pPr>
      <w:autoSpaceDE w:val="0"/>
      <w:autoSpaceDN w:val="0"/>
      <w:spacing w:after="0"/>
    </w:pPr>
    <w:rPr>
      <w:rFonts w:ascii="Calibri" w:eastAsiaTheme="minorHAnsi" w:hAnsi="Calibri" w:cs="Calibri"/>
      <w:color w:val="000000"/>
      <w:sz w:val="24"/>
      <w:szCs w:val="24"/>
      <w:lang w:val="en-GB" w:eastAsia="en-US"/>
    </w:rPr>
  </w:style>
  <w:style w:type="paragraph" w:customStyle="1" w:styleId="Bodytext0">
    <w:name w:val="!Body text"/>
    <w:basedOn w:val="Normal"/>
    <w:link w:val="BodytextChar0"/>
    <w:qFormat/>
    <w:rsid w:val="00B21AD5"/>
    <w:pPr>
      <w:spacing w:before="120" w:after="0" w:line="260" w:lineRule="exact"/>
    </w:pPr>
    <w:rPr>
      <w:rFonts w:eastAsiaTheme="minorHAnsi"/>
      <w:sz w:val="20"/>
      <w:lang w:val="en-GB" w:eastAsia="en-US"/>
    </w:rPr>
  </w:style>
  <w:style w:type="character" w:customStyle="1" w:styleId="BodytextChar0">
    <w:name w:val="!Body text Char"/>
    <w:basedOn w:val="DefaultParagraphFont"/>
    <w:link w:val="Bodytext0"/>
    <w:rsid w:val="00B21AD5"/>
    <w:rPr>
      <w:rFonts w:eastAsiaTheme="minorHAnsi"/>
      <w:sz w:val="20"/>
      <w:lang w:val="en-GB" w:eastAsia="en-US"/>
    </w:rPr>
  </w:style>
  <w:style w:type="paragraph" w:customStyle="1" w:styleId="Heading">
    <w:name w:val="!Heading"/>
    <w:basedOn w:val="Normal"/>
    <w:next w:val="Bodytext0"/>
    <w:link w:val="HeadingChar"/>
    <w:qFormat/>
    <w:rsid w:val="00A517F6"/>
    <w:pPr>
      <w:keepNext/>
      <w:spacing w:after="360" w:line="560" w:lineRule="exact"/>
    </w:pPr>
    <w:rPr>
      <w:rFonts w:ascii="Source Sans Pro Light" w:eastAsiaTheme="minorHAnsi" w:hAnsi="Source Sans Pro Light"/>
      <w:color w:val="16293F" w:themeColor="text1"/>
      <w:sz w:val="48"/>
      <w:szCs w:val="36"/>
      <w:lang w:val="en-GB" w:eastAsia="en-US"/>
    </w:rPr>
  </w:style>
  <w:style w:type="character" w:customStyle="1" w:styleId="HeadingChar">
    <w:name w:val="!Heading Char"/>
    <w:basedOn w:val="DefaultParagraphFont"/>
    <w:link w:val="Heading"/>
    <w:rsid w:val="00A517F6"/>
    <w:rPr>
      <w:rFonts w:ascii="Source Sans Pro Light" w:eastAsiaTheme="minorHAnsi" w:hAnsi="Source Sans Pro Light" w:cs="Arial"/>
      <w:color w:val="16293F" w:themeColor="text1"/>
      <w:sz w:val="48"/>
      <w:szCs w:val="36"/>
      <w:lang w:val="en-GB" w:eastAsia="en-US"/>
    </w:rPr>
  </w:style>
  <w:style w:type="paragraph" w:customStyle="1" w:styleId="Time">
    <w:name w:val="!Time"/>
    <w:basedOn w:val="Bodytext0"/>
    <w:link w:val="TimeChar"/>
    <w:qFormat/>
    <w:rsid w:val="00902A45"/>
    <w:rPr>
      <w:rFonts w:ascii="Source Sans Pro Semibold" w:hAnsi="Source Sans Pro Semibold"/>
    </w:rPr>
  </w:style>
  <w:style w:type="character" w:customStyle="1" w:styleId="TimeChar">
    <w:name w:val="!Time Char"/>
    <w:basedOn w:val="BodytextChar0"/>
    <w:link w:val="Time"/>
    <w:rsid w:val="00902A45"/>
    <w:rPr>
      <w:rFonts w:ascii="Source Sans Pro Semibold" w:eastAsiaTheme="minorHAnsi" w:hAnsi="Source Sans Pro Semibold" w:cs="Arial"/>
      <w:color w:val="16293F" w:themeColor="text1"/>
      <w:sz w:val="21"/>
      <w:lang w:val="en-GB" w:eastAsia="en-US"/>
    </w:rPr>
  </w:style>
  <w:style w:type="paragraph" w:customStyle="1" w:styleId="Bodytext-alphanumbering">
    <w:name w:val="!Body text - alpha numbering"/>
    <w:basedOn w:val="Bodytext0"/>
    <w:link w:val="Bodytext-alphanumberingChar"/>
    <w:qFormat/>
    <w:rsid w:val="005F1BDB"/>
    <w:pPr>
      <w:numPr>
        <w:numId w:val="11"/>
      </w:numPr>
    </w:pPr>
  </w:style>
  <w:style w:type="character" w:customStyle="1" w:styleId="Bodytext-alphanumberingChar">
    <w:name w:val="!Body text - alpha numbering Char"/>
    <w:basedOn w:val="BodytextChar0"/>
    <w:link w:val="Bodytext-alphanumbering"/>
    <w:rsid w:val="005F1BDB"/>
    <w:rPr>
      <w:rFonts w:eastAsiaTheme="minorHAnsi"/>
      <w:sz w:val="20"/>
      <w:lang w:val="en-GB" w:eastAsia="en-US"/>
    </w:rPr>
  </w:style>
  <w:style w:type="paragraph" w:customStyle="1" w:styleId="Bodytext-alphanumbering-level2">
    <w:name w:val="!Body text - alpha numbering - level 2"/>
    <w:basedOn w:val="Bodytext-alphanumbering"/>
    <w:link w:val="Bodytext-alphanumbering-level2Char"/>
    <w:qFormat/>
    <w:rsid w:val="005F1BDB"/>
    <w:pPr>
      <w:numPr>
        <w:ilvl w:val="1"/>
      </w:numPr>
    </w:pPr>
  </w:style>
  <w:style w:type="character" w:customStyle="1" w:styleId="Bodytext-alphanumbering-level2Char">
    <w:name w:val="!Body text - alpha numbering - level 2 Char"/>
    <w:basedOn w:val="Bodytext-alphanumberingChar"/>
    <w:link w:val="Bodytext-alphanumbering-level2"/>
    <w:rsid w:val="005F1BDB"/>
    <w:rPr>
      <w:rFonts w:eastAsiaTheme="minorHAnsi"/>
      <w:sz w:val="20"/>
      <w:lang w:val="en-GB" w:eastAsia="en-US"/>
    </w:rPr>
  </w:style>
  <w:style w:type="paragraph" w:customStyle="1" w:styleId="Bodytext-alphanumbering-level3">
    <w:name w:val="!Body text - alpha numbering - level 3"/>
    <w:basedOn w:val="Bodytext-alphanumbering"/>
    <w:link w:val="Bodytext-alphanumbering-level3Char"/>
    <w:qFormat/>
    <w:rsid w:val="005F1BDB"/>
    <w:pPr>
      <w:numPr>
        <w:ilvl w:val="2"/>
      </w:numPr>
    </w:pPr>
  </w:style>
  <w:style w:type="character" w:customStyle="1" w:styleId="Bodytext-alphanumbering-level3Char">
    <w:name w:val="!Body text - alpha numbering - level 3 Char"/>
    <w:basedOn w:val="Bodytext-alphanumberingChar"/>
    <w:link w:val="Bodytext-alphanumbering-level3"/>
    <w:rsid w:val="005F1BDB"/>
    <w:rPr>
      <w:rFonts w:eastAsiaTheme="minorHAnsi"/>
      <w:sz w:val="20"/>
      <w:lang w:val="en-GB" w:eastAsia="en-US"/>
    </w:rPr>
  </w:style>
  <w:style w:type="paragraph" w:customStyle="1" w:styleId="Bodytext-numbering">
    <w:name w:val="!Body text - numbering"/>
    <w:basedOn w:val="Normal"/>
    <w:link w:val="Bodytext-numberingChar"/>
    <w:qFormat/>
    <w:rsid w:val="00B21AD5"/>
    <w:pPr>
      <w:numPr>
        <w:numId w:val="12"/>
      </w:numPr>
      <w:spacing w:before="120" w:after="0" w:line="260" w:lineRule="exact"/>
    </w:pPr>
    <w:rPr>
      <w:rFonts w:eastAsiaTheme="minorHAnsi"/>
      <w:sz w:val="20"/>
      <w:lang w:val="en-GB" w:eastAsia="en-US"/>
    </w:rPr>
  </w:style>
  <w:style w:type="character" w:customStyle="1" w:styleId="Bodytext-numberingChar">
    <w:name w:val="!Body text - numbering Char"/>
    <w:basedOn w:val="DefaultParagraphFont"/>
    <w:link w:val="Bodytext-numbering"/>
    <w:rsid w:val="00B21AD5"/>
    <w:rPr>
      <w:rFonts w:eastAsiaTheme="minorHAnsi"/>
      <w:sz w:val="20"/>
      <w:lang w:val="en-GB" w:eastAsia="en-US"/>
    </w:rPr>
  </w:style>
  <w:style w:type="paragraph" w:customStyle="1" w:styleId="Bodytextnumbering-level2">
    <w:name w:val="!Body text numbering - level 2"/>
    <w:basedOn w:val="Bodytext-numbering"/>
    <w:link w:val="Bodytextnumbering-level2Char"/>
    <w:qFormat/>
    <w:rsid w:val="005F1BDB"/>
    <w:pPr>
      <w:numPr>
        <w:ilvl w:val="1"/>
      </w:numPr>
    </w:pPr>
  </w:style>
  <w:style w:type="character" w:customStyle="1" w:styleId="Bodytextnumbering-level2Char">
    <w:name w:val="!Body text numbering - level 2 Char"/>
    <w:basedOn w:val="Bodytext-numberingChar"/>
    <w:link w:val="Bodytextnumbering-level2"/>
    <w:rsid w:val="005F1BDB"/>
    <w:rPr>
      <w:rFonts w:eastAsiaTheme="minorHAnsi"/>
      <w:sz w:val="20"/>
      <w:lang w:val="en-GB" w:eastAsia="en-US"/>
    </w:rPr>
  </w:style>
  <w:style w:type="paragraph" w:customStyle="1" w:styleId="Bodytextnumbering-level3">
    <w:name w:val="!Body text numbering - level 3"/>
    <w:basedOn w:val="Bodytext-numbering"/>
    <w:link w:val="Bodytextnumbering-level3Char"/>
    <w:qFormat/>
    <w:rsid w:val="005F1BDB"/>
    <w:pPr>
      <w:numPr>
        <w:ilvl w:val="2"/>
      </w:numPr>
    </w:pPr>
  </w:style>
  <w:style w:type="character" w:customStyle="1" w:styleId="Bodytextnumbering-level3Char">
    <w:name w:val="!Body text numbering - level 3 Char"/>
    <w:basedOn w:val="Bodytext-numberingChar"/>
    <w:link w:val="Bodytextnumbering-level3"/>
    <w:rsid w:val="005F1BDB"/>
    <w:rPr>
      <w:rFonts w:eastAsiaTheme="minorHAnsi"/>
      <w:sz w:val="20"/>
      <w:lang w:val="en-GB" w:eastAsia="en-US"/>
    </w:rPr>
  </w:style>
  <w:style w:type="character" w:customStyle="1" w:styleId="Bold">
    <w:name w:val="!Bold"/>
    <w:basedOn w:val="DefaultParagraphFont"/>
    <w:uiPriority w:val="1"/>
    <w:qFormat/>
    <w:rsid w:val="005F1BDB"/>
    <w:rPr>
      <w:rFonts w:ascii="Source Sans Pro Semibold" w:hAnsi="Source Sans Pro Semibold"/>
      <w:b w:val="0"/>
    </w:rPr>
  </w:style>
  <w:style w:type="paragraph" w:customStyle="1" w:styleId="Bullet1">
    <w:name w:val="!Bullet 1"/>
    <w:basedOn w:val="Bodytext0"/>
    <w:next w:val="Bodytext0"/>
    <w:link w:val="Bullet1Char"/>
    <w:qFormat/>
    <w:rsid w:val="00217C84"/>
  </w:style>
  <w:style w:type="character" w:customStyle="1" w:styleId="Bullet1Char">
    <w:name w:val="!Bullet 1 Char"/>
    <w:basedOn w:val="BodytextChar0"/>
    <w:link w:val="Bullet1"/>
    <w:rsid w:val="00217C84"/>
    <w:rPr>
      <w:rFonts w:eastAsiaTheme="minorHAnsi"/>
      <w:sz w:val="20"/>
      <w:lang w:val="en-GB" w:eastAsia="en-US"/>
    </w:rPr>
  </w:style>
  <w:style w:type="paragraph" w:customStyle="1" w:styleId="Bullet1Bold">
    <w:name w:val="!Bullet 1 Bold"/>
    <w:basedOn w:val="Bullet1"/>
    <w:link w:val="Bullet1BoldChar"/>
    <w:qFormat/>
    <w:rsid w:val="00217C84"/>
    <w:rPr>
      <w:rFonts w:ascii="Source Sans Pro Semibold" w:hAnsi="Source Sans Pro Semibold"/>
    </w:rPr>
  </w:style>
  <w:style w:type="character" w:customStyle="1" w:styleId="Bullet1BoldChar">
    <w:name w:val="!Bullet 1 Bold Char"/>
    <w:basedOn w:val="Bullet1Char"/>
    <w:link w:val="Bullet1Bold"/>
    <w:rsid w:val="00217C84"/>
    <w:rPr>
      <w:rFonts w:ascii="Source Sans Pro Semibold" w:eastAsiaTheme="minorHAnsi" w:hAnsi="Source Sans Pro Semibold" w:cs="Arial"/>
      <w:color w:val="444444"/>
      <w:sz w:val="20"/>
      <w:lang w:val="en-GB" w:eastAsia="en-US"/>
    </w:rPr>
  </w:style>
  <w:style w:type="paragraph" w:customStyle="1" w:styleId="Bullet2">
    <w:name w:val="!Bullet 2"/>
    <w:basedOn w:val="Bullet1"/>
    <w:link w:val="Bullet2Char"/>
    <w:qFormat/>
    <w:rsid w:val="00217C84"/>
    <w:pPr>
      <w:numPr>
        <w:ilvl w:val="1"/>
      </w:numPr>
    </w:pPr>
  </w:style>
  <w:style w:type="character" w:customStyle="1" w:styleId="Bullet2Char">
    <w:name w:val="!Bullet 2 Char"/>
    <w:basedOn w:val="Bullet1Char"/>
    <w:link w:val="Bullet2"/>
    <w:rsid w:val="00217C84"/>
    <w:rPr>
      <w:rFonts w:eastAsiaTheme="minorHAnsi"/>
      <w:sz w:val="20"/>
      <w:lang w:val="en-GB" w:eastAsia="en-US"/>
    </w:rPr>
  </w:style>
  <w:style w:type="paragraph" w:customStyle="1" w:styleId="Bullet2Bold">
    <w:name w:val="!Bullet 2 Bold"/>
    <w:basedOn w:val="Bullet2"/>
    <w:link w:val="Bullet2BoldChar"/>
    <w:qFormat/>
    <w:rsid w:val="00217C84"/>
    <w:rPr>
      <w:b/>
      <w:bCs/>
    </w:rPr>
  </w:style>
  <w:style w:type="character" w:customStyle="1" w:styleId="Bullet2BoldChar">
    <w:name w:val="!Bullet 2 Bold Char"/>
    <w:basedOn w:val="Bullet2Char"/>
    <w:link w:val="Bullet2Bold"/>
    <w:rsid w:val="00217C84"/>
    <w:rPr>
      <w:rFonts w:ascii="Source Sans Pro" w:eastAsiaTheme="minorHAnsi" w:hAnsi="Source Sans Pro" w:cs="Arial"/>
      <w:b/>
      <w:bCs/>
      <w:color w:val="444444"/>
      <w:sz w:val="20"/>
      <w:lang w:val="en-GB" w:eastAsia="en-US"/>
    </w:rPr>
  </w:style>
  <w:style w:type="paragraph" w:customStyle="1" w:styleId="Disclaimer">
    <w:name w:val="!Disclaimer"/>
    <w:basedOn w:val="Bodytext0"/>
    <w:link w:val="DisclaimerChar"/>
    <w:qFormat/>
    <w:rsid w:val="005F1BDB"/>
    <w:pPr>
      <w:spacing w:line="240" w:lineRule="auto"/>
    </w:pPr>
    <w:rPr>
      <w:sz w:val="17"/>
      <w:szCs w:val="17"/>
    </w:rPr>
  </w:style>
  <w:style w:type="character" w:customStyle="1" w:styleId="DisclaimerChar">
    <w:name w:val="!Disclaimer Char"/>
    <w:basedOn w:val="BodytextChar0"/>
    <w:link w:val="Disclaimer"/>
    <w:rsid w:val="005F1BDB"/>
    <w:rPr>
      <w:rFonts w:ascii="Source Sans Pro" w:eastAsiaTheme="minorHAnsi" w:hAnsi="Source Sans Pro" w:cs="Arial"/>
      <w:color w:val="444444"/>
      <w:sz w:val="17"/>
      <w:szCs w:val="17"/>
      <w:lang w:val="en-GB" w:eastAsia="en-US"/>
    </w:rPr>
  </w:style>
  <w:style w:type="paragraph" w:customStyle="1" w:styleId="Footnote">
    <w:name w:val="!Footnote"/>
    <w:basedOn w:val="FootnoteText"/>
    <w:link w:val="FootnoteChar"/>
    <w:qFormat/>
    <w:rsid w:val="00B9668B"/>
    <w:pPr>
      <w:spacing w:before="60" w:after="20" w:line="160" w:lineRule="exact"/>
      <w:ind w:left="86" w:hanging="86"/>
    </w:pPr>
    <w:rPr>
      <w:rFonts w:ascii="Source Sans Pro Light" w:eastAsiaTheme="minorHAnsi" w:hAnsi="Source Sans Pro Light"/>
      <w:sz w:val="16"/>
      <w:lang w:val="en-GB" w:eastAsia="en-US"/>
    </w:rPr>
  </w:style>
  <w:style w:type="character" w:customStyle="1" w:styleId="FootnoteChar">
    <w:name w:val="!Footnote Char"/>
    <w:basedOn w:val="FootnoteTextChar"/>
    <w:link w:val="Footnote"/>
    <w:rsid w:val="00B9668B"/>
    <w:rPr>
      <w:rFonts w:ascii="Source Sans Pro Light" w:eastAsiaTheme="minorHAnsi" w:hAnsi="Source Sans Pro Light"/>
      <w:sz w:val="16"/>
      <w:szCs w:val="20"/>
      <w:lang w:val="en-GB" w:eastAsia="en-US"/>
    </w:rPr>
  </w:style>
  <w:style w:type="paragraph" w:customStyle="1" w:styleId="Source">
    <w:name w:val="!Source"/>
    <w:basedOn w:val="Bodytext0"/>
    <w:next w:val="Bodytext0"/>
    <w:link w:val="SourceChar"/>
    <w:qFormat/>
    <w:rsid w:val="005F1BDB"/>
    <w:pPr>
      <w:spacing w:before="60" w:line="200" w:lineRule="exact"/>
    </w:pPr>
    <w:rPr>
      <w:i/>
      <w:sz w:val="16"/>
    </w:rPr>
  </w:style>
  <w:style w:type="character" w:customStyle="1" w:styleId="SourceChar">
    <w:name w:val="!Source Char"/>
    <w:basedOn w:val="BodytextChar0"/>
    <w:link w:val="Source"/>
    <w:rsid w:val="005F1BDB"/>
    <w:rPr>
      <w:rFonts w:ascii="Source Sans Pro" w:eastAsiaTheme="minorHAnsi" w:hAnsi="Source Sans Pro" w:cs="Arial"/>
      <w:i/>
      <w:color w:val="444444"/>
      <w:sz w:val="16"/>
      <w:lang w:val="en-GB" w:eastAsia="en-US"/>
    </w:rPr>
  </w:style>
  <w:style w:type="paragraph" w:customStyle="1" w:styleId="Subheading">
    <w:name w:val="!Subheading"/>
    <w:basedOn w:val="Bodytext0"/>
    <w:next w:val="Bodytext0"/>
    <w:link w:val="SubheadingChar"/>
    <w:qFormat/>
    <w:rsid w:val="009A66A5"/>
    <w:pPr>
      <w:keepNext/>
      <w:spacing w:before="240" w:line="280" w:lineRule="exact"/>
    </w:pPr>
    <w:rPr>
      <w:rFonts w:ascii="Source Sans Pro Semibold" w:hAnsi="Source Sans Pro Semibold"/>
      <w:color w:val="16293F" w:themeColor="text1"/>
      <w:sz w:val="24"/>
    </w:rPr>
  </w:style>
  <w:style w:type="character" w:customStyle="1" w:styleId="SubheadingChar">
    <w:name w:val="!Subheading Char"/>
    <w:basedOn w:val="BodytextChar0"/>
    <w:link w:val="Subheading"/>
    <w:rsid w:val="009A66A5"/>
    <w:rPr>
      <w:rFonts w:ascii="Source Sans Pro Semibold" w:eastAsiaTheme="minorHAnsi" w:hAnsi="Source Sans Pro Semibold" w:cs="Arial"/>
      <w:color w:val="16293F" w:themeColor="text1"/>
      <w:sz w:val="24"/>
      <w:lang w:val="en-GB" w:eastAsia="en-US"/>
    </w:rPr>
  </w:style>
  <w:style w:type="paragraph" w:customStyle="1" w:styleId="Subheading2">
    <w:name w:val="!Subheading 2"/>
    <w:basedOn w:val="Bodytext0"/>
    <w:next w:val="Bodytext0"/>
    <w:link w:val="Subheading2Char"/>
    <w:qFormat/>
    <w:rsid w:val="00C91D17"/>
    <w:pPr>
      <w:keepNext/>
      <w:tabs>
        <w:tab w:val="left" w:pos="5638"/>
      </w:tabs>
      <w:spacing w:before="180"/>
    </w:pPr>
    <w:rPr>
      <w:rFonts w:ascii="Source Sans Pro Semibold" w:hAnsi="Source Sans Pro Semibold"/>
      <w:color w:val="3E5772"/>
    </w:rPr>
  </w:style>
  <w:style w:type="character" w:customStyle="1" w:styleId="Subheading2Char">
    <w:name w:val="!Subheading 2 Char"/>
    <w:basedOn w:val="BodytextChar0"/>
    <w:link w:val="Subheading2"/>
    <w:rsid w:val="00C91D17"/>
    <w:rPr>
      <w:rFonts w:ascii="Source Sans Pro Semibold" w:eastAsiaTheme="minorHAnsi" w:hAnsi="Source Sans Pro Semibold" w:cs="Arial"/>
      <w:color w:val="3E5772"/>
      <w:sz w:val="20"/>
      <w:lang w:val="en-GB" w:eastAsia="en-US"/>
    </w:rPr>
  </w:style>
  <w:style w:type="paragraph" w:customStyle="1" w:styleId="Tabletext">
    <w:name w:val="!Table text"/>
    <w:basedOn w:val="Normal"/>
    <w:link w:val="TabletextChar"/>
    <w:qFormat/>
    <w:rsid w:val="00B41C0F"/>
    <w:pPr>
      <w:spacing w:before="40" w:after="40"/>
    </w:pPr>
    <w:rPr>
      <w:rFonts w:eastAsiaTheme="minorHAnsi"/>
      <w:lang w:val="en-GB" w:eastAsia="en-US"/>
    </w:rPr>
  </w:style>
  <w:style w:type="character" w:customStyle="1" w:styleId="TabletextChar">
    <w:name w:val="!Table text Char"/>
    <w:basedOn w:val="DefaultParagraphFont"/>
    <w:link w:val="Tabletext"/>
    <w:rsid w:val="00B41C0F"/>
    <w:rPr>
      <w:rFonts w:eastAsiaTheme="minorHAnsi"/>
      <w:lang w:val="en-GB" w:eastAsia="en-US"/>
    </w:rPr>
  </w:style>
  <w:style w:type="paragraph" w:customStyle="1" w:styleId="Tablebullet">
    <w:name w:val="!Table bullet"/>
    <w:basedOn w:val="Tabletext"/>
    <w:link w:val="TablebulletChar"/>
    <w:qFormat/>
    <w:rsid w:val="009A66A5"/>
    <w:pPr>
      <w:numPr>
        <w:numId w:val="14"/>
      </w:numPr>
    </w:pPr>
  </w:style>
  <w:style w:type="character" w:customStyle="1" w:styleId="TablebulletChar">
    <w:name w:val="!Table bullet Char"/>
    <w:basedOn w:val="TabletextChar"/>
    <w:link w:val="Tablebullet"/>
    <w:rsid w:val="009A66A5"/>
    <w:rPr>
      <w:rFonts w:ascii="Source Sans Pro" w:eastAsiaTheme="minorHAnsi" w:hAnsi="Source Sans Pro" w:cs="Arial"/>
      <w:color w:val="444444"/>
      <w:sz w:val="18"/>
      <w:szCs w:val="16"/>
      <w:lang w:val="en-GB" w:eastAsia="en-US"/>
    </w:rPr>
  </w:style>
  <w:style w:type="paragraph" w:customStyle="1" w:styleId="Tablebullet2">
    <w:name w:val="!Table bullet 2"/>
    <w:basedOn w:val="Tablebullet"/>
    <w:link w:val="Tablebullet2Char"/>
    <w:qFormat/>
    <w:rsid w:val="009A66A5"/>
    <w:pPr>
      <w:numPr>
        <w:ilvl w:val="1"/>
      </w:numPr>
    </w:pPr>
  </w:style>
  <w:style w:type="character" w:customStyle="1" w:styleId="Tablebullet2Char">
    <w:name w:val="!Table bullet 2 Char"/>
    <w:basedOn w:val="TablebulletChar"/>
    <w:link w:val="Tablebullet2"/>
    <w:rsid w:val="009A66A5"/>
    <w:rPr>
      <w:rFonts w:ascii="Source Sans Pro" w:eastAsiaTheme="minorHAnsi" w:hAnsi="Source Sans Pro" w:cs="Arial"/>
      <w:color w:val="444444"/>
      <w:sz w:val="18"/>
      <w:szCs w:val="16"/>
      <w:lang w:val="en-GB" w:eastAsia="en-US"/>
    </w:rPr>
  </w:style>
  <w:style w:type="paragraph" w:customStyle="1" w:styleId="Tableheading">
    <w:name w:val="!Table heading"/>
    <w:basedOn w:val="Tabletext"/>
    <w:link w:val="TableheadingChar"/>
    <w:qFormat/>
    <w:rsid w:val="00B17DE3"/>
    <w:pPr>
      <w:spacing w:before="0" w:after="0"/>
    </w:pPr>
    <w:rPr>
      <w:rFonts w:ascii="Source Sans Pro Semibold" w:hAnsi="Source Sans Pro Semibold"/>
      <w:color w:val="315C8E" w:themeColor="text1" w:themeTint="BF"/>
    </w:rPr>
  </w:style>
  <w:style w:type="character" w:customStyle="1" w:styleId="TableheadingChar">
    <w:name w:val="!Table heading Char"/>
    <w:basedOn w:val="TabletextChar"/>
    <w:link w:val="Tableheading"/>
    <w:rsid w:val="00B17DE3"/>
    <w:rPr>
      <w:rFonts w:ascii="Source Sans Pro Semibold" w:eastAsiaTheme="minorHAnsi" w:hAnsi="Source Sans Pro Semibold"/>
      <w:color w:val="315C8E" w:themeColor="text1" w:themeTint="BF"/>
      <w:lang w:val="en-GB" w:eastAsia="en-US"/>
    </w:rPr>
  </w:style>
  <w:style w:type="paragraph" w:customStyle="1" w:styleId="Tableheadingright">
    <w:name w:val="!Table heading right"/>
    <w:basedOn w:val="Tableheading"/>
    <w:link w:val="TableheadingrightChar"/>
    <w:qFormat/>
    <w:rsid w:val="005F1BDB"/>
    <w:pPr>
      <w:jc w:val="right"/>
    </w:pPr>
  </w:style>
  <w:style w:type="character" w:customStyle="1" w:styleId="TableheadingrightChar">
    <w:name w:val="!Table heading right Char"/>
    <w:basedOn w:val="TableheadingChar"/>
    <w:link w:val="Tableheadingright"/>
    <w:rsid w:val="005F1BDB"/>
    <w:rPr>
      <w:rFonts w:ascii="Source Sans Pro Semibold" w:eastAsiaTheme="minorHAnsi" w:hAnsi="Source Sans Pro Semibold" w:cs="Arial"/>
      <w:color w:val="16293F" w:themeColor="text1"/>
      <w:sz w:val="18"/>
      <w:szCs w:val="16"/>
      <w:lang w:val="en-GB" w:eastAsia="en-US"/>
    </w:rPr>
  </w:style>
  <w:style w:type="paragraph" w:customStyle="1" w:styleId="Tablenumbers">
    <w:name w:val="!Table numbers"/>
    <w:basedOn w:val="Tabletext"/>
    <w:link w:val="TablenumbersChar"/>
    <w:qFormat/>
    <w:rsid w:val="005F1BDB"/>
    <w:pPr>
      <w:jc w:val="right"/>
    </w:pPr>
  </w:style>
  <w:style w:type="character" w:customStyle="1" w:styleId="TablenumbersChar">
    <w:name w:val="!Table numbers Char"/>
    <w:basedOn w:val="TabletextChar"/>
    <w:link w:val="Tablenumbers"/>
    <w:rsid w:val="005F1BDB"/>
    <w:rPr>
      <w:rFonts w:ascii="Source Sans Pro" w:eastAsiaTheme="minorHAnsi" w:hAnsi="Source Sans Pro" w:cs="Arial"/>
      <w:color w:val="444444"/>
      <w:sz w:val="18"/>
      <w:szCs w:val="16"/>
      <w:lang w:val="en-GB" w:eastAsia="en-US"/>
    </w:rPr>
  </w:style>
  <w:style w:type="paragraph" w:customStyle="1" w:styleId="Tabletitle">
    <w:name w:val="!Table title"/>
    <w:basedOn w:val="Normal"/>
    <w:link w:val="TabletitleChar"/>
    <w:qFormat/>
    <w:rsid w:val="00B62492"/>
    <w:pPr>
      <w:keepNext/>
      <w:spacing w:before="240" w:after="60" w:line="280" w:lineRule="exact"/>
    </w:pPr>
    <w:rPr>
      <w:rFonts w:ascii="Source Sans Pro Semibold" w:eastAsiaTheme="minorHAnsi" w:hAnsi="Source Sans Pro Semibold"/>
      <w:color w:val="16293F" w:themeColor="text1"/>
      <w:sz w:val="24"/>
      <w:lang w:val="en-GB" w:eastAsia="en-US"/>
    </w:rPr>
  </w:style>
  <w:style w:type="character" w:customStyle="1" w:styleId="TabletitleChar">
    <w:name w:val="!Table title Char"/>
    <w:basedOn w:val="DefaultParagraphFont"/>
    <w:link w:val="Tabletitle"/>
    <w:rsid w:val="00B62492"/>
    <w:rPr>
      <w:rFonts w:ascii="Source Sans Pro Semibold" w:eastAsiaTheme="minorHAnsi" w:hAnsi="Source Sans Pro Semibold"/>
      <w:color w:val="16293F" w:themeColor="text1"/>
      <w:sz w:val="24"/>
      <w:lang w:val="en-GB" w:eastAsia="en-US"/>
    </w:rPr>
  </w:style>
  <w:style w:type="paragraph" w:customStyle="1" w:styleId="Tablesubhead">
    <w:name w:val="!Table subhead"/>
    <w:basedOn w:val="Tabletitle"/>
    <w:link w:val="TablesubheadChar"/>
    <w:qFormat/>
    <w:rsid w:val="00B62492"/>
    <w:pPr>
      <w:spacing w:before="120" w:line="240" w:lineRule="auto"/>
    </w:pPr>
    <w:rPr>
      <w:sz w:val="20"/>
    </w:rPr>
  </w:style>
  <w:style w:type="character" w:customStyle="1" w:styleId="TablesubheadChar">
    <w:name w:val="!Table subhead Char"/>
    <w:basedOn w:val="TabletitleChar"/>
    <w:link w:val="Tablesubhead"/>
    <w:rsid w:val="00B62492"/>
    <w:rPr>
      <w:rFonts w:ascii="Source Sans Pro Semibold" w:eastAsiaTheme="minorHAnsi" w:hAnsi="Source Sans Pro Semibold"/>
      <w:color w:val="16293F" w:themeColor="text1"/>
      <w:sz w:val="20"/>
      <w:lang w:val="en-GB" w:eastAsia="en-US"/>
    </w:rPr>
  </w:style>
  <w:style w:type="table" w:customStyle="1" w:styleId="Texttable">
    <w:name w:val="!Text table"/>
    <w:basedOn w:val="TableNormal"/>
    <w:uiPriority w:val="99"/>
    <w:rsid w:val="005F1BDB"/>
    <w:pPr>
      <w:spacing w:after="0"/>
    </w:pPr>
    <w:rPr>
      <w:rFonts w:ascii="Arial" w:eastAsiaTheme="minorHAnsi" w:hAnsi="Arial"/>
      <w:color w:val="16293F" w:themeColor="text1"/>
      <w:lang w:val="en-GB" w:eastAsia="en-US"/>
    </w:rPr>
    <w:tblPr>
      <w:tblStyleRowBandSize w:val="1"/>
    </w:tblPr>
    <w:tblStylePr w:type="firstRow">
      <w:pPr>
        <w:wordWrap/>
        <w:spacing w:beforeLines="60" w:before="60" w:beforeAutospacing="0" w:afterLines="60" w:after="60" w:afterAutospacing="0" w:line="240" w:lineRule="auto"/>
        <w:jc w:val="left"/>
      </w:pPr>
      <w:rPr>
        <w:rFonts w:ascii="Arial" w:hAnsi="Arial"/>
        <w:b/>
        <w:sz w:val="18"/>
      </w:rPr>
      <w:tblPr/>
      <w:tcPr>
        <w:tcBorders>
          <w:bottom w:val="single" w:sz="4" w:space="0" w:color="0052AA" w:themeColor="accent2"/>
        </w:tcBorders>
      </w:tcPr>
    </w:tblStylePr>
    <w:tblStylePr w:type="lastRow">
      <w:pPr>
        <w:wordWrap/>
        <w:spacing w:beforeLines="40" w:before="40" w:beforeAutospacing="0" w:afterLines="40" w:after="40" w:afterAutospacing="0" w:line="240" w:lineRule="auto"/>
      </w:pPr>
      <w:rPr>
        <w:rFonts w:ascii="Arial" w:hAnsi="Arial"/>
        <w:b/>
        <w:sz w:val="18"/>
      </w:rPr>
      <w:tblPr/>
      <w:tcPr>
        <w:tcBorders>
          <w:bottom w:val="single" w:sz="4" w:space="0" w:color="0052AA" w:themeColor="accent2"/>
        </w:tcBorders>
      </w:tcPr>
    </w:tblStylePr>
    <w:tblStylePr w:type="band1Horz">
      <w:pPr>
        <w:wordWrap/>
        <w:spacing w:beforeLines="40" w:before="40" w:beforeAutospacing="0" w:afterLines="40" w:after="40" w:afterAutospacing="0" w:line="240" w:lineRule="auto"/>
      </w:pPr>
      <w:tblPr/>
      <w:tcPr>
        <w:tcBorders>
          <w:bottom w:val="single" w:sz="4" w:space="0" w:color="0052AA" w:themeColor="accent2"/>
          <w:insideH w:val="single" w:sz="4" w:space="0" w:color="0052AA" w:themeColor="accent2"/>
          <w:insideV w:val="nil"/>
        </w:tcBorders>
      </w:tcPr>
    </w:tblStylePr>
    <w:tblStylePr w:type="band2Horz">
      <w:pPr>
        <w:wordWrap/>
        <w:spacing w:beforeLines="40" w:before="40" w:beforeAutospacing="0" w:afterLines="40" w:after="40" w:afterAutospacing="0" w:line="240" w:lineRule="auto"/>
      </w:pPr>
      <w:tblPr/>
      <w:tcPr>
        <w:tcBorders>
          <w:bottom w:val="single" w:sz="4" w:space="0" w:color="0052AA" w:themeColor="accent2"/>
          <w:insideH w:val="nil"/>
        </w:tcBorders>
      </w:tcPr>
    </w:tblStylePr>
  </w:style>
  <w:style w:type="table" w:customStyle="1" w:styleId="TableGrid10">
    <w:name w:val="Table Grid1"/>
    <w:basedOn w:val="TableNormal"/>
    <w:next w:val="TableGrid"/>
    <w:uiPriority w:val="39"/>
    <w:rsid w:val="0029771B"/>
    <w:pPr>
      <w:spacing w:after="0"/>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858CA"/>
    <w:pPr>
      <w:spacing w:after="0"/>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6161B3"/>
    <w:pPr>
      <w:spacing w:after="0"/>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ubhead">
    <w:name w:val="!Graphic subhead"/>
    <w:basedOn w:val="Tablesubhead"/>
    <w:next w:val="Tabletext"/>
    <w:link w:val="GraphicsubheadChar"/>
    <w:qFormat/>
    <w:rsid w:val="006161B3"/>
    <w:pPr>
      <w:spacing w:before="60" w:after="0"/>
    </w:pPr>
  </w:style>
  <w:style w:type="character" w:customStyle="1" w:styleId="GraphicsubheadChar">
    <w:name w:val="!Graphic subhead Char"/>
    <w:basedOn w:val="TablesubheadChar"/>
    <w:link w:val="Graphicsubhead"/>
    <w:rsid w:val="006161B3"/>
    <w:rPr>
      <w:rFonts w:ascii="Source Sans Pro Semibold" w:eastAsiaTheme="minorHAnsi" w:hAnsi="Source Sans Pro Semibold"/>
      <w:color w:val="16293F" w:themeColor="accent1"/>
      <w:sz w:val="20"/>
      <w:lang w:val="en-GB" w:eastAsia="en-US"/>
    </w:rPr>
  </w:style>
  <w:style w:type="table" w:customStyle="1" w:styleId="TableGrid40">
    <w:name w:val="Table Grid4"/>
    <w:basedOn w:val="TableNormal"/>
    <w:next w:val="TableGrid"/>
    <w:uiPriority w:val="39"/>
    <w:rsid w:val="006161B3"/>
    <w:pPr>
      <w:spacing w:after="0"/>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6161B3"/>
    <w:pPr>
      <w:spacing w:after="0"/>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00423"/>
    <w:rPr>
      <w:color w:val="605E5C"/>
      <w:shd w:val="clear" w:color="auto" w:fill="E1DFDD"/>
    </w:rPr>
  </w:style>
  <w:style w:type="paragraph" w:customStyle="1" w:styleId="Bullet">
    <w:name w:val="Bullet"/>
    <w:basedOn w:val="Normal"/>
    <w:link w:val="BulletChar"/>
    <w:qFormat/>
    <w:rsid w:val="009B1911"/>
    <w:pPr>
      <w:numPr>
        <w:numId w:val="26"/>
      </w:numPr>
      <w:spacing w:after="240" w:line="240" w:lineRule="atLeast"/>
      <w:contextualSpacing/>
    </w:pPr>
    <w:rPr>
      <w:rFonts w:ascii="Arial" w:eastAsiaTheme="minorHAnsi" w:hAnsi="Arial"/>
      <w:sz w:val="17"/>
      <w:szCs w:val="17"/>
      <w:lang w:val="en-GB" w:eastAsia="en-GB"/>
    </w:rPr>
  </w:style>
  <w:style w:type="paragraph" w:styleId="Revision">
    <w:name w:val="Revision"/>
    <w:hidden/>
    <w:uiPriority w:val="99"/>
    <w:semiHidden/>
    <w:rsid w:val="006E7D6F"/>
    <w:pPr>
      <w:spacing w:after="0"/>
    </w:pPr>
  </w:style>
  <w:style w:type="character" w:styleId="Mention">
    <w:name w:val="Mention"/>
    <w:basedOn w:val="DefaultParagraphFont"/>
    <w:uiPriority w:val="99"/>
    <w:unhideWhenUsed/>
    <w:rsid w:val="009770FC"/>
    <w:rPr>
      <w:color w:val="2B579A"/>
      <w:shd w:val="clear" w:color="auto" w:fill="E1DFDD"/>
    </w:rPr>
  </w:style>
  <w:style w:type="table" w:customStyle="1" w:styleId="TableGrid60">
    <w:name w:val="Table Grid6"/>
    <w:basedOn w:val="TableNormal"/>
    <w:next w:val="TableGrid"/>
    <w:uiPriority w:val="39"/>
    <w:rsid w:val="00A46C49"/>
    <w:pPr>
      <w:spacing w:after="0"/>
    </w:pPr>
    <w:tblPr>
      <w:tblCellMar>
        <w:left w:w="0" w:type="dxa"/>
        <w:right w:w="0" w:type="dxa"/>
      </w:tblCellMar>
    </w:tblPr>
  </w:style>
  <w:style w:type="table" w:customStyle="1" w:styleId="TableGrid70">
    <w:name w:val="Table Grid7"/>
    <w:basedOn w:val="TableNormal"/>
    <w:next w:val="TableGrid"/>
    <w:uiPriority w:val="39"/>
    <w:rsid w:val="00B87F64"/>
    <w:pPr>
      <w:spacing w:after="0"/>
    </w:pPr>
    <w:tblPr>
      <w:tblCellMar>
        <w:left w:w="0" w:type="dxa"/>
        <w:right w:w="0" w:type="dxa"/>
      </w:tblCellMar>
    </w:tblPr>
  </w:style>
  <w:style w:type="table" w:customStyle="1" w:styleId="TableGrid80">
    <w:name w:val="Table Grid8"/>
    <w:basedOn w:val="TableNormal"/>
    <w:next w:val="TableGrid"/>
    <w:uiPriority w:val="39"/>
    <w:rsid w:val="00B87F64"/>
    <w:pPr>
      <w:spacing w:after="0"/>
    </w:pPr>
    <w:tblPr>
      <w:tblCellMar>
        <w:left w:w="0" w:type="dxa"/>
        <w:right w:w="0" w:type="dxa"/>
      </w:tblCellMar>
    </w:tblPr>
  </w:style>
  <w:style w:type="paragraph" w:customStyle="1" w:styleId="Text">
    <w:name w:val="Text"/>
    <w:basedOn w:val="Normal"/>
    <w:link w:val="TextChar"/>
    <w:qFormat/>
    <w:rsid w:val="002E189E"/>
    <w:pPr>
      <w:spacing w:after="240" w:line="240" w:lineRule="atLeast"/>
    </w:pPr>
    <w:rPr>
      <w:rFonts w:ascii="Arial" w:eastAsiaTheme="minorHAnsi" w:hAnsi="Arial"/>
      <w:sz w:val="17"/>
      <w:szCs w:val="17"/>
      <w:lang w:val="en-GB" w:eastAsia="en-GB"/>
    </w:rPr>
  </w:style>
  <w:style w:type="paragraph" w:customStyle="1" w:styleId="Heading0">
    <w:name w:val="Heading"/>
    <w:basedOn w:val="Text"/>
    <w:link w:val="HeadingChar0"/>
    <w:qFormat/>
    <w:rsid w:val="002E189E"/>
    <w:pPr>
      <w:keepNext/>
      <w:spacing w:before="240" w:after="0" w:line="300" w:lineRule="exact"/>
      <w:outlineLvl w:val="0"/>
    </w:pPr>
    <w:rPr>
      <w:b/>
      <w:bCs/>
      <w:sz w:val="24"/>
      <w:szCs w:val="36"/>
    </w:rPr>
  </w:style>
  <w:style w:type="character" w:customStyle="1" w:styleId="TextChar">
    <w:name w:val="Text Char"/>
    <w:basedOn w:val="DefaultParagraphFont"/>
    <w:link w:val="Text"/>
    <w:rsid w:val="002E189E"/>
    <w:rPr>
      <w:rFonts w:ascii="Arial" w:eastAsiaTheme="minorHAnsi" w:hAnsi="Arial" w:cs="Arial"/>
      <w:sz w:val="17"/>
      <w:szCs w:val="17"/>
      <w:lang w:val="en-GB" w:eastAsia="en-GB"/>
    </w:rPr>
  </w:style>
  <w:style w:type="character" w:customStyle="1" w:styleId="HeadingChar0">
    <w:name w:val="Heading Char"/>
    <w:basedOn w:val="TextChar"/>
    <w:link w:val="Heading0"/>
    <w:rsid w:val="002E189E"/>
    <w:rPr>
      <w:rFonts w:ascii="Arial" w:eastAsiaTheme="minorHAnsi" w:hAnsi="Arial" w:cs="Arial"/>
      <w:b/>
      <w:bCs/>
      <w:sz w:val="24"/>
      <w:szCs w:val="36"/>
      <w:lang w:val="en-GB" w:eastAsia="en-GB"/>
    </w:rPr>
  </w:style>
  <w:style w:type="character" w:customStyle="1" w:styleId="BulletChar">
    <w:name w:val="Bullet Char"/>
    <w:basedOn w:val="TextChar"/>
    <w:link w:val="Bullet"/>
    <w:rsid w:val="002E189E"/>
    <w:rPr>
      <w:rFonts w:ascii="Arial" w:eastAsiaTheme="minorHAnsi" w:hAnsi="Arial" w:cs="Arial"/>
      <w:sz w:val="17"/>
      <w:szCs w:val="17"/>
      <w:lang w:val="en-GB" w:eastAsia="en-GB"/>
    </w:rPr>
  </w:style>
  <w:style w:type="paragraph" w:customStyle="1" w:styleId="MainHeading">
    <w:name w:val="MainHeading"/>
    <w:basedOn w:val="Heading0"/>
    <w:link w:val="MainHeadingChar"/>
    <w:qFormat/>
    <w:rsid w:val="002E189E"/>
    <w:pPr>
      <w:spacing w:after="240"/>
      <w:contextualSpacing/>
    </w:pPr>
    <w:rPr>
      <w:sz w:val="28"/>
      <w:szCs w:val="40"/>
    </w:rPr>
  </w:style>
  <w:style w:type="character" w:customStyle="1" w:styleId="MainHeadingChar">
    <w:name w:val="MainHeading Char"/>
    <w:basedOn w:val="HeadingChar0"/>
    <w:link w:val="MainHeading"/>
    <w:rsid w:val="002E189E"/>
    <w:rPr>
      <w:rFonts w:ascii="Arial" w:eastAsiaTheme="minorHAnsi" w:hAnsi="Arial" w:cs="Arial"/>
      <w:b/>
      <w:bCs/>
      <w:sz w:val="28"/>
      <w:szCs w:val="40"/>
      <w:lang w:val="en-GB" w:eastAsia="en-GB"/>
    </w:rPr>
  </w:style>
  <w:style w:type="paragraph" w:styleId="Date">
    <w:name w:val="Date"/>
    <w:basedOn w:val="Normal"/>
    <w:next w:val="Normal"/>
    <w:link w:val="DateChar"/>
    <w:uiPriority w:val="99"/>
    <w:semiHidden/>
    <w:unhideWhenUsed/>
    <w:qFormat/>
    <w:rsid w:val="0041068F"/>
  </w:style>
  <w:style w:type="character" w:customStyle="1" w:styleId="DateChar">
    <w:name w:val="Date Char"/>
    <w:basedOn w:val="DefaultParagraphFont"/>
    <w:link w:val="Date"/>
    <w:uiPriority w:val="99"/>
    <w:semiHidden/>
    <w:rsid w:val="0041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7803">
      <w:bodyDiv w:val="1"/>
      <w:marLeft w:val="0"/>
      <w:marRight w:val="0"/>
      <w:marTop w:val="0"/>
      <w:marBottom w:val="0"/>
      <w:divBdr>
        <w:top w:val="none" w:sz="0" w:space="0" w:color="auto"/>
        <w:left w:val="none" w:sz="0" w:space="0" w:color="auto"/>
        <w:bottom w:val="none" w:sz="0" w:space="0" w:color="auto"/>
        <w:right w:val="none" w:sz="0" w:space="0" w:color="auto"/>
      </w:divBdr>
    </w:div>
    <w:div w:id="34820108">
      <w:bodyDiv w:val="1"/>
      <w:marLeft w:val="0"/>
      <w:marRight w:val="0"/>
      <w:marTop w:val="0"/>
      <w:marBottom w:val="0"/>
      <w:divBdr>
        <w:top w:val="none" w:sz="0" w:space="0" w:color="auto"/>
        <w:left w:val="none" w:sz="0" w:space="0" w:color="auto"/>
        <w:bottom w:val="none" w:sz="0" w:space="0" w:color="auto"/>
        <w:right w:val="none" w:sz="0" w:space="0" w:color="auto"/>
      </w:divBdr>
    </w:div>
    <w:div w:id="101656534">
      <w:bodyDiv w:val="1"/>
      <w:marLeft w:val="0"/>
      <w:marRight w:val="0"/>
      <w:marTop w:val="0"/>
      <w:marBottom w:val="0"/>
      <w:divBdr>
        <w:top w:val="none" w:sz="0" w:space="0" w:color="auto"/>
        <w:left w:val="none" w:sz="0" w:space="0" w:color="auto"/>
        <w:bottom w:val="none" w:sz="0" w:space="0" w:color="auto"/>
        <w:right w:val="none" w:sz="0" w:space="0" w:color="auto"/>
      </w:divBdr>
    </w:div>
    <w:div w:id="386877359">
      <w:bodyDiv w:val="1"/>
      <w:marLeft w:val="0"/>
      <w:marRight w:val="0"/>
      <w:marTop w:val="0"/>
      <w:marBottom w:val="0"/>
      <w:divBdr>
        <w:top w:val="none" w:sz="0" w:space="0" w:color="auto"/>
        <w:left w:val="none" w:sz="0" w:space="0" w:color="auto"/>
        <w:bottom w:val="none" w:sz="0" w:space="0" w:color="auto"/>
        <w:right w:val="none" w:sz="0" w:space="0" w:color="auto"/>
      </w:divBdr>
    </w:div>
    <w:div w:id="476149104">
      <w:bodyDiv w:val="1"/>
      <w:marLeft w:val="0"/>
      <w:marRight w:val="0"/>
      <w:marTop w:val="0"/>
      <w:marBottom w:val="0"/>
      <w:divBdr>
        <w:top w:val="none" w:sz="0" w:space="0" w:color="auto"/>
        <w:left w:val="none" w:sz="0" w:space="0" w:color="auto"/>
        <w:bottom w:val="none" w:sz="0" w:space="0" w:color="auto"/>
        <w:right w:val="none" w:sz="0" w:space="0" w:color="auto"/>
      </w:divBdr>
    </w:div>
    <w:div w:id="498811592">
      <w:bodyDiv w:val="1"/>
      <w:marLeft w:val="0"/>
      <w:marRight w:val="0"/>
      <w:marTop w:val="0"/>
      <w:marBottom w:val="0"/>
      <w:divBdr>
        <w:top w:val="none" w:sz="0" w:space="0" w:color="auto"/>
        <w:left w:val="none" w:sz="0" w:space="0" w:color="auto"/>
        <w:bottom w:val="none" w:sz="0" w:space="0" w:color="auto"/>
        <w:right w:val="none" w:sz="0" w:space="0" w:color="auto"/>
      </w:divBdr>
    </w:div>
    <w:div w:id="505096067">
      <w:bodyDiv w:val="1"/>
      <w:marLeft w:val="0"/>
      <w:marRight w:val="0"/>
      <w:marTop w:val="0"/>
      <w:marBottom w:val="0"/>
      <w:divBdr>
        <w:top w:val="none" w:sz="0" w:space="0" w:color="auto"/>
        <w:left w:val="none" w:sz="0" w:space="0" w:color="auto"/>
        <w:bottom w:val="none" w:sz="0" w:space="0" w:color="auto"/>
        <w:right w:val="none" w:sz="0" w:space="0" w:color="auto"/>
      </w:divBdr>
    </w:div>
    <w:div w:id="656418571">
      <w:bodyDiv w:val="1"/>
      <w:marLeft w:val="0"/>
      <w:marRight w:val="0"/>
      <w:marTop w:val="0"/>
      <w:marBottom w:val="0"/>
      <w:divBdr>
        <w:top w:val="none" w:sz="0" w:space="0" w:color="auto"/>
        <w:left w:val="none" w:sz="0" w:space="0" w:color="auto"/>
        <w:bottom w:val="none" w:sz="0" w:space="0" w:color="auto"/>
        <w:right w:val="none" w:sz="0" w:space="0" w:color="auto"/>
      </w:divBdr>
    </w:div>
    <w:div w:id="679700637">
      <w:bodyDiv w:val="1"/>
      <w:marLeft w:val="0"/>
      <w:marRight w:val="0"/>
      <w:marTop w:val="0"/>
      <w:marBottom w:val="0"/>
      <w:divBdr>
        <w:top w:val="none" w:sz="0" w:space="0" w:color="auto"/>
        <w:left w:val="none" w:sz="0" w:space="0" w:color="auto"/>
        <w:bottom w:val="none" w:sz="0" w:space="0" w:color="auto"/>
        <w:right w:val="none" w:sz="0" w:space="0" w:color="auto"/>
      </w:divBdr>
    </w:div>
    <w:div w:id="726150054">
      <w:bodyDiv w:val="1"/>
      <w:marLeft w:val="0"/>
      <w:marRight w:val="0"/>
      <w:marTop w:val="0"/>
      <w:marBottom w:val="0"/>
      <w:divBdr>
        <w:top w:val="none" w:sz="0" w:space="0" w:color="auto"/>
        <w:left w:val="none" w:sz="0" w:space="0" w:color="auto"/>
        <w:bottom w:val="none" w:sz="0" w:space="0" w:color="auto"/>
        <w:right w:val="none" w:sz="0" w:space="0" w:color="auto"/>
      </w:divBdr>
    </w:div>
    <w:div w:id="771703136">
      <w:bodyDiv w:val="1"/>
      <w:marLeft w:val="0"/>
      <w:marRight w:val="0"/>
      <w:marTop w:val="0"/>
      <w:marBottom w:val="0"/>
      <w:divBdr>
        <w:top w:val="none" w:sz="0" w:space="0" w:color="auto"/>
        <w:left w:val="none" w:sz="0" w:space="0" w:color="auto"/>
        <w:bottom w:val="none" w:sz="0" w:space="0" w:color="auto"/>
        <w:right w:val="none" w:sz="0" w:space="0" w:color="auto"/>
      </w:divBdr>
    </w:div>
    <w:div w:id="822241398">
      <w:bodyDiv w:val="1"/>
      <w:marLeft w:val="0"/>
      <w:marRight w:val="0"/>
      <w:marTop w:val="0"/>
      <w:marBottom w:val="0"/>
      <w:divBdr>
        <w:top w:val="none" w:sz="0" w:space="0" w:color="auto"/>
        <w:left w:val="none" w:sz="0" w:space="0" w:color="auto"/>
        <w:bottom w:val="none" w:sz="0" w:space="0" w:color="auto"/>
        <w:right w:val="none" w:sz="0" w:space="0" w:color="auto"/>
      </w:divBdr>
    </w:div>
    <w:div w:id="839349851">
      <w:bodyDiv w:val="1"/>
      <w:marLeft w:val="0"/>
      <w:marRight w:val="0"/>
      <w:marTop w:val="0"/>
      <w:marBottom w:val="0"/>
      <w:divBdr>
        <w:top w:val="none" w:sz="0" w:space="0" w:color="auto"/>
        <w:left w:val="none" w:sz="0" w:space="0" w:color="auto"/>
        <w:bottom w:val="none" w:sz="0" w:space="0" w:color="auto"/>
        <w:right w:val="none" w:sz="0" w:space="0" w:color="auto"/>
      </w:divBdr>
    </w:div>
    <w:div w:id="841747159">
      <w:bodyDiv w:val="1"/>
      <w:marLeft w:val="0"/>
      <w:marRight w:val="0"/>
      <w:marTop w:val="0"/>
      <w:marBottom w:val="0"/>
      <w:divBdr>
        <w:top w:val="none" w:sz="0" w:space="0" w:color="auto"/>
        <w:left w:val="none" w:sz="0" w:space="0" w:color="auto"/>
        <w:bottom w:val="none" w:sz="0" w:space="0" w:color="auto"/>
        <w:right w:val="none" w:sz="0" w:space="0" w:color="auto"/>
      </w:divBdr>
    </w:div>
    <w:div w:id="909997707">
      <w:bodyDiv w:val="1"/>
      <w:marLeft w:val="0"/>
      <w:marRight w:val="0"/>
      <w:marTop w:val="0"/>
      <w:marBottom w:val="0"/>
      <w:divBdr>
        <w:top w:val="none" w:sz="0" w:space="0" w:color="auto"/>
        <w:left w:val="none" w:sz="0" w:space="0" w:color="auto"/>
        <w:bottom w:val="none" w:sz="0" w:space="0" w:color="auto"/>
        <w:right w:val="none" w:sz="0" w:space="0" w:color="auto"/>
      </w:divBdr>
    </w:div>
    <w:div w:id="920674704">
      <w:bodyDiv w:val="1"/>
      <w:marLeft w:val="0"/>
      <w:marRight w:val="0"/>
      <w:marTop w:val="0"/>
      <w:marBottom w:val="0"/>
      <w:divBdr>
        <w:top w:val="none" w:sz="0" w:space="0" w:color="auto"/>
        <w:left w:val="none" w:sz="0" w:space="0" w:color="auto"/>
        <w:bottom w:val="none" w:sz="0" w:space="0" w:color="auto"/>
        <w:right w:val="none" w:sz="0" w:space="0" w:color="auto"/>
      </w:divBdr>
    </w:div>
    <w:div w:id="961572803">
      <w:bodyDiv w:val="1"/>
      <w:marLeft w:val="0"/>
      <w:marRight w:val="0"/>
      <w:marTop w:val="0"/>
      <w:marBottom w:val="0"/>
      <w:divBdr>
        <w:top w:val="none" w:sz="0" w:space="0" w:color="auto"/>
        <w:left w:val="none" w:sz="0" w:space="0" w:color="auto"/>
        <w:bottom w:val="none" w:sz="0" w:space="0" w:color="auto"/>
        <w:right w:val="none" w:sz="0" w:space="0" w:color="auto"/>
      </w:divBdr>
    </w:div>
    <w:div w:id="971443130">
      <w:bodyDiv w:val="1"/>
      <w:marLeft w:val="0"/>
      <w:marRight w:val="0"/>
      <w:marTop w:val="0"/>
      <w:marBottom w:val="0"/>
      <w:divBdr>
        <w:top w:val="none" w:sz="0" w:space="0" w:color="auto"/>
        <w:left w:val="none" w:sz="0" w:space="0" w:color="auto"/>
        <w:bottom w:val="none" w:sz="0" w:space="0" w:color="auto"/>
        <w:right w:val="none" w:sz="0" w:space="0" w:color="auto"/>
      </w:divBdr>
    </w:div>
    <w:div w:id="1005402692">
      <w:bodyDiv w:val="1"/>
      <w:marLeft w:val="0"/>
      <w:marRight w:val="0"/>
      <w:marTop w:val="0"/>
      <w:marBottom w:val="0"/>
      <w:divBdr>
        <w:top w:val="none" w:sz="0" w:space="0" w:color="auto"/>
        <w:left w:val="none" w:sz="0" w:space="0" w:color="auto"/>
        <w:bottom w:val="none" w:sz="0" w:space="0" w:color="auto"/>
        <w:right w:val="none" w:sz="0" w:space="0" w:color="auto"/>
      </w:divBdr>
    </w:div>
    <w:div w:id="1152017378">
      <w:bodyDiv w:val="1"/>
      <w:marLeft w:val="0"/>
      <w:marRight w:val="0"/>
      <w:marTop w:val="0"/>
      <w:marBottom w:val="0"/>
      <w:divBdr>
        <w:top w:val="none" w:sz="0" w:space="0" w:color="auto"/>
        <w:left w:val="none" w:sz="0" w:space="0" w:color="auto"/>
        <w:bottom w:val="none" w:sz="0" w:space="0" w:color="auto"/>
        <w:right w:val="none" w:sz="0" w:space="0" w:color="auto"/>
      </w:divBdr>
    </w:div>
    <w:div w:id="1256357330">
      <w:bodyDiv w:val="1"/>
      <w:marLeft w:val="0"/>
      <w:marRight w:val="0"/>
      <w:marTop w:val="0"/>
      <w:marBottom w:val="0"/>
      <w:divBdr>
        <w:top w:val="none" w:sz="0" w:space="0" w:color="auto"/>
        <w:left w:val="none" w:sz="0" w:space="0" w:color="auto"/>
        <w:bottom w:val="none" w:sz="0" w:space="0" w:color="auto"/>
        <w:right w:val="none" w:sz="0" w:space="0" w:color="auto"/>
      </w:divBdr>
    </w:div>
    <w:div w:id="1286815225">
      <w:bodyDiv w:val="1"/>
      <w:marLeft w:val="0"/>
      <w:marRight w:val="0"/>
      <w:marTop w:val="0"/>
      <w:marBottom w:val="0"/>
      <w:divBdr>
        <w:top w:val="none" w:sz="0" w:space="0" w:color="auto"/>
        <w:left w:val="none" w:sz="0" w:space="0" w:color="auto"/>
        <w:bottom w:val="none" w:sz="0" w:space="0" w:color="auto"/>
        <w:right w:val="none" w:sz="0" w:space="0" w:color="auto"/>
      </w:divBdr>
    </w:div>
    <w:div w:id="1324236383">
      <w:bodyDiv w:val="1"/>
      <w:marLeft w:val="0"/>
      <w:marRight w:val="0"/>
      <w:marTop w:val="0"/>
      <w:marBottom w:val="0"/>
      <w:divBdr>
        <w:top w:val="none" w:sz="0" w:space="0" w:color="auto"/>
        <w:left w:val="none" w:sz="0" w:space="0" w:color="auto"/>
        <w:bottom w:val="none" w:sz="0" w:space="0" w:color="auto"/>
        <w:right w:val="none" w:sz="0" w:space="0" w:color="auto"/>
      </w:divBdr>
    </w:div>
    <w:div w:id="1348560516">
      <w:bodyDiv w:val="1"/>
      <w:marLeft w:val="0"/>
      <w:marRight w:val="0"/>
      <w:marTop w:val="0"/>
      <w:marBottom w:val="0"/>
      <w:divBdr>
        <w:top w:val="none" w:sz="0" w:space="0" w:color="auto"/>
        <w:left w:val="none" w:sz="0" w:space="0" w:color="auto"/>
        <w:bottom w:val="none" w:sz="0" w:space="0" w:color="auto"/>
        <w:right w:val="none" w:sz="0" w:space="0" w:color="auto"/>
      </w:divBdr>
    </w:div>
    <w:div w:id="1482774952">
      <w:bodyDiv w:val="1"/>
      <w:marLeft w:val="0"/>
      <w:marRight w:val="0"/>
      <w:marTop w:val="0"/>
      <w:marBottom w:val="0"/>
      <w:divBdr>
        <w:top w:val="none" w:sz="0" w:space="0" w:color="auto"/>
        <w:left w:val="none" w:sz="0" w:space="0" w:color="auto"/>
        <w:bottom w:val="none" w:sz="0" w:space="0" w:color="auto"/>
        <w:right w:val="none" w:sz="0" w:space="0" w:color="auto"/>
      </w:divBdr>
    </w:div>
    <w:div w:id="1495411725">
      <w:bodyDiv w:val="1"/>
      <w:marLeft w:val="0"/>
      <w:marRight w:val="0"/>
      <w:marTop w:val="0"/>
      <w:marBottom w:val="0"/>
      <w:divBdr>
        <w:top w:val="none" w:sz="0" w:space="0" w:color="auto"/>
        <w:left w:val="none" w:sz="0" w:space="0" w:color="auto"/>
        <w:bottom w:val="none" w:sz="0" w:space="0" w:color="auto"/>
        <w:right w:val="none" w:sz="0" w:space="0" w:color="auto"/>
      </w:divBdr>
    </w:div>
    <w:div w:id="1507478905">
      <w:bodyDiv w:val="1"/>
      <w:marLeft w:val="0"/>
      <w:marRight w:val="0"/>
      <w:marTop w:val="0"/>
      <w:marBottom w:val="0"/>
      <w:divBdr>
        <w:top w:val="none" w:sz="0" w:space="0" w:color="auto"/>
        <w:left w:val="none" w:sz="0" w:space="0" w:color="auto"/>
        <w:bottom w:val="none" w:sz="0" w:space="0" w:color="auto"/>
        <w:right w:val="none" w:sz="0" w:space="0" w:color="auto"/>
      </w:divBdr>
    </w:div>
    <w:div w:id="1597975694">
      <w:bodyDiv w:val="1"/>
      <w:marLeft w:val="0"/>
      <w:marRight w:val="0"/>
      <w:marTop w:val="0"/>
      <w:marBottom w:val="0"/>
      <w:divBdr>
        <w:top w:val="none" w:sz="0" w:space="0" w:color="auto"/>
        <w:left w:val="none" w:sz="0" w:space="0" w:color="auto"/>
        <w:bottom w:val="none" w:sz="0" w:space="0" w:color="auto"/>
        <w:right w:val="none" w:sz="0" w:space="0" w:color="auto"/>
      </w:divBdr>
    </w:div>
    <w:div w:id="1619798345">
      <w:bodyDiv w:val="1"/>
      <w:marLeft w:val="0"/>
      <w:marRight w:val="0"/>
      <w:marTop w:val="0"/>
      <w:marBottom w:val="0"/>
      <w:divBdr>
        <w:top w:val="none" w:sz="0" w:space="0" w:color="auto"/>
        <w:left w:val="none" w:sz="0" w:space="0" w:color="auto"/>
        <w:bottom w:val="none" w:sz="0" w:space="0" w:color="auto"/>
        <w:right w:val="none" w:sz="0" w:space="0" w:color="auto"/>
      </w:divBdr>
    </w:div>
    <w:div w:id="1885948015">
      <w:bodyDiv w:val="1"/>
      <w:marLeft w:val="0"/>
      <w:marRight w:val="0"/>
      <w:marTop w:val="0"/>
      <w:marBottom w:val="0"/>
      <w:divBdr>
        <w:top w:val="none" w:sz="0" w:space="0" w:color="auto"/>
        <w:left w:val="none" w:sz="0" w:space="0" w:color="auto"/>
        <w:bottom w:val="none" w:sz="0" w:space="0" w:color="auto"/>
        <w:right w:val="none" w:sz="0" w:space="0" w:color="auto"/>
      </w:divBdr>
    </w:div>
    <w:div w:id="1937789948">
      <w:bodyDiv w:val="1"/>
      <w:marLeft w:val="0"/>
      <w:marRight w:val="0"/>
      <w:marTop w:val="0"/>
      <w:marBottom w:val="0"/>
      <w:divBdr>
        <w:top w:val="none" w:sz="0" w:space="0" w:color="auto"/>
        <w:left w:val="none" w:sz="0" w:space="0" w:color="auto"/>
        <w:bottom w:val="none" w:sz="0" w:space="0" w:color="auto"/>
        <w:right w:val="none" w:sz="0" w:space="0" w:color="auto"/>
      </w:divBdr>
    </w:div>
    <w:div w:id="1945922411">
      <w:bodyDiv w:val="1"/>
      <w:marLeft w:val="0"/>
      <w:marRight w:val="0"/>
      <w:marTop w:val="0"/>
      <w:marBottom w:val="0"/>
      <w:divBdr>
        <w:top w:val="none" w:sz="0" w:space="0" w:color="auto"/>
        <w:left w:val="none" w:sz="0" w:space="0" w:color="auto"/>
        <w:bottom w:val="none" w:sz="0" w:space="0" w:color="auto"/>
        <w:right w:val="none" w:sz="0" w:space="0" w:color="auto"/>
      </w:divBdr>
    </w:div>
    <w:div w:id="1982803037">
      <w:bodyDiv w:val="1"/>
      <w:marLeft w:val="0"/>
      <w:marRight w:val="0"/>
      <w:marTop w:val="0"/>
      <w:marBottom w:val="0"/>
      <w:divBdr>
        <w:top w:val="none" w:sz="0" w:space="0" w:color="auto"/>
        <w:left w:val="none" w:sz="0" w:space="0" w:color="auto"/>
        <w:bottom w:val="none" w:sz="0" w:space="0" w:color="auto"/>
        <w:right w:val="none" w:sz="0" w:space="0" w:color="auto"/>
      </w:divBdr>
    </w:div>
    <w:div w:id="2071730151">
      <w:bodyDiv w:val="1"/>
      <w:marLeft w:val="0"/>
      <w:marRight w:val="0"/>
      <w:marTop w:val="0"/>
      <w:marBottom w:val="0"/>
      <w:divBdr>
        <w:top w:val="none" w:sz="0" w:space="0" w:color="auto"/>
        <w:left w:val="none" w:sz="0" w:space="0" w:color="auto"/>
        <w:bottom w:val="none" w:sz="0" w:space="0" w:color="auto"/>
        <w:right w:val="none" w:sz="0" w:space="0" w:color="auto"/>
      </w:divBdr>
    </w:div>
    <w:div w:id="21440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piteram.com/investor-rel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emincote.com/client/jupiter/jfm039" TargetMode="External"/><Relationship Id="R559962d922bb4313"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Agenda">
  <a:themeElements>
    <a:clrScheme name="JUPITER 2021">
      <a:dk1>
        <a:srgbClr val="16293F"/>
      </a:dk1>
      <a:lt1>
        <a:srgbClr val="FFFFFF"/>
      </a:lt1>
      <a:dk2>
        <a:srgbClr val="E97412"/>
      </a:dk2>
      <a:lt2>
        <a:srgbClr val="AD1C00"/>
      </a:lt2>
      <a:accent1>
        <a:srgbClr val="16293F"/>
      </a:accent1>
      <a:accent2>
        <a:srgbClr val="0052AA"/>
      </a:accent2>
      <a:accent3>
        <a:srgbClr val="1F8FFF"/>
      </a:accent3>
      <a:accent4>
        <a:srgbClr val="7B91A7"/>
      </a:accent4>
      <a:accent5>
        <a:srgbClr val="831500"/>
      </a:accent5>
      <a:accent6>
        <a:srgbClr val="FF5B72"/>
      </a:accent6>
      <a:hlink>
        <a:srgbClr val="66BFFF"/>
      </a:hlink>
      <a:folHlink>
        <a:srgbClr val="B7B7B7"/>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6A7CE5B455D245959390B192AAAAEB" ma:contentTypeVersion="6" ma:contentTypeDescription="Create a new document." ma:contentTypeScope="" ma:versionID="bf405c37b4ea55dfea3956c7a922648d">
  <xsd:schema xmlns:xsd="http://www.w3.org/2001/XMLSchema" xmlns:xs="http://www.w3.org/2001/XMLSchema" xmlns:p="http://schemas.microsoft.com/office/2006/metadata/properties" xmlns:ns2="9a5fb942-1a26-4a89-a1a0-1f924a2ad66c" xmlns:ns3="df9ed609-9438-499e-9c3d-7ea71cb6140b" targetNamespace="http://schemas.microsoft.com/office/2006/metadata/properties" ma:root="true" ma:fieldsID="bd6c1e76cd1264225732e4f3785c238a" ns2:_="" ns3:_="">
    <xsd:import namespace="9a5fb942-1a26-4a89-a1a0-1f924a2ad66c"/>
    <xsd:import namespace="df9ed609-9438-499e-9c3d-7ea71cb61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942-1a26-4a89-a1a0-1f924a2ad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ed609-9438-499e-9c3d-7ea71cb614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f9ed609-9438-499e-9c3d-7ea71cb6140b">
      <UserInfo>
        <DisplayName>Alan Adams</DisplayName>
        <AccountId>10</AccountId>
        <AccountType/>
      </UserInfo>
      <UserInfo>
        <DisplayName>Yeekan Leung</DisplayName>
        <AccountId>13</AccountId>
        <AccountType/>
      </UserInfo>
      <UserInfo>
        <DisplayName>Steven Tsoi</DisplayName>
        <AccountId>6</AccountId>
        <AccountType/>
      </UserInfo>
      <UserInfo>
        <DisplayName>Alex James</DisplayName>
        <AccountId>11</AccountId>
        <AccountType/>
      </UserInfo>
      <UserInfo>
        <DisplayName>Simon Cobb</DisplayName>
        <AccountId>12</AccountId>
        <AccountType/>
      </UserInfo>
    </SharedWithUsers>
  </documentManagement>
</p:properties>
</file>

<file path=customXml/itemProps1.xml><?xml version="1.0" encoding="utf-8"?>
<ds:datastoreItem xmlns:ds="http://schemas.openxmlformats.org/officeDocument/2006/customXml" ds:itemID="{02795E84-D3C1-405F-82E5-873E7ADFD7AF}">
  <ds:schemaRefs>
    <ds:schemaRef ds:uri="http://schemas.openxmlformats.org/officeDocument/2006/bibliography"/>
  </ds:schemaRefs>
</ds:datastoreItem>
</file>

<file path=customXml/itemProps2.xml><?xml version="1.0" encoding="utf-8"?>
<ds:datastoreItem xmlns:ds="http://schemas.openxmlformats.org/officeDocument/2006/customXml" ds:itemID="{3DCE8985-019F-448D-BE21-F20A2C308EB3}">
  <ds:schemaRefs>
    <ds:schemaRef ds:uri="http://schemas.microsoft.com/sharepoint/v3/contenttype/forms"/>
  </ds:schemaRefs>
</ds:datastoreItem>
</file>

<file path=customXml/itemProps3.xml><?xml version="1.0" encoding="utf-8"?>
<ds:datastoreItem xmlns:ds="http://schemas.openxmlformats.org/officeDocument/2006/customXml" ds:itemID="{7706A8A0-6B6D-41ED-937D-96CD206FE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b942-1a26-4a89-a1a0-1f924a2ad66c"/>
    <ds:schemaRef ds:uri="df9ed609-9438-499e-9c3d-7ea71cb61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4B004-3092-4959-965C-E17B4FF6985B}">
  <ds:schemaRefs>
    <ds:schemaRef ds:uri="http://purl.org/dc/elements/1.1/"/>
    <ds:schemaRef ds:uri="http://schemas.microsoft.com/office/2006/metadata/properties"/>
    <ds:schemaRef ds:uri="9a5fb942-1a26-4a89-a1a0-1f924a2ad6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f9ed609-9438-499e-9c3d-7ea71cb614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11043</Words>
  <Characters>62951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73847</CharactersWithSpaces>
  <SharedDoc>false</SharedDoc>
  <HLinks>
    <vt:vector size="12" baseType="variant">
      <vt:variant>
        <vt:i4>4522002</vt:i4>
      </vt:variant>
      <vt:variant>
        <vt:i4>3</vt:i4>
      </vt:variant>
      <vt:variant>
        <vt:i4>0</vt:i4>
      </vt:variant>
      <vt:variant>
        <vt:i4>5</vt:i4>
      </vt:variant>
      <vt:variant>
        <vt:lpwstr>https://www.jupiteram.com/investor-relations/</vt:lpwstr>
      </vt:variant>
      <vt:variant>
        <vt:lpwstr/>
      </vt:variant>
      <vt:variant>
        <vt:i4>4456512</vt:i4>
      </vt:variant>
      <vt:variant>
        <vt:i4>0</vt:i4>
      </vt:variant>
      <vt:variant>
        <vt:i4>0</vt:i4>
      </vt:variant>
      <vt:variant>
        <vt:i4>5</vt:i4>
      </vt:variant>
      <vt:variant>
        <vt:lpwstr>https://secure.emincote.com/client/jupiter/jfm039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Tsoi</dc:creator>
  <cp:keywords/>
  <cp:lastModifiedBy>Simon Cobb</cp:lastModifiedBy>
  <cp:revision>2</cp:revision>
  <cp:lastPrinted>2024-07-25T00:58:00Z</cp:lastPrinted>
  <dcterms:created xsi:type="dcterms:W3CDTF">2024-07-25T12:04:00Z</dcterms:created>
  <dcterms:modified xsi:type="dcterms:W3CDTF">2024-07-25T12:04:00Z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0x010100826A7CE5B455D245959390B192AAAAEB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5c14470f-59d4-491d-9d0a-8cfdcb1ed455_Enabled">
    <vt:lpwstr>True</vt:lpwstr>
  </property>
  <property fmtid="{D5CDD505-2E9C-101B-9397-08002B2CF9AE}" pid="9" name="MSIP_Label_5c14470f-59d4-491d-9d0a-8cfdcb1ed455_SiteId">
    <vt:lpwstr>70e1a0b7-5bf5-416b-96c4-f244fca5ae53</vt:lpwstr>
  </property>
  <property fmtid="{D5CDD505-2E9C-101B-9397-08002B2CF9AE}" pid="10" name="MSIP_Label_5c14470f-59d4-491d-9d0a-8cfdcb1ed455_Owner">
    <vt:lpwstr>Kai.Corfield@jupiteram.com</vt:lpwstr>
  </property>
  <property fmtid="{D5CDD505-2E9C-101B-9397-08002B2CF9AE}" pid="11" name="MSIP_Label_5c14470f-59d4-491d-9d0a-8cfdcb1ed455_SetDate">
    <vt:lpwstr>2019-07-03T17:31:39.3197924Z</vt:lpwstr>
  </property>
  <property fmtid="{D5CDD505-2E9C-101B-9397-08002B2CF9AE}" pid="12" name="MSIP_Label_5c14470f-59d4-491d-9d0a-8cfdcb1ed455_Name">
    <vt:lpwstr>Public</vt:lpwstr>
  </property>
  <property fmtid="{D5CDD505-2E9C-101B-9397-08002B2CF9AE}" pid="13" name="MSIP_Label_5c14470f-59d4-491d-9d0a-8cfdcb1ed455_Application">
    <vt:lpwstr>Microsoft Azure Information Protection</vt:lpwstr>
  </property>
  <property fmtid="{D5CDD505-2E9C-101B-9397-08002B2CF9AE}" pid="14" name="MSIP_Label_5c14470f-59d4-491d-9d0a-8cfdcb1ed455_ActionId">
    <vt:lpwstr>118d2445-a507-42a6-b127-a9365d0fb943</vt:lpwstr>
  </property>
  <property fmtid="{D5CDD505-2E9C-101B-9397-08002B2CF9AE}" pid="15" name="MSIP_Label_5c14470f-59d4-491d-9d0a-8cfdcb1ed455_Extended_MSFT_Method">
    <vt:lpwstr>Automatic</vt:lpwstr>
  </property>
</Properties>
</file>