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3248" w:rsidRPr="00476F6E" w:rsidRDefault="001C3248" w:rsidP="001C3248">
      <w:pPr>
        <w:pStyle w:val="wLeftB"/>
      </w:pPr>
      <w:r w:rsidRPr="00476F6E">
        <w:t xml:space="preserve">Company No. </w:t>
      </w:r>
      <w:r w:rsidRPr="00E14983">
        <w:t>07118170</w:t>
      </w:r>
    </w:p>
    <w:p w:rsidR="001C3248" w:rsidRDefault="001C3248" w:rsidP="001C3248">
      <w:pPr>
        <w:pStyle w:val="wCentreB"/>
        <w:keepNext/>
      </w:pPr>
      <w:r w:rsidRPr="00476F6E">
        <w:t>The Companies Act</w:t>
      </w:r>
      <w:r>
        <w:t> </w:t>
      </w:r>
      <w:r w:rsidRPr="00476F6E">
        <w:t>2006</w:t>
      </w:r>
      <w:r>
        <w:br/>
      </w:r>
      <w:r>
        <w:br/>
        <w:t>____________________________________________</w:t>
      </w:r>
    </w:p>
    <w:p w:rsidR="001C3248" w:rsidRDefault="001C3248" w:rsidP="001C3248">
      <w:pPr>
        <w:pStyle w:val="wCentreB"/>
        <w:keepNext/>
      </w:pPr>
      <w:r w:rsidRPr="00476F6E">
        <w:t>Company Limited by Shares</w:t>
      </w:r>
      <w:r>
        <w:br/>
      </w:r>
      <w:r>
        <w:br/>
        <w:t>____________________________________________</w:t>
      </w:r>
    </w:p>
    <w:p w:rsidR="001C3248" w:rsidRDefault="001C3248" w:rsidP="001C3248">
      <w:pPr>
        <w:pStyle w:val="wText"/>
        <w:jc w:val="center"/>
        <w:rPr>
          <w:b/>
        </w:rPr>
      </w:pPr>
      <w:r>
        <w:rPr>
          <w:b/>
        </w:rPr>
        <w:t xml:space="preserve">ORDINARY AND </w:t>
      </w:r>
      <w:r w:rsidRPr="00E14983">
        <w:rPr>
          <w:b/>
        </w:rPr>
        <w:t>SPECIAL RESOLUTIONS</w:t>
      </w:r>
      <w:r>
        <w:rPr>
          <w:b/>
        </w:rPr>
        <w:br/>
      </w:r>
      <w:r>
        <w:rPr>
          <w:b/>
        </w:rPr>
        <w:br/>
        <w:t>of</w:t>
      </w:r>
    </w:p>
    <w:p w:rsidR="001C3248" w:rsidRDefault="001C3248" w:rsidP="001C3248">
      <w:pPr>
        <w:pStyle w:val="wText"/>
        <w:jc w:val="center"/>
        <w:rPr>
          <w:b/>
        </w:rPr>
      </w:pPr>
      <w:proofErr w:type="spellStart"/>
      <w:r>
        <w:rPr>
          <w:b/>
        </w:rPr>
        <w:t>Avast</w:t>
      </w:r>
      <w:proofErr w:type="spellEnd"/>
      <w:r>
        <w:rPr>
          <w:b/>
        </w:rPr>
        <w:t xml:space="preserve"> plc</w:t>
      </w:r>
    </w:p>
    <w:p w:rsidR="001C3248" w:rsidRDefault="001C3248" w:rsidP="001C3248">
      <w:pPr>
        <w:pStyle w:val="wText"/>
        <w:jc w:val="center"/>
        <w:rPr>
          <w:b/>
        </w:rPr>
      </w:pPr>
      <w:r>
        <w:rPr>
          <w:b/>
        </w:rPr>
        <w:t>(</w:t>
      </w:r>
      <w:proofErr w:type="gramStart"/>
      <w:r>
        <w:rPr>
          <w:b/>
        </w:rPr>
        <w:t>the</w:t>
      </w:r>
      <w:proofErr w:type="gramEnd"/>
      <w:r>
        <w:rPr>
          <w:b/>
        </w:rPr>
        <w:t xml:space="preserve"> “Company)</w:t>
      </w:r>
    </w:p>
    <w:p w:rsidR="001C3248" w:rsidRPr="00F7364B" w:rsidRDefault="001C3248" w:rsidP="001C3248">
      <w:pPr>
        <w:pStyle w:val="wText"/>
        <w:jc w:val="center"/>
      </w:pPr>
      <w:r>
        <w:t xml:space="preserve">(Passed on </w:t>
      </w:r>
      <w:r w:rsidR="002F7214">
        <w:t>24 June 2022</w:t>
      </w:r>
      <w:r>
        <w:t>)</w:t>
      </w:r>
    </w:p>
    <w:p w:rsidR="001C3248" w:rsidRDefault="001C3248" w:rsidP="001C3248">
      <w:pPr>
        <w:pStyle w:val="wText"/>
        <w:jc w:val="left"/>
      </w:pPr>
      <w:r>
        <w:t xml:space="preserve">At a general meeting of the Company duly convened and held </w:t>
      </w:r>
      <w:r w:rsidRPr="00863570">
        <w:t>at</w:t>
      </w:r>
      <w:r>
        <w:t xml:space="preserve"> White &amp; Case LLP, 5 Old Broad Street, London, EC2N 1DW</w:t>
      </w:r>
      <w:r w:rsidRPr="00863570">
        <w:t xml:space="preserve"> at </w:t>
      </w:r>
      <w:r w:rsidR="00E25E9E">
        <w:t>2</w:t>
      </w:r>
      <w:r>
        <w:t xml:space="preserve"> </w:t>
      </w:r>
      <w:r w:rsidR="00E25E9E">
        <w:t>p</w:t>
      </w:r>
      <w:bookmarkStart w:id="0" w:name="_GoBack"/>
      <w:bookmarkEnd w:id="0"/>
      <w:r w:rsidRPr="00863570">
        <w:t>.m.</w:t>
      </w:r>
      <w:r>
        <w:t xml:space="preserve"> on </w:t>
      </w:r>
      <w:r w:rsidR="002F7214">
        <w:t>24 June 2022</w:t>
      </w:r>
      <w:r w:rsidR="005A6508">
        <w:t>, resolution</w:t>
      </w:r>
      <w:r>
        <w:t xml:space="preserve"> </w:t>
      </w:r>
      <w:r w:rsidR="00E25E9E">
        <w:t>16</w:t>
      </w:r>
      <w:r>
        <w:t xml:space="preserve"> </w:t>
      </w:r>
      <w:r w:rsidR="005A6508">
        <w:t>was</w:t>
      </w:r>
      <w:r>
        <w:t xml:space="preserve"> duly passed as </w:t>
      </w:r>
      <w:r w:rsidR="005A6508">
        <w:t>an ordinary resolution</w:t>
      </w:r>
      <w:r>
        <w:t xml:space="preserve"> and resolutions </w:t>
      </w:r>
      <w:r w:rsidR="00E25E9E">
        <w:t xml:space="preserve">17, 18, </w:t>
      </w:r>
      <w:proofErr w:type="gramStart"/>
      <w:r w:rsidR="00E25E9E">
        <w:t>19</w:t>
      </w:r>
      <w:proofErr w:type="gramEnd"/>
      <w:r>
        <w:t xml:space="preserve"> and </w:t>
      </w:r>
      <w:r w:rsidR="00AF434F">
        <w:t>2</w:t>
      </w:r>
      <w:r w:rsidR="002F7214">
        <w:t>0</w:t>
      </w:r>
      <w:r>
        <w:t xml:space="preserve"> were each duly</w:t>
      </w:r>
      <w:r w:rsidR="00AF434F">
        <w:t xml:space="preserve"> passed as special resolutions:</w:t>
      </w:r>
    </w:p>
    <w:p w:rsidR="002F7214" w:rsidRPr="00C73276" w:rsidRDefault="002F7214" w:rsidP="002F7214">
      <w:pPr>
        <w:pStyle w:val="ListParagraph"/>
        <w:numPr>
          <w:ilvl w:val="0"/>
          <w:numId w:val="14"/>
        </w:numPr>
        <w:spacing w:after="200" w:line="276" w:lineRule="auto"/>
      </w:pPr>
      <w:bookmarkStart w:id="1" w:name="_Ref102037711"/>
      <w:r w:rsidRPr="00C73276">
        <w:t>That the directors be generally and unconditionally authorised for the purposes of section 551 of the Companies Act 2006, to exercise all the powers of the Company to allot shares and grant rights to subscribe for, or convert any security into, shares:</w:t>
      </w:r>
      <w:bookmarkEnd w:id="1"/>
    </w:p>
    <w:p w:rsidR="002F7214" w:rsidRDefault="002F7214" w:rsidP="002F7214">
      <w:pPr>
        <w:pStyle w:val="Appendix5"/>
        <w:numPr>
          <w:ilvl w:val="0"/>
          <w:numId w:val="15"/>
        </w:numPr>
        <w:ind w:left="1985"/>
      </w:pPr>
      <w:r>
        <w:t xml:space="preserve">up to an aggregate nominal amount (within the meaning of section 551(3) and (6) of the Companies Act 2006) of £34,713,395.43 (such amount to be reduced by the nominal amount allotted or granted under resolution </w:t>
      </w:r>
      <w:r>
        <w:fldChar w:fldCharType="begin"/>
      </w:r>
      <w:r>
        <w:instrText xml:space="preserve"> REF _Ref102037711 \r \h  \* MERGEFORMAT </w:instrText>
      </w:r>
      <w:r>
        <w:fldChar w:fldCharType="separate"/>
      </w:r>
      <w:r>
        <w:t>16</w:t>
      </w:r>
      <w:r>
        <w:fldChar w:fldCharType="end"/>
      </w:r>
      <w:r>
        <w:t>(b) below in excess of such sum); and</w:t>
      </w:r>
    </w:p>
    <w:p w:rsidR="002F7214" w:rsidRDefault="002F7214" w:rsidP="002F7214">
      <w:pPr>
        <w:pStyle w:val="Appendix5"/>
        <w:numPr>
          <w:ilvl w:val="0"/>
          <w:numId w:val="15"/>
        </w:numPr>
        <w:ind w:left="1985"/>
      </w:pPr>
      <w:r>
        <w:t xml:space="preserve">comprising equity securities (as defined in section 560 of the Companies Act 2006) up to an aggregate nominal amount (within the meaning of section 551(3) and (6) of the Companies Act 2006) of £69,426,790.87 (such amount to be reduced by any allotments or grants made under resolution </w:t>
      </w:r>
      <w:r>
        <w:fldChar w:fldCharType="begin"/>
      </w:r>
      <w:r>
        <w:instrText xml:space="preserve"> REF _Ref102037711 \r \h  \* MERGEFORMAT </w:instrText>
      </w:r>
      <w:r>
        <w:fldChar w:fldCharType="separate"/>
      </w:r>
      <w:r>
        <w:t>16</w:t>
      </w:r>
      <w:r>
        <w:fldChar w:fldCharType="end"/>
      </w:r>
      <w:r>
        <w:t xml:space="preserve">(a) above) in connection with or pursuant to an offer by way of a rights issue in favour of holders of ordinary shares in proportion (as nearly as practicable) to the respective number of ordinary shares held by them on the record date for such allotment (and holders of any other class of equity securities entitled to participate therein or if the directors consider it necessary, as permitted by the rights of those securities), but subject to such exclusions or other arrangements as the directors may consider necessary or appropriate to deal with fractional entitlements, treasury shares, record dates or legal, regulatory or practical difficulties which may arise under the laws of, or the requirements of any regulatory body or stock exchange in any territory or any other matter whatsoever, </w:t>
      </w:r>
    </w:p>
    <w:p w:rsidR="002F7214" w:rsidRDefault="002F7214" w:rsidP="002F7214">
      <w:pPr>
        <w:pStyle w:val="Appendix5"/>
        <w:numPr>
          <w:ilvl w:val="0"/>
          <w:numId w:val="15"/>
        </w:numPr>
        <w:ind w:left="1985"/>
      </w:pPr>
      <w:r>
        <w:t>these authorisations to expire at the conclusion of the next annual general meeting of the Company (or, if earlier, on 23 September 2023), save that the Company may before such expiry make any offer or agreement which would or might require shares to be allotted, or rights to be granted, after such expiry and the directors may allot shares, or grant rights to subscribe for or to convert any security into shares, in pursuance of any such offer or agreement as if the authorisations conferred hereby had not expired.</w:t>
      </w:r>
    </w:p>
    <w:p w:rsidR="002F7214" w:rsidRPr="00C73276" w:rsidRDefault="002F7214" w:rsidP="002F7214">
      <w:pPr>
        <w:pStyle w:val="ListParagraph"/>
        <w:numPr>
          <w:ilvl w:val="0"/>
          <w:numId w:val="14"/>
        </w:numPr>
        <w:spacing w:after="200" w:line="276" w:lineRule="auto"/>
      </w:pPr>
      <w:bookmarkStart w:id="2" w:name="_Ref102037766"/>
      <w:r w:rsidRPr="00C73276">
        <w:lastRenderedPageBreak/>
        <w:t xml:space="preserve">That, subject to the passing of resolution </w:t>
      </w:r>
      <w:r w:rsidRPr="00C73276">
        <w:fldChar w:fldCharType="begin"/>
      </w:r>
      <w:r w:rsidRPr="00C73276">
        <w:instrText xml:space="preserve"> REF _Ref102037711 \r \h </w:instrText>
      </w:r>
      <w:r>
        <w:instrText xml:space="preserve"> \* MERGEFORMAT </w:instrText>
      </w:r>
      <w:r w:rsidRPr="00C73276">
        <w:fldChar w:fldCharType="separate"/>
      </w:r>
      <w:r w:rsidRPr="00C73276">
        <w:t>16</w:t>
      </w:r>
      <w:r w:rsidRPr="00C73276">
        <w:fldChar w:fldCharType="end"/>
      </w:r>
      <w:r w:rsidRPr="00C73276">
        <w:t xml:space="preserve"> above, the directors be given the power pursuant to sections 570(1) and 573 of the Companies Act 2006 to:</w:t>
      </w:r>
      <w:bookmarkEnd w:id="2"/>
    </w:p>
    <w:p w:rsidR="002F7214" w:rsidRDefault="002F7214" w:rsidP="002F7214">
      <w:pPr>
        <w:pStyle w:val="Appendix5"/>
        <w:numPr>
          <w:ilvl w:val="0"/>
          <w:numId w:val="16"/>
        </w:numPr>
        <w:ind w:left="1985"/>
      </w:pPr>
      <w:r>
        <w:t>allot equity securities (as defined in section 560 of the Companies Act 2006) of the Company for cash pursuant to the authorisation conferred by that resolution; and</w:t>
      </w:r>
    </w:p>
    <w:p w:rsidR="002F7214" w:rsidRDefault="002F7214" w:rsidP="002F7214">
      <w:pPr>
        <w:pStyle w:val="Appendix5"/>
        <w:numPr>
          <w:ilvl w:val="0"/>
          <w:numId w:val="16"/>
        </w:numPr>
        <w:ind w:left="1985"/>
      </w:pPr>
      <w:r>
        <w:t>sell ordinary shares (as defined in section 560(1) of the Companies Act 2006) held by the Company as treasury shares for cash,</w:t>
      </w:r>
    </w:p>
    <w:p w:rsidR="002F7214" w:rsidRDefault="002F7214" w:rsidP="002F7214">
      <w:pPr>
        <w:pStyle w:val="Appendix5"/>
        <w:numPr>
          <w:ilvl w:val="0"/>
          <w:numId w:val="0"/>
        </w:numPr>
        <w:ind w:left="1985"/>
      </w:pPr>
      <w:proofErr w:type="gramStart"/>
      <w:r>
        <w:t>as</w:t>
      </w:r>
      <w:proofErr w:type="gramEnd"/>
      <w:r>
        <w:t xml:space="preserve"> if section 561 of the Companies Act 2006 did not apply to any such allotment or sale, provided that this power shall be limited to the allotment of equity securities for cash and the sale of treasury shares:</w:t>
      </w:r>
    </w:p>
    <w:p w:rsidR="002F7214" w:rsidRPr="00C73276" w:rsidRDefault="002F7214" w:rsidP="002F7214">
      <w:pPr>
        <w:spacing w:after="200" w:line="276" w:lineRule="auto"/>
        <w:ind w:left="2552"/>
      </w:pPr>
      <w:r w:rsidRPr="00C73276">
        <w:t>(</w:t>
      </w:r>
      <w:proofErr w:type="spellStart"/>
      <w:r w:rsidRPr="00C73276">
        <w:t>i</w:t>
      </w:r>
      <w:proofErr w:type="spellEnd"/>
      <w:r w:rsidRPr="00C73276">
        <w:t xml:space="preserve">) </w:t>
      </w:r>
      <w:r>
        <w:tab/>
      </w:r>
      <w:r w:rsidRPr="00C73276">
        <w:t xml:space="preserve">in connection with or pursuant to an offer of or invitation to acquire equity securities (but in the case of the authorisation granted under resolution </w:t>
      </w:r>
      <w:r w:rsidRPr="00C73276">
        <w:fldChar w:fldCharType="begin"/>
      </w:r>
      <w:r w:rsidRPr="00C73276">
        <w:instrText xml:space="preserve"> REF _Ref102037711 \r \h </w:instrText>
      </w:r>
      <w:r>
        <w:instrText xml:space="preserve"> \* MERGEFORMAT </w:instrText>
      </w:r>
      <w:r w:rsidRPr="00C73276">
        <w:fldChar w:fldCharType="separate"/>
      </w:r>
      <w:r w:rsidRPr="00C73276">
        <w:t>16</w:t>
      </w:r>
      <w:r w:rsidRPr="00C73276">
        <w:fldChar w:fldCharType="end"/>
      </w:r>
      <w:r w:rsidRPr="00C73276">
        <w:t>(b) above, by way of a rights issue only) in favour of holders of ordinary shares in proportion (as nearly as practicable) to the respective number of ordinary shares held by them on the record date for such allotment or sale (and holders of any other class of equity securities entitled to participate therein or if the directors consider it necessary, as permitted by the rights of those securities) but subject to such exclusions or other arrangements as the directors may consider necessary or appropriate to deal with fractional entitlements, treasury shares, record dates or legal, regulatory or practical difficulties which may arise under the laws of or the requirements of any regulatory body or stock exchange in any territory or any other matter whatsoever; and</w:t>
      </w:r>
    </w:p>
    <w:p w:rsidR="002F7214" w:rsidRPr="00C73276" w:rsidRDefault="002F7214" w:rsidP="002F7214">
      <w:pPr>
        <w:spacing w:after="200" w:line="276" w:lineRule="auto"/>
        <w:ind w:left="2552"/>
      </w:pPr>
      <w:r>
        <w:t>(ii)</w:t>
      </w:r>
      <w:r w:rsidRPr="00C73276">
        <w:t xml:space="preserve"> </w:t>
      </w:r>
      <w:r>
        <w:tab/>
      </w:r>
      <w:proofErr w:type="gramStart"/>
      <w:r w:rsidRPr="00C73276">
        <w:t>in</w:t>
      </w:r>
      <w:proofErr w:type="gramEnd"/>
      <w:r w:rsidRPr="00C73276">
        <w:t xml:space="preserve"> the case of the authorisation granted under resolution </w:t>
      </w:r>
      <w:r w:rsidRPr="00C73276">
        <w:fldChar w:fldCharType="begin"/>
      </w:r>
      <w:r w:rsidRPr="00C73276">
        <w:instrText xml:space="preserve"> REF _Ref102037711 \r \h </w:instrText>
      </w:r>
      <w:r>
        <w:instrText xml:space="preserve"> \* MERGEFORMAT </w:instrText>
      </w:r>
      <w:r w:rsidRPr="00C73276">
        <w:fldChar w:fldCharType="separate"/>
      </w:r>
      <w:r w:rsidRPr="00C73276">
        <w:t>16</w:t>
      </w:r>
      <w:r w:rsidRPr="00C73276">
        <w:fldChar w:fldCharType="end"/>
      </w:r>
      <w:r w:rsidRPr="00C73276">
        <w:t>(a) above (or in the case of any sale of treasury shares), and otherwise than pursuant to paragraph (</w:t>
      </w:r>
      <w:proofErr w:type="spellStart"/>
      <w:r w:rsidRPr="00C73276">
        <w:t>i</w:t>
      </w:r>
      <w:proofErr w:type="spellEnd"/>
      <w:r w:rsidRPr="00C73276">
        <w:t xml:space="preserve">) of this resolution </w:t>
      </w:r>
      <w:r w:rsidRPr="00C73276">
        <w:fldChar w:fldCharType="begin"/>
      </w:r>
      <w:r w:rsidRPr="00C73276">
        <w:instrText xml:space="preserve"> REF _Ref102037766 \r \h </w:instrText>
      </w:r>
      <w:r>
        <w:instrText xml:space="preserve"> \* MERGEFORMAT </w:instrText>
      </w:r>
      <w:r w:rsidRPr="00C73276">
        <w:fldChar w:fldCharType="separate"/>
      </w:r>
      <w:r w:rsidRPr="00C73276">
        <w:t>17</w:t>
      </w:r>
      <w:r w:rsidRPr="00C73276">
        <w:fldChar w:fldCharType="end"/>
      </w:r>
      <w:r w:rsidRPr="00C73276">
        <w:t xml:space="preserve">, up to an aggregate nominal amount of </w:t>
      </w:r>
      <w:r>
        <w:t>£5,207,009.32</w:t>
      </w:r>
      <w:r w:rsidRPr="00C73276">
        <w:t>,</w:t>
      </w:r>
    </w:p>
    <w:p w:rsidR="002F7214" w:rsidRPr="00C73276" w:rsidRDefault="002F7214" w:rsidP="002F7214">
      <w:pPr>
        <w:spacing w:after="200" w:line="276" w:lineRule="auto"/>
        <w:ind w:left="2552"/>
      </w:pPr>
      <w:r w:rsidRPr="00C73276">
        <w:t>and shall expire at the conclusion of the next annual general meeting of the Company (or, if earlier, on 23 September 2023), save that the Company may before such expiry make any offer or agreement that would or might require equity securities to be allotted, or treasury shares to be sold, after such expiry and the directors may allot equity securities, or sell treasury shares in pursuance of any such offer or agreement as if the power conferred hereby had not expired.</w:t>
      </w:r>
    </w:p>
    <w:p w:rsidR="002F7214" w:rsidRPr="00C73276" w:rsidRDefault="002F7214" w:rsidP="002F7214">
      <w:pPr>
        <w:pStyle w:val="ListParagraph"/>
        <w:numPr>
          <w:ilvl w:val="0"/>
          <w:numId w:val="14"/>
        </w:numPr>
        <w:spacing w:after="200" w:line="276" w:lineRule="auto"/>
      </w:pPr>
      <w:r w:rsidRPr="00C73276">
        <w:t xml:space="preserve">That, subject to the passing of resolutions </w:t>
      </w:r>
      <w:r w:rsidRPr="00C73276">
        <w:fldChar w:fldCharType="begin"/>
      </w:r>
      <w:r w:rsidRPr="00C73276">
        <w:instrText xml:space="preserve"> REF _Ref102037711 \r \h </w:instrText>
      </w:r>
      <w:r>
        <w:instrText xml:space="preserve"> \* MERGEFORMAT </w:instrText>
      </w:r>
      <w:r w:rsidRPr="00C73276">
        <w:fldChar w:fldCharType="separate"/>
      </w:r>
      <w:r w:rsidRPr="00C73276">
        <w:t>16</w:t>
      </w:r>
      <w:r w:rsidRPr="00C73276">
        <w:fldChar w:fldCharType="end"/>
      </w:r>
      <w:r w:rsidRPr="00C73276">
        <w:t xml:space="preserve"> and </w:t>
      </w:r>
      <w:r w:rsidRPr="00C73276">
        <w:fldChar w:fldCharType="begin"/>
      </w:r>
      <w:r w:rsidRPr="00C73276">
        <w:instrText xml:space="preserve"> REF _Ref102037766 \r \h </w:instrText>
      </w:r>
      <w:r>
        <w:instrText xml:space="preserve"> \* MERGEFORMAT </w:instrText>
      </w:r>
      <w:r w:rsidRPr="00C73276">
        <w:fldChar w:fldCharType="separate"/>
      </w:r>
      <w:r w:rsidRPr="00C73276">
        <w:t>17</w:t>
      </w:r>
      <w:r w:rsidRPr="00C73276">
        <w:fldChar w:fldCharType="end"/>
      </w:r>
      <w:r w:rsidRPr="00C73276">
        <w:t xml:space="preserve"> above, and in addition to the power given by resolution </w:t>
      </w:r>
      <w:r w:rsidRPr="00C73276">
        <w:fldChar w:fldCharType="begin"/>
      </w:r>
      <w:r w:rsidRPr="00C73276">
        <w:instrText xml:space="preserve"> REF _Ref102037766 \r \h </w:instrText>
      </w:r>
      <w:r>
        <w:instrText xml:space="preserve"> \* MERGEFORMAT </w:instrText>
      </w:r>
      <w:r w:rsidRPr="00C73276">
        <w:fldChar w:fldCharType="separate"/>
      </w:r>
      <w:r w:rsidRPr="00C73276">
        <w:t>17</w:t>
      </w:r>
      <w:r w:rsidRPr="00C73276">
        <w:fldChar w:fldCharType="end"/>
      </w:r>
      <w:r w:rsidRPr="00C73276">
        <w:t>, the directors be given power pursuant to sections 570(1) and 573 of the Companies Act 2006 to:</w:t>
      </w:r>
    </w:p>
    <w:p w:rsidR="002F7214" w:rsidRDefault="002F7214" w:rsidP="002F7214">
      <w:pPr>
        <w:pStyle w:val="Appendix5"/>
        <w:numPr>
          <w:ilvl w:val="0"/>
          <w:numId w:val="17"/>
        </w:numPr>
        <w:ind w:left="1985"/>
      </w:pPr>
      <w:r>
        <w:t xml:space="preserve">allot equity securities (as defined in section 560 of the Companies Act 2006) of the Company for cash pursuant to the authorisation conferred by resolution </w:t>
      </w:r>
      <w:r>
        <w:fldChar w:fldCharType="begin"/>
      </w:r>
      <w:r>
        <w:instrText xml:space="preserve"> REF _Ref102037711 \r \h  \* MERGEFORMAT </w:instrText>
      </w:r>
      <w:r>
        <w:fldChar w:fldCharType="separate"/>
      </w:r>
      <w:r>
        <w:t>16</w:t>
      </w:r>
      <w:r>
        <w:fldChar w:fldCharType="end"/>
      </w:r>
      <w:r>
        <w:t>(a); and</w:t>
      </w:r>
    </w:p>
    <w:p w:rsidR="002F7214" w:rsidRDefault="002F7214" w:rsidP="002F7214">
      <w:pPr>
        <w:pStyle w:val="Appendix5"/>
        <w:numPr>
          <w:ilvl w:val="0"/>
          <w:numId w:val="17"/>
        </w:numPr>
        <w:ind w:left="1985"/>
      </w:pPr>
      <w:r>
        <w:t>sell ordinary shares (as defined in section 560(1) of the Companies Act 2006) held by the Company as treasury shares for cash,</w:t>
      </w:r>
    </w:p>
    <w:p w:rsidR="002F7214" w:rsidRDefault="002F7214" w:rsidP="002F7214">
      <w:pPr>
        <w:pStyle w:val="Appendix5"/>
        <w:numPr>
          <w:ilvl w:val="0"/>
          <w:numId w:val="0"/>
        </w:numPr>
        <w:ind w:left="1985"/>
      </w:pPr>
      <w:proofErr w:type="gramStart"/>
      <w:r>
        <w:lastRenderedPageBreak/>
        <w:t>as</w:t>
      </w:r>
      <w:proofErr w:type="gramEnd"/>
      <w:r>
        <w:t xml:space="preserve"> if section 561 of the Companies Act 2006 did not apply to any such allotment or sale, provided that this power shall be:</w:t>
      </w:r>
    </w:p>
    <w:p w:rsidR="002F7214" w:rsidRPr="00C73276" w:rsidRDefault="002F7214" w:rsidP="002F7214">
      <w:pPr>
        <w:spacing w:after="200" w:line="276" w:lineRule="auto"/>
        <w:ind w:left="2552"/>
      </w:pPr>
      <w:r w:rsidRPr="00C73276">
        <w:t>(</w:t>
      </w:r>
      <w:proofErr w:type="spellStart"/>
      <w:r w:rsidRPr="00C73276">
        <w:t>i</w:t>
      </w:r>
      <w:proofErr w:type="spellEnd"/>
      <w:r w:rsidRPr="00C73276">
        <w:t xml:space="preserve">) limited to the allotment of equity securities for cash and the sale of treasury shares, up to an aggregate nominal amount of </w:t>
      </w:r>
      <w:r>
        <w:t>£5,207,009.32</w:t>
      </w:r>
      <w:r w:rsidRPr="00C73276">
        <w:t>; and</w:t>
      </w:r>
    </w:p>
    <w:p w:rsidR="002F7214" w:rsidRPr="00C73276" w:rsidRDefault="002F7214" w:rsidP="002F7214">
      <w:pPr>
        <w:spacing w:after="200" w:line="276" w:lineRule="auto"/>
        <w:ind w:left="2552"/>
      </w:pPr>
      <w:r w:rsidRPr="00C73276">
        <w:t xml:space="preserve">(ii) used only for the purposes of financing (or refinancing, if the authority is to be used within six months after the original transaction) a transaction which the directors have determined to be an acquisition or other capital investment of a kind contemplated by the Statement of Principles on </w:t>
      </w:r>
      <w:proofErr w:type="spellStart"/>
      <w:r w:rsidRPr="00C73276">
        <w:t>Disapplying</w:t>
      </w:r>
      <w:proofErr w:type="spellEnd"/>
      <w:r w:rsidRPr="00C73276">
        <w:t xml:space="preserve"> Pre-Emption Rights most recently published by the Pre-Emption</w:t>
      </w:r>
      <w:r>
        <w:t xml:space="preserve"> Group prior to the date of the N</w:t>
      </w:r>
      <w:r w:rsidRPr="00C73276">
        <w:t xml:space="preserve">otice, or for any other purposes as the Company in a general meeting may at any time by special resolution determine, and shall expire at the conclusion of the next annual general meeting of the Company (or, if earlier, on 23 September 2023), save that the Company may before such expiry make any offer or agreement that would or might require equity securities to be allotted, or treasury shares to be sold, after such expiry and the directors may allot equity securities, or sell treasury shares in pursuance of any such offer or agreement as if the power conferred hereby had not expired. </w:t>
      </w:r>
    </w:p>
    <w:p w:rsidR="002F7214" w:rsidRPr="00C73276" w:rsidRDefault="002F7214" w:rsidP="002F7214">
      <w:pPr>
        <w:pStyle w:val="ListParagraph"/>
        <w:numPr>
          <w:ilvl w:val="0"/>
          <w:numId w:val="14"/>
        </w:numPr>
        <w:spacing w:after="200" w:line="276" w:lineRule="auto"/>
      </w:pPr>
      <w:r w:rsidRPr="00C73276">
        <w:t>That the Company is generally and unconditionally authorised for the purposes of section 701 of the Companies Act 2006 to make market purchases (within the meaning of section 693(4) of the Companies Act 2006) of any of its ordinary shares of 10p each in the capital of the Company on such terms and in such manner as the directors may from time to time determine, and where such shares are held as treasury shares, the Company may use them for the purposes of its employee share schemes, provided that:</w:t>
      </w:r>
    </w:p>
    <w:p w:rsidR="002F7214" w:rsidRDefault="002F7214" w:rsidP="002F7214">
      <w:pPr>
        <w:pStyle w:val="Appendix5"/>
        <w:numPr>
          <w:ilvl w:val="0"/>
          <w:numId w:val="18"/>
        </w:numPr>
        <w:ind w:left="1985"/>
      </w:pPr>
      <w:r>
        <w:t>the maximum number of ordinary shares which may be purchased is 104,140,186;</w:t>
      </w:r>
    </w:p>
    <w:p w:rsidR="002F7214" w:rsidRDefault="002F7214" w:rsidP="002F7214">
      <w:pPr>
        <w:pStyle w:val="Appendix5"/>
        <w:numPr>
          <w:ilvl w:val="0"/>
          <w:numId w:val="18"/>
        </w:numPr>
        <w:ind w:left="1985"/>
      </w:pPr>
      <w:r>
        <w:t>the minimum price (exclusive of any expenses) that may be paid for each ordinary share is 10p;</w:t>
      </w:r>
    </w:p>
    <w:p w:rsidR="002F7214" w:rsidRDefault="002F7214" w:rsidP="002F7214">
      <w:pPr>
        <w:pStyle w:val="Appendix5"/>
        <w:numPr>
          <w:ilvl w:val="0"/>
          <w:numId w:val="18"/>
        </w:numPr>
        <w:ind w:left="1985"/>
      </w:pPr>
      <w:r>
        <w:t>the maximum price (exclusive of any expenses) that may be paid for each ordinary share is an amount equal to the higher of:</w:t>
      </w:r>
    </w:p>
    <w:p w:rsidR="002F7214" w:rsidRPr="00C73276" w:rsidRDefault="002F7214" w:rsidP="002F7214">
      <w:pPr>
        <w:spacing w:after="200" w:line="276" w:lineRule="auto"/>
        <w:ind w:left="2552"/>
      </w:pPr>
      <w:r w:rsidRPr="00C73276">
        <w:t>(</w:t>
      </w:r>
      <w:proofErr w:type="spellStart"/>
      <w:r w:rsidRPr="00C73276">
        <w:t>i</w:t>
      </w:r>
      <w:proofErr w:type="spellEnd"/>
      <w:r w:rsidRPr="00C73276">
        <w:t>) one hundred and five per cent. (105%) of the average of the middle market quotations for an ordinary share of the Company as derived from the Daily Official List of the London Stock Exchange plc for the five (5) business days immediately preceding the day on which such ordinary share is contracted to be purchased; and</w:t>
      </w:r>
    </w:p>
    <w:p w:rsidR="002F7214" w:rsidRPr="00C73276" w:rsidRDefault="002F7214" w:rsidP="002F7214">
      <w:pPr>
        <w:spacing w:after="200" w:line="276" w:lineRule="auto"/>
        <w:ind w:left="2552"/>
      </w:pPr>
      <w:r w:rsidRPr="00C73276">
        <w:t xml:space="preserve">(ii) </w:t>
      </w:r>
      <w:proofErr w:type="gramStart"/>
      <w:r w:rsidRPr="00C73276">
        <w:t>the</w:t>
      </w:r>
      <w:proofErr w:type="gramEnd"/>
      <w:r w:rsidRPr="00C73276">
        <w:t xml:space="preserve"> higher of the price of the last independent trade of an ordinary share and the highest current independent bid for an ordinary share on the trading venues where the purchase is carried out;</w:t>
      </w:r>
    </w:p>
    <w:p w:rsidR="002F7214" w:rsidRDefault="002F7214" w:rsidP="002F7214">
      <w:pPr>
        <w:pStyle w:val="Appendix5"/>
        <w:numPr>
          <w:ilvl w:val="0"/>
          <w:numId w:val="18"/>
        </w:numPr>
        <w:ind w:left="1985"/>
      </w:pPr>
      <w:r>
        <w:t>unless previously renewed, revoked or varied, this authority shall expire at the conclusion of the annual general meeting in 2023 or on 23 September 2023, whichever is the earlier; and</w:t>
      </w:r>
    </w:p>
    <w:p w:rsidR="002F7214" w:rsidRDefault="002F7214" w:rsidP="002F7214">
      <w:pPr>
        <w:pStyle w:val="Appendix5"/>
        <w:numPr>
          <w:ilvl w:val="0"/>
          <w:numId w:val="18"/>
        </w:numPr>
        <w:ind w:left="1985"/>
      </w:pPr>
      <w:proofErr w:type="gramStart"/>
      <w:r>
        <w:lastRenderedPageBreak/>
        <w:t>the</w:t>
      </w:r>
      <w:proofErr w:type="gramEnd"/>
      <w:r>
        <w:t xml:space="preserve"> Company may, before this authority expires, make a contract to purchase ordinary shares that would or might be executed wholly or partly after the expiry of this authority, and may make purchases of ordinary shares pursuant to it as if this authority had not expired.</w:t>
      </w:r>
    </w:p>
    <w:p w:rsidR="002F7214" w:rsidRPr="00C73276" w:rsidRDefault="002F7214" w:rsidP="002F7214">
      <w:pPr>
        <w:pStyle w:val="ListParagraph"/>
        <w:numPr>
          <w:ilvl w:val="0"/>
          <w:numId w:val="14"/>
        </w:numPr>
        <w:spacing w:after="200" w:line="276" w:lineRule="auto"/>
      </w:pPr>
      <w:r w:rsidRPr="00C73276">
        <w:t>That a general meeting of the Company (other than an annual general meeting) may be called on not less than fourteen (14) clear days’ notice.</w:t>
      </w:r>
    </w:p>
    <w:p w:rsidR="00140597" w:rsidRPr="005A6508" w:rsidRDefault="00140597" w:rsidP="002F7214">
      <w:pPr>
        <w:pStyle w:val="wList1"/>
        <w:numPr>
          <w:ilvl w:val="0"/>
          <w:numId w:val="0"/>
        </w:numPr>
        <w:ind w:left="720" w:hanging="720"/>
        <w:rPr>
          <w:rFonts w:eastAsia="Arial"/>
          <w:color w:val="000000"/>
        </w:rPr>
      </w:pPr>
    </w:p>
    <w:sectPr w:rsidR="00140597" w:rsidRPr="005A6508" w:rsidSect="00E14983">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440" w:left="1440" w:header="720" w:footer="7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4983" w:rsidRPr="00821FA1" w:rsidRDefault="00E14983">
      <w:r w:rsidRPr="00821FA1">
        <w:separator/>
      </w:r>
    </w:p>
  </w:endnote>
  <w:endnote w:type="continuationSeparator" w:id="0">
    <w:p w:rsidR="00E14983" w:rsidRPr="00821FA1" w:rsidRDefault="00E14983">
      <w:r w:rsidRPr="00821F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panose1 w:val="02020603050405020304"/>
    <w:charset w:val="00"/>
    <w:family w:val="roman"/>
    <w:pitch w:val="variable"/>
    <w:sig w:usb0="00002003" w:usb1="80000000" w:usb2="00000008" w:usb3="00000000" w:csb0="00000041"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5B3F" w:rsidRDefault="007B5B3F" w:rsidP="00422980">
    <w:pPr>
      <w:pStyle w:val="Footer"/>
    </w:pPr>
  </w:p>
  <w:tbl>
    <w:tblPr>
      <w:tblW w:w="9027" w:type="dxa"/>
      <w:tblLayout w:type="fixed"/>
      <w:tblLook w:val="0000" w:firstRow="0" w:lastRow="0" w:firstColumn="0" w:lastColumn="0" w:noHBand="0" w:noVBand="0"/>
    </w:tblPr>
    <w:tblGrid>
      <w:gridCol w:w="800"/>
      <w:gridCol w:w="400"/>
      <w:gridCol w:w="800"/>
    </w:tblGrid>
    <w:tr w:rsidR="007B5B3F" w:rsidRPr="00821FA1" w:rsidTr="00852105">
      <w:tc>
        <w:tcPr>
          <w:tcW w:w="2000" w:type="pct"/>
          <w:shd w:val="clear" w:color="auto" w:fill="auto"/>
          <w:vAlign w:val="bottom"/>
        </w:tcPr>
        <w:p w:rsidR="007B5B3F" w:rsidRPr="00852105" w:rsidRDefault="00852105" w:rsidP="00852105">
          <w:pPr>
            <w:pStyle w:val="Footer"/>
            <w:rPr>
              <w:sz w:val="12"/>
            </w:rPr>
          </w:pPr>
          <w:r w:rsidRPr="00852105">
            <w:rPr>
              <w:sz w:val="12"/>
            </w:rPr>
            <w:t>EMEA 132039094</w:t>
          </w:r>
        </w:p>
      </w:tc>
      <w:tc>
        <w:tcPr>
          <w:tcW w:w="1000" w:type="pct"/>
          <w:shd w:val="clear" w:color="auto" w:fill="auto"/>
        </w:tcPr>
        <w:p w:rsidR="007B5B3F" w:rsidRPr="00946121" w:rsidRDefault="007B5B3F" w:rsidP="00852105">
          <w:pPr>
            <w:pStyle w:val="WCPageNumber"/>
          </w:pPr>
        </w:p>
      </w:tc>
      <w:tc>
        <w:tcPr>
          <w:tcW w:w="2000" w:type="pct"/>
          <w:shd w:val="clear" w:color="auto" w:fill="auto"/>
        </w:tcPr>
        <w:p w:rsidR="007B5B3F" w:rsidRPr="00422980" w:rsidRDefault="007B5B3F" w:rsidP="00852105">
          <w:pPr>
            <w:pStyle w:val="Footer"/>
            <w:jc w:val="right"/>
          </w:pPr>
        </w:p>
      </w:tc>
    </w:tr>
  </w:tbl>
  <w:p w:rsidR="007B5B3F" w:rsidRPr="00852105" w:rsidRDefault="007B5B3F" w:rsidP="00422980">
    <w:pPr>
      <w:pStyle w:val="Footer"/>
      <w:rPr>
        <w:sz w:val="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5B3F" w:rsidRDefault="007B5B3F" w:rsidP="00422980">
    <w:pPr>
      <w:pStyle w:val="Footer"/>
    </w:pPr>
  </w:p>
  <w:tbl>
    <w:tblPr>
      <w:tblW w:w="9027" w:type="dxa"/>
      <w:tblLayout w:type="fixed"/>
      <w:tblLook w:val="0000" w:firstRow="0" w:lastRow="0" w:firstColumn="0" w:lastColumn="0" w:noHBand="0" w:noVBand="0"/>
    </w:tblPr>
    <w:tblGrid>
      <w:gridCol w:w="3611"/>
      <w:gridCol w:w="1805"/>
      <w:gridCol w:w="3611"/>
    </w:tblGrid>
    <w:tr w:rsidR="007B5B3F" w:rsidRPr="00821FA1" w:rsidTr="00852105">
      <w:tc>
        <w:tcPr>
          <w:tcW w:w="2000" w:type="pct"/>
          <w:shd w:val="clear" w:color="auto" w:fill="auto"/>
          <w:vAlign w:val="bottom"/>
        </w:tcPr>
        <w:p w:rsidR="007B5B3F" w:rsidRPr="00852105" w:rsidRDefault="007B5B3F" w:rsidP="00852105">
          <w:pPr>
            <w:pStyle w:val="Footer"/>
            <w:rPr>
              <w:sz w:val="12"/>
            </w:rPr>
          </w:pPr>
        </w:p>
      </w:tc>
      <w:tc>
        <w:tcPr>
          <w:tcW w:w="1000" w:type="pct"/>
          <w:shd w:val="clear" w:color="auto" w:fill="auto"/>
        </w:tcPr>
        <w:p w:rsidR="007B5B3F" w:rsidRPr="00946121" w:rsidRDefault="007B5B3F" w:rsidP="00852105">
          <w:pPr>
            <w:pStyle w:val="WCPageNumber"/>
          </w:pPr>
          <w:r w:rsidRPr="00946121">
            <w:fldChar w:fldCharType="begin"/>
          </w:r>
          <w:r w:rsidRPr="00946121">
            <w:instrText xml:space="preserve"> PAGE   \* MERGEFORMAT </w:instrText>
          </w:r>
          <w:r w:rsidRPr="00946121">
            <w:fldChar w:fldCharType="separate"/>
          </w:r>
          <w:r w:rsidR="00852105">
            <w:rPr>
              <w:noProof/>
            </w:rPr>
            <w:t>4</w:t>
          </w:r>
          <w:r w:rsidRPr="00946121">
            <w:fldChar w:fldCharType="end"/>
          </w:r>
        </w:p>
      </w:tc>
      <w:tc>
        <w:tcPr>
          <w:tcW w:w="2000" w:type="pct"/>
          <w:shd w:val="clear" w:color="auto" w:fill="auto"/>
        </w:tcPr>
        <w:p w:rsidR="007B5B3F" w:rsidRPr="00422980" w:rsidRDefault="007B5B3F" w:rsidP="00852105">
          <w:pPr>
            <w:pStyle w:val="Footer"/>
            <w:jc w:val="right"/>
          </w:pPr>
        </w:p>
      </w:tc>
    </w:tr>
  </w:tbl>
  <w:p w:rsidR="007B5B3F" w:rsidRPr="00852105" w:rsidRDefault="007B5B3F" w:rsidP="00422980">
    <w:pPr>
      <w:pStyle w:val="Footer"/>
      <w:rPr>
        <w:sz w:val="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5B3F" w:rsidRDefault="007B5B3F" w:rsidP="00422980">
    <w:pPr>
      <w:pStyle w:val="Footer"/>
    </w:pPr>
  </w:p>
  <w:tbl>
    <w:tblPr>
      <w:tblW w:w="9027" w:type="dxa"/>
      <w:tblLayout w:type="fixed"/>
      <w:tblLook w:val="0000" w:firstRow="0" w:lastRow="0" w:firstColumn="0" w:lastColumn="0" w:noHBand="0" w:noVBand="0"/>
    </w:tblPr>
    <w:tblGrid>
      <w:gridCol w:w="3611"/>
      <w:gridCol w:w="1805"/>
      <w:gridCol w:w="3611"/>
    </w:tblGrid>
    <w:tr w:rsidR="007B5B3F" w:rsidRPr="00821FA1" w:rsidTr="00852105">
      <w:tc>
        <w:tcPr>
          <w:tcW w:w="2000" w:type="pct"/>
          <w:shd w:val="clear" w:color="auto" w:fill="auto"/>
          <w:vAlign w:val="bottom"/>
        </w:tcPr>
        <w:p w:rsidR="007B5B3F" w:rsidRPr="00852105" w:rsidRDefault="007B5B3F" w:rsidP="00852105">
          <w:pPr>
            <w:pStyle w:val="Footer"/>
            <w:rPr>
              <w:sz w:val="12"/>
            </w:rPr>
          </w:pPr>
        </w:p>
      </w:tc>
      <w:tc>
        <w:tcPr>
          <w:tcW w:w="1000" w:type="pct"/>
          <w:shd w:val="clear" w:color="auto" w:fill="auto"/>
        </w:tcPr>
        <w:p w:rsidR="007B5B3F" w:rsidRPr="00946121" w:rsidRDefault="007B5B3F" w:rsidP="00852105">
          <w:pPr>
            <w:pStyle w:val="WCPageNumber"/>
          </w:pPr>
        </w:p>
      </w:tc>
      <w:tc>
        <w:tcPr>
          <w:tcW w:w="2000" w:type="pct"/>
          <w:shd w:val="clear" w:color="auto" w:fill="auto"/>
        </w:tcPr>
        <w:p w:rsidR="007B5B3F" w:rsidRPr="00422980" w:rsidRDefault="007B5B3F" w:rsidP="00852105">
          <w:pPr>
            <w:pStyle w:val="Footer"/>
            <w:jc w:val="right"/>
          </w:pPr>
        </w:p>
      </w:tc>
    </w:tr>
  </w:tbl>
  <w:p w:rsidR="007B5B3F" w:rsidRPr="00852105" w:rsidRDefault="007B5B3F" w:rsidP="00422980">
    <w:pPr>
      <w:pStyle w:val="Footer"/>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4983" w:rsidRPr="00821FA1" w:rsidRDefault="00E14983">
      <w:r w:rsidRPr="00821FA1">
        <w:separator/>
      </w:r>
    </w:p>
  </w:footnote>
  <w:footnote w:type="continuationSeparator" w:id="0">
    <w:p w:rsidR="00E14983" w:rsidRPr="00821FA1" w:rsidRDefault="00E14983">
      <w:r w:rsidRPr="00821F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B48" w:rsidRDefault="00222B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B48" w:rsidRDefault="00222B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13C" w:rsidRPr="00C8255D" w:rsidRDefault="0016113C" w:rsidP="004828B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B62D5"/>
    <w:multiLevelType w:val="multilevel"/>
    <w:tmpl w:val="0CA43E22"/>
    <w:lvl w:ilvl="0">
      <w:start w:val="1"/>
      <w:numFmt w:val="none"/>
      <w:pStyle w:val="Definition1"/>
      <w:suff w:val="nothing"/>
      <w:lvlText w:val=""/>
      <w:lvlJc w:val="left"/>
      <w:pPr>
        <w:ind w:left="720" w:firstLine="0"/>
      </w:pPr>
      <w:rPr>
        <w:rFonts w:hint="default"/>
      </w:rPr>
    </w:lvl>
    <w:lvl w:ilvl="1">
      <w:start w:val="1"/>
      <w:numFmt w:val="lowerLetter"/>
      <w:pStyle w:val="Definition2"/>
      <w:lvlText w:val="(%2)"/>
      <w:lvlJc w:val="left"/>
      <w:pPr>
        <w:tabs>
          <w:tab w:val="num" w:pos="1440"/>
        </w:tabs>
        <w:ind w:left="1440" w:hanging="720"/>
      </w:pPr>
      <w:rPr>
        <w:rFonts w:hint="default"/>
      </w:rPr>
    </w:lvl>
    <w:lvl w:ilvl="2">
      <w:start w:val="1"/>
      <w:numFmt w:val="lowerRoman"/>
      <w:pStyle w:val="Definition3"/>
      <w:lvlText w:val="(%3)"/>
      <w:lvlJc w:val="left"/>
      <w:pPr>
        <w:tabs>
          <w:tab w:val="num" w:pos="2160"/>
        </w:tabs>
        <w:ind w:left="2160" w:hanging="720"/>
      </w:pPr>
      <w:rPr>
        <w:rFonts w:hint="default"/>
      </w:rPr>
    </w:lvl>
    <w:lvl w:ilvl="3">
      <w:start w:val="1"/>
      <w:numFmt w:val="upperLetter"/>
      <w:pStyle w:val="Definition4"/>
      <w:lvlText w:val="(%4)"/>
      <w:lvlJc w:val="left"/>
      <w:pPr>
        <w:tabs>
          <w:tab w:val="num" w:pos="2880"/>
        </w:tabs>
        <w:ind w:left="2880" w:hanging="720"/>
      </w:pPr>
      <w:rPr>
        <w:rFonts w:hint="default"/>
      </w:rPr>
    </w:lvl>
    <w:lvl w:ilvl="4">
      <w:start w:val="1"/>
      <w:numFmt w:val="decimal"/>
      <w:pStyle w:val="Definition5"/>
      <w:lvlText w:val="(%5)"/>
      <w:lvlJc w:val="left"/>
      <w:pPr>
        <w:tabs>
          <w:tab w:val="num" w:pos="3600"/>
        </w:tabs>
        <w:ind w:left="3600" w:hanging="720"/>
      </w:pPr>
      <w:rPr>
        <w:rFonts w:hint="default"/>
      </w:rPr>
    </w:lvl>
    <w:lvl w:ilvl="5">
      <w:start w:val="1"/>
      <w:numFmt w:val="upperRoman"/>
      <w:pStyle w:val="Definition6"/>
      <w:lvlText w:val="(%6)"/>
      <w:lvlJc w:val="left"/>
      <w:pPr>
        <w:tabs>
          <w:tab w:val="num" w:pos="4320"/>
        </w:tabs>
        <w:ind w:left="4320" w:hanging="720"/>
      </w:pPr>
      <w:rPr>
        <w:rFonts w:hint="default"/>
      </w:rPr>
    </w:lvl>
    <w:lvl w:ilvl="6">
      <w:start w:val="1"/>
      <w:numFmt w:val="decimal"/>
      <w:pStyle w:val="Definition7"/>
      <w:lvlText w:val="%7."/>
      <w:lvlJc w:val="left"/>
      <w:pPr>
        <w:tabs>
          <w:tab w:val="num" w:pos="5040"/>
        </w:tabs>
        <w:ind w:left="5040" w:hanging="720"/>
      </w:pPr>
      <w:rPr>
        <w:rFonts w:hint="default"/>
      </w:rPr>
    </w:lvl>
    <w:lvl w:ilvl="7">
      <w:start w:val="1"/>
      <w:numFmt w:val="decimal"/>
      <w:pStyle w:val="Parties"/>
      <w:lvlText w:val="(%8)"/>
      <w:lvlJc w:val="left"/>
      <w:pPr>
        <w:tabs>
          <w:tab w:val="num" w:pos="720"/>
        </w:tabs>
        <w:ind w:left="720" w:hanging="720"/>
      </w:pPr>
      <w:rPr>
        <w:rFonts w:hint="default"/>
        <w:b/>
        <w:i w:val="0"/>
      </w:rPr>
    </w:lvl>
    <w:lvl w:ilvl="8">
      <w:start w:val="1"/>
      <w:numFmt w:val="upperLetter"/>
      <w:pStyle w:val="Recitals"/>
      <w:lvlText w:val="(%9)"/>
      <w:lvlJc w:val="left"/>
      <w:pPr>
        <w:tabs>
          <w:tab w:val="num" w:pos="720"/>
        </w:tabs>
        <w:ind w:left="720" w:hanging="720"/>
      </w:pPr>
      <w:rPr>
        <w:rFonts w:hint="default"/>
      </w:rPr>
    </w:lvl>
  </w:abstractNum>
  <w:abstractNum w:abstractNumId="1" w15:restartNumberingAfterBreak="0">
    <w:nsid w:val="04A02C84"/>
    <w:multiLevelType w:val="hybridMultilevel"/>
    <w:tmpl w:val="E0BE9582"/>
    <w:lvl w:ilvl="0" w:tplc="801C4F50">
      <w:start w:val="1"/>
      <w:numFmt w:val="bullet"/>
      <w:pStyle w:val="wBullet3"/>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E77DE6"/>
    <w:multiLevelType w:val="hybridMultilevel"/>
    <w:tmpl w:val="0608C5BE"/>
    <w:lvl w:ilvl="0" w:tplc="A6DE0D9C">
      <w:start w:val="1"/>
      <w:numFmt w:val="bullet"/>
      <w:pStyle w:val="wBullet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617166"/>
    <w:multiLevelType w:val="multilevel"/>
    <w:tmpl w:val="0DE2F7A6"/>
    <w:lvl w:ilvl="0">
      <w:start w:val="1"/>
      <w:numFmt w:val="decimal"/>
      <w:pStyle w:val="Heading1"/>
      <w:lvlText w:val="%1."/>
      <w:lvlJc w:val="left"/>
      <w:pPr>
        <w:tabs>
          <w:tab w:val="num" w:pos="720"/>
        </w:tabs>
        <w:ind w:left="720" w:hanging="720"/>
      </w:pPr>
      <w:rPr>
        <w:rFonts w:ascii="Times New Roman" w:hAnsi="Times New Roman" w:cs="Times New Roman" w:hint="default"/>
        <w:b/>
        <w:i w:val="0"/>
        <w:color w:val="000000" w:themeColor="text1"/>
        <w:sz w:val="26"/>
      </w:rPr>
    </w:lvl>
    <w:lvl w:ilvl="1">
      <w:start w:val="1"/>
      <w:numFmt w:val="decimal"/>
      <w:pStyle w:val="Heading2"/>
      <w:isLgl/>
      <w:lvlText w:val="%1.%2"/>
      <w:lvlJc w:val="left"/>
      <w:pPr>
        <w:tabs>
          <w:tab w:val="num" w:pos="720"/>
        </w:tabs>
        <w:ind w:left="720" w:hanging="720"/>
      </w:pPr>
      <w:rPr>
        <w:rFonts w:ascii="Times New Roman" w:hAnsi="Times New Roman" w:cs="Times New Roman" w:hint="default"/>
        <w:b/>
        <w:i w:val="0"/>
        <w:color w:val="000000" w:themeColor="text1"/>
        <w:sz w:val="22"/>
      </w:rPr>
    </w:lvl>
    <w:lvl w:ilvl="2">
      <w:start w:val="1"/>
      <w:numFmt w:val="lowerLetter"/>
      <w:pStyle w:val="Heading3"/>
      <w:lvlText w:val="(%3)"/>
      <w:lvlJc w:val="left"/>
      <w:pPr>
        <w:tabs>
          <w:tab w:val="num" w:pos="1440"/>
        </w:tabs>
        <w:ind w:left="1440" w:hanging="720"/>
      </w:pPr>
      <w:rPr>
        <w:rFonts w:hint="default"/>
        <w:color w:val="000000" w:themeColor="text1"/>
      </w:rPr>
    </w:lvl>
    <w:lvl w:ilvl="3">
      <w:start w:val="1"/>
      <w:numFmt w:val="lowerRoman"/>
      <w:pStyle w:val="Heading4"/>
      <w:lvlText w:val="(%4)"/>
      <w:lvlJc w:val="left"/>
      <w:pPr>
        <w:tabs>
          <w:tab w:val="num" w:pos="2160"/>
        </w:tabs>
        <w:ind w:left="2160" w:hanging="720"/>
      </w:pPr>
      <w:rPr>
        <w:rFonts w:hint="default"/>
        <w:color w:val="000000" w:themeColor="text1"/>
      </w:rPr>
    </w:lvl>
    <w:lvl w:ilvl="4">
      <w:start w:val="1"/>
      <w:numFmt w:val="upperLetter"/>
      <w:pStyle w:val="Heading5"/>
      <w:lvlText w:val="(%5)"/>
      <w:lvlJc w:val="left"/>
      <w:pPr>
        <w:tabs>
          <w:tab w:val="num" w:pos="2880"/>
        </w:tabs>
        <w:ind w:left="2880" w:hanging="720"/>
      </w:pPr>
      <w:rPr>
        <w:rFonts w:hint="default"/>
        <w:color w:val="000000" w:themeColor="text1"/>
      </w:rPr>
    </w:lvl>
    <w:lvl w:ilvl="5">
      <w:start w:val="1"/>
      <w:numFmt w:val="decimal"/>
      <w:pStyle w:val="Heading6"/>
      <w:lvlText w:val="(%6)"/>
      <w:lvlJc w:val="left"/>
      <w:pPr>
        <w:tabs>
          <w:tab w:val="num" w:pos="3600"/>
        </w:tabs>
        <w:ind w:left="3600" w:hanging="720"/>
      </w:pPr>
      <w:rPr>
        <w:rFonts w:hint="default"/>
        <w:color w:val="000000" w:themeColor="text1"/>
      </w:rPr>
    </w:lvl>
    <w:lvl w:ilvl="6">
      <w:start w:val="1"/>
      <w:numFmt w:val="upperRoman"/>
      <w:pStyle w:val="Heading7"/>
      <w:lvlText w:val="(%7)"/>
      <w:lvlJc w:val="left"/>
      <w:pPr>
        <w:tabs>
          <w:tab w:val="num" w:pos="4320"/>
        </w:tabs>
        <w:ind w:left="4320" w:hanging="720"/>
      </w:pPr>
      <w:rPr>
        <w:rFonts w:hint="default"/>
        <w:color w:val="000000" w:themeColor="text1"/>
      </w:rPr>
    </w:lvl>
    <w:lvl w:ilvl="7">
      <w:start w:val="1"/>
      <w:numFmt w:val="none"/>
      <w:pStyle w:val="Heading8"/>
      <w:suff w:val="nothing"/>
      <w:lvlText w:val=""/>
      <w:lvlJc w:val="left"/>
      <w:pPr>
        <w:ind w:left="0" w:firstLine="0"/>
      </w:pPr>
      <w:rPr>
        <w:rFonts w:hint="default"/>
        <w:color w:val="000000" w:themeColor="text1"/>
      </w:rPr>
    </w:lvl>
    <w:lvl w:ilvl="8">
      <w:start w:val="1"/>
      <w:numFmt w:val="none"/>
      <w:pStyle w:val="Heading9"/>
      <w:suff w:val="nothing"/>
      <w:lvlText w:val=""/>
      <w:lvlJc w:val="left"/>
      <w:pPr>
        <w:ind w:left="0" w:firstLine="0"/>
      </w:pPr>
      <w:rPr>
        <w:rFonts w:hint="default"/>
        <w:color w:val="000000" w:themeColor="text1"/>
      </w:rPr>
    </w:lvl>
  </w:abstractNum>
  <w:abstractNum w:abstractNumId="4" w15:restartNumberingAfterBreak="0">
    <w:nsid w:val="262D4BEB"/>
    <w:multiLevelType w:val="multilevel"/>
    <w:tmpl w:val="92820D82"/>
    <w:name w:val="Definition"/>
    <w:lvl w:ilvl="0">
      <w:start w:val="1"/>
      <w:numFmt w:val="none"/>
      <w:suff w:val="nothing"/>
      <w:lvlText w:val=""/>
      <w:lvlJc w:val="left"/>
      <w:pPr>
        <w:ind w:left="720" w:firstLine="0"/>
      </w:pPr>
      <w:rPr>
        <w:rFonts w:ascii="Times New Roman" w:hAnsi="Times New Roman" w:cs="Times New Roman" w:hint="default"/>
        <w:b/>
        <w:i w:val="0"/>
        <w:color w:val="000000" w:themeColor="text1"/>
        <w:sz w:val="22"/>
      </w:rPr>
    </w:lvl>
    <w:lvl w:ilvl="1">
      <w:start w:val="1"/>
      <w:numFmt w:val="lowerLetter"/>
      <w:lvlText w:val="%1(%2)"/>
      <w:lvlJc w:val="left"/>
      <w:pPr>
        <w:tabs>
          <w:tab w:val="num" w:pos="1440"/>
        </w:tabs>
        <w:ind w:left="1440" w:hanging="720"/>
      </w:pPr>
      <w:rPr>
        <w:rFonts w:ascii="Times New Roman" w:eastAsia="MS Mincho" w:hAnsi="Times New Roman" w:cs="Times New Roman" w:hint="default"/>
        <w:b w:val="0"/>
        <w:i w:val="0"/>
        <w:color w:val="000000" w:themeColor="text1"/>
        <w:sz w:val="22"/>
      </w:rPr>
    </w:lvl>
    <w:lvl w:ilvl="2">
      <w:start w:val="1"/>
      <w:numFmt w:val="lowerRoman"/>
      <w:lvlText w:val="(%3)"/>
      <w:lvlJc w:val="left"/>
      <w:pPr>
        <w:tabs>
          <w:tab w:val="num" w:pos="2160"/>
        </w:tabs>
        <w:ind w:left="2160" w:hanging="720"/>
      </w:pPr>
      <w:rPr>
        <w:rFonts w:ascii="Times New Roman" w:hAnsi="Times New Roman" w:hint="default"/>
        <w:color w:val="000000" w:themeColor="text1"/>
      </w:rPr>
    </w:lvl>
    <w:lvl w:ilvl="3">
      <w:start w:val="1"/>
      <w:numFmt w:val="upperLetter"/>
      <w:lvlText w:val="(%4)"/>
      <w:lvlJc w:val="left"/>
      <w:pPr>
        <w:tabs>
          <w:tab w:val="num" w:pos="2880"/>
        </w:tabs>
        <w:ind w:left="2880" w:hanging="720"/>
      </w:pPr>
      <w:rPr>
        <w:rFonts w:ascii="Times New Roman" w:hAnsi="Times New Roman" w:cs="Times New Roman" w:hint="default"/>
        <w:b w:val="0"/>
        <w:i w:val="0"/>
        <w:color w:val="000000" w:themeColor="text1"/>
      </w:rPr>
    </w:lvl>
    <w:lvl w:ilvl="4">
      <w:start w:val="1"/>
      <w:numFmt w:val="decimal"/>
      <w:lvlText w:val="(%5)"/>
      <w:lvlJc w:val="left"/>
      <w:pPr>
        <w:tabs>
          <w:tab w:val="num" w:pos="3600"/>
        </w:tabs>
        <w:ind w:left="3600" w:hanging="720"/>
      </w:pPr>
      <w:rPr>
        <w:rFonts w:ascii="Times New Roman" w:hAnsi="Times New Roman" w:hint="default"/>
        <w:color w:val="000000" w:themeColor="text1"/>
      </w:rPr>
    </w:lvl>
    <w:lvl w:ilvl="5">
      <w:start w:val="1"/>
      <w:numFmt w:val="upperRoman"/>
      <w:lvlText w:val="(%6)"/>
      <w:lvlJc w:val="left"/>
      <w:pPr>
        <w:tabs>
          <w:tab w:val="num" w:pos="4320"/>
        </w:tabs>
        <w:ind w:left="4320" w:hanging="720"/>
      </w:pPr>
      <w:rPr>
        <w:rFonts w:hint="default"/>
        <w:color w:val="000000" w:themeColor="text1"/>
      </w:rPr>
    </w:lvl>
    <w:lvl w:ilvl="6">
      <w:start w:val="1"/>
      <w:numFmt w:val="decimal"/>
      <w:lvlRestart w:val="0"/>
      <w:lvlText w:val="(%7)"/>
      <w:lvlJc w:val="left"/>
      <w:pPr>
        <w:tabs>
          <w:tab w:val="num" w:pos="720"/>
        </w:tabs>
        <w:ind w:left="720" w:hanging="720"/>
      </w:pPr>
      <w:rPr>
        <w:rFonts w:hint="default"/>
        <w:b/>
        <w:i w:val="0"/>
        <w:color w:val="000000" w:themeColor="text1"/>
      </w:rPr>
    </w:lvl>
    <w:lvl w:ilvl="7">
      <w:start w:val="1"/>
      <w:numFmt w:val="upperLetter"/>
      <w:lvlRestart w:val="0"/>
      <w:lvlText w:val="(%8)"/>
      <w:lvlJc w:val="left"/>
      <w:pPr>
        <w:tabs>
          <w:tab w:val="num" w:pos="720"/>
        </w:tabs>
        <w:ind w:left="720" w:hanging="72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5" w15:restartNumberingAfterBreak="0">
    <w:nsid w:val="2B0768D5"/>
    <w:multiLevelType w:val="multilevel"/>
    <w:tmpl w:val="50D8C68C"/>
    <w:lvl w:ilvl="0">
      <w:start w:val="1"/>
      <w:numFmt w:val="decimal"/>
      <w:pStyle w:val="Appendix1"/>
      <w:lvlText w:val="Appendix %1"/>
      <w:lvlJc w:val="left"/>
      <w:pPr>
        <w:ind w:left="0" w:firstLine="0"/>
      </w:pPr>
      <w:rPr>
        <w:rFonts w:ascii="Times New Roman" w:hAnsi="Times New Roman" w:cs="Times New Roman" w:hint="default"/>
        <w:b/>
        <w:i w:val="0"/>
        <w:color w:val="000000" w:themeColor="text1"/>
        <w:sz w:val="26"/>
      </w:rPr>
    </w:lvl>
    <w:lvl w:ilvl="1">
      <w:start w:val="1"/>
      <w:numFmt w:val="decimal"/>
      <w:pStyle w:val="Appendix2"/>
      <w:lvlText w:val="Part %2"/>
      <w:lvlJc w:val="left"/>
      <w:pPr>
        <w:ind w:left="0" w:firstLine="0"/>
      </w:pPr>
      <w:rPr>
        <w:rFonts w:ascii="Times New Roman" w:hAnsi="Times New Roman" w:cs="Times New Roman" w:hint="default"/>
        <w:b/>
        <w:i w:val="0"/>
        <w:color w:val="000000" w:themeColor="text1"/>
        <w:sz w:val="22"/>
      </w:rPr>
    </w:lvl>
    <w:lvl w:ilvl="2">
      <w:start w:val="1"/>
      <w:numFmt w:val="decimal"/>
      <w:pStyle w:val="Appendix3"/>
      <w:lvlText w:val="%3."/>
      <w:lvlJc w:val="left"/>
      <w:pPr>
        <w:tabs>
          <w:tab w:val="num" w:pos="720"/>
        </w:tabs>
        <w:ind w:left="720" w:hanging="720"/>
      </w:pPr>
      <w:rPr>
        <w:rFonts w:hint="default"/>
      </w:rPr>
    </w:lvl>
    <w:lvl w:ilvl="3">
      <w:start w:val="1"/>
      <w:numFmt w:val="decimal"/>
      <w:pStyle w:val="Appendix4"/>
      <w:lvlText w:val="%3.%4"/>
      <w:lvlJc w:val="left"/>
      <w:pPr>
        <w:tabs>
          <w:tab w:val="num" w:pos="720"/>
        </w:tabs>
        <w:ind w:left="720" w:hanging="720"/>
      </w:pPr>
      <w:rPr>
        <w:rFonts w:hint="default"/>
        <w:b w:val="0"/>
        <w:i w:val="0"/>
      </w:rPr>
    </w:lvl>
    <w:lvl w:ilvl="4">
      <w:start w:val="1"/>
      <w:numFmt w:val="lowerLetter"/>
      <w:pStyle w:val="Appendix5"/>
      <w:lvlText w:val="(%5)"/>
      <w:lvlJc w:val="left"/>
      <w:pPr>
        <w:tabs>
          <w:tab w:val="num" w:pos="1440"/>
        </w:tabs>
        <w:ind w:left="1440" w:hanging="720"/>
      </w:pPr>
      <w:rPr>
        <w:rFonts w:hint="default"/>
      </w:rPr>
    </w:lvl>
    <w:lvl w:ilvl="5">
      <w:start w:val="1"/>
      <w:numFmt w:val="lowerRoman"/>
      <w:pStyle w:val="Appendix6"/>
      <w:lvlText w:val="(%6)"/>
      <w:lvlJc w:val="left"/>
      <w:pPr>
        <w:tabs>
          <w:tab w:val="num" w:pos="2160"/>
        </w:tabs>
        <w:ind w:left="2160" w:hanging="720"/>
      </w:pPr>
      <w:rPr>
        <w:rFonts w:hint="default"/>
      </w:rPr>
    </w:lvl>
    <w:lvl w:ilvl="6">
      <w:start w:val="1"/>
      <w:numFmt w:val="upperLetter"/>
      <w:pStyle w:val="Appendix7"/>
      <w:lvlText w:val="(%7)"/>
      <w:lvlJc w:val="left"/>
      <w:pPr>
        <w:tabs>
          <w:tab w:val="num" w:pos="2880"/>
        </w:tabs>
        <w:ind w:left="2880" w:hanging="720"/>
      </w:pPr>
      <w:rPr>
        <w:rFonts w:hint="default"/>
      </w:rPr>
    </w:lvl>
    <w:lvl w:ilvl="7">
      <w:start w:val="1"/>
      <w:numFmt w:val="lowerLetter"/>
      <w:pStyle w:val="Appendix8"/>
      <w:lvlText w:val="(%8)"/>
      <w:lvlJc w:val="left"/>
      <w:pPr>
        <w:tabs>
          <w:tab w:val="num" w:pos="720"/>
        </w:tabs>
        <w:ind w:left="720" w:hanging="720"/>
      </w:pPr>
      <w:rPr>
        <w:rFonts w:hint="default"/>
      </w:rPr>
    </w:lvl>
    <w:lvl w:ilvl="8">
      <w:start w:val="1"/>
      <w:numFmt w:val="lowerRoman"/>
      <w:pStyle w:val="Appendix9"/>
      <w:lvlText w:val="(%9)"/>
      <w:lvlJc w:val="left"/>
      <w:pPr>
        <w:tabs>
          <w:tab w:val="num" w:pos="1440"/>
        </w:tabs>
        <w:ind w:left="1440" w:hanging="720"/>
      </w:pPr>
      <w:rPr>
        <w:rFonts w:hint="default"/>
      </w:rPr>
    </w:lvl>
  </w:abstractNum>
  <w:abstractNum w:abstractNumId="6" w15:restartNumberingAfterBreak="0">
    <w:nsid w:val="346B2968"/>
    <w:multiLevelType w:val="multilevel"/>
    <w:tmpl w:val="3872CC9E"/>
    <w:lvl w:ilvl="0">
      <w:start w:val="16"/>
      <w:numFmt w:val="decimal"/>
      <w:pStyle w:val="wList1"/>
      <w:lvlText w:val="%1."/>
      <w:lvlJc w:val="left"/>
      <w:pPr>
        <w:tabs>
          <w:tab w:val="num" w:pos="720"/>
        </w:tabs>
        <w:ind w:left="720" w:hanging="720"/>
      </w:pPr>
      <w:rPr>
        <w:rFonts w:hint="default"/>
      </w:rPr>
    </w:lvl>
    <w:lvl w:ilvl="1">
      <w:start w:val="1"/>
      <w:numFmt w:val="lowerLetter"/>
      <w:pStyle w:val="wList2"/>
      <w:lvlText w:val="(%2)"/>
      <w:lvlJc w:val="left"/>
      <w:pPr>
        <w:tabs>
          <w:tab w:val="num" w:pos="1440"/>
        </w:tabs>
        <w:ind w:left="1440" w:hanging="720"/>
      </w:pPr>
      <w:rPr>
        <w:rFonts w:hint="default"/>
      </w:rPr>
    </w:lvl>
    <w:lvl w:ilvl="2">
      <w:start w:val="1"/>
      <w:numFmt w:val="lowerRoman"/>
      <w:pStyle w:val="wList3"/>
      <w:lvlText w:val="(%3)"/>
      <w:lvlJc w:val="left"/>
      <w:pPr>
        <w:tabs>
          <w:tab w:val="num" w:pos="2160"/>
        </w:tabs>
        <w:ind w:left="2160" w:hanging="720"/>
      </w:pPr>
      <w:rPr>
        <w:rFonts w:hint="default"/>
      </w:rPr>
    </w:lvl>
    <w:lvl w:ilvl="3">
      <w:start w:val="1"/>
      <w:numFmt w:val="upperLetter"/>
      <w:pStyle w:val="wList4"/>
      <w:lvlText w:val="(%4)"/>
      <w:lvlJc w:val="left"/>
      <w:pPr>
        <w:tabs>
          <w:tab w:val="num" w:pos="2880"/>
        </w:tabs>
        <w:ind w:left="2880" w:hanging="720"/>
      </w:pPr>
      <w:rPr>
        <w:rFonts w:hint="default"/>
      </w:rPr>
    </w:lvl>
    <w:lvl w:ilvl="4">
      <w:start w:val="1"/>
      <w:numFmt w:val="decimal"/>
      <w:pStyle w:val="wList5"/>
      <w:lvlText w:val="(%5)"/>
      <w:lvlJc w:val="left"/>
      <w:pPr>
        <w:tabs>
          <w:tab w:val="num" w:pos="3600"/>
        </w:tabs>
        <w:ind w:left="3600" w:hanging="720"/>
      </w:pPr>
      <w:rPr>
        <w:rFonts w:hint="default"/>
      </w:rPr>
    </w:lvl>
    <w:lvl w:ilvl="5">
      <w:start w:val="1"/>
      <w:numFmt w:val="bullet"/>
      <w:pStyle w:val="wList6"/>
      <w:lvlText w:val="–"/>
      <w:lvlJc w:val="left"/>
      <w:pPr>
        <w:tabs>
          <w:tab w:val="num" w:pos="2160"/>
        </w:tabs>
        <w:ind w:left="2160" w:hanging="720"/>
      </w:pPr>
      <w:rPr>
        <w:rFonts w:ascii="Times New Roman" w:hAnsi="Times New Roman" w:cs="Times New Roman" w:hint="default"/>
      </w:rPr>
    </w:lvl>
    <w:lvl w:ilvl="6">
      <w:start w:val="1"/>
      <w:numFmt w:val="bullet"/>
      <w:pStyle w:val="wList7"/>
      <w:lvlText w:val="–"/>
      <w:lvlJc w:val="left"/>
      <w:pPr>
        <w:tabs>
          <w:tab w:val="num" w:pos="2880"/>
        </w:tabs>
        <w:ind w:left="2880" w:hanging="720"/>
      </w:pPr>
      <w:rPr>
        <w:rFonts w:ascii="Times New Roman" w:hAnsi="Times New Roman" w:cs="Times New Roman" w:hint="default"/>
      </w:rPr>
    </w:lvl>
    <w:lvl w:ilvl="7">
      <w:start w:val="1"/>
      <w:numFmt w:val="bullet"/>
      <w:lvlText w:val=""/>
      <w:lvlJc w:val="left"/>
      <w:pPr>
        <w:ind w:left="2880" w:hanging="360"/>
      </w:pPr>
      <w:rPr>
        <w:rFonts w:ascii="Symbol" w:hAnsi="Symbol" w:cs="Times New Roman" w:hint="default"/>
      </w:rPr>
    </w:lvl>
    <w:lvl w:ilvl="8">
      <w:start w:val="1"/>
      <w:numFmt w:val="bullet"/>
      <w:lvlText w:val=""/>
      <w:lvlJc w:val="left"/>
      <w:pPr>
        <w:ind w:left="3240" w:hanging="360"/>
      </w:pPr>
      <w:rPr>
        <w:rFonts w:ascii="Symbol" w:hAnsi="Symbol" w:cs="Times New Roman" w:hint="default"/>
      </w:rPr>
    </w:lvl>
  </w:abstractNum>
  <w:abstractNum w:abstractNumId="7" w15:restartNumberingAfterBreak="0">
    <w:nsid w:val="395E1399"/>
    <w:multiLevelType w:val="multilevel"/>
    <w:tmpl w:val="C27EDB80"/>
    <w:name w:val="Definition"/>
    <w:lvl w:ilvl="0">
      <w:start w:val="1"/>
      <w:numFmt w:val="none"/>
      <w:suff w:val="nothing"/>
      <w:lvlText w:val=""/>
      <w:lvlJc w:val="left"/>
      <w:pPr>
        <w:ind w:left="720" w:firstLine="0"/>
      </w:pPr>
      <w:rPr>
        <w:rFonts w:hint="default"/>
      </w:rPr>
    </w:lvl>
    <w:lvl w:ilvl="1">
      <w:start w:val="1"/>
      <w:numFmt w:val="lowerLetter"/>
      <w:lvlText w:val="%1(%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upperRoman"/>
      <w:lvlText w:val="(%6)"/>
      <w:lvlJc w:val="left"/>
      <w:pPr>
        <w:tabs>
          <w:tab w:val="num" w:pos="4320"/>
        </w:tabs>
        <w:ind w:left="4320" w:hanging="72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41FA612F"/>
    <w:multiLevelType w:val="hybridMultilevel"/>
    <w:tmpl w:val="4948E2E2"/>
    <w:lvl w:ilvl="0" w:tplc="E318C420">
      <w:start w:val="1"/>
      <w:numFmt w:val="bullet"/>
      <w:pStyle w:val="wBullet2"/>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2784569"/>
    <w:multiLevelType w:val="hybridMultilevel"/>
    <w:tmpl w:val="3B2457B2"/>
    <w:lvl w:ilvl="0" w:tplc="08090019">
      <w:start w:val="1"/>
      <w:numFmt w:val="lowerLetter"/>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10" w15:restartNumberingAfterBreak="0">
    <w:nsid w:val="478754FA"/>
    <w:multiLevelType w:val="hybridMultilevel"/>
    <w:tmpl w:val="05F6FF98"/>
    <w:name w:val="Parties"/>
    <w:lvl w:ilvl="0" w:tplc="671278A0">
      <w:start w:val="1"/>
      <w:numFmt w:val="upperLetter"/>
      <w:lvlText w:val="(%1)"/>
      <w:lvlJc w:val="left"/>
      <w:pPr>
        <w:tabs>
          <w:tab w:val="num" w:pos="0"/>
        </w:tabs>
        <w:ind w:left="720" w:hanging="72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ABD7E4B"/>
    <w:multiLevelType w:val="hybridMultilevel"/>
    <w:tmpl w:val="3B2457B2"/>
    <w:lvl w:ilvl="0" w:tplc="08090019">
      <w:start w:val="1"/>
      <w:numFmt w:val="lowerLetter"/>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12" w15:restartNumberingAfterBreak="0">
    <w:nsid w:val="4F036F6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1CF41C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40D2E25"/>
    <w:multiLevelType w:val="hybridMultilevel"/>
    <w:tmpl w:val="3B2457B2"/>
    <w:lvl w:ilvl="0" w:tplc="08090019">
      <w:start w:val="1"/>
      <w:numFmt w:val="lowerLetter"/>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15" w15:restartNumberingAfterBreak="0">
    <w:nsid w:val="563E5BB2"/>
    <w:multiLevelType w:val="hybridMultilevel"/>
    <w:tmpl w:val="F53A3E52"/>
    <w:lvl w:ilvl="0" w:tplc="C21A1A12">
      <w:start w:val="1"/>
      <w:numFmt w:val="bullet"/>
      <w:pStyle w:val="w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8126D73"/>
    <w:multiLevelType w:val="hybridMultilevel"/>
    <w:tmpl w:val="666E0518"/>
    <w:lvl w:ilvl="0" w:tplc="AF446BCA">
      <w:start w:val="1"/>
      <w:numFmt w:val="bullet"/>
      <w:pStyle w:val="wBullet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29C4ECF"/>
    <w:multiLevelType w:val="hybridMultilevel"/>
    <w:tmpl w:val="3B2457B2"/>
    <w:lvl w:ilvl="0" w:tplc="08090019">
      <w:start w:val="1"/>
      <w:numFmt w:val="lowerLetter"/>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18" w15:restartNumberingAfterBreak="0">
    <w:nsid w:val="78E52C43"/>
    <w:multiLevelType w:val="hybridMultilevel"/>
    <w:tmpl w:val="9DEE3D4E"/>
    <w:lvl w:ilvl="0" w:tplc="DA1A9D6C">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BE017A5"/>
    <w:multiLevelType w:val="hybridMultilevel"/>
    <w:tmpl w:val="3CE695F4"/>
    <w:name w:val="Recitals"/>
    <w:lvl w:ilvl="0" w:tplc="37F40F88">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12"/>
  </w:num>
  <w:num w:numId="3">
    <w:abstractNumId w:val="3"/>
  </w:num>
  <w:num w:numId="4">
    <w:abstractNumId w:val="0"/>
  </w:num>
  <w:num w:numId="5">
    <w:abstractNumId w:val="15"/>
  </w:num>
  <w:num w:numId="6">
    <w:abstractNumId w:val="16"/>
  </w:num>
  <w:num w:numId="7">
    <w:abstractNumId w:val="8"/>
  </w:num>
  <w:num w:numId="8">
    <w:abstractNumId w:val="1"/>
  </w:num>
  <w:num w:numId="9">
    <w:abstractNumId w:val="2"/>
  </w:num>
  <w:num w:numId="10">
    <w:abstractNumId w:val="6"/>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8"/>
  </w:num>
  <w:num w:numId="15">
    <w:abstractNumId w:val="9"/>
  </w:num>
  <w:num w:numId="16">
    <w:abstractNumId w:val="14"/>
  </w:num>
  <w:num w:numId="17">
    <w:abstractNumId w:val="17"/>
  </w:num>
  <w:num w:numId="18">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oNotTrackFormatting/>
  <w:defaultTabStop w:val="720"/>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C75"/>
    <w:rsid w:val="00011622"/>
    <w:rsid w:val="000233CE"/>
    <w:rsid w:val="000403B6"/>
    <w:rsid w:val="00042670"/>
    <w:rsid w:val="000546A1"/>
    <w:rsid w:val="00061632"/>
    <w:rsid w:val="00072901"/>
    <w:rsid w:val="000849C1"/>
    <w:rsid w:val="00096922"/>
    <w:rsid w:val="000A166B"/>
    <w:rsid w:val="000B1632"/>
    <w:rsid w:val="000B4960"/>
    <w:rsid w:val="000C11C6"/>
    <w:rsid w:val="000D66A5"/>
    <w:rsid w:val="000E4E8F"/>
    <w:rsid w:val="000F0EE3"/>
    <w:rsid w:val="000F4F2B"/>
    <w:rsid w:val="00111BD6"/>
    <w:rsid w:val="00116577"/>
    <w:rsid w:val="00121B58"/>
    <w:rsid w:val="001241E8"/>
    <w:rsid w:val="001361DF"/>
    <w:rsid w:val="00140597"/>
    <w:rsid w:val="0014273E"/>
    <w:rsid w:val="001450FF"/>
    <w:rsid w:val="00147CD9"/>
    <w:rsid w:val="0016113C"/>
    <w:rsid w:val="0017170F"/>
    <w:rsid w:val="00171929"/>
    <w:rsid w:val="0017605F"/>
    <w:rsid w:val="001950B9"/>
    <w:rsid w:val="001A4DA9"/>
    <w:rsid w:val="001B0338"/>
    <w:rsid w:val="001C3248"/>
    <w:rsid w:val="001C7761"/>
    <w:rsid w:val="001D564D"/>
    <w:rsid w:val="001E0635"/>
    <w:rsid w:val="001F730D"/>
    <w:rsid w:val="00200B15"/>
    <w:rsid w:val="00210883"/>
    <w:rsid w:val="002151A9"/>
    <w:rsid w:val="00221818"/>
    <w:rsid w:val="00222B48"/>
    <w:rsid w:val="002346C3"/>
    <w:rsid w:val="00242C7C"/>
    <w:rsid w:val="00251371"/>
    <w:rsid w:val="00256050"/>
    <w:rsid w:val="00281DD1"/>
    <w:rsid w:val="002825ED"/>
    <w:rsid w:val="00297C3C"/>
    <w:rsid w:val="002A2BF5"/>
    <w:rsid w:val="002A3044"/>
    <w:rsid w:val="002B10AD"/>
    <w:rsid w:val="002B415A"/>
    <w:rsid w:val="002D0FAA"/>
    <w:rsid w:val="002E0AF8"/>
    <w:rsid w:val="002F430F"/>
    <w:rsid w:val="002F7214"/>
    <w:rsid w:val="003006EB"/>
    <w:rsid w:val="00305665"/>
    <w:rsid w:val="00326ECD"/>
    <w:rsid w:val="0032717D"/>
    <w:rsid w:val="00331225"/>
    <w:rsid w:val="00333A72"/>
    <w:rsid w:val="003715BB"/>
    <w:rsid w:val="00372911"/>
    <w:rsid w:val="003734A6"/>
    <w:rsid w:val="003A0B9C"/>
    <w:rsid w:val="003A6266"/>
    <w:rsid w:val="003A6750"/>
    <w:rsid w:val="003B2B8E"/>
    <w:rsid w:val="003B5D21"/>
    <w:rsid w:val="003B711E"/>
    <w:rsid w:val="003E093A"/>
    <w:rsid w:val="003E4DF8"/>
    <w:rsid w:val="00400832"/>
    <w:rsid w:val="004055BA"/>
    <w:rsid w:val="00422980"/>
    <w:rsid w:val="00425974"/>
    <w:rsid w:val="004313F3"/>
    <w:rsid w:val="00432195"/>
    <w:rsid w:val="00440CF3"/>
    <w:rsid w:val="0044240F"/>
    <w:rsid w:val="00464F92"/>
    <w:rsid w:val="004800A5"/>
    <w:rsid w:val="004828B7"/>
    <w:rsid w:val="00492D75"/>
    <w:rsid w:val="004A2451"/>
    <w:rsid w:val="004B3C22"/>
    <w:rsid w:val="004C33B1"/>
    <w:rsid w:val="004D0DF1"/>
    <w:rsid w:val="004E1C48"/>
    <w:rsid w:val="004F0BF3"/>
    <w:rsid w:val="00521BEC"/>
    <w:rsid w:val="005373FE"/>
    <w:rsid w:val="005465B2"/>
    <w:rsid w:val="00550EB9"/>
    <w:rsid w:val="00553DF0"/>
    <w:rsid w:val="00555E01"/>
    <w:rsid w:val="00566439"/>
    <w:rsid w:val="00570771"/>
    <w:rsid w:val="005A2DD3"/>
    <w:rsid w:val="005A6508"/>
    <w:rsid w:val="005B0CA3"/>
    <w:rsid w:val="005C18DB"/>
    <w:rsid w:val="005C33E5"/>
    <w:rsid w:val="005E434E"/>
    <w:rsid w:val="005F1F71"/>
    <w:rsid w:val="00604D82"/>
    <w:rsid w:val="00614958"/>
    <w:rsid w:val="00635EC1"/>
    <w:rsid w:val="00642288"/>
    <w:rsid w:val="00672573"/>
    <w:rsid w:val="006806E0"/>
    <w:rsid w:val="0068175B"/>
    <w:rsid w:val="00682433"/>
    <w:rsid w:val="006873E2"/>
    <w:rsid w:val="00692B1E"/>
    <w:rsid w:val="006B0BFC"/>
    <w:rsid w:val="006C1811"/>
    <w:rsid w:val="006C2D88"/>
    <w:rsid w:val="006E68EE"/>
    <w:rsid w:val="006F13E8"/>
    <w:rsid w:val="006F1C68"/>
    <w:rsid w:val="006F2E2C"/>
    <w:rsid w:val="00705ABE"/>
    <w:rsid w:val="007060C7"/>
    <w:rsid w:val="00710F65"/>
    <w:rsid w:val="00714596"/>
    <w:rsid w:val="00742547"/>
    <w:rsid w:val="00744D10"/>
    <w:rsid w:val="007511E3"/>
    <w:rsid w:val="00754FAA"/>
    <w:rsid w:val="00763C51"/>
    <w:rsid w:val="00781461"/>
    <w:rsid w:val="00783879"/>
    <w:rsid w:val="007839B4"/>
    <w:rsid w:val="00790476"/>
    <w:rsid w:val="007920C9"/>
    <w:rsid w:val="007935C8"/>
    <w:rsid w:val="0079374D"/>
    <w:rsid w:val="007A6AD6"/>
    <w:rsid w:val="007A7762"/>
    <w:rsid w:val="007B5B3F"/>
    <w:rsid w:val="00812BBF"/>
    <w:rsid w:val="00821FA1"/>
    <w:rsid w:val="00844C17"/>
    <w:rsid w:val="00845425"/>
    <w:rsid w:val="00846AFA"/>
    <w:rsid w:val="00852105"/>
    <w:rsid w:val="00854C74"/>
    <w:rsid w:val="00863570"/>
    <w:rsid w:val="008649D7"/>
    <w:rsid w:val="008739B0"/>
    <w:rsid w:val="00876572"/>
    <w:rsid w:val="00876E93"/>
    <w:rsid w:val="008846D0"/>
    <w:rsid w:val="00884F51"/>
    <w:rsid w:val="0089716C"/>
    <w:rsid w:val="008B04A9"/>
    <w:rsid w:val="008B6C77"/>
    <w:rsid w:val="008B7493"/>
    <w:rsid w:val="008D01B1"/>
    <w:rsid w:val="008D11D0"/>
    <w:rsid w:val="008E6C9C"/>
    <w:rsid w:val="008F1A7D"/>
    <w:rsid w:val="008F2FAF"/>
    <w:rsid w:val="00902D3C"/>
    <w:rsid w:val="00915C75"/>
    <w:rsid w:val="00931CD7"/>
    <w:rsid w:val="00941A97"/>
    <w:rsid w:val="00946121"/>
    <w:rsid w:val="00947C80"/>
    <w:rsid w:val="00956BF9"/>
    <w:rsid w:val="00964E84"/>
    <w:rsid w:val="009765A2"/>
    <w:rsid w:val="00985125"/>
    <w:rsid w:val="00986AE7"/>
    <w:rsid w:val="00990BB5"/>
    <w:rsid w:val="00991666"/>
    <w:rsid w:val="00991794"/>
    <w:rsid w:val="009928D5"/>
    <w:rsid w:val="009A6D6B"/>
    <w:rsid w:val="009B1BD0"/>
    <w:rsid w:val="009B3A7F"/>
    <w:rsid w:val="009B3E3F"/>
    <w:rsid w:val="009B536E"/>
    <w:rsid w:val="009D307D"/>
    <w:rsid w:val="009E2292"/>
    <w:rsid w:val="009F63DF"/>
    <w:rsid w:val="009F6647"/>
    <w:rsid w:val="00A067A8"/>
    <w:rsid w:val="00A225D1"/>
    <w:rsid w:val="00A32BDA"/>
    <w:rsid w:val="00A33356"/>
    <w:rsid w:val="00A352A6"/>
    <w:rsid w:val="00A40F41"/>
    <w:rsid w:val="00A55CDE"/>
    <w:rsid w:val="00A651A0"/>
    <w:rsid w:val="00A72F41"/>
    <w:rsid w:val="00A73003"/>
    <w:rsid w:val="00AA4E89"/>
    <w:rsid w:val="00AA790E"/>
    <w:rsid w:val="00AB12CE"/>
    <w:rsid w:val="00AB26EF"/>
    <w:rsid w:val="00AB5BAC"/>
    <w:rsid w:val="00AB7510"/>
    <w:rsid w:val="00AB77D2"/>
    <w:rsid w:val="00AF1AA3"/>
    <w:rsid w:val="00AF21C4"/>
    <w:rsid w:val="00AF434F"/>
    <w:rsid w:val="00AF7CB6"/>
    <w:rsid w:val="00B0021D"/>
    <w:rsid w:val="00B05308"/>
    <w:rsid w:val="00B25024"/>
    <w:rsid w:val="00B32FE2"/>
    <w:rsid w:val="00B4676F"/>
    <w:rsid w:val="00B575F0"/>
    <w:rsid w:val="00B64170"/>
    <w:rsid w:val="00B90DB1"/>
    <w:rsid w:val="00BA5F00"/>
    <w:rsid w:val="00BB1925"/>
    <w:rsid w:val="00BB34F5"/>
    <w:rsid w:val="00BD34C3"/>
    <w:rsid w:val="00BD3DCB"/>
    <w:rsid w:val="00BE2177"/>
    <w:rsid w:val="00BF1512"/>
    <w:rsid w:val="00C048A6"/>
    <w:rsid w:val="00C07C39"/>
    <w:rsid w:val="00C13F79"/>
    <w:rsid w:val="00C21D99"/>
    <w:rsid w:val="00C8208E"/>
    <w:rsid w:val="00C8255D"/>
    <w:rsid w:val="00C84471"/>
    <w:rsid w:val="00C8473B"/>
    <w:rsid w:val="00CB7E39"/>
    <w:rsid w:val="00CF1088"/>
    <w:rsid w:val="00CF5469"/>
    <w:rsid w:val="00D01347"/>
    <w:rsid w:val="00D05ED1"/>
    <w:rsid w:val="00D1241C"/>
    <w:rsid w:val="00D331F0"/>
    <w:rsid w:val="00D4098A"/>
    <w:rsid w:val="00D72650"/>
    <w:rsid w:val="00D72C46"/>
    <w:rsid w:val="00D862C8"/>
    <w:rsid w:val="00D926EE"/>
    <w:rsid w:val="00DA0917"/>
    <w:rsid w:val="00DA7348"/>
    <w:rsid w:val="00DB429F"/>
    <w:rsid w:val="00DB453F"/>
    <w:rsid w:val="00DC75B9"/>
    <w:rsid w:val="00DD01E9"/>
    <w:rsid w:val="00DD4288"/>
    <w:rsid w:val="00DD56B8"/>
    <w:rsid w:val="00DE1AB9"/>
    <w:rsid w:val="00DE3443"/>
    <w:rsid w:val="00E024DA"/>
    <w:rsid w:val="00E03967"/>
    <w:rsid w:val="00E06EE7"/>
    <w:rsid w:val="00E14983"/>
    <w:rsid w:val="00E1507D"/>
    <w:rsid w:val="00E16B10"/>
    <w:rsid w:val="00E25E9E"/>
    <w:rsid w:val="00E305D4"/>
    <w:rsid w:val="00E34A9B"/>
    <w:rsid w:val="00E35840"/>
    <w:rsid w:val="00E35D8A"/>
    <w:rsid w:val="00E43DFC"/>
    <w:rsid w:val="00E4432B"/>
    <w:rsid w:val="00E46127"/>
    <w:rsid w:val="00E46427"/>
    <w:rsid w:val="00E54D17"/>
    <w:rsid w:val="00E75913"/>
    <w:rsid w:val="00E809A1"/>
    <w:rsid w:val="00E8532D"/>
    <w:rsid w:val="00E86A1C"/>
    <w:rsid w:val="00EC23E7"/>
    <w:rsid w:val="00EC2CEB"/>
    <w:rsid w:val="00EC39DD"/>
    <w:rsid w:val="00EC51CC"/>
    <w:rsid w:val="00ED2AD3"/>
    <w:rsid w:val="00ED6931"/>
    <w:rsid w:val="00ED7F6F"/>
    <w:rsid w:val="00EE2F93"/>
    <w:rsid w:val="00EE331D"/>
    <w:rsid w:val="00EF10EA"/>
    <w:rsid w:val="00F00C17"/>
    <w:rsid w:val="00F048BC"/>
    <w:rsid w:val="00F05FAE"/>
    <w:rsid w:val="00F065EC"/>
    <w:rsid w:val="00F12971"/>
    <w:rsid w:val="00F200BB"/>
    <w:rsid w:val="00F24918"/>
    <w:rsid w:val="00F2663D"/>
    <w:rsid w:val="00F3266E"/>
    <w:rsid w:val="00F37555"/>
    <w:rsid w:val="00F43FF6"/>
    <w:rsid w:val="00F546FA"/>
    <w:rsid w:val="00F54EB9"/>
    <w:rsid w:val="00F6461F"/>
    <w:rsid w:val="00F7334D"/>
    <w:rsid w:val="00F7364B"/>
    <w:rsid w:val="00F90EFA"/>
    <w:rsid w:val="00F95829"/>
    <w:rsid w:val="00FA08DC"/>
    <w:rsid w:val="00FA2229"/>
    <w:rsid w:val="00FB337E"/>
    <w:rsid w:val="00FB6914"/>
    <w:rsid w:val="00FD1B28"/>
    <w:rsid w:val="00FE3CD8"/>
    <w:rsid w:val="00FE662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61A5A0D"/>
  <w15:docId w15:val="{51B864E1-44F0-4BDC-8C9F-F172680A7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48"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49" w:unhideWhenUsed="1"/>
    <w:lsdException w:name="footer" w:semiHidden="1" w:uiPriority="49" w:unhideWhenUsed="1"/>
    <w:lsdException w:name="index heading" w:semiHidden="1" w:unhideWhenUsed="1"/>
    <w:lsdException w:name="caption" w:semiHidden="1" w:uiPriority="4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semiHidden="1" w:uiPriority="98"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1" w:qFormat="1"/>
    <w:lsdException w:name="Emphasis" w:uiPriority="2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4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3" w:qFormat="1"/>
    <w:lsdException w:name="Quote" w:uiPriority="38"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4" w:qFormat="1"/>
    <w:lsdException w:name="Intense Emphasis" w:uiPriority="30" w:qFormat="1"/>
    <w:lsdException w:name="Subtle Reference" w:uiPriority="40" w:qFormat="1"/>
    <w:lsdException w:name="Intense Reference" w:uiPriority="41" w:qFormat="1"/>
    <w:lsdException w:name="Book Title" w:uiPriority="42" w:qFormat="1"/>
    <w:lsdException w:name="Bibliography" w:semiHidden="1" w:uiPriority="46" w:unhideWhenUsed="1"/>
    <w:lsdException w:name="TOC Heading" w:semiHidden="1" w:uiPriority="4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48"/>
    <w:qFormat/>
    <w:rsid w:val="00BE2177"/>
    <w:pPr>
      <w:spacing w:after="0" w:line="240" w:lineRule="auto"/>
    </w:pPr>
    <w:rPr>
      <w:rFonts w:ascii="Times New Roman" w:eastAsia="MS Mincho" w:hAnsi="Times New Roman" w:cs="Times New Roman"/>
      <w:lang w:val="en-GB"/>
    </w:rPr>
  </w:style>
  <w:style w:type="paragraph" w:styleId="Heading1">
    <w:name w:val="heading 1"/>
    <w:basedOn w:val="Normal"/>
    <w:next w:val="Heading2"/>
    <w:link w:val="Heading1Char"/>
    <w:qFormat/>
    <w:rsid w:val="00BE2177"/>
    <w:pPr>
      <w:keepNext/>
      <w:keepLines/>
      <w:widowControl w:val="0"/>
      <w:numPr>
        <w:numId w:val="3"/>
      </w:numPr>
      <w:spacing w:before="360" w:after="180"/>
      <w:outlineLvl w:val="0"/>
    </w:pPr>
    <w:rPr>
      <w:b/>
      <w:bCs/>
      <w:sz w:val="26"/>
    </w:rPr>
  </w:style>
  <w:style w:type="paragraph" w:styleId="Heading2">
    <w:name w:val="heading 2"/>
    <w:basedOn w:val="Normal"/>
    <w:next w:val="wText1"/>
    <w:link w:val="Heading2Char"/>
    <w:qFormat/>
    <w:rsid w:val="00BE2177"/>
    <w:pPr>
      <w:keepNext/>
      <w:numPr>
        <w:ilvl w:val="1"/>
        <w:numId w:val="3"/>
      </w:numPr>
      <w:spacing w:after="180"/>
      <w:jc w:val="both"/>
      <w:outlineLvl w:val="1"/>
    </w:pPr>
    <w:rPr>
      <w:b/>
      <w:bCs/>
    </w:rPr>
  </w:style>
  <w:style w:type="paragraph" w:styleId="Heading3">
    <w:name w:val="heading 3"/>
    <w:basedOn w:val="Normal"/>
    <w:link w:val="Heading3Char"/>
    <w:qFormat/>
    <w:rsid w:val="00BE2177"/>
    <w:pPr>
      <w:numPr>
        <w:ilvl w:val="2"/>
        <w:numId w:val="3"/>
      </w:numPr>
      <w:spacing w:after="180"/>
      <w:jc w:val="both"/>
      <w:outlineLvl w:val="2"/>
    </w:pPr>
  </w:style>
  <w:style w:type="paragraph" w:styleId="Heading4">
    <w:name w:val="heading 4"/>
    <w:basedOn w:val="Normal"/>
    <w:link w:val="Heading4Char"/>
    <w:qFormat/>
    <w:rsid w:val="00BE2177"/>
    <w:pPr>
      <w:numPr>
        <w:ilvl w:val="3"/>
        <w:numId w:val="3"/>
      </w:numPr>
      <w:spacing w:after="180"/>
      <w:jc w:val="both"/>
      <w:outlineLvl w:val="3"/>
    </w:pPr>
  </w:style>
  <w:style w:type="paragraph" w:styleId="Heading5">
    <w:name w:val="heading 5"/>
    <w:basedOn w:val="Normal"/>
    <w:link w:val="Heading5Char"/>
    <w:qFormat/>
    <w:rsid w:val="00BE2177"/>
    <w:pPr>
      <w:numPr>
        <w:ilvl w:val="4"/>
        <w:numId w:val="3"/>
      </w:numPr>
      <w:spacing w:after="180"/>
      <w:jc w:val="both"/>
      <w:outlineLvl w:val="4"/>
    </w:pPr>
  </w:style>
  <w:style w:type="paragraph" w:styleId="Heading6">
    <w:name w:val="heading 6"/>
    <w:basedOn w:val="Normal"/>
    <w:link w:val="Heading6Char"/>
    <w:qFormat/>
    <w:rsid w:val="00BE2177"/>
    <w:pPr>
      <w:numPr>
        <w:ilvl w:val="5"/>
        <w:numId w:val="3"/>
      </w:numPr>
      <w:spacing w:after="180"/>
      <w:jc w:val="both"/>
      <w:outlineLvl w:val="5"/>
    </w:pPr>
  </w:style>
  <w:style w:type="paragraph" w:styleId="Heading7">
    <w:name w:val="heading 7"/>
    <w:basedOn w:val="Normal"/>
    <w:link w:val="Heading7Char"/>
    <w:qFormat/>
    <w:rsid w:val="00BE2177"/>
    <w:pPr>
      <w:numPr>
        <w:ilvl w:val="6"/>
        <w:numId w:val="3"/>
      </w:numPr>
      <w:spacing w:after="180"/>
      <w:jc w:val="both"/>
      <w:outlineLvl w:val="6"/>
    </w:pPr>
  </w:style>
  <w:style w:type="paragraph" w:styleId="Heading8">
    <w:name w:val="heading 8"/>
    <w:basedOn w:val="Normal"/>
    <w:next w:val="Normal"/>
    <w:link w:val="Heading8Char"/>
    <w:qFormat/>
    <w:rsid w:val="00BE2177"/>
    <w:pPr>
      <w:numPr>
        <w:ilvl w:val="7"/>
        <w:numId w:val="3"/>
      </w:numPr>
      <w:spacing w:after="180"/>
      <w:jc w:val="both"/>
      <w:outlineLvl w:val="7"/>
    </w:pPr>
    <w:rPr>
      <w:color w:val="000000" w:themeColor="text1"/>
    </w:rPr>
  </w:style>
  <w:style w:type="paragraph" w:styleId="Heading9">
    <w:name w:val="heading 9"/>
    <w:basedOn w:val="Normal"/>
    <w:next w:val="wText"/>
    <w:link w:val="Heading9Char"/>
    <w:qFormat/>
    <w:rsid w:val="00BE2177"/>
    <w:pPr>
      <w:numPr>
        <w:ilvl w:val="8"/>
        <w:numId w:val="3"/>
      </w:numPr>
      <w:spacing w:after="180"/>
      <w:jc w:val="both"/>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49"/>
    <w:qFormat/>
    <w:rsid w:val="00BE2177"/>
    <w:pPr>
      <w:spacing w:after="0" w:line="240" w:lineRule="auto"/>
    </w:pPr>
    <w:rPr>
      <w:rFonts w:eastAsia="Times New Roman"/>
      <w:lang w:eastAsia="ja-JP"/>
    </w:rPr>
  </w:style>
  <w:style w:type="paragraph" w:customStyle="1" w:styleId="wText">
    <w:name w:val="wText"/>
    <w:basedOn w:val="Normal"/>
    <w:link w:val="wTextChar"/>
    <w:uiPriority w:val="1"/>
    <w:qFormat/>
    <w:rsid w:val="00BE2177"/>
    <w:pPr>
      <w:spacing w:after="180"/>
      <w:jc w:val="both"/>
    </w:pPr>
  </w:style>
  <w:style w:type="paragraph" w:customStyle="1" w:styleId="wText1">
    <w:name w:val="wText1"/>
    <w:basedOn w:val="Normal"/>
    <w:uiPriority w:val="1"/>
    <w:qFormat/>
    <w:rsid w:val="00BE2177"/>
    <w:pPr>
      <w:spacing w:after="180"/>
      <w:ind w:left="720"/>
      <w:jc w:val="both"/>
    </w:pPr>
  </w:style>
  <w:style w:type="paragraph" w:customStyle="1" w:styleId="wText2">
    <w:name w:val="wText2"/>
    <w:basedOn w:val="Normal"/>
    <w:uiPriority w:val="1"/>
    <w:qFormat/>
    <w:rsid w:val="00BE2177"/>
    <w:pPr>
      <w:spacing w:after="180"/>
      <w:ind w:left="1440"/>
      <w:jc w:val="both"/>
    </w:pPr>
  </w:style>
  <w:style w:type="paragraph" w:customStyle="1" w:styleId="Text2">
    <w:name w:val="Text 2"/>
    <w:basedOn w:val="Normal"/>
    <w:semiHidden/>
    <w:rsid w:val="00BE2177"/>
    <w:pPr>
      <w:overflowPunct w:val="0"/>
      <w:autoSpaceDE w:val="0"/>
      <w:autoSpaceDN w:val="0"/>
      <w:adjustRightInd w:val="0"/>
      <w:spacing w:after="240"/>
      <w:ind w:left="709"/>
      <w:jc w:val="both"/>
      <w:textAlignment w:val="baseline"/>
    </w:pPr>
    <w:rPr>
      <w:rFonts w:eastAsia="Times New Roman"/>
      <w:szCs w:val="20"/>
      <w:lang w:val="fr-FR"/>
    </w:rPr>
  </w:style>
  <w:style w:type="paragraph" w:customStyle="1" w:styleId="wCenter">
    <w:name w:val="wCenter"/>
    <w:basedOn w:val="Normal"/>
    <w:uiPriority w:val="5"/>
    <w:qFormat/>
    <w:rsid w:val="00BE2177"/>
    <w:pPr>
      <w:spacing w:after="180"/>
      <w:jc w:val="center"/>
    </w:pPr>
  </w:style>
  <w:style w:type="paragraph" w:customStyle="1" w:styleId="wCenterB">
    <w:name w:val="wCenterB"/>
    <w:basedOn w:val="Normal"/>
    <w:uiPriority w:val="6"/>
    <w:qFormat/>
    <w:rsid w:val="00BE2177"/>
    <w:pPr>
      <w:spacing w:after="180"/>
      <w:jc w:val="center"/>
    </w:pPr>
    <w:rPr>
      <w:b/>
    </w:rPr>
  </w:style>
  <w:style w:type="paragraph" w:customStyle="1" w:styleId="wLeftB">
    <w:name w:val="wLeftB"/>
    <w:basedOn w:val="Normal"/>
    <w:uiPriority w:val="10"/>
    <w:qFormat/>
    <w:rsid w:val="00BE2177"/>
    <w:pPr>
      <w:keepNext/>
      <w:spacing w:after="180"/>
    </w:pPr>
    <w:rPr>
      <w:b/>
    </w:rPr>
  </w:style>
  <w:style w:type="paragraph" w:customStyle="1" w:styleId="wLeftI">
    <w:name w:val="wLeftI"/>
    <w:basedOn w:val="Normal"/>
    <w:uiPriority w:val="10"/>
    <w:qFormat/>
    <w:rsid w:val="00BE2177"/>
    <w:pPr>
      <w:spacing w:after="180"/>
    </w:pPr>
    <w:rPr>
      <w:i/>
    </w:rPr>
  </w:style>
  <w:style w:type="character" w:customStyle="1" w:styleId="Heading1Char">
    <w:name w:val="Heading 1 Char"/>
    <w:basedOn w:val="DefaultParagraphFont"/>
    <w:link w:val="Heading1"/>
    <w:rsid w:val="00BE2177"/>
    <w:rPr>
      <w:rFonts w:ascii="Times New Roman" w:eastAsia="MS Mincho" w:hAnsi="Times New Roman" w:cs="Times New Roman"/>
      <w:b/>
      <w:bCs/>
      <w:sz w:val="26"/>
      <w:lang w:val="en-GB"/>
    </w:rPr>
  </w:style>
  <w:style w:type="character" w:customStyle="1" w:styleId="Heading2Char">
    <w:name w:val="Heading 2 Char"/>
    <w:basedOn w:val="DefaultParagraphFont"/>
    <w:link w:val="Heading2"/>
    <w:rsid w:val="00BE2177"/>
    <w:rPr>
      <w:rFonts w:ascii="Times New Roman" w:eastAsia="MS Mincho" w:hAnsi="Times New Roman" w:cs="Times New Roman"/>
      <w:b/>
      <w:bCs/>
      <w:lang w:val="en-GB"/>
    </w:rPr>
  </w:style>
  <w:style w:type="character" w:customStyle="1" w:styleId="Heading3Char">
    <w:name w:val="Heading 3 Char"/>
    <w:basedOn w:val="DefaultParagraphFont"/>
    <w:link w:val="Heading3"/>
    <w:rsid w:val="00BE2177"/>
    <w:rPr>
      <w:rFonts w:ascii="Times New Roman" w:eastAsia="MS Mincho" w:hAnsi="Times New Roman" w:cs="Times New Roman"/>
      <w:lang w:val="en-GB"/>
    </w:rPr>
  </w:style>
  <w:style w:type="character" w:customStyle="1" w:styleId="Heading4Char">
    <w:name w:val="Heading 4 Char"/>
    <w:basedOn w:val="DefaultParagraphFont"/>
    <w:link w:val="Heading4"/>
    <w:rsid w:val="00BE2177"/>
    <w:rPr>
      <w:rFonts w:ascii="Times New Roman" w:eastAsia="MS Mincho" w:hAnsi="Times New Roman" w:cs="Times New Roman"/>
      <w:lang w:val="en-GB"/>
    </w:rPr>
  </w:style>
  <w:style w:type="character" w:customStyle="1" w:styleId="Heading5Char">
    <w:name w:val="Heading 5 Char"/>
    <w:basedOn w:val="DefaultParagraphFont"/>
    <w:link w:val="Heading5"/>
    <w:rsid w:val="00BE2177"/>
    <w:rPr>
      <w:rFonts w:ascii="Times New Roman" w:eastAsia="MS Mincho" w:hAnsi="Times New Roman" w:cs="Times New Roman"/>
      <w:lang w:val="en-GB"/>
    </w:rPr>
  </w:style>
  <w:style w:type="character" w:customStyle="1" w:styleId="Heading6Char">
    <w:name w:val="Heading 6 Char"/>
    <w:basedOn w:val="DefaultParagraphFont"/>
    <w:link w:val="Heading6"/>
    <w:rsid w:val="00BE2177"/>
    <w:rPr>
      <w:rFonts w:ascii="Times New Roman" w:eastAsia="MS Mincho" w:hAnsi="Times New Roman" w:cs="Times New Roman"/>
      <w:lang w:val="en-GB"/>
    </w:rPr>
  </w:style>
  <w:style w:type="character" w:customStyle="1" w:styleId="Heading7Char">
    <w:name w:val="Heading 7 Char"/>
    <w:basedOn w:val="DefaultParagraphFont"/>
    <w:link w:val="Heading7"/>
    <w:rsid w:val="00BE2177"/>
    <w:rPr>
      <w:rFonts w:ascii="Times New Roman" w:eastAsia="MS Mincho" w:hAnsi="Times New Roman" w:cs="Times New Roman"/>
      <w:lang w:val="en-GB"/>
    </w:rPr>
  </w:style>
  <w:style w:type="character" w:customStyle="1" w:styleId="Heading8Char">
    <w:name w:val="Heading 8 Char"/>
    <w:basedOn w:val="DefaultParagraphFont"/>
    <w:link w:val="Heading8"/>
    <w:rsid w:val="00BE2177"/>
    <w:rPr>
      <w:rFonts w:ascii="Times New Roman" w:eastAsia="MS Mincho" w:hAnsi="Times New Roman" w:cs="Times New Roman"/>
      <w:color w:val="000000" w:themeColor="text1"/>
      <w:lang w:val="en-GB"/>
    </w:rPr>
  </w:style>
  <w:style w:type="character" w:customStyle="1" w:styleId="Heading9Char">
    <w:name w:val="Heading 9 Char"/>
    <w:basedOn w:val="DefaultParagraphFont"/>
    <w:link w:val="Heading9"/>
    <w:rsid w:val="00BE2177"/>
    <w:rPr>
      <w:rFonts w:ascii="Times New Roman" w:eastAsia="MS Mincho" w:hAnsi="Times New Roman" w:cs="Times New Roman"/>
      <w:lang w:val="en-GB"/>
    </w:rPr>
  </w:style>
  <w:style w:type="paragraph" w:styleId="Title">
    <w:name w:val="Title"/>
    <w:basedOn w:val="Normal"/>
    <w:next w:val="Normal"/>
    <w:link w:val="TitleChar"/>
    <w:uiPriority w:val="49"/>
    <w:semiHidden/>
    <w:qFormat/>
    <w:rsid w:val="00BE2177"/>
    <w:pPr>
      <w:pBdr>
        <w:bottom w:val="single" w:sz="8" w:space="4" w:color="00A5D9" w:themeColor="accent1"/>
      </w:pBdr>
      <w:spacing w:after="240"/>
      <w:contextualSpacing/>
      <w:jc w:val="center"/>
    </w:pPr>
    <w:rPr>
      <w:rFonts w:eastAsia="Times New Roman"/>
      <w:b/>
      <w:color w:val="000000" w:themeColor="text1"/>
      <w:spacing w:val="5"/>
      <w:kern w:val="28"/>
      <w:szCs w:val="52"/>
    </w:rPr>
  </w:style>
  <w:style w:type="character" w:customStyle="1" w:styleId="TitleChar">
    <w:name w:val="Title Char"/>
    <w:basedOn w:val="DefaultParagraphFont"/>
    <w:link w:val="Title"/>
    <w:uiPriority w:val="49"/>
    <w:semiHidden/>
    <w:rsid w:val="00BE2177"/>
    <w:rPr>
      <w:rFonts w:ascii="Times New Roman" w:eastAsia="Times New Roman" w:hAnsi="Times New Roman" w:cs="Times New Roman"/>
      <w:b/>
      <w:color w:val="000000" w:themeColor="text1"/>
      <w:spacing w:val="5"/>
      <w:kern w:val="28"/>
      <w:szCs w:val="52"/>
    </w:rPr>
  </w:style>
  <w:style w:type="paragraph" w:styleId="Subtitle">
    <w:name w:val="Subtitle"/>
    <w:basedOn w:val="Normal"/>
    <w:next w:val="Normal"/>
    <w:link w:val="SubtitleChar"/>
    <w:uiPriority w:val="49"/>
    <w:semiHidden/>
    <w:qFormat/>
    <w:rsid w:val="00BE2177"/>
    <w:pPr>
      <w:numPr>
        <w:ilvl w:val="1"/>
      </w:numPr>
      <w:spacing w:after="240"/>
      <w:jc w:val="center"/>
    </w:pPr>
    <w:rPr>
      <w:rFonts w:eastAsia="Times New Roman"/>
      <w:i/>
      <w:iCs/>
      <w:color w:val="000000" w:themeColor="text1"/>
      <w:spacing w:val="15"/>
      <w:szCs w:val="24"/>
    </w:rPr>
  </w:style>
  <w:style w:type="character" w:customStyle="1" w:styleId="SubtitleChar">
    <w:name w:val="Subtitle Char"/>
    <w:basedOn w:val="DefaultParagraphFont"/>
    <w:link w:val="Subtitle"/>
    <w:uiPriority w:val="49"/>
    <w:semiHidden/>
    <w:rsid w:val="00BE2177"/>
    <w:rPr>
      <w:rFonts w:ascii="Times New Roman" w:eastAsia="Times New Roman" w:hAnsi="Times New Roman" w:cs="Times New Roman"/>
      <w:i/>
      <w:iCs/>
      <w:color w:val="000000" w:themeColor="text1"/>
      <w:spacing w:val="15"/>
      <w:szCs w:val="24"/>
    </w:rPr>
  </w:style>
  <w:style w:type="character" w:customStyle="1" w:styleId="NoSpacingChar">
    <w:name w:val="No Spacing Char"/>
    <w:basedOn w:val="DefaultParagraphFont"/>
    <w:link w:val="NoSpacing"/>
    <w:uiPriority w:val="49"/>
    <w:rsid w:val="00BE2177"/>
    <w:rPr>
      <w:rFonts w:eastAsia="Times New Roman"/>
      <w:lang w:eastAsia="ja-JP"/>
    </w:rPr>
  </w:style>
  <w:style w:type="paragraph" w:styleId="BalloonText">
    <w:name w:val="Balloon Text"/>
    <w:basedOn w:val="Normal"/>
    <w:link w:val="BalloonTextChar"/>
    <w:uiPriority w:val="99"/>
    <w:semiHidden/>
    <w:unhideWhenUsed/>
    <w:rsid w:val="00BE2177"/>
    <w:rPr>
      <w:rFonts w:ascii="Tahoma" w:hAnsi="Tahoma" w:cs="Tahoma"/>
      <w:sz w:val="16"/>
      <w:szCs w:val="16"/>
    </w:rPr>
  </w:style>
  <w:style w:type="character" w:customStyle="1" w:styleId="BalloonTextChar">
    <w:name w:val="Balloon Text Char"/>
    <w:basedOn w:val="DefaultParagraphFont"/>
    <w:link w:val="BalloonText"/>
    <w:uiPriority w:val="99"/>
    <w:semiHidden/>
    <w:rsid w:val="00BE2177"/>
    <w:rPr>
      <w:rFonts w:ascii="Tahoma" w:eastAsia="MS Mincho" w:hAnsi="Tahoma" w:cs="Tahoma"/>
      <w:sz w:val="16"/>
      <w:szCs w:val="16"/>
    </w:rPr>
  </w:style>
  <w:style w:type="paragraph" w:styleId="Header">
    <w:name w:val="header"/>
    <w:basedOn w:val="Normal"/>
    <w:link w:val="HeaderChar"/>
    <w:uiPriority w:val="49"/>
    <w:rsid w:val="00BE2177"/>
    <w:pPr>
      <w:jc w:val="both"/>
    </w:pPr>
    <w:rPr>
      <w:rFonts w:eastAsia="Times New Roman"/>
      <w:szCs w:val="20"/>
      <w:lang w:eastAsia="de-DE"/>
    </w:rPr>
  </w:style>
  <w:style w:type="character" w:customStyle="1" w:styleId="HeaderChar">
    <w:name w:val="Header Char"/>
    <w:basedOn w:val="DefaultParagraphFont"/>
    <w:link w:val="Header"/>
    <w:uiPriority w:val="49"/>
    <w:rsid w:val="00BE2177"/>
    <w:rPr>
      <w:rFonts w:ascii="Times New Roman" w:eastAsia="Times New Roman" w:hAnsi="Times New Roman" w:cs="Times New Roman"/>
      <w:szCs w:val="20"/>
      <w:lang w:val="en-GB" w:eastAsia="de-DE"/>
    </w:rPr>
  </w:style>
  <w:style w:type="paragraph" w:styleId="Footer">
    <w:name w:val="footer"/>
    <w:basedOn w:val="Normal"/>
    <w:link w:val="FooterChar"/>
    <w:uiPriority w:val="49"/>
    <w:rsid w:val="00BE2177"/>
    <w:pPr>
      <w:tabs>
        <w:tab w:val="center" w:pos="4536"/>
        <w:tab w:val="right" w:pos="9072"/>
      </w:tabs>
    </w:pPr>
    <w:rPr>
      <w:rFonts w:eastAsia="Times New Roman"/>
      <w:sz w:val="16"/>
      <w:szCs w:val="20"/>
      <w:lang w:eastAsia="de-DE"/>
    </w:rPr>
  </w:style>
  <w:style w:type="character" w:customStyle="1" w:styleId="FooterChar">
    <w:name w:val="Footer Char"/>
    <w:basedOn w:val="DefaultParagraphFont"/>
    <w:link w:val="Footer"/>
    <w:uiPriority w:val="49"/>
    <w:rsid w:val="00BE2177"/>
    <w:rPr>
      <w:rFonts w:ascii="Times New Roman" w:eastAsia="Times New Roman" w:hAnsi="Times New Roman" w:cs="Times New Roman"/>
      <w:sz w:val="16"/>
      <w:szCs w:val="20"/>
      <w:lang w:val="en-GB" w:eastAsia="de-DE"/>
    </w:rPr>
  </w:style>
  <w:style w:type="paragraph" w:customStyle="1" w:styleId="WCPageNumber">
    <w:name w:val="WCPageNumber"/>
    <w:link w:val="WCPageNumberChar"/>
    <w:uiPriority w:val="99"/>
    <w:rsid w:val="00BE2177"/>
    <w:pPr>
      <w:spacing w:after="0" w:line="240" w:lineRule="auto"/>
      <w:jc w:val="center"/>
    </w:pPr>
    <w:rPr>
      <w:rFonts w:ascii="Times New Roman" w:hAnsi="Times New Roman" w:cs="Times New Roman"/>
    </w:rPr>
  </w:style>
  <w:style w:type="character" w:customStyle="1" w:styleId="WCPageNumberChar">
    <w:name w:val="WCPageNumber Char"/>
    <w:basedOn w:val="DefaultParagraphFont"/>
    <w:link w:val="WCPageNumber"/>
    <w:uiPriority w:val="99"/>
    <w:rsid w:val="00BE2177"/>
    <w:rPr>
      <w:rFonts w:ascii="Times New Roman" w:hAnsi="Times New Roman" w:cs="Times New Roman"/>
    </w:rPr>
  </w:style>
  <w:style w:type="paragraph" w:customStyle="1" w:styleId="wQuote1">
    <w:name w:val="wQuote1"/>
    <w:basedOn w:val="Normal"/>
    <w:uiPriority w:val="4"/>
    <w:qFormat/>
    <w:rsid w:val="00BE2177"/>
    <w:pPr>
      <w:spacing w:after="180"/>
      <w:ind w:left="720"/>
      <w:jc w:val="both"/>
    </w:pPr>
    <w:rPr>
      <w:i/>
    </w:rPr>
  </w:style>
  <w:style w:type="paragraph" w:customStyle="1" w:styleId="wQuote2">
    <w:name w:val="wQuote2"/>
    <w:basedOn w:val="Normal"/>
    <w:uiPriority w:val="4"/>
    <w:qFormat/>
    <w:rsid w:val="00BE2177"/>
    <w:pPr>
      <w:spacing w:after="180"/>
      <w:ind w:left="1440"/>
      <w:jc w:val="both"/>
    </w:pPr>
    <w:rPr>
      <w:i/>
    </w:rPr>
  </w:style>
  <w:style w:type="paragraph" w:customStyle="1" w:styleId="wQuote3">
    <w:name w:val="wQuote3"/>
    <w:basedOn w:val="Normal"/>
    <w:uiPriority w:val="4"/>
    <w:qFormat/>
    <w:rsid w:val="00BE2177"/>
    <w:pPr>
      <w:spacing w:after="180"/>
      <w:ind w:left="2160"/>
      <w:jc w:val="both"/>
    </w:pPr>
    <w:rPr>
      <w:i/>
    </w:rPr>
  </w:style>
  <w:style w:type="paragraph" w:customStyle="1" w:styleId="wText3">
    <w:name w:val="wText3"/>
    <w:basedOn w:val="Normal"/>
    <w:uiPriority w:val="1"/>
    <w:qFormat/>
    <w:rsid w:val="00BE2177"/>
    <w:pPr>
      <w:spacing w:after="180"/>
      <w:ind w:left="2160"/>
      <w:jc w:val="both"/>
    </w:pPr>
  </w:style>
  <w:style w:type="paragraph" w:customStyle="1" w:styleId="wBullet">
    <w:name w:val="wBullet"/>
    <w:basedOn w:val="Normal"/>
    <w:uiPriority w:val="8"/>
    <w:qFormat/>
    <w:rsid w:val="002E0AF8"/>
    <w:pPr>
      <w:numPr>
        <w:numId w:val="5"/>
      </w:numPr>
      <w:spacing w:after="180"/>
      <w:ind w:hanging="720"/>
      <w:jc w:val="both"/>
    </w:pPr>
  </w:style>
  <w:style w:type="paragraph" w:customStyle="1" w:styleId="wBullet1">
    <w:name w:val="wBullet1"/>
    <w:basedOn w:val="Normal"/>
    <w:uiPriority w:val="8"/>
    <w:qFormat/>
    <w:rsid w:val="0079374D"/>
    <w:pPr>
      <w:numPr>
        <w:numId w:val="6"/>
      </w:numPr>
      <w:spacing w:after="180"/>
      <w:ind w:left="1440" w:hanging="720"/>
      <w:jc w:val="both"/>
    </w:pPr>
  </w:style>
  <w:style w:type="paragraph" w:customStyle="1" w:styleId="wBullet2">
    <w:name w:val="wBullet2"/>
    <w:basedOn w:val="Normal"/>
    <w:uiPriority w:val="8"/>
    <w:qFormat/>
    <w:rsid w:val="0079374D"/>
    <w:pPr>
      <w:numPr>
        <w:numId w:val="7"/>
      </w:numPr>
      <w:spacing w:after="180"/>
      <w:ind w:left="2160" w:hanging="720"/>
      <w:jc w:val="both"/>
    </w:pPr>
  </w:style>
  <w:style w:type="paragraph" w:customStyle="1" w:styleId="wBullet3">
    <w:name w:val="wBullet3"/>
    <w:basedOn w:val="Normal"/>
    <w:uiPriority w:val="8"/>
    <w:qFormat/>
    <w:rsid w:val="0079374D"/>
    <w:pPr>
      <w:numPr>
        <w:numId w:val="8"/>
      </w:numPr>
      <w:spacing w:after="180"/>
      <w:ind w:left="2880" w:hanging="720"/>
      <w:jc w:val="both"/>
    </w:pPr>
  </w:style>
  <w:style w:type="paragraph" w:customStyle="1" w:styleId="DraftLineWC">
    <w:name w:val="DraftLineW&amp;C"/>
    <w:basedOn w:val="Normal"/>
    <w:link w:val="DraftLineWCChar"/>
    <w:uiPriority w:val="99"/>
    <w:semiHidden/>
    <w:rsid w:val="00BE2177"/>
    <w:pPr>
      <w:framePr w:w="5328" w:hSpace="187" w:vSpace="187" w:wrap="around" w:vAnchor="page" w:hAnchor="page" w:x="5761" w:y="721"/>
      <w:jc w:val="right"/>
    </w:pPr>
    <w:rPr>
      <w:rFonts w:eastAsia="Times New Roman"/>
      <w:sz w:val="20"/>
      <w:szCs w:val="24"/>
    </w:rPr>
  </w:style>
  <w:style w:type="paragraph" w:styleId="TOC1">
    <w:name w:val="toc 1"/>
    <w:basedOn w:val="Normal"/>
    <w:next w:val="Normal"/>
    <w:autoRedefine/>
    <w:uiPriority w:val="39"/>
    <w:rsid w:val="00BE2177"/>
    <w:pPr>
      <w:tabs>
        <w:tab w:val="left" w:pos="720"/>
        <w:tab w:val="right" w:leader="dot" w:pos="9072"/>
      </w:tabs>
      <w:spacing w:before="120"/>
      <w:ind w:left="720" w:right="386" w:hanging="720"/>
    </w:pPr>
  </w:style>
  <w:style w:type="paragraph" w:styleId="TOC2">
    <w:name w:val="toc 2"/>
    <w:basedOn w:val="Normal"/>
    <w:next w:val="Normal"/>
    <w:autoRedefine/>
    <w:uiPriority w:val="39"/>
    <w:rsid w:val="00BE2177"/>
    <w:pPr>
      <w:tabs>
        <w:tab w:val="left" w:pos="720"/>
        <w:tab w:val="right" w:leader="dot" w:pos="9072"/>
      </w:tabs>
      <w:snapToGrid w:val="0"/>
      <w:ind w:left="720" w:right="386" w:hanging="720"/>
      <w:contextualSpacing/>
    </w:pPr>
  </w:style>
  <w:style w:type="paragraph" w:customStyle="1" w:styleId="Definition1">
    <w:name w:val="Definition 1"/>
    <w:basedOn w:val="Normal"/>
    <w:uiPriority w:val="2"/>
    <w:qFormat/>
    <w:rsid w:val="00BE2177"/>
    <w:pPr>
      <w:numPr>
        <w:numId w:val="4"/>
      </w:numPr>
      <w:spacing w:after="180"/>
      <w:jc w:val="both"/>
    </w:pPr>
  </w:style>
  <w:style w:type="paragraph" w:customStyle="1" w:styleId="Definition2">
    <w:name w:val="Definition 2"/>
    <w:basedOn w:val="Normal"/>
    <w:uiPriority w:val="2"/>
    <w:qFormat/>
    <w:rsid w:val="00BE2177"/>
    <w:pPr>
      <w:numPr>
        <w:ilvl w:val="1"/>
        <w:numId w:val="4"/>
      </w:numPr>
      <w:spacing w:after="180"/>
      <w:jc w:val="both"/>
    </w:pPr>
  </w:style>
  <w:style w:type="paragraph" w:customStyle="1" w:styleId="Definition3">
    <w:name w:val="Definition 3"/>
    <w:basedOn w:val="Normal"/>
    <w:uiPriority w:val="2"/>
    <w:qFormat/>
    <w:rsid w:val="00BE2177"/>
    <w:pPr>
      <w:numPr>
        <w:ilvl w:val="2"/>
        <w:numId w:val="4"/>
      </w:numPr>
      <w:spacing w:after="180"/>
      <w:jc w:val="both"/>
    </w:pPr>
  </w:style>
  <w:style w:type="paragraph" w:customStyle="1" w:styleId="Definition4">
    <w:name w:val="Definition 4"/>
    <w:basedOn w:val="Normal"/>
    <w:uiPriority w:val="2"/>
    <w:qFormat/>
    <w:rsid w:val="00BE2177"/>
    <w:pPr>
      <w:numPr>
        <w:ilvl w:val="3"/>
        <w:numId w:val="4"/>
      </w:numPr>
      <w:spacing w:after="180"/>
      <w:jc w:val="both"/>
    </w:pPr>
  </w:style>
  <w:style w:type="paragraph" w:customStyle="1" w:styleId="Definition5">
    <w:name w:val="Definition 5"/>
    <w:basedOn w:val="Normal"/>
    <w:uiPriority w:val="2"/>
    <w:qFormat/>
    <w:rsid w:val="00BE2177"/>
    <w:pPr>
      <w:numPr>
        <w:ilvl w:val="4"/>
        <w:numId w:val="4"/>
      </w:numPr>
      <w:spacing w:after="180"/>
      <w:jc w:val="both"/>
    </w:pPr>
  </w:style>
  <w:style w:type="paragraph" w:customStyle="1" w:styleId="Definition6">
    <w:name w:val="Definition 6"/>
    <w:basedOn w:val="Normal"/>
    <w:uiPriority w:val="2"/>
    <w:qFormat/>
    <w:rsid w:val="00BE2177"/>
    <w:pPr>
      <w:numPr>
        <w:ilvl w:val="5"/>
        <w:numId w:val="4"/>
      </w:numPr>
      <w:spacing w:after="180"/>
      <w:jc w:val="both"/>
    </w:pPr>
  </w:style>
  <w:style w:type="paragraph" w:customStyle="1" w:styleId="Parties">
    <w:name w:val="Parties"/>
    <w:basedOn w:val="Normal"/>
    <w:uiPriority w:val="2"/>
    <w:qFormat/>
    <w:rsid w:val="00BE2177"/>
    <w:pPr>
      <w:numPr>
        <w:ilvl w:val="7"/>
        <w:numId w:val="4"/>
      </w:numPr>
      <w:spacing w:after="180"/>
      <w:jc w:val="both"/>
    </w:pPr>
  </w:style>
  <w:style w:type="paragraph" w:customStyle="1" w:styleId="Recitals">
    <w:name w:val="Recitals"/>
    <w:basedOn w:val="Normal"/>
    <w:uiPriority w:val="2"/>
    <w:qFormat/>
    <w:rsid w:val="00BE2177"/>
    <w:pPr>
      <w:numPr>
        <w:ilvl w:val="8"/>
        <w:numId w:val="4"/>
      </w:numPr>
      <w:spacing w:after="180"/>
      <w:jc w:val="both"/>
    </w:pPr>
  </w:style>
  <w:style w:type="paragraph" w:customStyle="1" w:styleId="wCoverNotice">
    <w:name w:val="wCoverNotice"/>
    <w:basedOn w:val="Normal"/>
    <w:next w:val="Normal"/>
    <w:uiPriority w:val="19"/>
    <w:rsid w:val="00BE2177"/>
    <w:pPr>
      <w:spacing w:after="960"/>
      <w:ind w:left="720" w:right="720"/>
      <w:jc w:val="center"/>
    </w:pPr>
    <w:rPr>
      <w:rFonts w:eastAsia="Times New Roman"/>
      <w:szCs w:val="24"/>
    </w:rPr>
  </w:style>
  <w:style w:type="paragraph" w:customStyle="1" w:styleId="wCoverParties">
    <w:name w:val="wCoverParties"/>
    <w:basedOn w:val="Normal"/>
    <w:next w:val="wCoverRole"/>
    <w:uiPriority w:val="20"/>
    <w:qFormat/>
    <w:rsid w:val="00BE2177"/>
    <w:pPr>
      <w:jc w:val="center"/>
    </w:pPr>
    <w:rPr>
      <w:b/>
      <w:bCs/>
      <w:sz w:val="28"/>
      <w:szCs w:val="32"/>
    </w:rPr>
  </w:style>
  <w:style w:type="paragraph" w:customStyle="1" w:styleId="wSignRole">
    <w:name w:val="wSignRole"/>
    <w:basedOn w:val="Normal"/>
    <w:uiPriority w:val="12"/>
    <w:qFormat/>
    <w:rsid w:val="00BE2177"/>
    <w:pPr>
      <w:spacing w:before="600" w:after="60"/>
    </w:pPr>
    <w:rPr>
      <w:b/>
      <w:bCs/>
    </w:rPr>
  </w:style>
  <w:style w:type="paragraph" w:customStyle="1" w:styleId="wCoverCenter">
    <w:name w:val="wCoverCenter"/>
    <w:basedOn w:val="Normal"/>
    <w:next w:val="wCoverParties"/>
    <w:uiPriority w:val="19"/>
    <w:qFormat/>
    <w:rsid w:val="00BE2177"/>
    <w:pPr>
      <w:spacing w:after="480"/>
      <w:jc w:val="center"/>
    </w:pPr>
  </w:style>
  <w:style w:type="paragraph" w:customStyle="1" w:styleId="wCoverTitle2">
    <w:name w:val="wCoverTitle2"/>
    <w:basedOn w:val="Normal"/>
    <w:next w:val="wCoverCenter"/>
    <w:uiPriority w:val="19"/>
    <w:rsid w:val="00BE2177"/>
    <w:pPr>
      <w:spacing w:after="240"/>
      <w:jc w:val="center"/>
    </w:pPr>
    <w:rPr>
      <w:sz w:val="28"/>
      <w:szCs w:val="32"/>
    </w:rPr>
  </w:style>
  <w:style w:type="paragraph" w:customStyle="1" w:styleId="wLogoHeader">
    <w:name w:val="wLogoHeader"/>
    <w:basedOn w:val="Normal"/>
    <w:uiPriority w:val="48"/>
    <w:qFormat/>
    <w:rsid w:val="00BE2177"/>
    <w:pPr>
      <w:spacing w:before="360" w:after="960" w:line="360" w:lineRule="auto"/>
      <w:jc w:val="right"/>
    </w:pPr>
  </w:style>
  <w:style w:type="paragraph" w:customStyle="1" w:styleId="wCoverAddress">
    <w:name w:val="wCoverAddress"/>
    <w:basedOn w:val="Normal"/>
    <w:uiPriority w:val="22"/>
    <w:rsid w:val="00BE2177"/>
    <w:pPr>
      <w:jc w:val="center"/>
    </w:pPr>
    <w:rPr>
      <w:rFonts w:eastAsia="Times New Roman"/>
      <w:sz w:val="20"/>
      <w:szCs w:val="24"/>
    </w:rPr>
  </w:style>
  <w:style w:type="numbering" w:styleId="111111">
    <w:name w:val="Outline List 2"/>
    <w:basedOn w:val="NoList"/>
    <w:uiPriority w:val="99"/>
    <w:semiHidden/>
    <w:unhideWhenUsed/>
    <w:rsid w:val="00BE2177"/>
    <w:pPr>
      <w:numPr>
        <w:numId w:val="1"/>
      </w:numPr>
    </w:pPr>
  </w:style>
  <w:style w:type="numbering" w:styleId="1ai">
    <w:name w:val="Outline List 1"/>
    <w:basedOn w:val="NoList"/>
    <w:uiPriority w:val="99"/>
    <w:semiHidden/>
    <w:unhideWhenUsed/>
    <w:rsid w:val="00BE2177"/>
    <w:pPr>
      <w:numPr>
        <w:numId w:val="2"/>
      </w:numPr>
    </w:pPr>
  </w:style>
  <w:style w:type="paragraph" w:customStyle="1" w:styleId="wTOCtitle">
    <w:name w:val="wTOCtitle"/>
    <w:basedOn w:val="Normal"/>
    <w:next w:val="wTOCpage"/>
    <w:uiPriority w:val="13"/>
    <w:rsid w:val="00BE2177"/>
    <w:pPr>
      <w:jc w:val="center"/>
    </w:pPr>
    <w:rPr>
      <w:b/>
      <w:bCs/>
      <w:sz w:val="26"/>
      <w:szCs w:val="30"/>
    </w:rPr>
  </w:style>
  <w:style w:type="paragraph" w:customStyle="1" w:styleId="wTOCpage">
    <w:name w:val="wTOCpage"/>
    <w:basedOn w:val="Normal"/>
    <w:next w:val="Normal"/>
    <w:uiPriority w:val="15"/>
    <w:rsid w:val="00BE2177"/>
    <w:pPr>
      <w:spacing w:after="180"/>
      <w:jc w:val="right"/>
    </w:pPr>
    <w:rPr>
      <w:rFonts w:eastAsia="Times New Roman"/>
      <w:b/>
      <w:szCs w:val="21"/>
    </w:rPr>
  </w:style>
  <w:style w:type="paragraph" w:customStyle="1" w:styleId="wSignLine">
    <w:name w:val="wSignLine"/>
    <w:basedOn w:val="wText"/>
    <w:next w:val="Normal"/>
    <w:uiPriority w:val="13"/>
    <w:rsid w:val="00BE2177"/>
    <w:pPr>
      <w:tabs>
        <w:tab w:val="left" w:leader="dot" w:pos="3600"/>
      </w:tabs>
      <w:spacing w:before="800" w:after="0"/>
    </w:pPr>
    <w:rPr>
      <w:rFonts w:eastAsia="Times New Roman"/>
      <w:szCs w:val="20"/>
    </w:rPr>
  </w:style>
  <w:style w:type="paragraph" w:styleId="TOC3">
    <w:name w:val="toc 3"/>
    <w:basedOn w:val="Normal"/>
    <w:next w:val="Normal"/>
    <w:autoRedefine/>
    <w:uiPriority w:val="39"/>
    <w:rsid w:val="00BE2177"/>
    <w:pPr>
      <w:tabs>
        <w:tab w:val="left" w:pos="1440"/>
        <w:tab w:val="right" w:leader="dot" w:pos="9072"/>
      </w:tabs>
      <w:ind w:left="2160" w:right="386" w:hanging="1440"/>
    </w:pPr>
    <w:rPr>
      <w:noProof/>
      <w:color w:val="000000" w:themeColor="text1"/>
    </w:rPr>
  </w:style>
  <w:style w:type="paragraph" w:styleId="TOC4">
    <w:name w:val="toc 4"/>
    <w:basedOn w:val="Normal"/>
    <w:next w:val="Normal"/>
    <w:autoRedefine/>
    <w:uiPriority w:val="39"/>
    <w:unhideWhenUsed/>
    <w:rsid w:val="00BE2177"/>
    <w:pPr>
      <w:tabs>
        <w:tab w:val="left" w:pos="1701"/>
        <w:tab w:val="right" w:leader="dot" w:pos="9017"/>
      </w:tabs>
      <w:ind w:left="1701" w:right="386" w:hanging="981"/>
    </w:pPr>
  </w:style>
  <w:style w:type="paragraph" w:styleId="TOC5">
    <w:name w:val="toc 5"/>
    <w:basedOn w:val="Normal"/>
    <w:next w:val="Normal"/>
    <w:autoRedefine/>
    <w:uiPriority w:val="39"/>
    <w:semiHidden/>
    <w:unhideWhenUsed/>
    <w:rsid w:val="00BE2177"/>
    <w:pPr>
      <w:spacing w:after="100"/>
      <w:ind w:left="960"/>
    </w:pPr>
  </w:style>
  <w:style w:type="paragraph" w:styleId="TOC6">
    <w:name w:val="toc 6"/>
    <w:basedOn w:val="Normal"/>
    <w:next w:val="Normal"/>
    <w:autoRedefine/>
    <w:uiPriority w:val="39"/>
    <w:semiHidden/>
    <w:unhideWhenUsed/>
    <w:rsid w:val="00BE2177"/>
    <w:pPr>
      <w:spacing w:after="100"/>
      <w:ind w:left="1200"/>
    </w:pPr>
  </w:style>
  <w:style w:type="paragraph" w:styleId="TOC7">
    <w:name w:val="toc 7"/>
    <w:basedOn w:val="Normal"/>
    <w:next w:val="Normal"/>
    <w:autoRedefine/>
    <w:uiPriority w:val="39"/>
    <w:semiHidden/>
    <w:unhideWhenUsed/>
    <w:rsid w:val="00BE2177"/>
    <w:pPr>
      <w:spacing w:after="100"/>
      <w:ind w:left="1440"/>
    </w:pPr>
  </w:style>
  <w:style w:type="paragraph" w:styleId="TOC8">
    <w:name w:val="toc 8"/>
    <w:basedOn w:val="Normal"/>
    <w:next w:val="Normal"/>
    <w:autoRedefine/>
    <w:uiPriority w:val="39"/>
    <w:rsid w:val="00BE2177"/>
    <w:pPr>
      <w:tabs>
        <w:tab w:val="left" w:pos="1423"/>
        <w:tab w:val="right" w:leader="dot" w:pos="9072"/>
      </w:tabs>
      <w:spacing w:before="120"/>
      <w:ind w:left="1440" w:right="386" w:hanging="1440"/>
    </w:pPr>
    <w:rPr>
      <w:b/>
      <w:bCs/>
    </w:rPr>
  </w:style>
  <w:style w:type="paragraph" w:styleId="TOC9">
    <w:name w:val="toc 9"/>
    <w:basedOn w:val="Normal"/>
    <w:next w:val="Normal"/>
    <w:autoRedefine/>
    <w:uiPriority w:val="39"/>
    <w:rsid w:val="00BE2177"/>
    <w:pPr>
      <w:tabs>
        <w:tab w:val="left" w:pos="1440"/>
        <w:tab w:val="right" w:leader="dot" w:pos="9072"/>
      </w:tabs>
      <w:ind w:left="1440" w:right="386" w:hanging="1440"/>
    </w:pPr>
  </w:style>
  <w:style w:type="paragraph" w:customStyle="1" w:styleId="wCoverRole">
    <w:name w:val="wCoverRole"/>
    <w:basedOn w:val="Normal"/>
    <w:next w:val="wCoverParties"/>
    <w:uiPriority w:val="21"/>
    <w:qFormat/>
    <w:rsid w:val="00BE2177"/>
    <w:pPr>
      <w:spacing w:after="480"/>
      <w:jc w:val="center"/>
    </w:pPr>
  </w:style>
  <w:style w:type="paragraph" w:customStyle="1" w:styleId="wBullet4">
    <w:name w:val="wBullet4"/>
    <w:basedOn w:val="Normal"/>
    <w:uiPriority w:val="8"/>
    <w:qFormat/>
    <w:rsid w:val="0079374D"/>
    <w:pPr>
      <w:numPr>
        <w:numId w:val="9"/>
      </w:numPr>
      <w:spacing w:after="180"/>
      <w:ind w:left="3600" w:hanging="720"/>
      <w:jc w:val="both"/>
    </w:pPr>
  </w:style>
  <w:style w:type="paragraph" w:customStyle="1" w:styleId="wText4">
    <w:name w:val="wText4"/>
    <w:basedOn w:val="Normal"/>
    <w:uiPriority w:val="1"/>
    <w:qFormat/>
    <w:rsid w:val="00BE2177"/>
    <w:pPr>
      <w:spacing w:after="180"/>
      <w:ind w:left="2880"/>
      <w:jc w:val="both"/>
    </w:pPr>
  </w:style>
  <w:style w:type="character" w:styleId="FootnoteReference">
    <w:name w:val="footnote reference"/>
    <w:basedOn w:val="DefaultParagraphFont"/>
    <w:uiPriority w:val="99"/>
    <w:semiHidden/>
    <w:unhideWhenUsed/>
    <w:rsid w:val="00BE2177"/>
    <w:rPr>
      <w:vertAlign w:val="superscript"/>
    </w:rPr>
  </w:style>
  <w:style w:type="paragraph" w:styleId="FootnoteText">
    <w:name w:val="footnote text"/>
    <w:basedOn w:val="Normal"/>
    <w:link w:val="FootnoteTextChar"/>
    <w:uiPriority w:val="99"/>
    <w:unhideWhenUsed/>
    <w:rsid w:val="00BE2177"/>
    <w:pPr>
      <w:spacing w:after="60"/>
      <w:ind w:left="357" w:hanging="357"/>
      <w:jc w:val="both"/>
    </w:pPr>
    <w:rPr>
      <w:sz w:val="18"/>
      <w:szCs w:val="20"/>
    </w:rPr>
  </w:style>
  <w:style w:type="character" w:customStyle="1" w:styleId="FootnoteTextChar">
    <w:name w:val="Footnote Text Char"/>
    <w:basedOn w:val="DefaultParagraphFont"/>
    <w:link w:val="FootnoteText"/>
    <w:uiPriority w:val="99"/>
    <w:rsid w:val="00BE2177"/>
    <w:rPr>
      <w:rFonts w:ascii="Times New Roman" w:eastAsia="MS Mincho" w:hAnsi="Times New Roman" w:cs="Times New Roman"/>
      <w:sz w:val="18"/>
      <w:szCs w:val="20"/>
    </w:rPr>
  </w:style>
  <w:style w:type="paragraph" w:customStyle="1" w:styleId="SignLine">
    <w:name w:val="SignLine"/>
    <w:basedOn w:val="Normal"/>
    <w:next w:val="Normal"/>
    <w:rsid w:val="00E03967"/>
    <w:pPr>
      <w:tabs>
        <w:tab w:val="left" w:leader="dot" w:pos="3600"/>
      </w:tabs>
      <w:spacing w:before="800"/>
      <w:jc w:val="both"/>
    </w:pPr>
    <w:rPr>
      <w:rFonts w:eastAsia="Times New Roman"/>
      <w:szCs w:val="20"/>
    </w:rPr>
  </w:style>
  <w:style w:type="table" w:styleId="TableGrid">
    <w:name w:val="Table Grid"/>
    <w:basedOn w:val="TableNormal"/>
    <w:uiPriority w:val="59"/>
    <w:rsid w:val="00BE2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2177"/>
    <w:rPr>
      <w:color w:val="0000FF" w:themeColor="hyperlink"/>
      <w:u w:val="single"/>
    </w:rPr>
  </w:style>
  <w:style w:type="paragraph" w:customStyle="1" w:styleId="wSignTitle">
    <w:name w:val="wSignTitle"/>
    <w:basedOn w:val="Normal"/>
    <w:next w:val="wText"/>
    <w:uiPriority w:val="11"/>
    <w:qFormat/>
    <w:rsid w:val="00BE2177"/>
    <w:pPr>
      <w:keepNext/>
      <w:keepLines/>
      <w:pageBreakBefore/>
      <w:jc w:val="both"/>
    </w:pPr>
    <w:rPr>
      <w:rFonts w:eastAsia="Times New Roman"/>
      <w:b/>
      <w:sz w:val="26"/>
      <w:szCs w:val="24"/>
    </w:rPr>
  </w:style>
  <w:style w:type="character" w:customStyle="1" w:styleId="wTextChar">
    <w:name w:val="wText Char"/>
    <w:basedOn w:val="DefaultParagraphFont"/>
    <w:link w:val="wText"/>
    <w:uiPriority w:val="1"/>
    <w:rsid w:val="00BE2177"/>
    <w:rPr>
      <w:rFonts w:ascii="Times New Roman" w:eastAsia="MS Mincho" w:hAnsi="Times New Roman" w:cs="Times New Roman"/>
    </w:rPr>
  </w:style>
  <w:style w:type="paragraph" w:customStyle="1" w:styleId="wAnnotation">
    <w:name w:val="wAnnotation"/>
    <w:basedOn w:val="Normal"/>
    <w:next w:val="wText"/>
    <w:uiPriority w:val="10"/>
    <w:rsid w:val="00BE2177"/>
    <w:pPr>
      <w:keepNext/>
      <w:keepLines/>
      <w:framePr w:w="1152" w:hSpace="144" w:wrap="around" w:vAnchor="text" w:hAnchor="page" w:xAlign="right" w:y="1"/>
      <w:spacing w:before="40" w:line="180" w:lineRule="exact"/>
    </w:pPr>
    <w:rPr>
      <w:rFonts w:eastAsia="Times New Roman"/>
      <w:b/>
      <w:sz w:val="14"/>
      <w:szCs w:val="16"/>
    </w:rPr>
  </w:style>
  <w:style w:type="paragraph" w:customStyle="1" w:styleId="wCoverTitle1">
    <w:name w:val="wCoverTitle1"/>
    <w:basedOn w:val="Normal"/>
    <w:next w:val="wCoverTitle2"/>
    <w:uiPriority w:val="19"/>
    <w:qFormat/>
    <w:rsid w:val="00BE2177"/>
    <w:pPr>
      <w:spacing w:after="120"/>
      <w:jc w:val="center"/>
    </w:pPr>
    <w:rPr>
      <w:b/>
      <w:bCs/>
      <w:sz w:val="40"/>
      <w:szCs w:val="44"/>
    </w:rPr>
  </w:style>
  <w:style w:type="paragraph" w:customStyle="1" w:styleId="wCoverDate">
    <w:name w:val="wCoverDate"/>
    <w:basedOn w:val="Normal"/>
    <w:next w:val="wCoverTitle1"/>
    <w:uiPriority w:val="19"/>
    <w:qFormat/>
    <w:rsid w:val="00BE2177"/>
    <w:pPr>
      <w:spacing w:before="480" w:after="960"/>
      <w:jc w:val="center"/>
    </w:pPr>
    <w:rPr>
      <w:b/>
      <w:bCs/>
    </w:rPr>
  </w:style>
  <w:style w:type="paragraph" w:customStyle="1" w:styleId="wSignName">
    <w:name w:val="wSignName"/>
    <w:basedOn w:val="Normal"/>
    <w:next w:val="wSignNameLine"/>
    <w:uiPriority w:val="11"/>
    <w:qFormat/>
    <w:rsid w:val="00BE2177"/>
    <w:pPr>
      <w:spacing w:before="600" w:after="60"/>
    </w:pPr>
  </w:style>
  <w:style w:type="paragraph" w:customStyle="1" w:styleId="wSignNameLine">
    <w:name w:val="wSignNameLine"/>
    <w:basedOn w:val="Normal"/>
    <w:next w:val="Normal"/>
    <w:uiPriority w:val="11"/>
    <w:qFormat/>
    <w:rsid w:val="00BE2177"/>
    <w:pPr>
      <w:tabs>
        <w:tab w:val="right" w:leader="underscore" w:pos="4253"/>
      </w:tabs>
      <w:spacing w:before="600"/>
    </w:pPr>
  </w:style>
  <w:style w:type="paragraph" w:customStyle="1" w:styleId="wExecution">
    <w:name w:val="wExecution"/>
    <w:basedOn w:val="Normal"/>
    <w:uiPriority w:val="13"/>
    <w:qFormat/>
    <w:rsid w:val="00BE2177"/>
    <w:pPr>
      <w:tabs>
        <w:tab w:val="left" w:pos="567"/>
      </w:tabs>
      <w:ind w:left="56"/>
    </w:pPr>
  </w:style>
  <w:style w:type="paragraph" w:customStyle="1" w:styleId="Definition7">
    <w:name w:val="Definition 7"/>
    <w:basedOn w:val="Normal"/>
    <w:uiPriority w:val="2"/>
    <w:qFormat/>
    <w:rsid w:val="00BE2177"/>
    <w:pPr>
      <w:numPr>
        <w:ilvl w:val="6"/>
        <w:numId w:val="4"/>
      </w:numPr>
      <w:spacing w:after="180"/>
      <w:jc w:val="both"/>
    </w:pPr>
  </w:style>
  <w:style w:type="paragraph" w:customStyle="1" w:styleId="wList1">
    <w:name w:val="wList1"/>
    <w:basedOn w:val="Normal"/>
    <w:uiPriority w:val="7"/>
    <w:qFormat/>
    <w:rsid w:val="00BE2177"/>
    <w:pPr>
      <w:numPr>
        <w:numId w:val="10"/>
      </w:numPr>
      <w:spacing w:after="180"/>
      <w:jc w:val="both"/>
    </w:pPr>
  </w:style>
  <w:style w:type="paragraph" w:customStyle="1" w:styleId="wList2">
    <w:name w:val="wList2"/>
    <w:basedOn w:val="Normal"/>
    <w:uiPriority w:val="7"/>
    <w:qFormat/>
    <w:rsid w:val="00BE2177"/>
    <w:pPr>
      <w:numPr>
        <w:ilvl w:val="1"/>
        <w:numId w:val="10"/>
      </w:numPr>
      <w:spacing w:after="180"/>
      <w:jc w:val="both"/>
    </w:pPr>
  </w:style>
  <w:style w:type="paragraph" w:customStyle="1" w:styleId="wList3">
    <w:name w:val="wList3"/>
    <w:basedOn w:val="Normal"/>
    <w:uiPriority w:val="7"/>
    <w:qFormat/>
    <w:rsid w:val="00BE2177"/>
    <w:pPr>
      <w:numPr>
        <w:ilvl w:val="2"/>
        <w:numId w:val="10"/>
      </w:numPr>
      <w:spacing w:after="180"/>
      <w:jc w:val="both"/>
    </w:pPr>
  </w:style>
  <w:style w:type="paragraph" w:customStyle="1" w:styleId="wList4">
    <w:name w:val="wList4"/>
    <w:basedOn w:val="Normal"/>
    <w:uiPriority w:val="7"/>
    <w:qFormat/>
    <w:rsid w:val="00BE2177"/>
    <w:pPr>
      <w:numPr>
        <w:ilvl w:val="3"/>
        <w:numId w:val="10"/>
      </w:numPr>
      <w:spacing w:after="180"/>
      <w:jc w:val="both"/>
    </w:pPr>
  </w:style>
  <w:style w:type="paragraph" w:customStyle="1" w:styleId="wList5">
    <w:name w:val="wList5"/>
    <w:basedOn w:val="Normal"/>
    <w:uiPriority w:val="7"/>
    <w:qFormat/>
    <w:rsid w:val="00BE2177"/>
    <w:pPr>
      <w:numPr>
        <w:ilvl w:val="4"/>
        <w:numId w:val="10"/>
      </w:numPr>
      <w:spacing w:after="180"/>
      <w:jc w:val="both"/>
    </w:pPr>
  </w:style>
  <w:style w:type="paragraph" w:customStyle="1" w:styleId="wList6">
    <w:name w:val="wList6"/>
    <w:basedOn w:val="Normal"/>
    <w:uiPriority w:val="7"/>
    <w:qFormat/>
    <w:rsid w:val="00BE2177"/>
    <w:pPr>
      <w:numPr>
        <w:ilvl w:val="5"/>
        <w:numId w:val="10"/>
      </w:numPr>
      <w:spacing w:after="180"/>
      <w:jc w:val="both"/>
    </w:pPr>
  </w:style>
  <w:style w:type="paragraph" w:customStyle="1" w:styleId="wList7">
    <w:name w:val="wList7"/>
    <w:basedOn w:val="Normal"/>
    <w:uiPriority w:val="7"/>
    <w:qFormat/>
    <w:rsid w:val="00BE2177"/>
    <w:pPr>
      <w:numPr>
        <w:ilvl w:val="6"/>
        <w:numId w:val="10"/>
      </w:numPr>
      <w:spacing w:after="180"/>
      <w:jc w:val="both"/>
    </w:pPr>
  </w:style>
  <w:style w:type="paragraph" w:customStyle="1" w:styleId="wNoTOC">
    <w:name w:val="wNoTOC"/>
    <w:basedOn w:val="Normal"/>
    <w:next w:val="wText1"/>
    <w:uiPriority w:val="18"/>
    <w:qFormat/>
    <w:rsid w:val="00CF5469"/>
    <w:pPr>
      <w:spacing w:after="180"/>
      <w:jc w:val="both"/>
    </w:pPr>
    <w:rPr>
      <w:rFonts w:eastAsiaTheme="minorHAnsi" w:cstheme="minorBidi"/>
    </w:rPr>
  </w:style>
  <w:style w:type="paragraph" w:customStyle="1" w:styleId="FooterSupressDocId">
    <w:name w:val="FooterSupressDocId"/>
    <w:basedOn w:val="Footer"/>
    <w:link w:val="FooterSupressDocIdChar"/>
    <w:rsid w:val="00C048A6"/>
  </w:style>
  <w:style w:type="character" w:customStyle="1" w:styleId="FooterSupressDocIdChar">
    <w:name w:val="FooterSupressDocId Char"/>
    <w:basedOn w:val="FooterChar"/>
    <w:link w:val="FooterSupressDocId"/>
    <w:rsid w:val="00C048A6"/>
    <w:rPr>
      <w:rFonts w:ascii="Times New Roman" w:eastAsia="Times New Roman" w:hAnsi="Times New Roman" w:cs="Times New Roman"/>
      <w:sz w:val="16"/>
      <w:szCs w:val="20"/>
      <w:lang w:val="en-GB" w:eastAsia="de-DE"/>
    </w:rPr>
  </w:style>
  <w:style w:type="paragraph" w:customStyle="1" w:styleId="wCentreB">
    <w:name w:val="wCentreB"/>
    <w:basedOn w:val="Normal"/>
    <w:uiPriority w:val="6"/>
    <w:qFormat/>
    <w:rsid w:val="00E14983"/>
    <w:pPr>
      <w:spacing w:after="180"/>
      <w:jc w:val="center"/>
    </w:pPr>
    <w:rPr>
      <w:rFonts w:cs="Traditional Arabic"/>
      <w:b/>
      <w:szCs w:val="26"/>
    </w:rPr>
  </w:style>
  <w:style w:type="paragraph" w:styleId="ListParagraph">
    <w:name w:val="List Paragraph"/>
    <w:basedOn w:val="Normal"/>
    <w:uiPriority w:val="43"/>
    <w:qFormat/>
    <w:rsid w:val="00A73003"/>
    <w:pPr>
      <w:ind w:left="720"/>
      <w:contextualSpacing/>
    </w:pPr>
  </w:style>
  <w:style w:type="character" w:customStyle="1" w:styleId="DraftLineWCChar">
    <w:name w:val="DraftLineW&amp;C Char"/>
    <w:link w:val="DraftLineWC"/>
    <w:uiPriority w:val="99"/>
    <w:semiHidden/>
    <w:locked/>
    <w:rsid w:val="005A2DD3"/>
    <w:rPr>
      <w:rFonts w:ascii="Times New Roman" w:eastAsia="Times New Roman" w:hAnsi="Times New Roman" w:cs="Times New Roman"/>
      <w:sz w:val="20"/>
      <w:szCs w:val="24"/>
      <w:lang w:val="en-GB"/>
    </w:rPr>
  </w:style>
  <w:style w:type="paragraph" w:customStyle="1" w:styleId="Appendix1">
    <w:name w:val="Appendix 1"/>
    <w:basedOn w:val="Normal"/>
    <w:next w:val="Appendix2"/>
    <w:uiPriority w:val="32"/>
    <w:qFormat/>
    <w:rsid w:val="002F7214"/>
    <w:pPr>
      <w:keepNext/>
      <w:keepLines/>
      <w:pageBreakBefore/>
      <w:numPr>
        <w:numId w:val="13"/>
      </w:numPr>
      <w:spacing w:after="360"/>
      <w:jc w:val="both"/>
    </w:pPr>
    <w:rPr>
      <w:rFonts w:ascii="Times New Roman Bold" w:hAnsi="Times New Roman Bold" w:cs="Times New Roman Bold"/>
      <w:b/>
      <w:bCs/>
      <w:sz w:val="26"/>
      <w:szCs w:val="26"/>
    </w:rPr>
  </w:style>
  <w:style w:type="paragraph" w:customStyle="1" w:styleId="Appendix2">
    <w:name w:val="Appendix 2"/>
    <w:basedOn w:val="Normal"/>
    <w:next w:val="Appendix3"/>
    <w:uiPriority w:val="32"/>
    <w:qFormat/>
    <w:rsid w:val="002F7214"/>
    <w:pPr>
      <w:keepNext/>
      <w:numPr>
        <w:ilvl w:val="1"/>
        <w:numId w:val="13"/>
      </w:numPr>
      <w:spacing w:after="240"/>
      <w:jc w:val="both"/>
    </w:pPr>
    <w:rPr>
      <w:b/>
      <w:bCs/>
    </w:rPr>
  </w:style>
  <w:style w:type="paragraph" w:customStyle="1" w:styleId="Appendix3">
    <w:name w:val="Appendix 3"/>
    <w:basedOn w:val="Normal"/>
    <w:next w:val="wText1"/>
    <w:uiPriority w:val="32"/>
    <w:qFormat/>
    <w:rsid w:val="002F7214"/>
    <w:pPr>
      <w:numPr>
        <w:ilvl w:val="2"/>
        <w:numId w:val="13"/>
      </w:numPr>
      <w:spacing w:after="180"/>
      <w:jc w:val="both"/>
    </w:pPr>
  </w:style>
  <w:style w:type="paragraph" w:customStyle="1" w:styleId="Appendix4">
    <w:name w:val="Appendix 4"/>
    <w:basedOn w:val="Normal"/>
    <w:next w:val="wText2"/>
    <w:uiPriority w:val="32"/>
    <w:qFormat/>
    <w:rsid w:val="002F7214"/>
    <w:pPr>
      <w:numPr>
        <w:ilvl w:val="3"/>
        <w:numId w:val="13"/>
      </w:numPr>
      <w:spacing w:after="180"/>
      <w:jc w:val="both"/>
    </w:pPr>
    <w:rPr>
      <w:iCs/>
    </w:rPr>
  </w:style>
  <w:style w:type="paragraph" w:customStyle="1" w:styleId="Appendix5">
    <w:name w:val="Appendix 5"/>
    <w:basedOn w:val="Normal"/>
    <w:uiPriority w:val="32"/>
    <w:qFormat/>
    <w:rsid w:val="002F7214"/>
    <w:pPr>
      <w:numPr>
        <w:ilvl w:val="4"/>
        <w:numId w:val="13"/>
      </w:numPr>
      <w:spacing w:after="180"/>
      <w:jc w:val="both"/>
    </w:pPr>
  </w:style>
  <w:style w:type="paragraph" w:customStyle="1" w:styleId="Appendix6">
    <w:name w:val="Appendix 6"/>
    <w:basedOn w:val="Normal"/>
    <w:uiPriority w:val="32"/>
    <w:qFormat/>
    <w:rsid w:val="002F7214"/>
    <w:pPr>
      <w:numPr>
        <w:ilvl w:val="5"/>
        <w:numId w:val="13"/>
      </w:numPr>
      <w:spacing w:after="180"/>
      <w:jc w:val="both"/>
    </w:pPr>
  </w:style>
  <w:style w:type="paragraph" w:customStyle="1" w:styleId="Appendix7">
    <w:name w:val="Appendix 7"/>
    <w:basedOn w:val="Normal"/>
    <w:uiPriority w:val="32"/>
    <w:qFormat/>
    <w:rsid w:val="002F7214"/>
    <w:pPr>
      <w:numPr>
        <w:ilvl w:val="6"/>
        <w:numId w:val="13"/>
      </w:numPr>
      <w:spacing w:after="180"/>
      <w:jc w:val="both"/>
    </w:pPr>
  </w:style>
  <w:style w:type="paragraph" w:customStyle="1" w:styleId="Appendix8">
    <w:name w:val="Appendix 8"/>
    <w:basedOn w:val="Normal"/>
    <w:uiPriority w:val="32"/>
    <w:qFormat/>
    <w:rsid w:val="002F7214"/>
    <w:pPr>
      <w:numPr>
        <w:ilvl w:val="7"/>
        <w:numId w:val="13"/>
      </w:numPr>
      <w:spacing w:after="180"/>
      <w:jc w:val="both"/>
    </w:pPr>
  </w:style>
  <w:style w:type="paragraph" w:customStyle="1" w:styleId="Appendix9">
    <w:name w:val="Appendix 9"/>
    <w:basedOn w:val="Normal"/>
    <w:uiPriority w:val="32"/>
    <w:qFormat/>
    <w:rsid w:val="002F7214"/>
    <w:pPr>
      <w:numPr>
        <w:ilvl w:val="8"/>
        <w:numId w:val="13"/>
      </w:numPr>
      <w:spacing w:after="18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540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WhiteCase\Word\w00.11.HouseStyle.dotm" TargetMode="External"/></Relationships>
</file>

<file path=word/theme/theme1.xml><?xml version="1.0" encoding="utf-8"?>
<a:theme xmlns:a="http://schemas.openxmlformats.org/drawingml/2006/main" name="Default Theme">
  <a:themeElements>
    <a:clrScheme name="White Rebrand Colors">
      <a:dk1>
        <a:srgbClr val="000000"/>
      </a:dk1>
      <a:lt1>
        <a:sysClr val="window" lastClr="FFFFFF"/>
      </a:lt1>
      <a:dk2>
        <a:srgbClr val="000000"/>
      </a:dk2>
      <a:lt2>
        <a:srgbClr val="FFFFFF"/>
      </a:lt2>
      <a:accent1>
        <a:srgbClr val="00A5D9"/>
      </a:accent1>
      <a:accent2>
        <a:srgbClr val="DCDDDE"/>
      </a:accent2>
      <a:accent3>
        <a:srgbClr val="46C0E5"/>
      </a:accent3>
      <a:accent4>
        <a:srgbClr val="AFB1B4"/>
      </a:accent4>
      <a:accent5>
        <a:srgbClr val="C5E7F7"/>
      </a:accent5>
      <a:accent6>
        <a:srgbClr val="808285"/>
      </a:accent6>
      <a:hlink>
        <a:srgbClr val="0000FF"/>
      </a:hlink>
      <a:folHlink>
        <a:srgbClr val="800080"/>
      </a:folHlink>
    </a:clrScheme>
    <a:fontScheme name="W&amp;C Standard">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noFill/>
        <a:ln w="12700">
          <a:solidFill>
            <a:schemeClr val="tx1"/>
          </a:solidFill>
          <a:headEnd type="none" w="med" len="med"/>
          <a:tailEnd type="none" w="med" len="med"/>
        </a:ln>
      </a:spPr>
      <a:bodyPr rot="0" spcFirstLastPara="0" vertOverflow="overflow" horzOverflow="overflow" vert="horz" wrap="square" lIns="0" tIns="45720" rIns="0" bIns="45720" numCol="1" spcCol="0" rtlCol="0" fromWordArt="0" anchor="ctr" anchorCtr="1" forceAA="0" compatLnSpc="1">
        <a:prstTxWarp prst="textNoShape">
          <a:avLst/>
        </a:prstTxWarp>
        <a:noAutofit/>
      </a:bodyPr>
      <a:lstStyle>
        <a:defPPr marL="0" marR="0" indent="0" algn="l" defTabSz="914400" rtl="0" eaLnBrk="1" fontAlgn="base" latinLnBrk="0" hangingPunct="1">
          <a:lnSpc>
            <a:spcPct val="100000"/>
          </a:lnSpc>
          <a:spcBef>
            <a:spcPct val="35000"/>
          </a:spcBef>
          <a:spcAft>
            <a:spcPct val="0"/>
          </a:spcAft>
          <a:buClr>
            <a:srgbClr val="00A5D9"/>
          </a:buClr>
          <a:buSzPct val="90000"/>
          <a:buFont typeface="Wingdings" charset="2"/>
          <a:buNone/>
          <a:tabLst>
            <a:tab pos="400050" algn="l"/>
          </a:tabLst>
          <a:defRPr kumimoji="0" sz="1200" b="0" i="0" u="none" strike="noStrike" cap="none" normalizeH="0" baseline="0" dirty="0" smtClean="0">
            <a:ln>
              <a:noFill/>
            </a:ln>
            <a:solidFill>
              <a:schemeClr val="tx1"/>
            </a:solidFill>
            <a:effectLst/>
            <a:latin typeface="Arial" charset="0"/>
            <a:ea typeface="Arial" charset="0"/>
            <a:cs typeface="Arial" charset="0"/>
          </a:defRPr>
        </a:defPPr>
      </a:lstStyle>
      <a:style>
        <a:lnRef idx="2">
          <a:schemeClr val="accent1"/>
        </a:lnRef>
        <a:fillRef idx="1">
          <a:schemeClr val="lt1"/>
        </a:fillRef>
        <a:effectRef idx="0">
          <a:schemeClr val="accent1"/>
        </a:effectRef>
        <a:fontRef idx="minor">
          <a:schemeClr val="dk1"/>
        </a:fontRef>
      </a:style>
    </a:spDef>
    <a:lnDef>
      <a:spPr bwMode="auto">
        <a:solidFill>
          <a:srgbClr val="3656AB"/>
        </a:solidFill>
        <a:ln w="12700" cap="flat" cmpd="sng" algn="ctr">
          <a:solidFill>
            <a:schemeClr val="tx1"/>
          </a:solidFill>
          <a:prstDash val="solid"/>
          <a:round/>
          <a:headEnd type="none" w="med" len="med"/>
          <a:tailEnd type="arrow"/>
        </a:ln>
        <a:effectLst/>
      </a:spPr>
      <a:bodyPr/>
      <a:lstStyle/>
    </a:lnDef>
  </a:objectDefaults>
  <a:extraClrSchemeLst>
    <a:extraClrScheme>
      <a:clrScheme name="Text pages 1">
        <a:dk1>
          <a:srgbClr val="000000"/>
        </a:dk1>
        <a:lt1>
          <a:srgbClr val="FFFFFF"/>
        </a:lt1>
        <a:dk2>
          <a:srgbClr val="DCDCDC"/>
        </a:dk2>
        <a:lt2>
          <a:srgbClr val="F8E5D6"/>
        </a:lt2>
        <a:accent1>
          <a:srgbClr val="D46F23"/>
        </a:accent1>
        <a:accent2>
          <a:srgbClr val="E28C4D"/>
        </a:accent2>
        <a:accent3>
          <a:srgbClr val="FFFFFF"/>
        </a:accent3>
        <a:accent4>
          <a:srgbClr val="000000"/>
        </a:accent4>
        <a:accent5>
          <a:srgbClr val="E6BBAC"/>
        </a:accent5>
        <a:accent6>
          <a:srgbClr val="CD7E45"/>
        </a:accent6>
        <a:hlink>
          <a:srgbClr val="E9A97A"/>
        </a:hlink>
        <a:folHlink>
          <a:srgbClr val="EFC19F"/>
        </a:folHlink>
      </a:clrScheme>
      <a:clrMap bg1="lt1" tx1="dk1" bg2="lt2" tx2="dk2" accent1="accent1" accent2="accent2" accent3="accent3" accent4="accent4" accent5="accent5" accent6="accent6" hlink="hlink" folHlink="folHlink"/>
    </a:extraClrScheme>
    <a:extraClrScheme>
      <a:clrScheme name="Text pages 2">
        <a:dk1>
          <a:srgbClr val="000000"/>
        </a:dk1>
        <a:lt1>
          <a:srgbClr val="FFFFFF"/>
        </a:lt1>
        <a:dk2>
          <a:srgbClr val="DCDCDC"/>
        </a:dk2>
        <a:lt2>
          <a:srgbClr val="9BD2FF"/>
        </a:lt2>
        <a:accent1>
          <a:srgbClr val="005DAA"/>
        </a:accent1>
        <a:accent2>
          <a:srgbClr val="0082EE"/>
        </a:accent2>
        <a:accent3>
          <a:srgbClr val="FFFFFF"/>
        </a:accent3>
        <a:accent4>
          <a:srgbClr val="000000"/>
        </a:accent4>
        <a:accent5>
          <a:srgbClr val="AAB6D2"/>
        </a:accent5>
        <a:accent6>
          <a:srgbClr val="0075D8"/>
        </a:accent6>
        <a:hlink>
          <a:srgbClr val="219BFF"/>
        </a:hlink>
        <a:folHlink>
          <a:srgbClr val="79C2FF"/>
        </a:folHlink>
      </a:clrScheme>
      <a:clrMap bg1="lt1" tx1="dk1" bg2="lt2" tx2="dk2" accent1="accent1" accent2="accent2" accent3="accent3" accent4="accent4" accent5="accent5" accent6="accent6" hlink="hlink" folHlink="folHlink"/>
    </a:extraClrScheme>
    <a:extraClrScheme>
      <a:clrScheme name="Text pages 3">
        <a:dk1>
          <a:srgbClr val="000000"/>
        </a:dk1>
        <a:lt1>
          <a:srgbClr val="FFFFFF"/>
        </a:lt1>
        <a:dk2>
          <a:srgbClr val="DCDCDC"/>
        </a:dk2>
        <a:lt2>
          <a:srgbClr val="B7DEFF"/>
        </a:lt2>
        <a:accent1>
          <a:srgbClr val="005DAA"/>
        </a:accent1>
        <a:accent2>
          <a:srgbClr val="1997FF"/>
        </a:accent2>
        <a:accent3>
          <a:srgbClr val="FFFFFF"/>
        </a:accent3>
        <a:accent4>
          <a:srgbClr val="000000"/>
        </a:accent4>
        <a:accent5>
          <a:srgbClr val="AAB6D2"/>
        </a:accent5>
        <a:accent6>
          <a:srgbClr val="1688E7"/>
        </a:accent6>
        <a:hlink>
          <a:srgbClr val="65B9FF"/>
        </a:hlink>
        <a:folHlink>
          <a:srgbClr val="93CEFF"/>
        </a:folHlink>
      </a:clrScheme>
      <a:clrMap bg1="lt1" tx1="dk1" bg2="lt2" tx2="dk2" accent1="accent1" accent2="accent2" accent3="accent3" accent4="accent4" accent5="accent5" accent6="accent6" hlink="hlink" folHlink="folHlink"/>
    </a:extraClrScheme>
    <a:extraClrScheme>
      <a:clrScheme name="Text pages 4">
        <a:dk1>
          <a:srgbClr val="000000"/>
        </a:dk1>
        <a:lt1>
          <a:srgbClr val="FFFFFF"/>
        </a:lt1>
        <a:dk2>
          <a:srgbClr val="C9CBCC"/>
        </a:dk2>
        <a:lt2>
          <a:srgbClr val="B7DEFF"/>
        </a:lt2>
        <a:accent1>
          <a:srgbClr val="005DAA"/>
        </a:accent1>
        <a:accent2>
          <a:srgbClr val="1997FF"/>
        </a:accent2>
        <a:accent3>
          <a:srgbClr val="FFFFFF"/>
        </a:accent3>
        <a:accent4>
          <a:srgbClr val="000000"/>
        </a:accent4>
        <a:accent5>
          <a:srgbClr val="AAB6D2"/>
        </a:accent5>
        <a:accent6>
          <a:srgbClr val="1688E7"/>
        </a:accent6>
        <a:hlink>
          <a:srgbClr val="65B9FF"/>
        </a:hlink>
        <a:folHlink>
          <a:srgbClr val="93CEFF"/>
        </a:folHlink>
      </a:clrScheme>
      <a:clrMap bg1="lt1" tx1="dk1" bg2="lt2" tx2="dk2" accent1="accent1" accent2="accent2" accent3="accent3" accent4="accent4" accent5="accent5" accent6="accent6" hlink="hlink" folHlink="folHlink"/>
    </a:extraClrScheme>
    <a:extraClrScheme>
      <a:clrScheme name="Text pages 5">
        <a:dk1>
          <a:srgbClr val="000000"/>
        </a:dk1>
        <a:lt1>
          <a:srgbClr val="FFFFFF"/>
        </a:lt1>
        <a:dk2>
          <a:srgbClr val="C9CBCC"/>
        </a:dk2>
        <a:lt2>
          <a:srgbClr val="B7DEFF"/>
        </a:lt2>
        <a:accent1>
          <a:srgbClr val="005DAA"/>
        </a:accent1>
        <a:accent2>
          <a:srgbClr val="00A5D9"/>
        </a:accent2>
        <a:accent3>
          <a:srgbClr val="FFFFFF"/>
        </a:accent3>
        <a:accent4>
          <a:srgbClr val="000000"/>
        </a:accent4>
        <a:accent5>
          <a:srgbClr val="AAB6D2"/>
        </a:accent5>
        <a:accent6>
          <a:srgbClr val="0095C4"/>
        </a:accent6>
        <a:hlink>
          <a:srgbClr val="00AF9E"/>
        </a:hlink>
        <a:folHlink>
          <a:srgbClr val="93CEFF"/>
        </a:folHlink>
      </a:clrScheme>
      <a:clrMap bg1="lt1" tx1="dk1" bg2="lt2" tx2="dk2" accent1="accent1" accent2="accent2" accent3="accent3" accent4="accent4" accent5="accent5" accent6="accent6" hlink="hlink" folHlink="folHlink"/>
    </a:extraClrScheme>
    <a:extraClrScheme>
      <a:clrScheme name="Text pages 6">
        <a:dk1>
          <a:srgbClr val="000000"/>
        </a:dk1>
        <a:lt1>
          <a:srgbClr val="FFFFFF"/>
        </a:lt1>
        <a:dk2>
          <a:srgbClr val="C9CBCC"/>
        </a:dk2>
        <a:lt2>
          <a:srgbClr val="6DB33F"/>
        </a:lt2>
        <a:accent1>
          <a:srgbClr val="005DAA"/>
        </a:accent1>
        <a:accent2>
          <a:srgbClr val="00AF9E"/>
        </a:accent2>
        <a:accent3>
          <a:srgbClr val="FFFFFF"/>
        </a:accent3>
        <a:accent4>
          <a:srgbClr val="000000"/>
        </a:accent4>
        <a:accent5>
          <a:srgbClr val="AAB6D2"/>
        </a:accent5>
        <a:accent6>
          <a:srgbClr val="009E8F"/>
        </a:accent6>
        <a:hlink>
          <a:srgbClr val="00A5D9"/>
        </a:hlink>
        <a:folHlink>
          <a:srgbClr val="93CEFF"/>
        </a:folHlink>
      </a:clrScheme>
      <a:clrMap bg1="lt1" tx1="dk1" bg2="lt2" tx2="dk2" accent1="accent1" accent2="accent2" accent3="accent3" accent4="accent4" accent5="accent5" accent6="accent6" hlink="hlink" folHlink="folHlink"/>
    </a:extraClrScheme>
    <a:extraClrScheme>
      <a:clrScheme name="Text pages 7">
        <a:dk1>
          <a:srgbClr val="000000"/>
        </a:dk1>
        <a:lt1>
          <a:srgbClr val="FFFFFF"/>
        </a:lt1>
        <a:dk2>
          <a:srgbClr val="C9CBCC"/>
        </a:dk2>
        <a:lt2>
          <a:srgbClr val="93CEFF"/>
        </a:lt2>
        <a:accent1>
          <a:srgbClr val="005DAA"/>
        </a:accent1>
        <a:accent2>
          <a:srgbClr val="00AF9E"/>
        </a:accent2>
        <a:accent3>
          <a:srgbClr val="FFFFFF"/>
        </a:accent3>
        <a:accent4>
          <a:srgbClr val="000000"/>
        </a:accent4>
        <a:accent5>
          <a:srgbClr val="AAB6D2"/>
        </a:accent5>
        <a:accent6>
          <a:srgbClr val="009E8F"/>
        </a:accent6>
        <a:hlink>
          <a:srgbClr val="00A5D9"/>
        </a:hlink>
        <a:folHlink>
          <a:srgbClr val="6DB33F"/>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6457C-2F1D-44AD-A5B5-DD298904C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w00.11.HouseStyle.dotm</Template>
  <TotalTime>1</TotalTime>
  <Pages>4</Pages>
  <Words>1357</Words>
  <Characters>7735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W&amp;C Standard Template</vt:lpstr>
    </vt:vector>
  </TitlesOfParts>
  <Company>White &amp; Case LLP</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W&amp;C Standard Template</dc:title>
  <dc:creator>Christian Holbrook</dc:creator>
  <cp:lastModifiedBy>W&amp;C User</cp:lastModifiedBy>
  <cp:revision>3</cp:revision>
  <dcterms:created xsi:type="dcterms:W3CDTF">2022-06-24T14:46:00Z</dcterms:created>
  <dcterms:modified xsi:type="dcterms:W3CDTF">2022-06-24T14:47:00Z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CFooterVersion">
    <vt:i4>1</vt:i4>
  </property>
  <property fmtid="{D5CDD505-2E9C-101B-9397-08002B2CF9AE}" pid="3" name="NewIn2000">
    <vt:bool>true</vt:bool>
  </property>
  <property fmtid="{D5CDD505-2E9C-101B-9397-08002B2CF9AE}" pid="4" name="NRT_DocNumber">
    <vt:lpwstr>132039094</vt:lpwstr>
  </property>
  <property fmtid="{D5CDD505-2E9C-101B-9397-08002B2CF9AE}" pid="5" name="NRT_DocVersion">
    <vt:lpwstr>2</vt:lpwstr>
  </property>
  <property fmtid="{D5CDD505-2E9C-101B-9397-08002B2CF9AE}" pid="6" name="NRT_DocName">
    <vt:lpwstr>Avast - AGM 2021 - Resolutions for NSM</vt:lpwstr>
  </property>
  <property fmtid="{D5CDD505-2E9C-101B-9397-08002B2CF9AE}" pid="7" name="NRT_AuthorDescription">
    <vt:lpwstr>Daws, Edwina</vt:lpwstr>
  </property>
  <property fmtid="{D5CDD505-2E9C-101B-9397-08002B2CF9AE}" pid="8" name="NRT_Author">
    <vt:lpwstr>DAWSEDW</vt:lpwstr>
  </property>
  <property fmtid="{D5CDD505-2E9C-101B-9397-08002B2CF9AE}" pid="9" name="NRT_Operator">
    <vt:lpwstr>dawsedw</vt:lpwstr>
  </property>
  <property fmtid="{D5CDD505-2E9C-101B-9397-08002B2CF9AE}" pid="10" name="NRT_Database">
    <vt:lpwstr>EMEA</vt:lpwstr>
  </property>
  <property fmtid="{D5CDD505-2E9C-101B-9397-08002B2CF9AE}" pid="11" name="NRT_ELITE_CLIENT">
    <vt:lpwstr>4450389</vt:lpwstr>
  </property>
  <property fmtid="{D5CDD505-2E9C-101B-9397-08002B2CF9AE}" pid="12" name="NRT_ELITE_MATTER">
    <vt:lpwstr>0003</vt:lpwstr>
  </property>
  <property fmtid="{D5CDD505-2E9C-101B-9397-08002B2CF9AE}" pid="13" name="WCOffice">
    <vt:lpwstr>London</vt:lpwstr>
  </property>
  <property fmtid="{D5CDD505-2E9C-101B-9397-08002B2CF9AE}" pid="14" name="Language1">
    <vt:lpwstr>English (UK)</vt:lpwstr>
  </property>
  <property fmtid="{D5CDD505-2E9C-101B-9397-08002B2CF9AE}" pid="15" name="Office">
    <vt:lpwstr>London</vt:lpwstr>
  </property>
  <property fmtid="{D5CDD505-2E9C-101B-9397-08002B2CF9AE}" pid="16" name="DateFormat">
    <vt:lpwstr>DAY MONTH YEAR</vt:lpwstr>
  </property>
  <property fmtid="{D5CDD505-2E9C-101B-9397-08002B2CF9AE}" pid="17" name="WC_LAST_MODIFIED">
    <vt:lpwstr>6/24/2022 3:46:31 PM</vt:lpwstr>
  </property>
  <property fmtid="{D5CDD505-2E9C-101B-9397-08002B2CF9AE}" pid="18" name="pDocRef">
    <vt:lpwstr>4450389-0003.DAWSEDW</vt:lpwstr>
  </property>
  <property fmtid="{D5CDD505-2E9C-101B-9397-08002B2CF9AE}" pid="19" name="pDocNumber">
    <vt:lpwstr>132039094_2 [EMEA]</vt:lpwstr>
  </property>
  <property fmtid="{D5CDD505-2E9C-101B-9397-08002B2CF9AE}" pid="20" name="DocID">
    <vt:i4>1</vt:i4>
  </property>
</Properties>
</file>