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6" w:rsidRDefault="00695689" w:rsidP="00BB10E6">
      <w:pPr>
        <w:autoSpaceDE w:val="0"/>
        <w:autoSpaceDN w:val="0"/>
        <w:adjustRightInd w:val="0"/>
        <w:spacing w:before="100" w:after="100" w:line="240" w:lineRule="auto"/>
        <w:rPr>
          <w:rFonts w:ascii="Times New Roman" w:hAnsi="Times New Roman" w:cs="Times New Roman"/>
        </w:rPr>
      </w:pPr>
      <w:r>
        <w:rPr>
          <w:rFonts w:ascii="Times New Roman" w:hAnsi="Times New Roman" w:cs="Times New Roman"/>
        </w:rPr>
        <w:t>22 March</w:t>
      </w:r>
      <w:r w:rsidR="00FC3950" w:rsidRPr="00AE541A">
        <w:rPr>
          <w:rFonts w:ascii="Times New Roman" w:hAnsi="Times New Roman" w:cs="Times New Roman"/>
        </w:rPr>
        <w:t xml:space="preserve"> 2021</w:t>
      </w:r>
    </w:p>
    <w:p w:rsidR="00931EB9" w:rsidRPr="00AE541A" w:rsidRDefault="00931EB9" w:rsidP="00BB10E6">
      <w:pPr>
        <w:autoSpaceDE w:val="0"/>
        <w:autoSpaceDN w:val="0"/>
        <w:adjustRightInd w:val="0"/>
        <w:spacing w:before="100" w:after="100" w:line="240" w:lineRule="auto"/>
        <w:rPr>
          <w:rFonts w:ascii="Times New Roman" w:hAnsi="Times New Roman" w:cs="Times New Roman"/>
        </w:rPr>
      </w:pPr>
    </w:p>
    <w:p w:rsidR="00FC3950" w:rsidRPr="00AE541A" w:rsidRDefault="00695689" w:rsidP="00FC3950">
      <w:pPr>
        <w:pStyle w:val="a"/>
        <w:spacing w:before="0" w:beforeAutospacing="0" w:after="0" w:afterAutospacing="0"/>
        <w:jc w:val="center"/>
        <w:rPr>
          <w:lang w:val="en"/>
        </w:rPr>
      </w:pPr>
      <w:r>
        <w:rPr>
          <w:rStyle w:val="Strong"/>
          <w:color w:val="212529"/>
          <w:lang w:val="en"/>
        </w:rPr>
        <w:t>GRES</w:t>
      </w:r>
      <w:r w:rsidR="00ED5FB9">
        <w:rPr>
          <w:rStyle w:val="Strong"/>
          <w:color w:val="212529"/>
          <w:lang w:val="en"/>
        </w:rPr>
        <w:t>HAM HOUSE RENEWABLE ENERGY VCT 1</w:t>
      </w:r>
      <w:r w:rsidR="00FC3950" w:rsidRPr="00AE541A">
        <w:rPr>
          <w:rStyle w:val="Strong"/>
          <w:color w:val="212529"/>
          <w:lang w:val="en"/>
        </w:rPr>
        <w:t xml:space="preserve"> PLC</w:t>
      </w:r>
      <w:r w:rsidR="00FC3950" w:rsidRPr="00AE541A">
        <w:rPr>
          <w:lang w:val="en"/>
        </w:rPr>
        <w:t xml:space="preserve"> </w:t>
      </w:r>
    </w:p>
    <w:p w:rsidR="00FC3950" w:rsidRDefault="00FC3950" w:rsidP="00FC3950">
      <w:pPr>
        <w:pStyle w:val="a"/>
        <w:spacing w:before="0" w:beforeAutospacing="0" w:after="0" w:afterAutospacing="0"/>
        <w:jc w:val="center"/>
        <w:rPr>
          <w:lang w:val="en"/>
        </w:rPr>
      </w:pPr>
      <w:r w:rsidRPr="00AE541A">
        <w:rPr>
          <w:lang w:val="en"/>
        </w:rPr>
        <w:t>(the “</w:t>
      </w:r>
      <w:r w:rsidRPr="00AE541A">
        <w:rPr>
          <w:b/>
          <w:lang w:val="en"/>
        </w:rPr>
        <w:t>Company</w:t>
      </w:r>
      <w:r w:rsidRPr="00AE541A">
        <w:rPr>
          <w:lang w:val="en"/>
        </w:rPr>
        <w:t>”)</w:t>
      </w:r>
    </w:p>
    <w:p w:rsidR="00AE541A" w:rsidRPr="00AE541A" w:rsidRDefault="00AE541A" w:rsidP="00FC3950">
      <w:pPr>
        <w:pStyle w:val="a"/>
        <w:spacing w:before="0" w:beforeAutospacing="0" w:after="0" w:afterAutospacing="0"/>
        <w:jc w:val="center"/>
        <w:rPr>
          <w:lang w:val="en"/>
        </w:rPr>
      </w:pPr>
    </w:p>
    <w:p w:rsidR="00BB10E6" w:rsidRPr="00AE541A" w:rsidRDefault="00BB10E6" w:rsidP="00BB10E6">
      <w:pPr>
        <w:autoSpaceDE w:val="0"/>
        <w:autoSpaceDN w:val="0"/>
        <w:adjustRightInd w:val="0"/>
        <w:spacing w:before="100" w:after="100" w:line="240" w:lineRule="auto"/>
        <w:jc w:val="center"/>
        <w:rPr>
          <w:rFonts w:ascii="Times New Roman" w:hAnsi="Times New Roman" w:cs="Times New Roman"/>
          <w:b/>
        </w:rPr>
      </w:pPr>
      <w:r w:rsidRPr="00AE541A">
        <w:rPr>
          <w:rFonts w:ascii="Times New Roman" w:hAnsi="Times New Roman" w:cs="Times New Roman"/>
          <w:b/>
        </w:rPr>
        <w:t xml:space="preserve">Result of </w:t>
      </w:r>
      <w:r w:rsidR="00FC3950" w:rsidRPr="00AE541A">
        <w:rPr>
          <w:rFonts w:ascii="Times New Roman" w:hAnsi="Times New Roman" w:cs="Times New Roman"/>
          <w:b/>
        </w:rPr>
        <w:t>2021</w:t>
      </w:r>
      <w:r w:rsidR="00051047" w:rsidRPr="00AE541A">
        <w:rPr>
          <w:rFonts w:ascii="Times New Roman" w:hAnsi="Times New Roman" w:cs="Times New Roman"/>
          <w:b/>
        </w:rPr>
        <w:t xml:space="preserve"> </w:t>
      </w:r>
      <w:r w:rsidRPr="00AE541A">
        <w:rPr>
          <w:rFonts w:ascii="Times New Roman" w:hAnsi="Times New Roman" w:cs="Times New Roman"/>
          <w:b/>
        </w:rPr>
        <w:t>Annual General Meeting</w:t>
      </w:r>
    </w:p>
    <w:p w:rsidR="00FC3950" w:rsidRPr="00AE541A" w:rsidRDefault="00FC3950" w:rsidP="00BB10E6">
      <w:pPr>
        <w:autoSpaceDE w:val="0"/>
        <w:autoSpaceDN w:val="0"/>
        <w:adjustRightInd w:val="0"/>
        <w:spacing w:before="100" w:after="100" w:line="240" w:lineRule="auto"/>
        <w:jc w:val="center"/>
        <w:rPr>
          <w:rFonts w:ascii="Times New Roman" w:hAnsi="Times New Roman" w:cs="Times New Roman"/>
          <w:b/>
        </w:rPr>
      </w:pPr>
    </w:p>
    <w:p w:rsidR="00FC3950" w:rsidRPr="00AE541A" w:rsidRDefault="00695689" w:rsidP="00FC3950">
      <w:pPr>
        <w:autoSpaceDE w:val="0"/>
        <w:autoSpaceDN w:val="0"/>
        <w:adjustRightInd w:val="0"/>
        <w:spacing w:before="100" w:after="100" w:line="240" w:lineRule="auto"/>
        <w:jc w:val="both"/>
        <w:rPr>
          <w:rFonts w:ascii="Times New Roman" w:hAnsi="Times New Roman" w:cs="Times New Roman"/>
        </w:rPr>
      </w:pPr>
      <w:r>
        <w:rPr>
          <w:rFonts w:ascii="Times New Roman" w:hAnsi="Times New Roman" w:cs="Times New Roman"/>
        </w:rPr>
        <w:t>Gres</w:t>
      </w:r>
      <w:r w:rsidR="00ED5FB9">
        <w:rPr>
          <w:rFonts w:ascii="Times New Roman" w:hAnsi="Times New Roman" w:cs="Times New Roman"/>
        </w:rPr>
        <w:t>ham House Renewable Energy VCT 1</w:t>
      </w:r>
      <w:r w:rsidR="00FC3950" w:rsidRPr="00AE541A">
        <w:rPr>
          <w:rFonts w:ascii="Times New Roman" w:hAnsi="Times New Roman" w:cs="Times New Roman"/>
        </w:rPr>
        <w:t xml:space="preserve"> plc, announces that at the Company's 2021 Annual General Meeting held today, all resolutions were passed </w:t>
      </w:r>
      <w:r w:rsidR="00AF09E7" w:rsidRPr="00AE541A">
        <w:rPr>
          <w:rFonts w:ascii="Times New Roman" w:hAnsi="Times New Roman" w:cs="Times New Roman"/>
        </w:rPr>
        <w:t>by way of a poll</w:t>
      </w:r>
      <w:r w:rsidR="00FC3950" w:rsidRPr="00AE541A">
        <w:rPr>
          <w:rFonts w:ascii="Times New Roman" w:hAnsi="Times New Roman" w:cs="Times New Roman"/>
        </w:rPr>
        <w:t xml:space="preserve"> and the results of the</w:t>
      </w:r>
      <w:r w:rsidR="00802226">
        <w:rPr>
          <w:rFonts w:ascii="Times New Roman" w:hAnsi="Times New Roman" w:cs="Times New Roman"/>
        </w:rPr>
        <w:t xml:space="preserve"> poll, including the</w:t>
      </w:r>
      <w:r w:rsidR="00FC3950" w:rsidRPr="00AE541A">
        <w:rPr>
          <w:rFonts w:ascii="Times New Roman" w:hAnsi="Times New Roman" w:cs="Times New Roman"/>
        </w:rPr>
        <w:t xml:space="preserve"> proxy votes received</w:t>
      </w:r>
      <w:r w:rsidR="00802226">
        <w:rPr>
          <w:rFonts w:ascii="Times New Roman" w:hAnsi="Times New Roman" w:cs="Times New Roman"/>
        </w:rPr>
        <w:t>,</w:t>
      </w:r>
      <w:r w:rsidR="00FC3950" w:rsidRPr="00AE541A">
        <w:rPr>
          <w:rFonts w:ascii="Times New Roman" w:hAnsi="Times New Roman" w:cs="Times New Roman"/>
        </w:rPr>
        <w:t xml:space="preserve"> are set out below.</w:t>
      </w:r>
    </w:p>
    <w:p w:rsidR="009D6D67" w:rsidRDefault="00FC3950" w:rsidP="00FC3950">
      <w:pPr>
        <w:autoSpaceDE w:val="0"/>
        <w:autoSpaceDN w:val="0"/>
        <w:adjustRightInd w:val="0"/>
        <w:spacing w:before="100" w:after="100" w:line="240" w:lineRule="auto"/>
        <w:jc w:val="both"/>
        <w:rPr>
          <w:rFonts w:ascii="Times New Roman" w:hAnsi="Times New Roman" w:cs="Times New Roman"/>
        </w:rPr>
      </w:pPr>
      <w:r w:rsidRPr="00AE541A">
        <w:rPr>
          <w:rFonts w:ascii="Times New Roman" w:hAnsi="Times New Roman" w:cs="Times New Roman"/>
        </w:rPr>
        <w:t xml:space="preserve">Resolutions 1 to </w:t>
      </w:r>
      <w:r w:rsidR="00ED5FB9">
        <w:rPr>
          <w:rFonts w:ascii="Times New Roman" w:hAnsi="Times New Roman" w:cs="Times New Roman"/>
        </w:rPr>
        <w:t xml:space="preserve">5 </w:t>
      </w:r>
      <w:r w:rsidRPr="00AE541A">
        <w:rPr>
          <w:rFonts w:ascii="Times New Roman" w:hAnsi="Times New Roman" w:cs="Times New Roman"/>
        </w:rPr>
        <w:t xml:space="preserve">(inclusive) were proposed as ordinary resolutions and resolutions </w:t>
      </w:r>
      <w:r w:rsidR="00ED5FB9">
        <w:rPr>
          <w:rFonts w:ascii="Times New Roman" w:hAnsi="Times New Roman" w:cs="Times New Roman"/>
        </w:rPr>
        <w:t>6</w:t>
      </w:r>
      <w:r w:rsidRPr="00AE541A">
        <w:rPr>
          <w:rFonts w:ascii="Times New Roman" w:hAnsi="Times New Roman" w:cs="Times New Roman"/>
        </w:rPr>
        <w:t xml:space="preserve"> </w:t>
      </w:r>
      <w:r w:rsidR="00695689">
        <w:rPr>
          <w:rFonts w:ascii="Times New Roman" w:hAnsi="Times New Roman" w:cs="Times New Roman"/>
        </w:rPr>
        <w:t xml:space="preserve">and </w:t>
      </w:r>
      <w:r w:rsidR="00ED5FB9">
        <w:rPr>
          <w:rFonts w:ascii="Times New Roman" w:hAnsi="Times New Roman" w:cs="Times New Roman"/>
        </w:rPr>
        <w:t>7</w:t>
      </w:r>
      <w:r w:rsidR="00695689">
        <w:rPr>
          <w:rFonts w:ascii="Times New Roman" w:hAnsi="Times New Roman" w:cs="Times New Roman"/>
        </w:rPr>
        <w:t xml:space="preserve"> </w:t>
      </w:r>
      <w:r w:rsidRPr="00AE541A">
        <w:rPr>
          <w:rFonts w:ascii="Times New Roman" w:hAnsi="Times New Roman" w:cs="Times New Roman"/>
        </w:rPr>
        <w:t>were proposed as special resolutions.</w:t>
      </w:r>
    </w:p>
    <w:p w:rsidR="009D6D67" w:rsidRPr="00AE541A" w:rsidRDefault="009D6D67" w:rsidP="00FC3950">
      <w:pPr>
        <w:autoSpaceDE w:val="0"/>
        <w:autoSpaceDN w:val="0"/>
        <w:adjustRightInd w:val="0"/>
        <w:spacing w:before="100" w:after="100" w:line="240" w:lineRule="auto"/>
        <w:jc w:val="both"/>
        <w:rPr>
          <w:rFonts w:ascii="Times New Roman" w:hAnsi="Times New Roman" w:cs="Times New Roman"/>
        </w:rPr>
      </w:pPr>
      <w:r w:rsidRPr="009D6D67">
        <w:rPr>
          <w:rFonts w:ascii="Times New Roman" w:hAnsi="Times New Roman" w:cs="Times New Roman"/>
        </w:rPr>
        <w:t xml:space="preserve">In accordance with Listing Rule 9.6.2 copies of all the resolutions passed, other than ordinary business, will be submitted to the National Storage Mechanism and will shortly be available for inspection at </w:t>
      </w:r>
      <w:hyperlink r:id="rId4" w:anchor="/nsm/nationalstoragemechanism" w:history="1">
        <w:r w:rsidR="00B32998" w:rsidRPr="00B32998">
          <w:rPr>
            <w:rStyle w:val="Hyperlink"/>
            <w:rFonts w:ascii="Times New Roman" w:hAnsi="Times New Roman" w:cs="Times New Roman"/>
          </w:rPr>
          <w:t>https://data.fca.org.uk/#/nsm/nationalstoragemechanism</w:t>
        </w:r>
      </w:hyperlink>
      <w:r w:rsidR="00B32998">
        <w:rPr>
          <w:rFonts w:ascii="Times New Roman" w:hAnsi="Times New Roman" w:cs="Times New Roman"/>
        </w:rPr>
        <w:t>.</w:t>
      </w:r>
    </w:p>
    <w:tbl>
      <w:tblPr>
        <w:tblpPr w:leftFromText="180" w:rightFromText="180" w:vertAnchor="text" w:horzAnchor="margin" w:tblpXSpec="center" w:tblpY="418"/>
        <w:tblW w:w="5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57"/>
        <w:gridCol w:w="1582"/>
        <w:gridCol w:w="566"/>
        <w:gridCol w:w="1560"/>
        <w:gridCol w:w="568"/>
        <w:gridCol w:w="1564"/>
        <w:gridCol w:w="1269"/>
        <w:gridCol w:w="1215"/>
      </w:tblGrid>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ind w:left="-397" w:right="-11"/>
              <w:rPr>
                <w:rFonts w:ascii="Times New Roman" w:eastAsia="Calibri" w:hAnsi="Times New Roman" w:cs="Times New Roman"/>
              </w:rPr>
            </w:pP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Resolution</w:t>
            </w:r>
          </w:p>
        </w:tc>
        <w:tc>
          <w:tcPr>
            <w:tcW w:w="729"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Votes For*</w:t>
            </w:r>
          </w:p>
        </w:tc>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w:t>
            </w:r>
          </w:p>
        </w:tc>
        <w:tc>
          <w:tcPr>
            <w:tcW w:w="719"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Votes Against</w:t>
            </w:r>
          </w:p>
        </w:tc>
        <w:tc>
          <w:tcPr>
            <w:tcW w:w="26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w:t>
            </w:r>
          </w:p>
        </w:tc>
        <w:tc>
          <w:tcPr>
            <w:tcW w:w="72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Total votes validly cast</w:t>
            </w:r>
          </w:p>
        </w:tc>
        <w:tc>
          <w:tcPr>
            <w:tcW w:w="585"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Total votes cast as % of issued share capital</w:t>
            </w:r>
          </w:p>
        </w:tc>
        <w:tc>
          <w:tcPr>
            <w:tcW w:w="560"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Vote Withheld **</w:t>
            </w:r>
          </w:p>
        </w:tc>
      </w:tr>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1</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R</w:t>
            </w:r>
            <w:r w:rsidRPr="00695689">
              <w:rPr>
                <w:rFonts w:ascii="Times New Roman" w:eastAsia="Calibri" w:hAnsi="Times New Roman" w:cs="Times New Roman"/>
              </w:rPr>
              <w:t>eceive and adopt the Directors’ Report and Accounts.</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035523">
              <w:rPr>
                <w:rFonts w:ascii="Times New Roman" w:eastAsia="Calibri" w:hAnsi="Times New Roman" w:cs="Times New Roman"/>
              </w:rPr>
              <w:t>7,031,854,457</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100</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c>
          <w:tcPr>
            <w:tcW w:w="721"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7,031,854,457</w:t>
            </w:r>
          </w:p>
        </w:tc>
        <w:tc>
          <w:tcPr>
            <w:tcW w:w="585" w:type="pct"/>
            <w:shd w:val="clear" w:color="auto" w:fill="auto"/>
            <w:vAlign w:val="center"/>
          </w:tcPr>
          <w:p w:rsidR="0003025B" w:rsidRPr="00D94B0F" w:rsidRDefault="002B114E" w:rsidP="007328E6">
            <w:pPr>
              <w:jc w:val="center"/>
              <w:rPr>
                <w:rFonts w:ascii="Times New Roman" w:eastAsia="Calibri" w:hAnsi="Times New Roman" w:cs="Times New Roman"/>
              </w:rPr>
            </w:pPr>
            <w:r>
              <w:rPr>
                <w:rFonts w:ascii="Times New Roman" w:eastAsia="Calibri" w:hAnsi="Times New Roman" w:cs="Times New Roman"/>
              </w:rPr>
              <w:t>27.08</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r>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2</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A</w:t>
            </w:r>
            <w:r w:rsidRPr="00695689">
              <w:rPr>
                <w:rFonts w:ascii="Times New Roman" w:eastAsia="Calibri" w:hAnsi="Times New Roman" w:cs="Times New Roman"/>
              </w:rPr>
              <w:t>pprove the Directors’ Remuneration Report</w:t>
            </w:r>
            <w:r>
              <w:rPr>
                <w:rFonts w:ascii="Times New Roman" w:eastAsia="Calibri" w:hAnsi="Times New Roman" w:cs="Times New Roman"/>
              </w:rPr>
              <w:t>.</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035523">
              <w:rPr>
                <w:rFonts w:ascii="Times New Roman" w:eastAsia="Calibri" w:hAnsi="Times New Roman" w:cs="Times New Roman"/>
              </w:rPr>
              <w:t>6,818,956,772</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97</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267DBC">
              <w:rPr>
                <w:rFonts w:ascii="Times New Roman" w:eastAsia="Calibri" w:hAnsi="Times New Roman" w:cs="Times New Roman"/>
              </w:rPr>
              <w:t>212</w:t>
            </w:r>
            <w:r>
              <w:rPr>
                <w:rFonts w:ascii="Times New Roman" w:eastAsia="Calibri" w:hAnsi="Times New Roman" w:cs="Times New Roman"/>
              </w:rPr>
              <w:t>,</w:t>
            </w:r>
            <w:r w:rsidRPr="00267DBC">
              <w:rPr>
                <w:rFonts w:ascii="Times New Roman" w:eastAsia="Calibri" w:hAnsi="Times New Roman" w:cs="Times New Roman"/>
              </w:rPr>
              <w:t>897</w:t>
            </w:r>
            <w:r>
              <w:rPr>
                <w:rFonts w:ascii="Times New Roman" w:eastAsia="Calibri" w:hAnsi="Times New Roman" w:cs="Times New Roman"/>
              </w:rPr>
              <w:t>,</w:t>
            </w:r>
            <w:r w:rsidRPr="00267DBC">
              <w:rPr>
                <w:rFonts w:ascii="Times New Roman" w:eastAsia="Calibri" w:hAnsi="Times New Roman" w:cs="Times New Roman"/>
              </w:rPr>
              <w:t>685</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3</w:t>
            </w:r>
          </w:p>
        </w:tc>
        <w:tc>
          <w:tcPr>
            <w:tcW w:w="721"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7,031,854,457</w:t>
            </w:r>
          </w:p>
        </w:tc>
        <w:tc>
          <w:tcPr>
            <w:tcW w:w="585" w:type="pct"/>
            <w:shd w:val="clear" w:color="auto" w:fill="auto"/>
            <w:vAlign w:val="center"/>
          </w:tcPr>
          <w:p w:rsidR="0003025B" w:rsidRPr="00D94B0F" w:rsidRDefault="002B114E" w:rsidP="007328E6">
            <w:pPr>
              <w:jc w:val="center"/>
              <w:rPr>
                <w:rFonts w:ascii="Times New Roman" w:eastAsia="Calibri" w:hAnsi="Times New Roman" w:cs="Times New Roman"/>
              </w:rPr>
            </w:pPr>
            <w:r>
              <w:rPr>
                <w:rFonts w:ascii="Times New Roman" w:eastAsia="Calibri" w:hAnsi="Times New Roman" w:cs="Times New Roman"/>
              </w:rPr>
              <w:t>27.08</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r>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3</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R</w:t>
            </w:r>
            <w:r w:rsidRPr="00695689">
              <w:rPr>
                <w:rFonts w:ascii="Times New Roman" w:eastAsia="Calibri" w:hAnsi="Times New Roman" w:cs="Times New Roman"/>
              </w:rPr>
              <w:t>e-appoint B</w:t>
            </w:r>
            <w:r>
              <w:rPr>
                <w:rFonts w:ascii="Times New Roman" w:eastAsia="Calibri" w:hAnsi="Times New Roman" w:cs="Times New Roman"/>
              </w:rPr>
              <w:t>DO LLP as the Company’s auditor.</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267DBC">
              <w:rPr>
                <w:rFonts w:ascii="Times New Roman" w:eastAsia="Calibri" w:hAnsi="Times New Roman" w:cs="Times New Roman"/>
              </w:rPr>
              <w:t>7,031,854,457</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100</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c>
          <w:tcPr>
            <w:tcW w:w="721"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7,031,854,457</w:t>
            </w:r>
          </w:p>
        </w:tc>
        <w:tc>
          <w:tcPr>
            <w:tcW w:w="585" w:type="pct"/>
            <w:shd w:val="clear" w:color="auto" w:fill="auto"/>
            <w:vAlign w:val="center"/>
          </w:tcPr>
          <w:p w:rsidR="0003025B" w:rsidRPr="00D94B0F" w:rsidRDefault="002B114E" w:rsidP="007328E6">
            <w:pPr>
              <w:jc w:val="center"/>
              <w:rPr>
                <w:rFonts w:ascii="Times New Roman" w:eastAsia="Calibri" w:hAnsi="Times New Roman" w:cs="Times New Roman"/>
              </w:rPr>
            </w:pPr>
            <w:r>
              <w:rPr>
                <w:rFonts w:ascii="Times New Roman" w:eastAsia="Calibri" w:hAnsi="Times New Roman" w:cs="Times New Roman"/>
              </w:rPr>
              <w:t>27.08</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r>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sidRPr="00D94B0F">
              <w:rPr>
                <w:rFonts w:ascii="Times New Roman" w:eastAsia="Calibri" w:hAnsi="Times New Roman" w:cs="Times New Roman"/>
              </w:rPr>
              <w:t>4</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A</w:t>
            </w:r>
            <w:r w:rsidRPr="00695689">
              <w:rPr>
                <w:rFonts w:ascii="Times New Roman" w:eastAsia="Calibri" w:hAnsi="Times New Roman" w:cs="Times New Roman"/>
              </w:rPr>
              <w:t>uthorise the Directors to determine the auditor’s remuneration.</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267DBC">
              <w:rPr>
                <w:rFonts w:ascii="Times New Roman" w:eastAsia="Calibri" w:hAnsi="Times New Roman" w:cs="Times New Roman"/>
              </w:rPr>
              <w:t>6,908,992,718</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98</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c>
          <w:tcPr>
            <w:tcW w:w="721" w:type="pct"/>
            <w:shd w:val="clear" w:color="auto" w:fill="auto"/>
            <w:vAlign w:val="center"/>
          </w:tcPr>
          <w:p w:rsidR="0003025B" w:rsidRPr="00D94B0F" w:rsidRDefault="00B83FAC" w:rsidP="00B83FAC">
            <w:pPr>
              <w:jc w:val="center"/>
              <w:rPr>
                <w:rFonts w:ascii="Times New Roman" w:eastAsia="Calibri" w:hAnsi="Times New Roman" w:cs="Times New Roman"/>
              </w:rPr>
            </w:pPr>
            <w:r>
              <w:rPr>
                <w:rFonts w:ascii="Times New Roman" w:eastAsia="Calibri" w:hAnsi="Times New Roman" w:cs="Times New Roman"/>
              </w:rPr>
              <w:t>6,908,992,718</w:t>
            </w:r>
            <w:bookmarkStart w:id="0" w:name="_GoBack"/>
            <w:bookmarkEnd w:id="0"/>
          </w:p>
        </w:tc>
        <w:tc>
          <w:tcPr>
            <w:tcW w:w="585" w:type="pct"/>
            <w:shd w:val="clear" w:color="auto" w:fill="auto"/>
            <w:vAlign w:val="center"/>
          </w:tcPr>
          <w:p w:rsidR="0003025B" w:rsidRPr="00D94B0F" w:rsidRDefault="00B83FAC" w:rsidP="007328E6">
            <w:pPr>
              <w:jc w:val="center"/>
              <w:rPr>
                <w:rFonts w:ascii="Times New Roman" w:eastAsia="Calibri" w:hAnsi="Times New Roman" w:cs="Times New Roman"/>
              </w:rPr>
            </w:pPr>
            <w:r>
              <w:rPr>
                <w:rFonts w:ascii="Times New Roman" w:eastAsia="Calibri" w:hAnsi="Times New Roman" w:cs="Times New Roman"/>
              </w:rPr>
              <w:t>27.04</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122</w:t>
            </w:r>
            <w:r w:rsidR="002B114E">
              <w:rPr>
                <w:rFonts w:ascii="Times New Roman" w:eastAsia="Calibri" w:hAnsi="Times New Roman" w:cs="Times New Roman"/>
              </w:rPr>
              <w:t>,</w:t>
            </w:r>
            <w:r w:rsidRPr="00707E81">
              <w:rPr>
                <w:rFonts w:ascii="Times New Roman" w:eastAsia="Calibri" w:hAnsi="Times New Roman" w:cs="Times New Roman"/>
              </w:rPr>
              <w:t>861</w:t>
            </w:r>
            <w:r w:rsidR="002B114E">
              <w:rPr>
                <w:rFonts w:ascii="Times New Roman" w:eastAsia="Calibri" w:hAnsi="Times New Roman" w:cs="Times New Roman"/>
              </w:rPr>
              <w:t>,</w:t>
            </w:r>
            <w:r w:rsidRPr="00707E81">
              <w:rPr>
                <w:rFonts w:ascii="Times New Roman" w:eastAsia="Calibri" w:hAnsi="Times New Roman" w:cs="Times New Roman"/>
              </w:rPr>
              <w:t>739</w:t>
            </w:r>
          </w:p>
        </w:tc>
      </w:tr>
      <w:tr w:rsidR="0003025B" w:rsidRPr="00D94B0F" w:rsidTr="007328E6">
        <w:trPr>
          <w:trHeight w:val="416"/>
        </w:trPr>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5</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A</w:t>
            </w:r>
            <w:r w:rsidRPr="00695689">
              <w:rPr>
                <w:rFonts w:ascii="Times New Roman" w:eastAsia="Calibri" w:hAnsi="Times New Roman" w:cs="Times New Roman"/>
              </w:rPr>
              <w:t xml:space="preserve">pprove the continuation of the Company as a venture capital trust, for a further </w:t>
            </w:r>
            <w:r w:rsidRPr="00695689">
              <w:rPr>
                <w:rFonts w:ascii="Times New Roman" w:eastAsia="Calibri" w:hAnsi="Times New Roman" w:cs="Times New Roman"/>
              </w:rPr>
              <w:lastRenderedPageBreak/>
              <w:t>five year period, be approved.</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035523">
              <w:rPr>
                <w:rFonts w:ascii="Times New Roman" w:eastAsia="Calibri" w:hAnsi="Times New Roman" w:cs="Times New Roman"/>
              </w:rPr>
              <w:lastRenderedPageBreak/>
              <w:t>3,559,549,936</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51</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267DBC">
              <w:rPr>
                <w:rFonts w:ascii="Times New Roman" w:eastAsia="Calibri" w:hAnsi="Times New Roman" w:cs="Times New Roman"/>
              </w:rPr>
              <w:t>3</w:t>
            </w:r>
            <w:r>
              <w:rPr>
                <w:rFonts w:ascii="Times New Roman" w:eastAsia="Calibri" w:hAnsi="Times New Roman" w:cs="Times New Roman"/>
              </w:rPr>
              <w:t>,</w:t>
            </w:r>
            <w:r w:rsidRPr="00267DBC">
              <w:rPr>
                <w:rFonts w:ascii="Times New Roman" w:eastAsia="Calibri" w:hAnsi="Times New Roman" w:cs="Times New Roman"/>
              </w:rPr>
              <w:t>472</w:t>
            </w:r>
            <w:r>
              <w:rPr>
                <w:rFonts w:ascii="Times New Roman" w:eastAsia="Calibri" w:hAnsi="Times New Roman" w:cs="Times New Roman"/>
              </w:rPr>
              <w:t>,</w:t>
            </w:r>
            <w:r w:rsidRPr="00267DBC">
              <w:rPr>
                <w:rFonts w:ascii="Times New Roman" w:eastAsia="Calibri" w:hAnsi="Times New Roman" w:cs="Times New Roman"/>
              </w:rPr>
              <w:t>304</w:t>
            </w:r>
            <w:r>
              <w:rPr>
                <w:rFonts w:ascii="Times New Roman" w:eastAsia="Calibri" w:hAnsi="Times New Roman" w:cs="Times New Roman"/>
              </w:rPr>
              <w:t>,</w:t>
            </w:r>
            <w:r w:rsidRPr="00267DBC">
              <w:rPr>
                <w:rFonts w:ascii="Times New Roman" w:eastAsia="Calibri" w:hAnsi="Times New Roman" w:cs="Times New Roman"/>
              </w:rPr>
              <w:t>521</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49</w:t>
            </w:r>
          </w:p>
        </w:tc>
        <w:tc>
          <w:tcPr>
            <w:tcW w:w="721"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7,031,854,457</w:t>
            </w:r>
          </w:p>
        </w:tc>
        <w:tc>
          <w:tcPr>
            <w:tcW w:w="585" w:type="pct"/>
            <w:shd w:val="clear" w:color="auto" w:fill="auto"/>
            <w:vAlign w:val="center"/>
          </w:tcPr>
          <w:p w:rsidR="0003025B" w:rsidRPr="00D94B0F" w:rsidRDefault="002B114E" w:rsidP="007328E6">
            <w:pPr>
              <w:jc w:val="center"/>
              <w:rPr>
                <w:rFonts w:ascii="Times New Roman" w:eastAsia="Calibri" w:hAnsi="Times New Roman" w:cs="Times New Roman"/>
              </w:rPr>
            </w:pPr>
            <w:r>
              <w:rPr>
                <w:rFonts w:ascii="Times New Roman" w:eastAsia="Calibri" w:hAnsi="Times New Roman" w:cs="Times New Roman"/>
              </w:rPr>
              <w:t>27.08</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r>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6</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A</w:t>
            </w:r>
            <w:r w:rsidRPr="00695689">
              <w:rPr>
                <w:rFonts w:ascii="Times New Roman" w:eastAsia="Calibri" w:hAnsi="Times New Roman" w:cs="Times New Roman"/>
              </w:rPr>
              <w:t>uthorise the Company to make market purchases of its shares.</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035523">
              <w:rPr>
                <w:rFonts w:ascii="Times New Roman" w:eastAsia="Calibri" w:hAnsi="Times New Roman" w:cs="Times New Roman"/>
              </w:rPr>
              <w:t>6,771,540,403</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96</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267DBC">
              <w:rPr>
                <w:rFonts w:ascii="Times New Roman" w:eastAsia="Calibri" w:hAnsi="Times New Roman" w:cs="Times New Roman"/>
              </w:rPr>
              <w:t>260</w:t>
            </w:r>
            <w:r>
              <w:rPr>
                <w:rFonts w:ascii="Times New Roman" w:eastAsia="Calibri" w:hAnsi="Times New Roman" w:cs="Times New Roman"/>
              </w:rPr>
              <w:t>,</w:t>
            </w:r>
            <w:r w:rsidRPr="00267DBC">
              <w:rPr>
                <w:rFonts w:ascii="Times New Roman" w:eastAsia="Calibri" w:hAnsi="Times New Roman" w:cs="Times New Roman"/>
              </w:rPr>
              <w:t>314</w:t>
            </w:r>
            <w:r>
              <w:rPr>
                <w:rFonts w:ascii="Times New Roman" w:eastAsia="Calibri" w:hAnsi="Times New Roman" w:cs="Times New Roman"/>
              </w:rPr>
              <w:t>,</w:t>
            </w:r>
            <w:r w:rsidRPr="00267DBC">
              <w:rPr>
                <w:rFonts w:ascii="Times New Roman" w:eastAsia="Calibri" w:hAnsi="Times New Roman" w:cs="Times New Roman"/>
              </w:rPr>
              <w:t>054</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4</w:t>
            </w:r>
          </w:p>
        </w:tc>
        <w:tc>
          <w:tcPr>
            <w:tcW w:w="721"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7,031,854,457</w:t>
            </w:r>
          </w:p>
        </w:tc>
        <w:tc>
          <w:tcPr>
            <w:tcW w:w="585" w:type="pct"/>
            <w:shd w:val="clear" w:color="auto" w:fill="auto"/>
            <w:vAlign w:val="center"/>
          </w:tcPr>
          <w:p w:rsidR="0003025B" w:rsidRPr="00D94B0F" w:rsidRDefault="002B114E" w:rsidP="007328E6">
            <w:pPr>
              <w:jc w:val="center"/>
              <w:rPr>
                <w:rFonts w:ascii="Times New Roman" w:eastAsia="Calibri" w:hAnsi="Times New Roman" w:cs="Times New Roman"/>
              </w:rPr>
            </w:pPr>
            <w:r>
              <w:rPr>
                <w:rFonts w:ascii="Times New Roman" w:eastAsia="Calibri" w:hAnsi="Times New Roman" w:cs="Times New Roman"/>
              </w:rPr>
              <w:t>27.08</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r>
      <w:tr w:rsidR="0003025B" w:rsidRPr="00D94B0F" w:rsidTr="007328E6">
        <w:tc>
          <w:tcPr>
            <w:tcW w:w="261"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7</w:t>
            </w:r>
          </w:p>
        </w:tc>
        <w:tc>
          <w:tcPr>
            <w:tcW w:w="902" w:type="pct"/>
            <w:shd w:val="clear" w:color="auto" w:fill="auto"/>
          </w:tcPr>
          <w:p w:rsidR="0003025B" w:rsidRPr="00D94B0F" w:rsidRDefault="0003025B" w:rsidP="007328E6">
            <w:pPr>
              <w:autoSpaceDE w:val="0"/>
              <w:autoSpaceDN w:val="0"/>
              <w:adjustRightInd w:val="0"/>
              <w:spacing w:before="100" w:after="100"/>
              <w:rPr>
                <w:rFonts w:ascii="Times New Roman" w:eastAsia="Calibri" w:hAnsi="Times New Roman" w:cs="Times New Roman"/>
              </w:rPr>
            </w:pPr>
            <w:r>
              <w:rPr>
                <w:rFonts w:ascii="Times New Roman" w:eastAsia="Calibri" w:hAnsi="Times New Roman" w:cs="Times New Roman"/>
              </w:rPr>
              <w:t>A</w:t>
            </w:r>
            <w:r w:rsidRPr="00695689">
              <w:rPr>
                <w:rFonts w:ascii="Times New Roman" w:eastAsia="Calibri" w:hAnsi="Times New Roman" w:cs="Times New Roman"/>
              </w:rPr>
              <w:t>uthorise the Directors to call a general meeting, other than an annual general meeting, on not less than 14 clear days’ notice.</w:t>
            </w:r>
          </w:p>
        </w:tc>
        <w:tc>
          <w:tcPr>
            <w:tcW w:w="72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035523">
              <w:rPr>
                <w:rFonts w:ascii="Times New Roman" w:eastAsia="Calibri" w:hAnsi="Times New Roman" w:cs="Times New Roman"/>
              </w:rPr>
              <w:t>6,229,196,601</w:t>
            </w:r>
          </w:p>
        </w:tc>
        <w:tc>
          <w:tcPr>
            <w:tcW w:w="261"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89</w:t>
            </w:r>
          </w:p>
        </w:tc>
        <w:tc>
          <w:tcPr>
            <w:tcW w:w="719" w:type="pct"/>
            <w:shd w:val="clear" w:color="auto" w:fill="auto"/>
            <w:vAlign w:val="center"/>
          </w:tcPr>
          <w:p w:rsidR="0003025B" w:rsidRPr="00D94B0F" w:rsidRDefault="0003025B" w:rsidP="007328E6">
            <w:pPr>
              <w:jc w:val="center"/>
              <w:rPr>
                <w:rFonts w:ascii="Times New Roman" w:eastAsia="Calibri" w:hAnsi="Times New Roman" w:cs="Times New Roman"/>
              </w:rPr>
            </w:pPr>
            <w:r w:rsidRPr="00267DBC">
              <w:rPr>
                <w:rFonts w:ascii="Times New Roman" w:eastAsia="Calibri" w:hAnsi="Times New Roman" w:cs="Times New Roman"/>
              </w:rPr>
              <w:t>802</w:t>
            </w:r>
            <w:r>
              <w:rPr>
                <w:rFonts w:ascii="Times New Roman" w:eastAsia="Calibri" w:hAnsi="Times New Roman" w:cs="Times New Roman"/>
              </w:rPr>
              <w:t>,</w:t>
            </w:r>
            <w:r w:rsidRPr="00267DBC">
              <w:rPr>
                <w:rFonts w:ascii="Times New Roman" w:eastAsia="Calibri" w:hAnsi="Times New Roman" w:cs="Times New Roman"/>
              </w:rPr>
              <w:t>657</w:t>
            </w:r>
            <w:r>
              <w:rPr>
                <w:rFonts w:ascii="Times New Roman" w:eastAsia="Calibri" w:hAnsi="Times New Roman" w:cs="Times New Roman"/>
              </w:rPr>
              <w:t>,</w:t>
            </w:r>
            <w:r w:rsidRPr="00267DBC">
              <w:rPr>
                <w:rFonts w:ascii="Times New Roman" w:eastAsia="Calibri" w:hAnsi="Times New Roman" w:cs="Times New Roman"/>
              </w:rPr>
              <w:t>856</w:t>
            </w:r>
          </w:p>
        </w:tc>
        <w:tc>
          <w:tcPr>
            <w:tcW w:w="262"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11</w:t>
            </w:r>
          </w:p>
        </w:tc>
        <w:tc>
          <w:tcPr>
            <w:tcW w:w="721" w:type="pct"/>
            <w:shd w:val="clear" w:color="auto" w:fill="auto"/>
            <w:vAlign w:val="center"/>
          </w:tcPr>
          <w:p w:rsidR="0003025B" w:rsidRPr="00D94B0F" w:rsidRDefault="0003025B" w:rsidP="007328E6">
            <w:pPr>
              <w:jc w:val="center"/>
              <w:rPr>
                <w:rFonts w:ascii="Times New Roman" w:eastAsia="Calibri" w:hAnsi="Times New Roman" w:cs="Times New Roman"/>
              </w:rPr>
            </w:pPr>
            <w:r w:rsidRPr="00707E81">
              <w:rPr>
                <w:rFonts w:ascii="Times New Roman" w:eastAsia="Calibri" w:hAnsi="Times New Roman" w:cs="Times New Roman"/>
              </w:rPr>
              <w:t>7,031,854,457</w:t>
            </w:r>
          </w:p>
        </w:tc>
        <w:tc>
          <w:tcPr>
            <w:tcW w:w="585" w:type="pct"/>
            <w:shd w:val="clear" w:color="auto" w:fill="auto"/>
            <w:vAlign w:val="center"/>
          </w:tcPr>
          <w:p w:rsidR="0003025B" w:rsidRPr="00D94B0F" w:rsidRDefault="002B114E" w:rsidP="007328E6">
            <w:pPr>
              <w:jc w:val="center"/>
              <w:rPr>
                <w:rFonts w:ascii="Times New Roman" w:eastAsia="Calibri" w:hAnsi="Times New Roman" w:cs="Times New Roman"/>
              </w:rPr>
            </w:pPr>
            <w:r>
              <w:rPr>
                <w:rFonts w:ascii="Times New Roman" w:eastAsia="Calibri" w:hAnsi="Times New Roman" w:cs="Times New Roman"/>
              </w:rPr>
              <w:t>27.08</w:t>
            </w:r>
          </w:p>
        </w:tc>
        <w:tc>
          <w:tcPr>
            <w:tcW w:w="560" w:type="pct"/>
            <w:shd w:val="clear" w:color="auto" w:fill="auto"/>
            <w:vAlign w:val="center"/>
          </w:tcPr>
          <w:p w:rsidR="0003025B" w:rsidRPr="00D94B0F" w:rsidRDefault="0003025B" w:rsidP="007328E6">
            <w:pPr>
              <w:jc w:val="center"/>
              <w:rPr>
                <w:rFonts w:ascii="Times New Roman" w:eastAsia="Calibri" w:hAnsi="Times New Roman" w:cs="Times New Roman"/>
              </w:rPr>
            </w:pPr>
            <w:r>
              <w:rPr>
                <w:rFonts w:ascii="Times New Roman" w:eastAsia="Calibri" w:hAnsi="Times New Roman" w:cs="Times New Roman"/>
              </w:rPr>
              <w:t>0</w:t>
            </w:r>
          </w:p>
        </w:tc>
      </w:tr>
    </w:tbl>
    <w:p w:rsidR="00BB10E6" w:rsidRPr="00AE541A" w:rsidRDefault="00BB10E6" w:rsidP="00BB10E6">
      <w:pPr>
        <w:autoSpaceDE w:val="0"/>
        <w:autoSpaceDN w:val="0"/>
        <w:adjustRightInd w:val="0"/>
        <w:spacing w:before="100" w:after="100" w:line="240" w:lineRule="auto"/>
        <w:rPr>
          <w:rFonts w:ascii="Times New Roman" w:hAnsi="Times New Roman" w:cs="Times New Roman"/>
        </w:rPr>
      </w:pPr>
    </w:p>
    <w:p w:rsidR="00BB10E6" w:rsidRPr="00AE541A" w:rsidRDefault="00BB10E6" w:rsidP="00A94287">
      <w:pPr>
        <w:autoSpaceDE w:val="0"/>
        <w:autoSpaceDN w:val="0"/>
        <w:adjustRightInd w:val="0"/>
        <w:spacing w:before="100" w:after="100" w:line="240" w:lineRule="auto"/>
        <w:jc w:val="both"/>
        <w:rPr>
          <w:rFonts w:ascii="Times New Roman" w:hAnsi="Times New Roman" w:cs="Times New Roman"/>
        </w:rPr>
      </w:pPr>
      <w:r w:rsidRPr="00AE541A">
        <w:rPr>
          <w:rFonts w:ascii="Times New Roman" w:hAnsi="Times New Roman" w:cs="Times New Roman"/>
        </w:rPr>
        <w:t>* Includes discretionary votes</w:t>
      </w:r>
    </w:p>
    <w:p w:rsidR="00931EB9" w:rsidRDefault="00BB10E6" w:rsidP="00A94287">
      <w:pPr>
        <w:autoSpaceDE w:val="0"/>
        <w:autoSpaceDN w:val="0"/>
        <w:adjustRightInd w:val="0"/>
        <w:spacing w:before="100" w:after="100" w:line="240" w:lineRule="auto"/>
        <w:jc w:val="both"/>
        <w:rPr>
          <w:rFonts w:ascii="Times New Roman" w:hAnsi="Times New Roman" w:cs="Times New Roman"/>
        </w:rPr>
      </w:pPr>
      <w:r w:rsidRPr="00AE541A">
        <w:rPr>
          <w:rFonts w:ascii="Times New Roman" w:hAnsi="Times New Roman" w:cs="Times New Roman"/>
        </w:rPr>
        <w:t>** A vote withheld is not a vote in law and is not counted in the calculation of the votes for or against a resolution.</w:t>
      </w:r>
    </w:p>
    <w:p w:rsidR="00347BCE" w:rsidRDefault="00347BCE" w:rsidP="00BB10E6">
      <w:pPr>
        <w:autoSpaceDE w:val="0"/>
        <w:autoSpaceDN w:val="0"/>
        <w:adjustRightInd w:val="0"/>
        <w:spacing w:before="100" w:after="100" w:line="240" w:lineRule="auto"/>
        <w:rPr>
          <w:rFonts w:ascii="Times New Roman" w:hAnsi="Times New Roman" w:cs="Times New Roman"/>
        </w:rPr>
      </w:pPr>
    </w:p>
    <w:p w:rsidR="00830283" w:rsidRDefault="00830283" w:rsidP="00A94287">
      <w:pPr>
        <w:autoSpaceDE w:val="0"/>
        <w:autoSpaceDN w:val="0"/>
        <w:adjustRightInd w:val="0"/>
        <w:spacing w:before="100" w:after="100" w:line="240" w:lineRule="auto"/>
        <w:jc w:val="both"/>
        <w:rPr>
          <w:rFonts w:ascii="Times New Roman" w:hAnsi="Times New Roman" w:cs="Times New Roman"/>
        </w:rPr>
      </w:pPr>
      <w:r>
        <w:rPr>
          <w:rFonts w:ascii="Times New Roman" w:hAnsi="Times New Roman" w:cs="Times New Roman"/>
        </w:rPr>
        <w:t>Resolution 5</w:t>
      </w:r>
      <w:r w:rsidR="0063507B">
        <w:rPr>
          <w:rFonts w:ascii="Times New Roman" w:hAnsi="Times New Roman" w:cs="Times New Roman"/>
        </w:rPr>
        <w:t>, which related to the continuation of the Company as a venture capital trust for a period of five years,</w:t>
      </w:r>
      <w:r>
        <w:rPr>
          <w:rFonts w:ascii="Times New Roman" w:hAnsi="Times New Roman" w:cs="Times New Roman"/>
        </w:rPr>
        <w:t xml:space="preserve"> received opposition from shareholders. </w:t>
      </w:r>
      <w:r w:rsidRPr="006E296C">
        <w:rPr>
          <w:rFonts w:ascii="Times New Roman" w:hAnsi="Times New Roman" w:cs="Times New Roman"/>
        </w:rPr>
        <w:t>In the light of the num</w:t>
      </w:r>
      <w:r>
        <w:rPr>
          <w:rFonts w:ascii="Times New Roman" w:hAnsi="Times New Roman" w:cs="Times New Roman"/>
        </w:rPr>
        <w:t>ber of votes against this resolution</w:t>
      </w:r>
      <w:r w:rsidRPr="006E296C">
        <w:rPr>
          <w:rFonts w:ascii="Times New Roman" w:hAnsi="Times New Roman" w:cs="Times New Roman"/>
        </w:rPr>
        <w:t>, the Company will undertake a detailed review of the feedback received on th</w:t>
      </w:r>
      <w:r>
        <w:rPr>
          <w:rFonts w:ascii="Times New Roman" w:hAnsi="Times New Roman" w:cs="Times New Roman"/>
        </w:rPr>
        <w:t>is</w:t>
      </w:r>
      <w:r w:rsidRPr="006E296C">
        <w:rPr>
          <w:rFonts w:ascii="Times New Roman" w:hAnsi="Times New Roman" w:cs="Times New Roman"/>
        </w:rPr>
        <w:t xml:space="preserve"> </w:t>
      </w:r>
      <w:r>
        <w:rPr>
          <w:rFonts w:ascii="Times New Roman" w:hAnsi="Times New Roman" w:cs="Times New Roman"/>
        </w:rPr>
        <w:t xml:space="preserve">matter </w:t>
      </w:r>
      <w:r w:rsidRPr="006E296C">
        <w:rPr>
          <w:rFonts w:ascii="Times New Roman" w:hAnsi="Times New Roman" w:cs="Times New Roman"/>
        </w:rPr>
        <w:t>to ensure it fully understands shareholders' concerns. The Board takes seriously its responsibilities to uphold the highest standards of corporate governance and is open to constructive dialogue with shareholders and shareholder bodies</w:t>
      </w:r>
      <w:r>
        <w:rPr>
          <w:rFonts w:ascii="Times New Roman" w:hAnsi="Times New Roman" w:cs="Times New Roman"/>
        </w:rPr>
        <w:t>.</w:t>
      </w:r>
    </w:p>
    <w:p w:rsidR="00830283" w:rsidRDefault="00830283" w:rsidP="00A94287">
      <w:pPr>
        <w:autoSpaceDE w:val="0"/>
        <w:autoSpaceDN w:val="0"/>
        <w:adjustRightInd w:val="0"/>
        <w:spacing w:before="100" w:after="100" w:line="240" w:lineRule="auto"/>
        <w:jc w:val="both"/>
        <w:rPr>
          <w:rFonts w:ascii="Times New Roman" w:hAnsi="Times New Roman" w:cs="Times New Roman"/>
        </w:rPr>
      </w:pPr>
    </w:p>
    <w:p w:rsidR="00695689" w:rsidRDefault="00830283" w:rsidP="00A94287">
      <w:pPr>
        <w:autoSpaceDE w:val="0"/>
        <w:autoSpaceDN w:val="0"/>
        <w:adjustRightInd w:val="0"/>
        <w:spacing w:before="100" w:after="100" w:line="240" w:lineRule="auto"/>
        <w:jc w:val="both"/>
        <w:rPr>
          <w:rFonts w:ascii="Times New Roman" w:hAnsi="Times New Roman" w:cs="Times New Roman"/>
        </w:rPr>
      </w:pPr>
      <w:r>
        <w:rPr>
          <w:rFonts w:ascii="Times New Roman" w:hAnsi="Times New Roman" w:cs="Times New Roman"/>
        </w:rPr>
        <w:t>Although Resolution 5</w:t>
      </w:r>
      <w:r w:rsidR="00EA3D7D" w:rsidRPr="00EA3D7D">
        <w:rPr>
          <w:rFonts w:ascii="Times New Roman" w:hAnsi="Times New Roman" w:cs="Times New Roman"/>
        </w:rPr>
        <w:t xml:space="preserve"> has </w:t>
      </w:r>
      <w:r w:rsidR="00CC41A9">
        <w:rPr>
          <w:rFonts w:ascii="Times New Roman" w:hAnsi="Times New Roman" w:cs="Times New Roman"/>
        </w:rPr>
        <w:t xml:space="preserve">formally </w:t>
      </w:r>
      <w:r w:rsidR="00EA3D7D" w:rsidRPr="00EA3D7D">
        <w:rPr>
          <w:rFonts w:ascii="Times New Roman" w:hAnsi="Times New Roman" w:cs="Times New Roman"/>
        </w:rPr>
        <w:t>passed, the equivalent vote for Gresham House Renewable Energy VCT 2 plc</w:t>
      </w:r>
      <w:r w:rsidR="00016F1B">
        <w:rPr>
          <w:rFonts w:ascii="Times New Roman" w:hAnsi="Times New Roman" w:cs="Times New Roman"/>
        </w:rPr>
        <w:t xml:space="preserve"> (“VCT 2”)</w:t>
      </w:r>
      <w:r w:rsidR="00EA3D7D" w:rsidRPr="00EA3D7D">
        <w:rPr>
          <w:rFonts w:ascii="Times New Roman" w:hAnsi="Times New Roman" w:cs="Times New Roman"/>
        </w:rPr>
        <w:t xml:space="preserve"> </w:t>
      </w:r>
      <w:r w:rsidR="00EA3D7D">
        <w:rPr>
          <w:rFonts w:ascii="Times New Roman" w:hAnsi="Times New Roman" w:cs="Times New Roman"/>
        </w:rPr>
        <w:t>did not achieve the required majority to</w:t>
      </w:r>
      <w:r w:rsidR="00EA3D7D" w:rsidRPr="00EA3D7D">
        <w:rPr>
          <w:rFonts w:ascii="Times New Roman" w:hAnsi="Times New Roman" w:cs="Times New Roman"/>
        </w:rPr>
        <w:t xml:space="preserve"> pass. As the two VCTs work closely together, this </w:t>
      </w:r>
      <w:r w:rsidR="00EA3D7D">
        <w:rPr>
          <w:rFonts w:ascii="Times New Roman" w:hAnsi="Times New Roman" w:cs="Times New Roman"/>
        </w:rPr>
        <w:t>will</w:t>
      </w:r>
      <w:r w:rsidR="00EA3D7D" w:rsidRPr="00EA3D7D">
        <w:rPr>
          <w:rFonts w:ascii="Times New Roman" w:hAnsi="Times New Roman" w:cs="Times New Roman"/>
        </w:rPr>
        <w:t xml:space="preserve"> require the</w:t>
      </w:r>
      <w:r w:rsidR="0063507B">
        <w:rPr>
          <w:rFonts w:ascii="Times New Roman" w:hAnsi="Times New Roman" w:cs="Times New Roman"/>
        </w:rPr>
        <w:t xml:space="preserve"> Company to also </w:t>
      </w:r>
      <w:r w:rsidR="0063507B" w:rsidRPr="0063507B">
        <w:rPr>
          <w:rFonts w:ascii="Times New Roman" w:hAnsi="Times New Roman" w:cs="Times New Roman"/>
        </w:rPr>
        <w:t>draw up proposals for voluntary liquidation, reconstruction or other re-organisation of the Company for consideration by the members in a General Meeting to be held within four months of the AGM</w:t>
      </w:r>
      <w:r w:rsidR="0063507B">
        <w:rPr>
          <w:rFonts w:ascii="Times New Roman" w:hAnsi="Times New Roman" w:cs="Times New Roman"/>
        </w:rPr>
        <w:t xml:space="preserve">. </w:t>
      </w:r>
      <w:r w:rsidR="00E52D3B" w:rsidRPr="00E52D3B">
        <w:rPr>
          <w:rFonts w:ascii="Times New Roman" w:hAnsi="Times New Roman" w:cs="Times New Roman"/>
        </w:rPr>
        <w:t xml:space="preserve">The </w:t>
      </w:r>
      <w:r w:rsidR="00E52D3B">
        <w:rPr>
          <w:rFonts w:ascii="Times New Roman" w:hAnsi="Times New Roman" w:cs="Times New Roman"/>
        </w:rPr>
        <w:t>D</w:t>
      </w:r>
      <w:r w:rsidR="00E52D3B" w:rsidRPr="00E52D3B">
        <w:rPr>
          <w:rFonts w:ascii="Times New Roman" w:hAnsi="Times New Roman" w:cs="Times New Roman"/>
        </w:rPr>
        <w:t>irectors will work over the next four months to devise the best possible p</w:t>
      </w:r>
      <w:r w:rsidR="00E52D3B">
        <w:rPr>
          <w:rFonts w:ascii="Times New Roman" w:hAnsi="Times New Roman" w:cs="Times New Roman"/>
        </w:rPr>
        <w:t>roposals to put to shareholders</w:t>
      </w:r>
      <w:r w:rsidR="00E52D3B" w:rsidRPr="00E52D3B">
        <w:rPr>
          <w:rFonts w:ascii="Times New Roman" w:hAnsi="Times New Roman" w:cs="Times New Roman"/>
        </w:rPr>
        <w:t xml:space="preserve">, seeking to maximise the return to shareholders whilst preserving the tax position of those who invested in 2018. </w:t>
      </w:r>
    </w:p>
    <w:p w:rsidR="002B114E" w:rsidRPr="00AE541A" w:rsidRDefault="002B114E" w:rsidP="00BB10E6">
      <w:pPr>
        <w:autoSpaceDE w:val="0"/>
        <w:autoSpaceDN w:val="0"/>
        <w:adjustRightInd w:val="0"/>
        <w:spacing w:before="100" w:after="100" w:line="240" w:lineRule="auto"/>
        <w:rPr>
          <w:rFonts w:ascii="Times New Roman" w:hAnsi="Times New Roman" w:cs="Times New Roman"/>
        </w:rPr>
      </w:pPr>
    </w:p>
    <w:p w:rsidR="00FC3950" w:rsidRPr="00AE541A" w:rsidRDefault="00FC3950" w:rsidP="00FC3950">
      <w:pPr>
        <w:spacing w:after="0" w:line="240" w:lineRule="auto"/>
        <w:jc w:val="center"/>
        <w:rPr>
          <w:rStyle w:val="hm"/>
          <w:rFonts w:ascii="Times New Roman" w:hAnsi="Times New Roman" w:cs="Times New Roman"/>
          <w:b/>
          <w:lang w:val="en"/>
        </w:rPr>
      </w:pPr>
      <w:r w:rsidRPr="00AE541A">
        <w:rPr>
          <w:rStyle w:val="hm"/>
          <w:rFonts w:ascii="Times New Roman" w:hAnsi="Times New Roman" w:cs="Times New Roman"/>
          <w:b/>
          <w:lang w:val="en"/>
        </w:rPr>
        <w:t>END</w:t>
      </w:r>
    </w:p>
    <w:p w:rsidR="00FC3950" w:rsidRPr="00AE541A" w:rsidRDefault="00FC3950" w:rsidP="00FC3950">
      <w:pPr>
        <w:spacing w:after="0" w:line="240" w:lineRule="auto"/>
        <w:rPr>
          <w:rStyle w:val="hm"/>
          <w:rFonts w:ascii="Times New Roman" w:hAnsi="Times New Roman" w:cs="Times New Roman"/>
          <w:lang w:val="en"/>
        </w:rPr>
      </w:pPr>
    </w:p>
    <w:p w:rsidR="00A727A1" w:rsidRPr="00A727A1" w:rsidRDefault="00A727A1" w:rsidP="00A727A1">
      <w:pPr>
        <w:spacing w:after="100" w:afterAutospacing="1" w:line="240" w:lineRule="auto"/>
        <w:rPr>
          <w:rFonts w:ascii="Times New Roman" w:eastAsia="Times New Roman" w:hAnsi="Times New Roman" w:cs="Times New Roman"/>
          <w:b/>
          <w:color w:val="000000"/>
          <w:lang w:val="en-US"/>
        </w:rPr>
      </w:pPr>
      <w:r w:rsidRPr="00A727A1">
        <w:rPr>
          <w:rFonts w:ascii="Times New Roman" w:eastAsia="Times New Roman" w:hAnsi="Times New Roman" w:cs="Times New Roman"/>
          <w:b/>
          <w:color w:val="000000"/>
          <w:lang w:val="en-US"/>
        </w:rPr>
        <w:t>For further information,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29"/>
      </w:tblGrid>
      <w:tr w:rsidR="00A727A1" w:rsidRPr="00A727A1" w:rsidTr="0063507B">
        <w:tc>
          <w:tcPr>
            <w:tcW w:w="5387" w:type="dxa"/>
          </w:tcPr>
          <w:p w:rsidR="00A727A1" w:rsidRPr="00A727A1" w:rsidRDefault="00A727A1" w:rsidP="00705618">
            <w:pPr>
              <w:spacing w:after="100" w:afterAutospacing="1"/>
              <w:rPr>
                <w:rFonts w:ascii="Times New Roman" w:eastAsia="Times New Roman" w:hAnsi="Times New Roman" w:cs="Times New Roman"/>
                <w:color w:val="000000"/>
                <w:lang w:val="en-US"/>
              </w:rPr>
            </w:pPr>
            <w:r w:rsidRPr="00A727A1">
              <w:rPr>
                <w:rFonts w:ascii="Times New Roman" w:eastAsia="Times New Roman" w:hAnsi="Times New Roman" w:cs="Times New Roman"/>
                <w:b/>
                <w:color w:val="000000"/>
                <w:lang w:val="en-US"/>
              </w:rPr>
              <w:t>Gresham House Asset Management</w:t>
            </w:r>
            <w:r w:rsidRPr="00A727A1">
              <w:rPr>
                <w:rFonts w:ascii="Times New Roman" w:eastAsia="Times New Roman" w:hAnsi="Times New Roman" w:cs="Times New Roman"/>
                <w:b/>
                <w:color w:val="000000"/>
                <w:lang w:val="en-US"/>
              </w:rPr>
              <w:br/>
            </w:r>
            <w:r w:rsidR="00705618">
              <w:rPr>
                <w:rFonts w:ascii="Times New Roman" w:eastAsia="Times New Roman" w:hAnsi="Times New Roman" w:cs="Times New Roman"/>
                <w:color w:val="000000"/>
                <w:lang w:val="en-US"/>
              </w:rPr>
              <w:t>Investor Relations</w:t>
            </w:r>
          </w:p>
        </w:tc>
        <w:tc>
          <w:tcPr>
            <w:tcW w:w="3629" w:type="dxa"/>
          </w:tcPr>
          <w:p w:rsidR="00A727A1" w:rsidRPr="00A727A1" w:rsidRDefault="00B83FAC" w:rsidP="00705618">
            <w:pPr>
              <w:spacing w:after="100" w:afterAutospacing="1"/>
              <w:rPr>
                <w:rFonts w:ascii="Times New Roman" w:eastAsia="Times New Roman" w:hAnsi="Times New Roman" w:cs="Times New Roman"/>
                <w:color w:val="000000"/>
                <w:lang w:val="en-US"/>
              </w:rPr>
            </w:pPr>
            <w:hyperlink r:id="rId5" w:history="1">
              <w:r w:rsidR="00705618" w:rsidRPr="00D0331B">
                <w:rPr>
                  <w:rStyle w:val="Hyperlink"/>
                  <w:rFonts w:ascii="Times New Roman" w:eastAsia="Times New Roman" w:hAnsi="Times New Roman" w:cs="Times New Roman"/>
                  <w:lang w:val="en-US"/>
                </w:rPr>
                <w:t>renewablevcts@greshamhouse.com</w:t>
              </w:r>
            </w:hyperlink>
            <w:r w:rsidR="00A727A1" w:rsidRPr="00A727A1">
              <w:rPr>
                <w:rFonts w:ascii="Times New Roman" w:eastAsia="Times New Roman" w:hAnsi="Times New Roman" w:cs="Times New Roman"/>
                <w:color w:val="0563C1"/>
                <w:u w:val="single"/>
                <w:lang w:val="en-US"/>
              </w:rPr>
              <w:br/>
            </w:r>
            <w:r w:rsidR="00A727A1" w:rsidRPr="00A727A1">
              <w:rPr>
                <w:rFonts w:ascii="Times New Roman" w:eastAsia="Times New Roman" w:hAnsi="Times New Roman" w:cs="Times New Roman"/>
                <w:color w:val="000000"/>
                <w:lang w:val="en-US"/>
              </w:rPr>
              <w:t>Tel: 020 3875 9860</w:t>
            </w:r>
          </w:p>
        </w:tc>
      </w:tr>
      <w:tr w:rsidR="00A727A1" w:rsidRPr="00A727A1" w:rsidTr="0063507B">
        <w:tc>
          <w:tcPr>
            <w:tcW w:w="5387" w:type="dxa"/>
          </w:tcPr>
          <w:p w:rsidR="00A727A1" w:rsidRPr="00A727A1" w:rsidRDefault="00A727A1" w:rsidP="00A727A1">
            <w:pPr>
              <w:spacing w:after="100" w:afterAutospacing="1"/>
              <w:rPr>
                <w:rFonts w:ascii="Times New Roman" w:eastAsia="Times New Roman" w:hAnsi="Times New Roman" w:cs="Times New Roman"/>
                <w:b/>
                <w:bCs/>
                <w:color w:val="000000"/>
                <w:lang w:val="en-US"/>
              </w:rPr>
            </w:pPr>
          </w:p>
        </w:tc>
        <w:tc>
          <w:tcPr>
            <w:tcW w:w="3629" w:type="dxa"/>
          </w:tcPr>
          <w:p w:rsidR="00A727A1" w:rsidRPr="00A727A1" w:rsidRDefault="00A727A1" w:rsidP="00A727A1">
            <w:pPr>
              <w:spacing w:after="100" w:afterAutospacing="1"/>
              <w:rPr>
                <w:rFonts w:ascii="Times New Roman" w:eastAsia="Times New Roman" w:hAnsi="Times New Roman" w:cs="Times New Roman"/>
                <w:color w:val="0563C1"/>
                <w:u w:val="single"/>
                <w:lang w:val="en-US"/>
              </w:rPr>
            </w:pPr>
          </w:p>
        </w:tc>
      </w:tr>
      <w:tr w:rsidR="00A727A1" w:rsidRPr="00A727A1" w:rsidTr="0063507B">
        <w:tc>
          <w:tcPr>
            <w:tcW w:w="5387" w:type="dxa"/>
          </w:tcPr>
          <w:p w:rsidR="00A727A1" w:rsidRPr="00A727A1" w:rsidRDefault="002B114E" w:rsidP="002B114E">
            <w:pPr>
              <w:spacing w:after="100" w:afterAutospacing="1"/>
              <w:rPr>
                <w:rFonts w:ascii="Times New Roman" w:eastAsia="Times New Roman" w:hAnsi="Times New Roman" w:cs="Times New Roman"/>
                <w:color w:val="000000"/>
                <w:lang w:val="en-US"/>
              </w:rPr>
            </w:pPr>
            <w:r>
              <w:rPr>
                <w:rFonts w:ascii="Times New Roman" w:eastAsia="Times New Roman" w:hAnsi="Times New Roman" w:cs="Times New Roman"/>
                <w:b/>
                <w:bCs/>
                <w:color w:val="000000"/>
                <w:lang w:val="en-US"/>
              </w:rPr>
              <w:t>JTC (UK) Limited</w:t>
            </w:r>
            <w:r w:rsidR="00A727A1" w:rsidRPr="00A727A1">
              <w:rPr>
                <w:rFonts w:ascii="Times New Roman" w:eastAsia="Times New Roman" w:hAnsi="Times New Roman" w:cs="Times New Roman"/>
                <w:b/>
                <w:bCs/>
                <w:color w:val="000000"/>
                <w:lang w:val="en-US"/>
              </w:rPr>
              <w:br/>
            </w:r>
            <w:r w:rsidRPr="002B114E">
              <w:rPr>
                <w:rFonts w:ascii="Times New Roman" w:eastAsia="Times New Roman" w:hAnsi="Times New Roman" w:cs="Times New Roman"/>
                <w:bCs/>
                <w:color w:val="000000"/>
                <w:lang w:val="en-US"/>
              </w:rPr>
              <w:t>Company Secretary</w:t>
            </w:r>
          </w:p>
        </w:tc>
        <w:tc>
          <w:tcPr>
            <w:tcW w:w="3629" w:type="dxa"/>
          </w:tcPr>
          <w:p w:rsidR="00A727A1" w:rsidRPr="00A727A1" w:rsidRDefault="00B83FAC" w:rsidP="002B114E">
            <w:pPr>
              <w:spacing w:after="100" w:afterAutospacing="1"/>
              <w:rPr>
                <w:rFonts w:ascii="Times New Roman" w:eastAsia="Times New Roman" w:hAnsi="Times New Roman" w:cs="Times New Roman"/>
                <w:color w:val="000000"/>
                <w:lang w:val="en-US"/>
              </w:rPr>
            </w:pPr>
            <w:hyperlink r:id="rId6" w:history="1">
              <w:r w:rsidR="00A727A1" w:rsidRPr="00705618">
                <w:rPr>
                  <w:rStyle w:val="Hyperlink"/>
                  <w:rFonts w:ascii="Times New Roman" w:hAnsi="Times New Roman" w:cs="Times New Roman"/>
                </w:rPr>
                <w:t>GreshamVCTs@jtcgroup.com</w:t>
              </w:r>
            </w:hyperlink>
            <w:r w:rsidR="00A727A1" w:rsidRPr="00A727A1">
              <w:rPr>
                <w:rFonts w:ascii="Times New Roman" w:eastAsia="Times New Roman" w:hAnsi="Times New Roman" w:cs="Times New Roman"/>
                <w:color w:val="000000"/>
                <w:lang w:val="en-US"/>
              </w:rPr>
              <w:t xml:space="preserve"> </w:t>
            </w:r>
            <w:r w:rsidR="00705618">
              <w:rPr>
                <w:rFonts w:ascii="Times New Roman" w:eastAsia="Times New Roman" w:hAnsi="Times New Roman" w:cs="Times New Roman"/>
                <w:color w:val="000000"/>
                <w:lang w:val="en-US"/>
              </w:rPr>
              <w:t xml:space="preserve"> </w:t>
            </w:r>
            <w:r w:rsidR="00A727A1" w:rsidRPr="00A727A1">
              <w:rPr>
                <w:rFonts w:ascii="Times New Roman" w:eastAsia="Times New Roman" w:hAnsi="Times New Roman" w:cs="Times New Roman"/>
                <w:color w:val="000000"/>
                <w:lang w:val="en-US"/>
              </w:rPr>
              <w:br/>
              <w:t xml:space="preserve">Tel: </w:t>
            </w:r>
            <w:r w:rsidR="002B114E">
              <w:rPr>
                <w:rFonts w:ascii="Times New Roman" w:eastAsia="Times New Roman" w:hAnsi="Times New Roman" w:cs="Times New Roman"/>
                <w:color w:val="000000"/>
                <w:lang w:val="en-US"/>
              </w:rPr>
              <w:t>0</w:t>
            </w:r>
            <w:r w:rsidR="00A727A1" w:rsidRPr="00A727A1">
              <w:rPr>
                <w:rFonts w:ascii="Times New Roman" w:eastAsia="Times New Roman" w:hAnsi="Times New Roman" w:cs="Times New Roman"/>
                <w:color w:val="000000"/>
                <w:lang w:val="en-US"/>
              </w:rPr>
              <w:t>20</w:t>
            </w:r>
            <w:r w:rsidR="002B114E">
              <w:rPr>
                <w:rFonts w:ascii="Times New Roman" w:eastAsia="Times New Roman" w:hAnsi="Times New Roman" w:cs="Times New Roman"/>
                <w:color w:val="000000"/>
                <w:lang w:val="en-US"/>
              </w:rPr>
              <w:t xml:space="preserve"> 3</w:t>
            </w:r>
            <w:r w:rsidR="00A727A1" w:rsidRPr="00A727A1">
              <w:rPr>
                <w:rFonts w:ascii="Times New Roman" w:eastAsia="Times New Roman" w:hAnsi="Times New Roman" w:cs="Times New Roman"/>
                <w:color w:val="000000"/>
                <w:lang w:val="en-US"/>
              </w:rPr>
              <w:t>846 9774</w:t>
            </w:r>
          </w:p>
        </w:tc>
      </w:tr>
    </w:tbl>
    <w:p w:rsidR="00D94B0F" w:rsidRPr="00AE541A" w:rsidRDefault="00D94B0F" w:rsidP="00FC3950">
      <w:pPr>
        <w:spacing w:after="0" w:line="240" w:lineRule="auto"/>
        <w:rPr>
          <w:rFonts w:ascii="Times New Roman" w:eastAsia="Times New Roman" w:hAnsi="Times New Roman" w:cs="Times New Roman"/>
          <w:b/>
          <w:bCs/>
          <w:color w:val="000000"/>
          <w:lang w:eastAsia="en-GB"/>
        </w:rPr>
      </w:pPr>
    </w:p>
    <w:p w:rsidR="00FC3950" w:rsidRPr="00AE541A" w:rsidRDefault="00FC3950" w:rsidP="00FC3950">
      <w:pPr>
        <w:spacing w:after="0" w:line="240" w:lineRule="auto"/>
        <w:rPr>
          <w:rFonts w:ascii="Times New Roman" w:eastAsia="Times New Roman" w:hAnsi="Times New Roman" w:cs="Times New Roman"/>
          <w:color w:val="000000"/>
          <w:lang w:eastAsia="en-GB"/>
        </w:rPr>
      </w:pPr>
      <w:r w:rsidRPr="00AE541A">
        <w:rPr>
          <w:rFonts w:ascii="Times New Roman" w:eastAsia="Times New Roman" w:hAnsi="Times New Roman" w:cs="Times New Roman"/>
          <w:color w:val="000000"/>
          <w:lang w:eastAsia="en-GB"/>
        </w:rPr>
        <w:t> </w:t>
      </w:r>
    </w:p>
    <w:p w:rsidR="00D94B0F" w:rsidRPr="007464CF" w:rsidRDefault="00ED5FB9" w:rsidP="00D94B0F">
      <w:pPr>
        <w:pStyle w:val="g"/>
        <w:spacing w:before="0" w:beforeAutospacing="0" w:after="0" w:afterAutospacing="0"/>
        <w:rPr>
          <w:rStyle w:val="r"/>
          <w:lang w:val="en"/>
        </w:rPr>
      </w:pPr>
      <w:r w:rsidRPr="00ED5FB9">
        <w:rPr>
          <w:rStyle w:val="r"/>
          <w:lang w:val="en"/>
        </w:rPr>
        <w:t>LEI: 213800IVQHJXUQBAAC06</w:t>
      </w:r>
    </w:p>
    <w:p w:rsidR="00051047" w:rsidRDefault="00051047" w:rsidP="00FC3950">
      <w:pPr>
        <w:rPr>
          <w:rFonts w:ascii="Times New Roman" w:hAnsi="Times New Roman" w:cs="Times New Roman"/>
        </w:rPr>
      </w:pPr>
    </w:p>
    <w:p w:rsidR="002B114E" w:rsidRPr="002B114E" w:rsidRDefault="002B114E" w:rsidP="00A94287">
      <w:pPr>
        <w:jc w:val="both"/>
        <w:rPr>
          <w:rFonts w:ascii="Times New Roman" w:hAnsi="Times New Roman" w:cs="Times New Roman"/>
          <w:b/>
        </w:rPr>
      </w:pPr>
      <w:r w:rsidRPr="002B114E">
        <w:rPr>
          <w:rFonts w:ascii="Times New Roman" w:hAnsi="Times New Roman" w:cs="Times New Roman"/>
          <w:b/>
        </w:rPr>
        <w:lastRenderedPageBreak/>
        <w:t>Notes:</w:t>
      </w:r>
    </w:p>
    <w:p w:rsidR="002B114E" w:rsidRPr="00AE541A" w:rsidRDefault="00BE146D" w:rsidP="00A94287">
      <w:pPr>
        <w:jc w:val="both"/>
        <w:rPr>
          <w:rFonts w:ascii="Times New Roman" w:hAnsi="Times New Roman" w:cs="Times New Roman"/>
        </w:rPr>
      </w:pPr>
      <w:r w:rsidRPr="00BE146D">
        <w:rPr>
          <w:rFonts w:ascii="Times New Roman" w:hAnsi="Times New Roman" w:cs="Times New Roman"/>
        </w:rPr>
        <w:t>As at close of business on 1</w:t>
      </w:r>
      <w:r>
        <w:rPr>
          <w:rFonts w:ascii="Times New Roman" w:hAnsi="Times New Roman" w:cs="Times New Roman"/>
        </w:rPr>
        <w:t>8</w:t>
      </w:r>
      <w:r w:rsidRPr="00BE146D">
        <w:rPr>
          <w:rFonts w:ascii="Times New Roman" w:hAnsi="Times New Roman" w:cs="Times New Roman"/>
        </w:rPr>
        <w:t xml:space="preserve"> </w:t>
      </w:r>
      <w:r>
        <w:rPr>
          <w:rFonts w:ascii="Times New Roman" w:hAnsi="Times New Roman" w:cs="Times New Roman"/>
        </w:rPr>
        <w:t>March</w:t>
      </w:r>
      <w:r w:rsidRPr="00BE146D">
        <w:rPr>
          <w:rFonts w:ascii="Times New Roman" w:hAnsi="Times New Roman" w:cs="Times New Roman"/>
        </w:rPr>
        <w:t xml:space="preserve"> 2021, the Company’s issued share capital comprised 25,515,242 Ordinary Shares and 38,512,032 ‘A’ Shares, excluding shares held in treasury, and the total number of voting rights in the Company were 25,553,754,032, being 25,515,242,000 votes attributable to Ordinary Shares and 38,512,032 rights attributable to “A” Shares.</w:t>
      </w:r>
    </w:p>
    <w:sectPr w:rsidR="002B114E" w:rsidRPr="00AE541A" w:rsidSect="00051047">
      <w:pgSz w:w="11906" w:h="16838"/>
      <w:pgMar w:top="1417" w:right="1273" w:bottom="1134" w:left="1273"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E6"/>
    <w:rsid w:val="000112F6"/>
    <w:rsid w:val="00016F1B"/>
    <w:rsid w:val="00020CFA"/>
    <w:rsid w:val="0003025B"/>
    <w:rsid w:val="00051047"/>
    <w:rsid w:val="000E4838"/>
    <w:rsid w:val="0013126E"/>
    <w:rsid w:val="0020646B"/>
    <w:rsid w:val="00232585"/>
    <w:rsid w:val="0027430D"/>
    <w:rsid w:val="0028252E"/>
    <w:rsid w:val="002B114E"/>
    <w:rsid w:val="002B4DC3"/>
    <w:rsid w:val="002C213A"/>
    <w:rsid w:val="003071C6"/>
    <w:rsid w:val="00321C90"/>
    <w:rsid w:val="00347BCE"/>
    <w:rsid w:val="00354968"/>
    <w:rsid w:val="003E7EDE"/>
    <w:rsid w:val="004737FA"/>
    <w:rsid w:val="0049410B"/>
    <w:rsid w:val="005016F8"/>
    <w:rsid w:val="00506F7B"/>
    <w:rsid w:val="0053095F"/>
    <w:rsid w:val="0063507B"/>
    <w:rsid w:val="00670BD6"/>
    <w:rsid w:val="0069084D"/>
    <w:rsid w:val="00695689"/>
    <w:rsid w:val="006B671A"/>
    <w:rsid w:val="006D05F3"/>
    <w:rsid w:val="006E296C"/>
    <w:rsid w:val="006F0DEC"/>
    <w:rsid w:val="00705618"/>
    <w:rsid w:val="007732E2"/>
    <w:rsid w:val="007F11A1"/>
    <w:rsid w:val="00802226"/>
    <w:rsid w:val="00803A17"/>
    <w:rsid w:val="00820400"/>
    <w:rsid w:val="00830283"/>
    <w:rsid w:val="008914F5"/>
    <w:rsid w:val="008A2238"/>
    <w:rsid w:val="009169AA"/>
    <w:rsid w:val="00931EB9"/>
    <w:rsid w:val="00952F80"/>
    <w:rsid w:val="00963325"/>
    <w:rsid w:val="0097309E"/>
    <w:rsid w:val="00975CB5"/>
    <w:rsid w:val="009D6D67"/>
    <w:rsid w:val="00A727A1"/>
    <w:rsid w:val="00A76123"/>
    <w:rsid w:val="00A94287"/>
    <w:rsid w:val="00AD0A06"/>
    <w:rsid w:val="00AE541A"/>
    <w:rsid w:val="00AF09E7"/>
    <w:rsid w:val="00B32998"/>
    <w:rsid w:val="00B83FAC"/>
    <w:rsid w:val="00BB10E6"/>
    <w:rsid w:val="00BE146D"/>
    <w:rsid w:val="00BE4AB3"/>
    <w:rsid w:val="00C51166"/>
    <w:rsid w:val="00C530CA"/>
    <w:rsid w:val="00C74276"/>
    <w:rsid w:val="00CC41A9"/>
    <w:rsid w:val="00CE0AB6"/>
    <w:rsid w:val="00CE6EEC"/>
    <w:rsid w:val="00D332F6"/>
    <w:rsid w:val="00D7522E"/>
    <w:rsid w:val="00D94B0F"/>
    <w:rsid w:val="00DD4C75"/>
    <w:rsid w:val="00DE2712"/>
    <w:rsid w:val="00E04B9A"/>
    <w:rsid w:val="00E050CF"/>
    <w:rsid w:val="00E24758"/>
    <w:rsid w:val="00E52D3B"/>
    <w:rsid w:val="00EA3B52"/>
    <w:rsid w:val="00EA3D7D"/>
    <w:rsid w:val="00EB1E97"/>
    <w:rsid w:val="00ED5FB9"/>
    <w:rsid w:val="00FB4C07"/>
    <w:rsid w:val="00FC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3C401-DB6A-4598-905C-21208369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B10E6"/>
    <w:rPr>
      <w:color w:val="0000FF"/>
      <w:u w:val="single"/>
    </w:rPr>
  </w:style>
  <w:style w:type="table" w:styleId="TableGrid">
    <w:name w:val="Table Grid"/>
    <w:basedOn w:val="TableNormal"/>
    <w:uiPriority w:val="39"/>
    <w:rsid w:val="00BB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
    <w:name w:val="dh"/>
    <w:basedOn w:val="DefaultParagraphFont"/>
    <w:rsid w:val="0013126E"/>
  </w:style>
  <w:style w:type="character" w:customStyle="1" w:styleId="cf">
    <w:name w:val="cf"/>
    <w:basedOn w:val="DefaultParagraphFont"/>
    <w:rsid w:val="0013126E"/>
  </w:style>
  <w:style w:type="paragraph" w:customStyle="1" w:styleId="ba">
    <w:name w:val="ba"/>
    <w:basedOn w:val="Normal"/>
    <w:rsid w:val="00051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x">
    <w:name w:val="ax"/>
    <w:basedOn w:val="DefaultParagraphFont"/>
    <w:rsid w:val="00051047"/>
  </w:style>
  <w:style w:type="paragraph" w:customStyle="1" w:styleId="paragraph">
    <w:name w:val="paragraph"/>
    <w:basedOn w:val="Normal"/>
    <w:rsid w:val="00506F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06F7B"/>
  </w:style>
  <w:style w:type="character" w:customStyle="1" w:styleId="eop">
    <w:name w:val="eop"/>
    <w:basedOn w:val="DefaultParagraphFont"/>
    <w:rsid w:val="00506F7B"/>
  </w:style>
  <w:style w:type="character" w:customStyle="1" w:styleId="spellingerror">
    <w:name w:val="spellingerror"/>
    <w:basedOn w:val="DefaultParagraphFont"/>
    <w:rsid w:val="00506F7B"/>
  </w:style>
  <w:style w:type="paragraph" w:customStyle="1" w:styleId="a">
    <w:name w:val="a"/>
    <w:basedOn w:val="Normal"/>
    <w:rsid w:val="00FC39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3950"/>
    <w:rPr>
      <w:b/>
      <w:bCs/>
    </w:rPr>
  </w:style>
  <w:style w:type="paragraph" w:customStyle="1" w:styleId="hw">
    <w:name w:val="hw"/>
    <w:basedOn w:val="Normal"/>
    <w:rsid w:val="00FC39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m">
    <w:name w:val="hm"/>
    <w:basedOn w:val="DefaultParagraphFont"/>
    <w:rsid w:val="00FC3950"/>
  </w:style>
  <w:style w:type="paragraph" w:customStyle="1" w:styleId="g">
    <w:name w:val="g"/>
    <w:basedOn w:val="Normal"/>
    <w:rsid w:val="00D94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
    <w:name w:val="r"/>
    <w:basedOn w:val="DefaultParagraphFont"/>
    <w:rsid w:val="00D94B0F"/>
  </w:style>
  <w:style w:type="paragraph" w:styleId="BalloonText">
    <w:name w:val="Balloon Text"/>
    <w:basedOn w:val="Normal"/>
    <w:link w:val="BalloonTextChar"/>
    <w:uiPriority w:val="99"/>
    <w:semiHidden/>
    <w:unhideWhenUsed/>
    <w:rsid w:val="00891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4F5"/>
    <w:rPr>
      <w:rFonts w:ascii="Segoe UI" w:hAnsi="Segoe UI" w:cs="Segoe UI"/>
      <w:sz w:val="18"/>
      <w:szCs w:val="18"/>
    </w:rPr>
  </w:style>
  <w:style w:type="character" w:styleId="FollowedHyperlink">
    <w:name w:val="FollowedHyperlink"/>
    <w:basedOn w:val="DefaultParagraphFont"/>
    <w:uiPriority w:val="99"/>
    <w:semiHidden/>
    <w:unhideWhenUsed/>
    <w:rsid w:val="00B329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1665">
      <w:bodyDiv w:val="1"/>
      <w:marLeft w:val="0"/>
      <w:marRight w:val="0"/>
      <w:marTop w:val="0"/>
      <w:marBottom w:val="0"/>
      <w:divBdr>
        <w:top w:val="none" w:sz="0" w:space="0" w:color="auto"/>
        <w:left w:val="none" w:sz="0" w:space="0" w:color="auto"/>
        <w:bottom w:val="none" w:sz="0" w:space="0" w:color="auto"/>
        <w:right w:val="none" w:sz="0" w:space="0" w:color="auto"/>
      </w:divBdr>
    </w:div>
    <w:div w:id="592591833">
      <w:bodyDiv w:val="1"/>
      <w:marLeft w:val="0"/>
      <w:marRight w:val="0"/>
      <w:marTop w:val="0"/>
      <w:marBottom w:val="0"/>
      <w:divBdr>
        <w:top w:val="none" w:sz="0" w:space="0" w:color="auto"/>
        <w:left w:val="none" w:sz="0" w:space="0" w:color="auto"/>
        <w:bottom w:val="none" w:sz="0" w:space="0" w:color="auto"/>
        <w:right w:val="none" w:sz="0" w:space="0" w:color="auto"/>
      </w:divBdr>
    </w:div>
    <w:div w:id="798569421">
      <w:bodyDiv w:val="1"/>
      <w:marLeft w:val="0"/>
      <w:marRight w:val="0"/>
      <w:marTop w:val="0"/>
      <w:marBottom w:val="0"/>
      <w:divBdr>
        <w:top w:val="none" w:sz="0" w:space="0" w:color="auto"/>
        <w:left w:val="none" w:sz="0" w:space="0" w:color="auto"/>
        <w:bottom w:val="none" w:sz="0" w:space="0" w:color="auto"/>
        <w:right w:val="none" w:sz="0" w:space="0" w:color="auto"/>
      </w:divBdr>
    </w:div>
    <w:div w:id="1079788364">
      <w:bodyDiv w:val="1"/>
      <w:marLeft w:val="0"/>
      <w:marRight w:val="0"/>
      <w:marTop w:val="0"/>
      <w:marBottom w:val="0"/>
      <w:divBdr>
        <w:top w:val="none" w:sz="0" w:space="0" w:color="auto"/>
        <w:left w:val="none" w:sz="0" w:space="0" w:color="auto"/>
        <w:bottom w:val="none" w:sz="0" w:space="0" w:color="auto"/>
        <w:right w:val="none" w:sz="0" w:space="0" w:color="auto"/>
      </w:divBdr>
    </w:div>
    <w:div w:id="1463422327">
      <w:bodyDiv w:val="1"/>
      <w:marLeft w:val="0"/>
      <w:marRight w:val="0"/>
      <w:marTop w:val="0"/>
      <w:marBottom w:val="0"/>
      <w:divBdr>
        <w:top w:val="none" w:sz="0" w:space="0" w:color="auto"/>
        <w:left w:val="none" w:sz="0" w:space="0" w:color="auto"/>
        <w:bottom w:val="none" w:sz="0" w:space="0" w:color="auto"/>
        <w:right w:val="none" w:sz="0" w:space="0" w:color="auto"/>
      </w:divBdr>
    </w:div>
    <w:div w:id="1473451216">
      <w:bodyDiv w:val="1"/>
      <w:marLeft w:val="0"/>
      <w:marRight w:val="0"/>
      <w:marTop w:val="0"/>
      <w:marBottom w:val="0"/>
      <w:divBdr>
        <w:top w:val="none" w:sz="0" w:space="0" w:color="auto"/>
        <w:left w:val="none" w:sz="0" w:space="0" w:color="auto"/>
        <w:bottom w:val="none" w:sz="0" w:space="0" w:color="auto"/>
        <w:right w:val="none" w:sz="0" w:space="0" w:color="auto"/>
      </w:divBdr>
    </w:div>
    <w:div w:id="1537891142">
      <w:bodyDiv w:val="1"/>
      <w:marLeft w:val="0"/>
      <w:marRight w:val="0"/>
      <w:marTop w:val="0"/>
      <w:marBottom w:val="0"/>
      <w:divBdr>
        <w:top w:val="none" w:sz="0" w:space="0" w:color="auto"/>
        <w:left w:val="none" w:sz="0" w:space="0" w:color="auto"/>
        <w:bottom w:val="none" w:sz="0" w:space="0" w:color="auto"/>
        <w:right w:val="none" w:sz="0" w:space="0" w:color="auto"/>
      </w:divBdr>
      <w:divsChild>
        <w:div w:id="1809592733">
          <w:marLeft w:val="0"/>
          <w:marRight w:val="0"/>
          <w:marTop w:val="0"/>
          <w:marBottom w:val="0"/>
          <w:divBdr>
            <w:top w:val="single" w:sz="6" w:space="0" w:color="E5E5E5"/>
            <w:left w:val="single" w:sz="6" w:space="0" w:color="E5E5E5"/>
            <w:bottom w:val="single" w:sz="6" w:space="0" w:color="E5E5E5"/>
            <w:right w:val="single" w:sz="6" w:space="0" w:color="E5E5E5"/>
          </w:divBdr>
          <w:divsChild>
            <w:div w:id="965354208">
              <w:marLeft w:val="0"/>
              <w:marRight w:val="0"/>
              <w:marTop w:val="0"/>
              <w:marBottom w:val="0"/>
              <w:divBdr>
                <w:top w:val="none" w:sz="0" w:space="0" w:color="auto"/>
                <w:left w:val="none" w:sz="0" w:space="0" w:color="auto"/>
                <w:bottom w:val="none" w:sz="0" w:space="0" w:color="auto"/>
                <w:right w:val="none" w:sz="0" w:space="0" w:color="auto"/>
              </w:divBdr>
              <w:divsChild>
                <w:div w:id="18443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485">
      <w:bodyDiv w:val="1"/>
      <w:marLeft w:val="0"/>
      <w:marRight w:val="0"/>
      <w:marTop w:val="0"/>
      <w:marBottom w:val="0"/>
      <w:divBdr>
        <w:top w:val="none" w:sz="0" w:space="0" w:color="auto"/>
        <w:left w:val="none" w:sz="0" w:space="0" w:color="auto"/>
        <w:bottom w:val="none" w:sz="0" w:space="0" w:color="auto"/>
        <w:right w:val="none" w:sz="0" w:space="0" w:color="auto"/>
      </w:divBdr>
    </w:div>
    <w:div w:id="18976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shamVCTs@jtcgroup.com" TargetMode="External"/><Relationship Id="rId5" Type="http://schemas.openxmlformats.org/officeDocument/2006/relationships/hyperlink" Target="mailto:renewablevcts@greshamhouse.com" TargetMode="External"/><Relationship Id="rId4" Type="http://schemas.openxmlformats.org/officeDocument/2006/relationships/hyperlink" Target="https://data.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E2C0F687</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dc:creator>
  <cp:lastModifiedBy>HYDEK</cp:lastModifiedBy>
  <cp:revision>2</cp:revision>
  <dcterms:created xsi:type="dcterms:W3CDTF">2021-03-22T15:04:00Z</dcterms:created>
  <dcterms:modified xsi:type="dcterms:W3CDTF">2021-03-22T15:04:00Z</dcterms:modified>
</cp:coreProperties>
</file>